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drawings/drawing3.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85F79" w14:textId="77777777" w:rsidR="00982CF1" w:rsidRPr="0023761B" w:rsidRDefault="0020423B" w:rsidP="00EE7ABD">
      <w:pPr>
        <w:spacing w:after="0" w:line="360" w:lineRule="auto"/>
        <w:jc w:val="center"/>
        <w:rPr>
          <w:rFonts w:ascii="Times New Roman" w:hAnsi="Times New Roman" w:cs="Times New Roman"/>
          <w:i/>
          <w:sz w:val="24"/>
          <w:lang w:val="en-GB"/>
        </w:rPr>
      </w:pPr>
      <w:r w:rsidRPr="0023761B">
        <w:rPr>
          <w:rFonts w:ascii="Times New Roman" w:hAnsi="Times New Roman" w:cs="Times New Roman"/>
          <w:i/>
          <w:sz w:val="24"/>
          <w:lang w:val="en-GB"/>
        </w:rPr>
        <w:t xml:space="preserve">Scientific </w:t>
      </w:r>
      <w:r w:rsidR="00BF75D8" w:rsidRPr="0023761B">
        <w:rPr>
          <w:rFonts w:ascii="Times New Roman" w:hAnsi="Times New Roman" w:cs="Times New Roman"/>
          <w:i/>
          <w:sz w:val="24"/>
          <w:lang w:val="en-GB"/>
        </w:rPr>
        <w:t>article</w:t>
      </w:r>
    </w:p>
    <w:p w14:paraId="124CADF7" w14:textId="68E0E308" w:rsidR="00840939" w:rsidRPr="0023761B" w:rsidRDefault="00F01FA8" w:rsidP="00840939">
      <w:pPr>
        <w:spacing w:after="0" w:line="360" w:lineRule="auto"/>
        <w:jc w:val="center"/>
        <w:rPr>
          <w:rFonts w:ascii="Times New Roman" w:hAnsi="Times New Roman" w:cs="Times New Roman"/>
          <w:b/>
          <w:sz w:val="36"/>
          <w:lang w:val="en-GB"/>
        </w:rPr>
      </w:pPr>
      <w:r w:rsidRPr="0023761B">
        <w:rPr>
          <w:rFonts w:ascii="Times New Roman" w:hAnsi="Times New Roman" w:cs="Times New Roman"/>
          <w:b/>
          <w:sz w:val="36"/>
          <w:lang w:val="en-GB"/>
        </w:rPr>
        <w:t xml:space="preserve">Determination of </w:t>
      </w:r>
      <w:r w:rsidR="00683BFF" w:rsidRPr="0023761B">
        <w:rPr>
          <w:rFonts w:ascii="Times New Roman" w:hAnsi="Times New Roman" w:cs="Times New Roman"/>
          <w:b/>
          <w:sz w:val="36"/>
          <w:lang w:val="en-GB"/>
        </w:rPr>
        <w:t xml:space="preserve">dissolved </w:t>
      </w:r>
      <w:r w:rsidRPr="0023761B">
        <w:rPr>
          <w:rFonts w:ascii="Times New Roman" w:hAnsi="Times New Roman" w:cs="Times New Roman"/>
          <w:b/>
          <w:sz w:val="36"/>
          <w:lang w:val="en-GB"/>
        </w:rPr>
        <w:t xml:space="preserve">iron </w:t>
      </w:r>
      <w:r w:rsidR="00683BFF" w:rsidRPr="0023761B">
        <w:rPr>
          <w:rFonts w:ascii="Times New Roman" w:hAnsi="Times New Roman" w:cs="Times New Roman"/>
          <w:b/>
          <w:sz w:val="36"/>
          <w:lang w:val="en-GB"/>
        </w:rPr>
        <w:t xml:space="preserve">redox species </w:t>
      </w:r>
      <w:r w:rsidRPr="0023761B">
        <w:rPr>
          <w:rFonts w:ascii="Times New Roman" w:hAnsi="Times New Roman" w:cs="Times New Roman"/>
          <w:b/>
          <w:sz w:val="36"/>
          <w:lang w:val="en-GB"/>
        </w:rPr>
        <w:t xml:space="preserve">in </w:t>
      </w:r>
      <w:r w:rsidR="00683BFF" w:rsidRPr="0023761B">
        <w:rPr>
          <w:rFonts w:ascii="Times New Roman" w:hAnsi="Times New Roman" w:cs="Times New Roman"/>
          <w:b/>
          <w:sz w:val="36"/>
          <w:lang w:val="en-GB"/>
        </w:rPr>
        <w:t>freshwater sediment</w:t>
      </w:r>
      <w:r w:rsidRPr="0023761B">
        <w:rPr>
          <w:rFonts w:ascii="Times New Roman" w:hAnsi="Times New Roman" w:cs="Times New Roman"/>
          <w:b/>
          <w:sz w:val="36"/>
          <w:lang w:val="en-GB"/>
        </w:rPr>
        <w:t xml:space="preserve"> using </w:t>
      </w:r>
      <w:r w:rsidR="005C0B32">
        <w:rPr>
          <w:rFonts w:ascii="Times New Roman" w:hAnsi="Times New Roman" w:cs="Times New Roman"/>
          <w:b/>
          <w:sz w:val="36"/>
          <w:lang w:val="en-GB"/>
        </w:rPr>
        <w:t>DGT</w:t>
      </w:r>
      <w:r w:rsidR="00683BFF" w:rsidRPr="0023761B">
        <w:rPr>
          <w:rFonts w:ascii="Times New Roman" w:hAnsi="Times New Roman" w:cs="Times New Roman"/>
          <w:b/>
          <w:sz w:val="36"/>
          <w:lang w:val="en-GB"/>
        </w:rPr>
        <w:t xml:space="preserve"> </w:t>
      </w:r>
      <w:r w:rsidRPr="0023761B">
        <w:rPr>
          <w:rFonts w:ascii="Times New Roman" w:hAnsi="Times New Roman" w:cs="Times New Roman"/>
          <w:b/>
          <w:sz w:val="36"/>
          <w:lang w:val="en-GB"/>
        </w:rPr>
        <w:t xml:space="preserve">technique coupled to </w:t>
      </w:r>
      <w:r w:rsidR="005C0B32">
        <w:rPr>
          <w:rFonts w:ascii="Times New Roman" w:hAnsi="Times New Roman" w:cs="Times New Roman"/>
          <w:b/>
          <w:sz w:val="36"/>
          <w:lang w:val="en-GB"/>
        </w:rPr>
        <w:t>BDS</w:t>
      </w:r>
    </w:p>
    <w:p w14:paraId="76A55CC6" w14:textId="308D867D" w:rsidR="00F01FA8" w:rsidRPr="0023761B" w:rsidRDefault="00F01FA8" w:rsidP="00EE7ABD">
      <w:pPr>
        <w:spacing w:after="0" w:line="360" w:lineRule="auto"/>
        <w:jc w:val="center"/>
        <w:rPr>
          <w:rFonts w:ascii="Times New Roman" w:hAnsi="Times New Roman" w:cs="Times New Roman"/>
          <w:sz w:val="24"/>
          <w:vertAlign w:val="superscript"/>
          <w:lang w:val="en-GB"/>
        </w:rPr>
      </w:pPr>
      <w:r w:rsidRPr="0023761B">
        <w:rPr>
          <w:rFonts w:ascii="Times New Roman" w:hAnsi="Times New Roman" w:cs="Times New Roman"/>
          <w:sz w:val="24"/>
          <w:lang w:val="en-GB"/>
        </w:rPr>
        <w:t>Hanna Budasheva</w:t>
      </w:r>
      <w:r w:rsidR="00982CF1" w:rsidRPr="0023761B">
        <w:rPr>
          <w:rFonts w:ascii="Times New Roman" w:hAnsi="Times New Roman" w:cs="Times New Roman"/>
          <w:sz w:val="24"/>
          <w:vertAlign w:val="superscript"/>
          <w:lang w:val="en-GB"/>
        </w:rPr>
        <w:t>1</w:t>
      </w:r>
      <w:r w:rsidR="00CB43D6" w:rsidRPr="0023761B">
        <w:rPr>
          <w:rFonts w:ascii="Times New Roman" w:hAnsi="Times New Roman" w:cs="Times New Roman"/>
          <w:sz w:val="24"/>
          <w:vertAlign w:val="superscript"/>
          <w:lang w:val="en-GB"/>
        </w:rPr>
        <w:t>*</w:t>
      </w:r>
      <w:r w:rsidR="003B5647" w:rsidRPr="0023761B">
        <w:rPr>
          <w:rFonts w:ascii="Times New Roman" w:hAnsi="Times New Roman" w:cs="Times New Roman"/>
          <w:sz w:val="24"/>
          <w:lang w:val="en-GB"/>
        </w:rPr>
        <w:t xml:space="preserve">, </w:t>
      </w:r>
      <w:r w:rsidRPr="0023761B">
        <w:rPr>
          <w:rFonts w:ascii="Times New Roman" w:hAnsi="Times New Roman" w:cs="Times New Roman"/>
          <w:sz w:val="24"/>
          <w:lang w:val="en-GB"/>
        </w:rPr>
        <w:t>Aleksander Kravos</w:t>
      </w:r>
      <w:r w:rsidR="00C52216" w:rsidRPr="0023761B">
        <w:rPr>
          <w:rFonts w:ascii="Times New Roman" w:hAnsi="Times New Roman" w:cs="Times New Roman"/>
          <w:sz w:val="24"/>
          <w:vertAlign w:val="superscript"/>
          <w:lang w:val="en-GB"/>
        </w:rPr>
        <w:t>2</w:t>
      </w:r>
      <w:r w:rsidR="003B5647" w:rsidRPr="0023761B">
        <w:rPr>
          <w:rFonts w:ascii="Times New Roman" w:hAnsi="Times New Roman" w:cs="Times New Roman"/>
          <w:sz w:val="24"/>
          <w:lang w:val="en-GB"/>
        </w:rPr>
        <w:t>,</w:t>
      </w:r>
      <w:r w:rsidR="00AC1A17" w:rsidRPr="0023761B">
        <w:rPr>
          <w:rFonts w:ascii="Times New Roman" w:hAnsi="Times New Roman" w:cs="Times New Roman"/>
          <w:sz w:val="24"/>
          <w:lang w:val="en-GB"/>
        </w:rPr>
        <w:t xml:space="preserve"> </w:t>
      </w:r>
      <w:r w:rsidR="00A06D0D" w:rsidRPr="0023761B">
        <w:rPr>
          <w:rFonts w:ascii="Times New Roman" w:hAnsi="Times New Roman" w:cs="Times New Roman"/>
          <w:sz w:val="24"/>
          <w:lang w:val="en-GB"/>
        </w:rPr>
        <w:t>Dorota Korte</w:t>
      </w:r>
      <w:r w:rsidR="00A06D0D" w:rsidRPr="0023761B">
        <w:rPr>
          <w:rFonts w:ascii="Times New Roman" w:hAnsi="Times New Roman" w:cs="Times New Roman"/>
          <w:sz w:val="24"/>
          <w:vertAlign w:val="superscript"/>
          <w:lang w:val="en-GB"/>
        </w:rPr>
        <w:t>1</w:t>
      </w:r>
      <w:r w:rsidR="00A06D0D" w:rsidRPr="0023761B">
        <w:rPr>
          <w:rFonts w:ascii="Times New Roman" w:hAnsi="Times New Roman" w:cs="Times New Roman"/>
          <w:sz w:val="24"/>
          <w:lang w:val="en-GB"/>
        </w:rPr>
        <w:t xml:space="preserve">, </w:t>
      </w:r>
      <w:r w:rsidR="00AC1A17" w:rsidRPr="0023761B">
        <w:rPr>
          <w:rFonts w:ascii="Times New Roman" w:hAnsi="Times New Roman" w:cs="Times New Roman"/>
          <w:sz w:val="24"/>
          <w:lang w:val="en-GB"/>
        </w:rPr>
        <w:t>Ar</w:t>
      </w:r>
      <w:r w:rsidRPr="0023761B">
        <w:rPr>
          <w:rFonts w:ascii="Times New Roman" w:hAnsi="Times New Roman" w:cs="Times New Roman"/>
          <w:sz w:val="24"/>
          <w:lang w:val="en-GB"/>
        </w:rPr>
        <w:t>ne Bratkič</w:t>
      </w:r>
      <w:r w:rsidR="00C52216" w:rsidRPr="0023761B">
        <w:rPr>
          <w:rFonts w:ascii="Times New Roman" w:hAnsi="Times New Roman" w:cs="Times New Roman"/>
          <w:sz w:val="24"/>
          <w:vertAlign w:val="superscript"/>
          <w:lang w:val="en-GB"/>
        </w:rPr>
        <w:t>3</w:t>
      </w:r>
      <w:r w:rsidR="00683BFF" w:rsidRPr="0023761B">
        <w:rPr>
          <w:rFonts w:ascii="Times New Roman" w:hAnsi="Times New Roman" w:cs="Times New Roman"/>
          <w:sz w:val="24"/>
          <w:vertAlign w:val="superscript"/>
          <w:lang w:val="en-GB"/>
        </w:rPr>
        <w:t>,4</w:t>
      </w:r>
      <w:r w:rsidR="00F0114E">
        <w:rPr>
          <w:rFonts w:ascii="Times New Roman" w:hAnsi="Times New Roman" w:cs="Times New Roman"/>
          <w:sz w:val="24"/>
          <w:lang w:val="en-GB"/>
        </w:rPr>
        <w:t>,</w:t>
      </w:r>
      <w:r w:rsidR="00E544F9" w:rsidRPr="0023761B">
        <w:rPr>
          <w:rFonts w:ascii="Times New Roman" w:hAnsi="Times New Roman" w:cs="Times New Roman"/>
          <w:sz w:val="24"/>
          <w:lang w:val="en-GB"/>
        </w:rPr>
        <w:t xml:space="preserve"> Yue Gao</w:t>
      </w:r>
      <w:r w:rsidR="00E544F9" w:rsidRPr="0023761B">
        <w:rPr>
          <w:rFonts w:ascii="Times New Roman" w:hAnsi="Times New Roman" w:cs="Times New Roman"/>
          <w:sz w:val="24"/>
          <w:vertAlign w:val="superscript"/>
          <w:lang w:val="en-GB"/>
        </w:rPr>
        <w:t>3</w:t>
      </w:r>
      <w:r w:rsidR="00E544F9" w:rsidRPr="0023761B">
        <w:rPr>
          <w:rFonts w:ascii="Times New Roman" w:hAnsi="Times New Roman" w:cs="Times New Roman"/>
          <w:sz w:val="24"/>
          <w:lang w:val="en-GB"/>
        </w:rPr>
        <w:t xml:space="preserve"> </w:t>
      </w:r>
      <w:r w:rsidR="003B5647" w:rsidRPr="0023761B">
        <w:rPr>
          <w:rFonts w:ascii="Times New Roman" w:hAnsi="Times New Roman" w:cs="Times New Roman"/>
          <w:sz w:val="24"/>
          <w:lang w:val="en-GB"/>
        </w:rPr>
        <w:t xml:space="preserve">and </w:t>
      </w:r>
      <w:r w:rsidRPr="0023761B">
        <w:rPr>
          <w:rFonts w:ascii="Times New Roman" w:hAnsi="Times New Roman" w:cs="Times New Roman"/>
          <w:sz w:val="24"/>
          <w:lang w:val="en-GB"/>
        </w:rPr>
        <w:t>Mladen Franko</w:t>
      </w:r>
      <w:r w:rsidR="00982CF1" w:rsidRPr="0023761B">
        <w:rPr>
          <w:rFonts w:ascii="Times New Roman" w:hAnsi="Times New Roman" w:cs="Times New Roman"/>
          <w:sz w:val="24"/>
          <w:vertAlign w:val="superscript"/>
          <w:lang w:val="en-GB"/>
        </w:rPr>
        <w:t>1</w:t>
      </w:r>
    </w:p>
    <w:p w14:paraId="40E51DD4" w14:textId="77777777" w:rsidR="00982CF1" w:rsidRPr="0023761B" w:rsidRDefault="00982CF1" w:rsidP="00EE7ABD">
      <w:pPr>
        <w:spacing w:after="0" w:line="360" w:lineRule="auto"/>
        <w:jc w:val="center"/>
        <w:rPr>
          <w:rFonts w:ascii="Times New Roman" w:hAnsi="Times New Roman" w:cs="Times New Roman"/>
          <w:i/>
          <w:sz w:val="24"/>
          <w:lang w:val="en-GB"/>
        </w:rPr>
      </w:pPr>
      <w:r w:rsidRPr="0023761B">
        <w:rPr>
          <w:rFonts w:ascii="Times New Roman" w:hAnsi="Times New Roman" w:cs="Times New Roman"/>
          <w:sz w:val="24"/>
          <w:vertAlign w:val="superscript"/>
          <w:lang w:val="en-GB"/>
        </w:rPr>
        <w:t>1</w:t>
      </w:r>
      <w:r w:rsidR="003B5647" w:rsidRPr="0023761B">
        <w:rPr>
          <w:rFonts w:ascii="Times New Roman" w:hAnsi="Times New Roman" w:cs="Times New Roman"/>
          <w:i/>
          <w:sz w:val="24"/>
          <w:vertAlign w:val="superscript"/>
          <w:lang w:val="en-GB"/>
        </w:rPr>
        <w:t xml:space="preserve"> </w:t>
      </w:r>
      <w:r w:rsidRPr="0023761B">
        <w:rPr>
          <w:rFonts w:ascii="Times New Roman" w:hAnsi="Times New Roman" w:cs="Times New Roman"/>
          <w:i/>
          <w:sz w:val="24"/>
          <w:lang w:val="en-GB"/>
        </w:rPr>
        <w:t>Univer</w:t>
      </w:r>
      <w:r w:rsidR="00A06D0D" w:rsidRPr="0023761B">
        <w:rPr>
          <w:rFonts w:ascii="Times New Roman" w:hAnsi="Times New Roman" w:cs="Times New Roman"/>
          <w:i/>
          <w:sz w:val="24"/>
          <w:lang w:val="en-GB"/>
        </w:rPr>
        <w:t>si</w:t>
      </w:r>
      <w:r w:rsidRPr="0023761B">
        <w:rPr>
          <w:rFonts w:ascii="Times New Roman" w:hAnsi="Times New Roman" w:cs="Times New Roman"/>
          <w:i/>
          <w:sz w:val="24"/>
          <w:lang w:val="en-GB"/>
        </w:rPr>
        <w:t>ty of Nova Gorica, La</w:t>
      </w:r>
      <w:r w:rsidR="003B5647" w:rsidRPr="0023761B">
        <w:rPr>
          <w:rFonts w:ascii="Times New Roman" w:hAnsi="Times New Roman" w:cs="Times New Roman"/>
          <w:i/>
          <w:sz w:val="24"/>
          <w:lang w:val="en-GB"/>
        </w:rPr>
        <w:t>boratory</w:t>
      </w:r>
      <w:r w:rsidRPr="0023761B">
        <w:rPr>
          <w:rFonts w:ascii="Times New Roman" w:hAnsi="Times New Roman" w:cs="Times New Roman"/>
          <w:i/>
          <w:sz w:val="24"/>
          <w:lang w:val="en-GB"/>
        </w:rPr>
        <w:t xml:space="preserve"> for Environmental and Life Sciences, Vipavska 13, SI-5000 Nova Gorica, Slovenia</w:t>
      </w:r>
    </w:p>
    <w:p w14:paraId="30B61845" w14:textId="77777777" w:rsidR="00A06D0D" w:rsidRPr="0023761B" w:rsidRDefault="00C52216" w:rsidP="00EE7ABD">
      <w:pPr>
        <w:spacing w:after="0" w:line="360" w:lineRule="auto"/>
        <w:jc w:val="center"/>
        <w:rPr>
          <w:rFonts w:ascii="Times New Roman" w:hAnsi="Times New Roman" w:cs="Times New Roman"/>
          <w:i/>
          <w:sz w:val="24"/>
          <w:lang w:val="en-GB"/>
        </w:rPr>
      </w:pPr>
      <w:r w:rsidRPr="0023761B">
        <w:rPr>
          <w:rFonts w:ascii="Times New Roman" w:hAnsi="Times New Roman" w:cs="Times New Roman"/>
          <w:sz w:val="24"/>
          <w:vertAlign w:val="superscript"/>
          <w:lang w:val="en-GB"/>
        </w:rPr>
        <w:t>2</w:t>
      </w:r>
      <w:r w:rsidRPr="0023761B">
        <w:rPr>
          <w:rFonts w:ascii="Times New Roman" w:hAnsi="Times New Roman" w:cs="Times New Roman"/>
          <w:i/>
          <w:sz w:val="24"/>
          <w:vertAlign w:val="superscript"/>
          <w:lang w:val="en-GB"/>
        </w:rPr>
        <w:t xml:space="preserve"> </w:t>
      </w:r>
      <w:r w:rsidRPr="0023761B">
        <w:rPr>
          <w:rFonts w:ascii="Times New Roman" w:hAnsi="Times New Roman" w:cs="Times New Roman"/>
          <w:i/>
          <w:sz w:val="24"/>
          <w:lang w:val="en-GB"/>
        </w:rPr>
        <w:t>University of Ljubljana, Faculty of Ch</w:t>
      </w:r>
      <w:r w:rsidR="009F4D76" w:rsidRPr="0023761B">
        <w:rPr>
          <w:rFonts w:ascii="Times New Roman" w:hAnsi="Times New Roman" w:cs="Times New Roman"/>
          <w:i/>
          <w:sz w:val="24"/>
          <w:lang w:val="en-GB"/>
        </w:rPr>
        <w:t>emistry and Chemical Technology</w:t>
      </w:r>
      <w:r w:rsidRPr="0023761B">
        <w:rPr>
          <w:rFonts w:ascii="Times New Roman" w:hAnsi="Times New Roman" w:cs="Times New Roman"/>
          <w:i/>
          <w:sz w:val="24"/>
          <w:lang w:val="en-GB"/>
        </w:rPr>
        <w:t xml:space="preserve">, </w:t>
      </w:r>
      <w:r w:rsidR="00856B53" w:rsidRPr="0023761B">
        <w:rPr>
          <w:rFonts w:ascii="Times New Roman" w:hAnsi="Times New Roman" w:cs="Times New Roman"/>
          <w:i/>
          <w:sz w:val="24"/>
          <w:lang w:val="en-GB"/>
        </w:rPr>
        <w:t xml:space="preserve">Večna pot 113, </w:t>
      </w:r>
      <w:r w:rsidRPr="0023761B">
        <w:rPr>
          <w:rFonts w:ascii="Times New Roman" w:hAnsi="Times New Roman" w:cs="Times New Roman"/>
          <w:i/>
          <w:sz w:val="24"/>
          <w:lang w:val="en-GB"/>
        </w:rPr>
        <w:t>SI-1000 Ljubljana, Slovenia</w:t>
      </w:r>
      <w:r w:rsidR="00C7072C" w:rsidRPr="0023761B">
        <w:rPr>
          <w:rFonts w:ascii="Times New Roman" w:hAnsi="Times New Roman" w:cs="Times New Roman"/>
          <w:i/>
          <w:sz w:val="24"/>
          <w:lang w:val="en-GB"/>
        </w:rPr>
        <w:t xml:space="preserve"> </w:t>
      </w:r>
    </w:p>
    <w:p w14:paraId="54CDE921" w14:textId="1D7486B9" w:rsidR="00C52216" w:rsidRPr="0023761B" w:rsidRDefault="00C52216" w:rsidP="00EE7ABD">
      <w:pPr>
        <w:spacing w:after="0" w:line="360" w:lineRule="auto"/>
        <w:jc w:val="center"/>
        <w:rPr>
          <w:rFonts w:ascii="Times New Roman" w:hAnsi="Times New Roman" w:cs="Times New Roman"/>
          <w:i/>
          <w:sz w:val="24"/>
          <w:lang w:val="en-GB"/>
        </w:rPr>
      </w:pPr>
      <w:r w:rsidRPr="0023761B">
        <w:rPr>
          <w:rFonts w:ascii="Times New Roman" w:hAnsi="Times New Roman" w:cs="Times New Roman"/>
          <w:sz w:val="24"/>
          <w:vertAlign w:val="superscript"/>
          <w:lang w:val="en-GB"/>
        </w:rPr>
        <w:t>3</w:t>
      </w:r>
      <w:r w:rsidR="00982CF1" w:rsidRPr="0023761B">
        <w:rPr>
          <w:rFonts w:ascii="Times New Roman" w:hAnsi="Times New Roman" w:cs="Times New Roman"/>
          <w:sz w:val="24"/>
          <w:vertAlign w:val="superscript"/>
          <w:lang w:val="en-GB"/>
        </w:rPr>
        <w:t xml:space="preserve"> </w:t>
      </w:r>
      <w:r w:rsidR="00982CF1" w:rsidRPr="0023761B">
        <w:rPr>
          <w:rFonts w:ascii="Times New Roman" w:hAnsi="Times New Roman" w:cs="Times New Roman"/>
          <w:i/>
          <w:sz w:val="24"/>
          <w:lang w:val="en-GB"/>
        </w:rPr>
        <w:t>Vrije Univer</w:t>
      </w:r>
      <w:r w:rsidR="00726FBE" w:rsidRPr="0023761B">
        <w:rPr>
          <w:rFonts w:ascii="Times New Roman" w:hAnsi="Times New Roman" w:cs="Times New Roman"/>
          <w:i/>
          <w:sz w:val="24"/>
          <w:lang w:val="en-GB"/>
        </w:rPr>
        <w:t>s</w:t>
      </w:r>
      <w:r w:rsidR="00982CF1" w:rsidRPr="0023761B">
        <w:rPr>
          <w:rFonts w:ascii="Times New Roman" w:hAnsi="Times New Roman" w:cs="Times New Roman"/>
          <w:i/>
          <w:sz w:val="24"/>
          <w:lang w:val="en-GB"/>
        </w:rPr>
        <w:t>iteit Brussel,</w:t>
      </w:r>
      <w:r w:rsidR="00683BFF" w:rsidRPr="0023761B">
        <w:rPr>
          <w:rFonts w:ascii="Times New Roman" w:hAnsi="Times New Roman" w:cs="Times New Roman"/>
          <w:i/>
          <w:sz w:val="24"/>
          <w:lang w:val="en-GB"/>
        </w:rPr>
        <w:t xml:space="preserve"> Analytical, Environmental and Geo-Chemistry,</w:t>
      </w:r>
      <w:r w:rsidR="00982CF1" w:rsidRPr="0023761B">
        <w:rPr>
          <w:rFonts w:ascii="Times New Roman" w:hAnsi="Times New Roman" w:cs="Times New Roman"/>
          <w:i/>
          <w:sz w:val="24"/>
          <w:lang w:val="en-GB"/>
        </w:rPr>
        <w:t xml:space="preserve"> Boulevard de la Plaine 2, 1050 Brussel</w:t>
      </w:r>
      <w:r w:rsidR="00683BFF" w:rsidRPr="0023761B">
        <w:rPr>
          <w:rFonts w:ascii="Times New Roman" w:hAnsi="Times New Roman" w:cs="Times New Roman"/>
          <w:i/>
          <w:sz w:val="24"/>
          <w:lang w:val="en-GB"/>
        </w:rPr>
        <w:t>s</w:t>
      </w:r>
      <w:r w:rsidR="00982CF1" w:rsidRPr="0023761B">
        <w:rPr>
          <w:rFonts w:ascii="Times New Roman" w:hAnsi="Times New Roman" w:cs="Times New Roman"/>
          <w:i/>
          <w:sz w:val="24"/>
          <w:lang w:val="en-GB"/>
        </w:rPr>
        <w:t>, Belgium</w:t>
      </w:r>
    </w:p>
    <w:p w14:paraId="5402FB96" w14:textId="647C6CB9" w:rsidR="00683BFF" w:rsidRPr="0023761B" w:rsidRDefault="00683BFF" w:rsidP="00683BFF">
      <w:pPr>
        <w:spacing w:after="0" w:line="360" w:lineRule="auto"/>
        <w:jc w:val="center"/>
        <w:rPr>
          <w:rFonts w:ascii="Times New Roman" w:hAnsi="Times New Roman" w:cs="Times New Roman"/>
          <w:i/>
          <w:sz w:val="24"/>
          <w:lang w:val="en-GB"/>
        </w:rPr>
      </w:pPr>
      <w:r w:rsidRPr="0023761B">
        <w:rPr>
          <w:rFonts w:ascii="Times New Roman" w:hAnsi="Times New Roman" w:cs="Times New Roman"/>
          <w:i/>
          <w:sz w:val="24"/>
          <w:vertAlign w:val="superscript"/>
          <w:lang w:val="en-GB"/>
        </w:rPr>
        <w:t>4</w:t>
      </w:r>
      <w:r w:rsidRPr="0023761B">
        <w:rPr>
          <w:rFonts w:ascii="Times New Roman" w:hAnsi="Times New Roman" w:cs="Times New Roman"/>
          <w:i/>
          <w:sz w:val="24"/>
          <w:lang w:val="en-GB"/>
        </w:rPr>
        <w:t xml:space="preserve">Université de Liège, Chemical Oceanography Unit, Allée du 6 Août 17, </w:t>
      </w:r>
    </w:p>
    <w:p w14:paraId="0F6910A2" w14:textId="379190B8" w:rsidR="00683BFF" w:rsidRPr="0023761B" w:rsidRDefault="00683BFF" w:rsidP="00683BFF">
      <w:pPr>
        <w:spacing w:after="0" w:line="360" w:lineRule="auto"/>
        <w:jc w:val="center"/>
        <w:rPr>
          <w:rFonts w:ascii="Times New Roman" w:hAnsi="Times New Roman" w:cs="Times New Roman"/>
          <w:i/>
          <w:sz w:val="24"/>
          <w:lang w:val="en-GB"/>
        </w:rPr>
      </w:pPr>
      <w:r w:rsidRPr="0023761B">
        <w:rPr>
          <w:rFonts w:ascii="Times New Roman" w:hAnsi="Times New Roman" w:cs="Times New Roman"/>
          <w:i/>
          <w:sz w:val="24"/>
          <w:lang w:val="en-GB"/>
        </w:rPr>
        <w:t>4000 Liège, Belgium</w:t>
      </w:r>
    </w:p>
    <w:p w14:paraId="7A757D90" w14:textId="77777777" w:rsidR="00A06D0D" w:rsidRPr="0023761B" w:rsidRDefault="00856B53" w:rsidP="00EE7ABD">
      <w:pPr>
        <w:spacing w:after="0" w:line="360" w:lineRule="auto"/>
        <w:jc w:val="center"/>
        <w:rPr>
          <w:rFonts w:ascii="Times New Roman" w:hAnsi="Times New Roman" w:cs="Times New Roman"/>
          <w:i/>
          <w:sz w:val="24"/>
          <w:lang w:val="en-GB"/>
        </w:rPr>
      </w:pPr>
      <w:r w:rsidRPr="0023761B">
        <w:rPr>
          <w:rFonts w:ascii="Times New Roman" w:hAnsi="Times New Roman" w:cs="Times New Roman"/>
          <w:i/>
          <w:sz w:val="24"/>
          <w:lang w:val="en-GB"/>
        </w:rPr>
        <w:t>*</w:t>
      </w:r>
      <w:r w:rsidR="003B5647" w:rsidRPr="0023761B">
        <w:rPr>
          <w:rFonts w:ascii="Times New Roman" w:hAnsi="Times New Roman" w:cs="Times New Roman"/>
          <w:i/>
          <w:sz w:val="24"/>
          <w:lang w:val="en-GB"/>
        </w:rPr>
        <w:t xml:space="preserve">Corresponding author: </w:t>
      </w:r>
      <w:r w:rsidR="00CB43D6" w:rsidRPr="0023761B">
        <w:rPr>
          <w:rFonts w:ascii="Times New Roman" w:hAnsi="Times New Roman" w:cs="Times New Roman"/>
          <w:i/>
          <w:sz w:val="24"/>
          <w:lang w:val="en-GB"/>
        </w:rPr>
        <w:t xml:space="preserve">E-mail: </w:t>
      </w:r>
      <w:hyperlink r:id="rId8" w:history="1">
        <w:r w:rsidR="00A06D0D" w:rsidRPr="0023761B">
          <w:rPr>
            <w:rStyle w:val="Hyperlink"/>
            <w:rFonts w:ascii="Times New Roman" w:hAnsi="Times New Roman" w:cs="Times New Roman"/>
            <w:i/>
            <w:sz w:val="24"/>
            <w:lang w:val="en-GB"/>
          </w:rPr>
          <w:t>hanna.budasheva@ung.si</w:t>
        </w:r>
      </w:hyperlink>
      <w:r w:rsidR="00E03C37" w:rsidRPr="0023761B">
        <w:rPr>
          <w:rStyle w:val="Hyperlink"/>
          <w:rFonts w:ascii="Times New Roman" w:hAnsi="Times New Roman" w:cs="Times New Roman"/>
          <w:i/>
          <w:sz w:val="24"/>
          <w:lang w:val="en-GB"/>
        </w:rPr>
        <w:t xml:space="preserve"> </w:t>
      </w:r>
    </w:p>
    <w:p w14:paraId="085EF0B5" w14:textId="77777777" w:rsidR="00A06D0D" w:rsidRPr="0023761B" w:rsidRDefault="00A06D0D" w:rsidP="00A06D0D">
      <w:pPr>
        <w:spacing w:after="0" w:line="360" w:lineRule="auto"/>
        <w:jc w:val="center"/>
        <w:rPr>
          <w:rFonts w:ascii="Times New Roman" w:hAnsi="Times New Roman" w:cs="Times New Roman"/>
          <w:color w:val="0070C0"/>
          <w:sz w:val="24"/>
          <w:lang w:val="en-GB"/>
        </w:rPr>
      </w:pPr>
      <w:r w:rsidRPr="0023761B">
        <w:rPr>
          <w:rFonts w:ascii="Times New Roman" w:hAnsi="Times New Roman" w:cs="Times New Roman"/>
          <w:i/>
          <w:sz w:val="24"/>
          <w:lang w:val="en-GB"/>
        </w:rPr>
        <w:t>+386 70 718 204</w:t>
      </w:r>
      <w:r w:rsidR="00CB43D6" w:rsidRPr="0023761B">
        <w:rPr>
          <w:rFonts w:ascii="Times New Roman" w:hAnsi="Times New Roman" w:cs="Times New Roman"/>
          <w:i/>
          <w:sz w:val="24"/>
          <w:lang w:val="en-GB"/>
        </w:rPr>
        <w:t xml:space="preserve"> </w:t>
      </w:r>
    </w:p>
    <w:p w14:paraId="1A075237" w14:textId="77777777" w:rsidR="00155033" w:rsidRPr="0023761B" w:rsidRDefault="00155033" w:rsidP="00EE7ABD">
      <w:pPr>
        <w:spacing w:after="0" w:line="360" w:lineRule="auto"/>
        <w:jc w:val="center"/>
        <w:rPr>
          <w:rFonts w:ascii="Times New Roman" w:hAnsi="Times New Roman" w:cs="Times New Roman"/>
          <w:sz w:val="24"/>
          <w:lang w:val="en-GB"/>
        </w:rPr>
      </w:pPr>
    </w:p>
    <w:p w14:paraId="25E9BC82" w14:textId="77777777" w:rsidR="00A02E72" w:rsidRPr="0023761B" w:rsidRDefault="00982CF1" w:rsidP="00A02E72">
      <w:pPr>
        <w:spacing w:after="0" w:line="360" w:lineRule="auto"/>
        <w:rPr>
          <w:rFonts w:ascii="Times New Roman" w:hAnsi="Times New Roman" w:cs="Times New Roman"/>
          <w:b/>
          <w:sz w:val="28"/>
          <w:lang w:val="en-GB"/>
        </w:rPr>
      </w:pPr>
      <w:r w:rsidRPr="0023761B">
        <w:rPr>
          <w:rFonts w:ascii="Times New Roman" w:hAnsi="Times New Roman" w:cs="Times New Roman"/>
          <w:b/>
          <w:sz w:val="28"/>
          <w:lang w:val="en-GB"/>
        </w:rPr>
        <w:t>Abstract</w:t>
      </w:r>
    </w:p>
    <w:p w14:paraId="12F1875E" w14:textId="5F66B923" w:rsidR="00DD4B0B" w:rsidRPr="0023761B" w:rsidRDefault="00F95366" w:rsidP="00A02E72">
      <w:pPr>
        <w:spacing w:after="0" w:line="360" w:lineRule="auto"/>
        <w:jc w:val="both"/>
        <w:rPr>
          <w:rFonts w:ascii="Times New Roman" w:hAnsi="Times New Roman" w:cs="Times New Roman"/>
          <w:sz w:val="24"/>
          <w:lang w:val="en-GB"/>
        </w:rPr>
      </w:pPr>
      <w:r w:rsidRPr="0023761B">
        <w:rPr>
          <w:rFonts w:ascii="Times New Roman" w:hAnsi="Times New Roman" w:cs="Times New Roman"/>
          <w:sz w:val="24"/>
          <w:lang w:val="en-GB"/>
        </w:rPr>
        <w:t>In th</w:t>
      </w:r>
      <w:r w:rsidR="00F0114E">
        <w:rPr>
          <w:rFonts w:ascii="Times New Roman" w:hAnsi="Times New Roman" w:cs="Times New Roman"/>
          <w:sz w:val="24"/>
          <w:lang w:val="en-GB"/>
        </w:rPr>
        <w:t>is</w:t>
      </w:r>
      <w:r w:rsidRPr="0023761B">
        <w:rPr>
          <w:rFonts w:ascii="Times New Roman" w:hAnsi="Times New Roman" w:cs="Times New Roman"/>
          <w:sz w:val="24"/>
          <w:lang w:val="en-GB"/>
        </w:rPr>
        <w:t xml:space="preserve"> work </w:t>
      </w:r>
      <w:r w:rsidR="00AC20FB">
        <w:rPr>
          <w:rFonts w:ascii="Times New Roman" w:hAnsi="Times New Roman" w:cs="Times New Roman"/>
          <w:sz w:val="24"/>
          <w:lang w:val="en-GB"/>
        </w:rPr>
        <w:t xml:space="preserve">we have developed a novel method for determination of iron redox species </w:t>
      </w:r>
      <w:r w:rsidRPr="0023761B">
        <w:rPr>
          <w:rFonts w:ascii="Times New Roman" w:hAnsi="Times New Roman" w:cs="Times New Roman"/>
          <w:sz w:val="24"/>
          <w:lang w:val="en-GB"/>
        </w:rPr>
        <w:t xml:space="preserve">by the use of diffusive gradients </w:t>
      </w:r>
      <w:r w:rsidR="00683BFF" w:rsidRPr="0023761B">
        <w:rPr>
          <w:rFonts w:ascii="Times New Roman" w:hAnsi="Times New Roman" w:cs="Times New Roman"/>
          <w:sz w:val="24"/>
          <w:lang w:val="en-GB"/>
        </w:rPr>
        <w:t xml:space="preserve">in thin-film </w:t>
      </w:r>
      <w:r w:rsidRPr="0023761B">
        <w:rPr>
          <w:rFonts w:ascii="Times New Roman" w:hAnsi="Times New Roman" w:cs="Times New Roman"/>
          <w:sz w:val="24"/>
          <w:lang w:val="en-GB"/>
        </w:rPr>
        <w:t>(</w:t>
      </w:r>
      <w:r w:rsidR="008A1571" w:rsidRPr="0023761B">
        <w:rPr>
          <w:rFonts w:ascii="Times New Roman" w:hAnsi="Times New Roman" w:cs="Times New Roman"/>
          <w:sz w:val="24"/>
          <w:lang w:val="en-GB"/>
        </w:rPr>
        <w:t>DGT</w:t>
      </w:r>
      <w:r w:rsidRPr="0023761B">
        <w:rPr>
          <w:rFonts w:ascii="Times New Roman" w:hAnsi="Times New Roman" w:cs="Times New Roman"/>
          <w:sz w:val="24"/>
          <w:lang w:val="en-GB"/>
        </w:rPr>
        <w:t>)</w:t>
      </w:r>
      <w:r w:rsidR="00FE1E4B" w:rsidRPr="0023761B">
        <w:rPr>
          <w:rFonts w:ascii="Times New Roman" w:hAnsi="Times New Roman" w:cs="Times New Roman"/>
          <w:sz w:val="24"/>
          <w:lang w:val="en-GB"/>
        </w:rPr>
        <w:t xml:space="preserve"> </w:t>
      </w:r>
      <w:r w:rsidR="00683BFF" w:rsidRPr="0023761B">
        <w:rPr>
          <w:rFonts w:ascii="Times New Roman" w:hAnsi="Times New Roman" w:cs="Times New Roman"/>
          <w:sz w:val="24"/>
          <w:lang w:val="en-GB"/>
        </w:rPr>
        <w:t xml:space="preserve">technique </w:t>
      </w:r>
      <w:r w:rsidR="00FE1E4B" w:rsidRPr="0023761B">
        <w:rPr>
          <w:rFonts w:ascii="Times New Roman" w:hAnsi="Times New Roman" w:cs="Times New Roman"/>
          <w:sz w:val="24"/>
          <w:lang w:val="en-GB"/>
        </w:rPr>
        <w:t>coupled to</w:t>
      </w:r>
      <w:r w:rsidR="008A1571" w:rsidRPr="0023761B">
        <w:rPr>
          <w:rFonts w:ascii="Times New Roman" w:hAnsi="Times New Roman" w:cs="Times New Roman"/>
          <w:sz w:val="24"/>
          <w:lang w:val="en-GB"/>
        </w:rPr>
        <w:t xml:space="preserve"> </w:t>
      </w:r>
      <w:r w:rsidR="00BF6C30" w:rsidRPr="0023761B">
        <w:rPr>
          <w:rFonts w:ascii="Times New Roman" w:hAnsi="Times New Roman" w:cs="Times New Roman"/>
          <w:sz w:val="24"/>
          <w:lang w:val="en-GB"/>
        </w:rPr>
        <w:t>photothermal beam deflection spectroscopy (BDS).</w:t>
      </w:r>
      <w:r w:rsidR="00DD4B0B" w:rsidRPr="0023761B">
        <w:rPr>
          <w:rFonts w:ascii="Times New Roman" w:hAnsi="Times New Roman" w:cs="Times New Roman"/>
          <w:sz w:val="24"/>
          <w:lang w:val="en-GB"/>
        </w:rPr>
        <w:t xml:space="preserve"> The combin</w:t>
      </w:r>
      <w:r w:rsidRPr="0023761B">
        <w:rPr>
          <w:rFonts w:ascii="Times New Roman" w:hAnsi="Times New Roman" w:cs="Times New Roman"/>
          <w:sz w:val="24"/>
          <w:lang w:val="en-GB"/>
        </w:rPr>
        <w:t>ation of both methods</w:t>
      </w:r>
      <w:r w:rsidR="00B26F7A" w:rsidRPr="0023761B">
        <w:rPr>
          <w:rFonts w:ascii="Times New Roman" w:hAnsi="Times New Roman" w:cs="Times New Roman"/>
          <w:sz w:val="24"/>
          <w:lang w:val="en-GB"/>
        </w:rPr>
        <w:t xml:space="preserve"> achieved low limit of detection</w:t>
      </w:r>
      <w:r w:rsidR="00625964" w:rsidRPr="0023761B">
        <w:rPr>
          <w:rFonts w:ascii="Times New Roman" w:hAnsi="Times New Roman" w:cs="Times New Roman"/>
          <w:sz w:val="24"/>
          <w:lang w:val="en-GB"/>
        </w:rPr>
        <w:t xml:space="preserve"> (LOD)</w:t>
      </w:r>
      <w:r w:rsidR="00B26F7A" w:rsidRPr="0023761B">
        <w:rPr>
          <w:rFonts w:ascii="Times New Roman" w:hAnsi="Times New Roman" w:cs="Times New Roman"/>
          <w:sz w:val="24"/>
          <w:lang w:val="en-GB"/>
        </w:rPr>
        <w:t xml:space="preserve"> </w:t>
      </w:r>
      <w:r w:rsidR="00683BFF" w:rsidRPr="0023761B">
        <w:rPr>
          <w:rFonts w:ascii="Times New Roman" w:hAnsi="Times New Roman" w:cs="Times New Roman"/>
          <w:sz w:val="24"/>
          <w:lang w:val="en-GB"/>
        </w:rPr>
        <w:t xml:space="preserve">of </w:t>
      </w:r>
      <w:r w:rsidR="00E25289" w:rsidRPr="0023761B">
        <w:rPr>
          <w:rFonts w:ascii="Times New Roman" w:hAnsi="Times New Roman" w:cs="Times New Roman"/>
          <w:sz w:val="24"/>
          <w:lang w:val="en-GB"/>
        </w:rPr>
        <w:t>0.14 μ</w:t>
      </w:r>
      <w:r w:rsidR="00FE1E4B" w:rsidRPr="0023761B">
        <w:rPr>
          <w:rFonts w:ascii="Times New Roman" w:hAnsi="Times New Roman" w:cs="Times New Roman"/>
          <w:sz w:val="24"/>
          <w:lang w:val="en-GB"/>
        </w:rPr>
        <w:t>M</w:t>
      </w:r>
      <w:r w:rsidR="00505FE1">
        <w:rPr>
          <w:rFonts w:ascii="Times New Roman" w:hAnsi="Times New Roman" w:cs="Times New Roman"/>
          <w:sz w:val="24"/>
          <w:lang w:val="en-GB"/>
        </w:rPr>
        <w:t xml:space="preserve"> for Fe (II) ions</w:t>
      </w:r>
      <w:r w:rsidR="00683BFF" w:rsidRPr="0023761B">
        <w:rPr>
          <w:rFonts w:ascii="Times New Roman" w:hAnsi="Times New Roman" w:cs="Times New Roman"/>
          <w:sz w:val="24"/>
          <w:lang w:val="en-GB"/>
        </w:rPr>
        <w:t>.</w:t>
      </w:r>
      <w:r w:rsidR="00FE1E4B" w:rsidRPr="0023761B">
        <w:rPr>
          <w:rFonts w:ascii="Times New Roman" w:hAnsi="Times New Roman" w:cs="Times New Roman"/>
          <w:sz w:val="24"/>
          <w:lang w:val="en-GB"/>
        </w:rPr>
        <w:t xml:space="preserve"> </w:t>
      </w:r>
      <w:r w:rsidR="00683BFF" w:rsidRPr="0023761B">
        <w:rPr>
          <w:rFonts w:ascii="Times New Roman" w:hAnsi="Times New Roman" w:cs="Times New Roman"/>
          <w:sz w:val="24"/>
          <w:lang w:val="en-GB"/>
        </w:rPr>
        <w:t>T</w:t>
      </w:r>
      <w:r w:rsidR="00DD4B0B" w:rsidRPr="0023761B">
        <w:rPr>
          <w:rFonts w:ascii="Times New Roman" w:hAnsi="Times New Roman" w:cs="Times New Roman"/>
          <w:sz w:val="24"/>
          <w:lang w:val="en-GB"/>
        </w:rPr>
        <w:t xml:space="preserve">he total </w:t>
      </w:r>
      <w:r w:rsidR="00720701">
        <w:rPr>
          <w:rFonts w:ascii="Times New Roman" w:hAnsi="Times New Roman" w:cs="Times New Roman"/>
          <w:sz w:val="24"/>
          <w:lang w:val="en-GB"/>
        </w:rPr>
        <w:t>Fe</w:t>
      </w:r>
      <w:r w:rsidR="00DD4B0B" w:rsidRPr="0023761B">
        <w:rPr>
          <w:rFonts w:ascii="Times New Roman" w:hAnsi="Times New Roman" w:cs="Times New Roman"/>
          <w:sz w:val="24"/>
          <w:lang w:val="en-GB"/>
        </w:rPr>
        <w:t xml:space="preserve"> concentration </w:t>
      </w:r>
      <w:r w:rsidR="00AC20FB">
        <w:rPr>
          <w:rFonts w:ascii="Times New Roman" w:hAnsi="Times New Roman" w:cs="Times New Roman"/>
          <w:sz w:val="24"/>
          <w:lang w:val="en-GB"/>
        </w:rPr>
        <w:t xml:space="preserve">determined </w:t>
      </w:r>
      <w:r w:rsidR="00DD4B0B" w:rsidRPr="0023761B">
        <w:rPr>
          <w:rFonts w:ascii="Times New Roman" w:hAnsi="Times New Roman" w:cs="Times New Roman"/>
          <w:sz w:val="24"/>
          <w:lang w:val="en-GB"/>
        </w:rPr>
        <w:t xml:space="preserve">in the Vrtojbica river </w:t>
      </w:r>
      <w:r w:rsidR="00683BFF" w:rsidRPr="0023761B">
        <w:rPr>
          <w:rFonts w:ascii="Times New Roman" w:hAnsi="Times New Roman" w:cs="Times New Roman"/>
          <w:sz w:val="24"/>
          <w:lang w:val="en-GB"/>
        </w:rPr>
        <w:t xml:space="preserve">sediment </w:t>
      </w:r>
      <w:r w:rsidR="00DD4B0B" w:rsidRPr="0023761B">
        <w:rPr>
          <w:rFonts w:ascii="Times New Roman" w:hAnsi="Times New Roman" w:cs="Times New Roman"/>
          <w:sz w:val="24"/>
          <w:lang w:val="en-GB"/>
        </w:rPr>
        <w:t>(Slovenia, Rožna Dolina, 5000 Nova Gorica)</w:t>
      </w:r>
      <w:r w:rsidR="00505FE1">
        <w:rPr>
          <w:rFonts w:ascii="Times New Roman" w:hAnsi="Times New Roman" w:cs="Times New Roman"/>
          <w:sz w:val="24"/>
          <w:lang w:val="en-GB"/>
        </w:rPr>
        <w:t xml:space="preserve"> </w:t>
      </w:r>
      <w:r w:rsidR="00AC20FB">
        <w:rPr>
          <w:rFonts w:ascii="Times New Roman" w:hAnsi="Times New Roman" w:cs="Times New Roman"/>
          <w:sz w:val="24"/>
          <w:lang w:val="en-GB"/>
        </w:rPr>
        <w:t>was</w:t>
      </w:r>
      <w:r w:rsidR="00AC20FB" w:rsidRPr="00B9093E">
        <w:rPr>
          <w:rFonts w:ascii="Times New Roman" w:hAnsi="Times New Roman" w:cs="Times New Roman"/>
          <w:sz w:val="24"/>
          <w:lang w:val="en-GB"/>
        </w:rPr>
        <w:t xml:space="preserve"> </w:t>
      </w:r>
      <w:r w:rsidR="00B31CC2" w:rsidRPr="00B9093E">
        <w:rPr>
          <w:rFonts w:ascii="Times New Roman" w:hAnsi="Times New Roman" w:cs="Times New Roman"/>
          <w:sz w:val="24"/>
          <w:lang w:val="en-GB"/>
        </w:rPr>
        <w:t>49.3</w:t>
      </w:r>
      <w:r w:rsidR="00B31CC2" w:rsidRPr="00B9093E">
        <w:rPr>
          <w:rFonts w:ascii="Times New Roman" w:eastAsia="Times New Roman" w:hAnsi="Times New Roman" w:cs="Times New Roman"/>
          <w:color w:val="000000"/>
          <w:sz w:val="24"/>
          <w:szCs w:val="24"/>
          <w:lang w:val="en-GB"/>
        </w:rPr>
        <w:t xml:space="preserve"> </w:t>
      </w:r>
      <w:r w:rsidR="00B31CC2" w:rsidRPr="0023761B">
        <w:rPr>
          <w:rFonts w:ascii="Times New Roman" w:hAnsi="Times New Roman" w:cs="Times New Roman"/>
          <w:sz w:val="24"/>
          <w:lang w:val="en-GB"/>
        </w:rPr>
        <w:t>µ</w:t>
      </w:r>
      <w:r w:rsidR="00B31CC2">
        <w:rPr>
          <w:rFonts w:ascii="Times New Roman" w:hAnsi="Times New Roman" w:cs="Times New Roman"/>
          <w:sz w:val="24"/>
          <w:lang w:val="en-GB"/>
        </w:rPr>
        <w:t>gL</w:t>
      </w:r>
      <w:r w:rsidR="00B31CC2" w:rsidRPr="005E0D08">
        <w:rPr>
          <w:rFonts w:ascii="Times New Roman" w:hAnsi="Times New Roman" w:cs="Times New Roman"/>
          <w:sz w:val="24"/>
          <w:vertAlign w:val="superscript"/>
          <w:lang w:val="en-GB"/>
        </w:rPr>
        <w:t>-1</w:t>
      </w:r>
      <w:r w:rsidR="00DD4B0B" w:rsidRPr="00B9093E">
        <w:rPr>
          <w:rFonts w:ascii="Times New Roman" w:hAnsi="Times New Roman" w:cs="Times New Roman"/>
          <w:sz w:val="24"/>
          <w:lang w:val="en-GB"/>
        </w:rPr>
        <w:t>.</w:t>
      </w:r>
      <w:r w:rsidR="00720701" w:rsidRPr="00B9093E">
        <w:rPr>
          <w:rFonts w:ascii="Times New Roman" w:hAnsi="Times New Roman" w:cs="Times New Roman"/>
          <w:sz w:val="24"/>
          <w:lang w:val="en-GB"/>
        </w:rPr>
        <w:t xml:space="preserve"> The</w:t>
      </w:r>
      <w:r w:rsidR="00720701">
        <w:rPr>
          <w:rFonts w:ascii="Times New Roman" w:hAnsi="Times New Roman" w:cs="Times New Roman"/>
          <w:sz w:val="24"/>
          <w:lang w:val="en-GB"/>
        </w:rPr>
        <w:t xml:space="preserve"> Fe</w:t>
      </w:r>
      <w:r w:rsidR="00F0114E">
        <w:rPr>
          <w:rFonts w:ascii="Times New Roman" w:hAnsi="Times New Roman" w:cs="Times New Roman"/>
          <w:sz w:val="24"/>
          <w:vertAlign w:val="superscript"/>
          <w:lang w:val="en-GB"/>
        </w:rPr>
        <w:t> </w:t>
      </w:r>
      <w:r w:rsidR="00F0114E">
        <w:rPr>
          <w:rFonts w:ascii="Times New Roman" w:hAnsi="Times New Roman" w:cs="Times New Roman"/>
          <w:sz w:val="24"/>
          <w:lang w:val="en-GB"/>
        </w:rPr>
        <w:t xml:space="preserve">(II) </w:t>
      </w:r>
      <w:r w:rsidR="00720701">
        <w:rPr>
          <w:rFonts w:ascii="Times New Roman" w:hAnsi="Times New Roman" w:cs="Times New Roman"/>
          <w:sz w:val="24"/>
          <w:lang w:val="en-GB"/>
        </w:rPr>
        <w:t>and Fe</w:t>
      </w:r>
      <w:r w:rsidR="00F0114E">
        <w:rPr>
          <w:rFonts w:ascii="Times New Roman" w:hAnsi="Times New Roman" w:cs="Times New Roman"/>
          <w:sz w:val="24"/>
          <w:lang w:val="en-GB"/>
        </w:rPr>
        <w:t> (III)</w:t>
      </w:r>
      <w:r w:rsidR="00720701">
        <w:rPr>
          <w:rFonts w:ascii="Times New Roman" w:hAnsi="Times New Roman" w:cs="Times New Roman"/>
          <w:sz w:val="24"/>
          <w:lang w:val="en-GB"/>
        </w:rPr>
        <w:t xml:space="preserve"> concentration amount</w:t>
      </w:r>
      <w:r w:rsidR="00AC20FB">
        <w:rPr>
          <w:rFonts w:ascii="Times New Roman" w:hAnsi="Times New Roman" w:cs="Times New Roman"/>
          <w:sz w:val="24"/>
          <w:lang w:val="en-GB"/>
        </w:rPr>
        <w:t>ed</w:t>
      </w:r>
      <w:r w:rsidR="00720701">
        <w:rPr>
          <w:rFonts w:ascii="Times New Roman" w:hAnsi="Times New Roman" w:cs="Times New Roman"/>
          <w:sz w:val="24"/>
          <w:lang w:val="en-GB"/>
        </w:rPr>
        <w:t xml:space="preserve"> </w:t>
      </w:r>
      <w:r w:rsidR="00720701" w:rsidRPr="0023761B">
        <w:rPr>
          <w:rFonts w:ascii="Times New Roman" w:hAnsi="Times New Roman" w:cs="Times New Roman"/>
          <w:sz w:val="24"/>
          <w:lang w:val="en-GB"/>
        </w:rPr>
        <w:t>to</w:t>
      </w:r>
      <w:r w:rsidR="00DD4B0B" w:rsidRPr="0023761B">
        <w:rPr>
          <w:rFonts w:ascii="Times New Roman" w:hAnsi="Times New Roman" w:cs="Times New Roman"/>
          <w:sz w:val="24"/>
          <w:lang w:val="en-GB"/>
        </w:rPr>
        <w:t xml:space="preserve"> </w:t>
      </w:r>
      <w:r w:rsidR="001F6394">
        <w:rPr>
          <w:rFonts w:ascii="Times New Roman" w:hAnsi="Times New Roman" w:cs="Times New Roman"/>
          <w:sz w:val="24"/>
          <w:szCs w:val="24"/>
          <w:lang w:val="en-GB"/>
        </w:rPr>
        <w:t>12.</w:t>
      </w:r>
      <w:r w:rsidR="001F6394" w:rsidRPr="001F6394">
        <w:rPr>
          <w:rFonts w:ascii="Times New Roman" w:hAnsi="Times New Roman" w:cs="Times New Roman"/>
          <w:sz w:val="24"/>
          <w:szCs w:val="24"/>
          <w:lang w:val="en-GB"/>
        </w:rPr>
        <w:t xml:space="preserve">8 </w:t>
      </w:r>
      <w:r w:rsidR="005E0D08" w:rsidRPr="0023761B">
        <w:rPr>
          <w:rFonts w:ascii="Times New Roman" w:hAnsi="Times New Roman" w:cs="Times New Roman"/>
          <w:sz w:val="24"/>
          <w:lang w:val="en-GB"/>
        </w:rPr>
        <w:t>µ</w:t>
      </w:r>
      <w:r w:rsidR="005E0D08">
        <w:rPr>
          <w:rFonts w:ascii="Times New Roman" w:hAnsi="Times New Roman" w:cs="Times New Roman"/>
          <w:sz w:val="24"/>
          <w:lang w:val="en-GB"/>
        </w:rPr>
        <w:t>gL</w:t>
      </w:r>
      <w:r w:rsidR="005E0D08" w:rsidRPr="005E0D08">
        <w:rPr>
          <w:rFonts w:ascii="Times New Roman" w:hAnsi="Times New Roman" w:cs="Times New Roman"/>
          <w:sz w:val="24"/>
          <w:vertAlign w:val="superscript"/>
          <w:lang w:val="en-GB"/>
        </w:rPr>
        <w:t>-1</w:t>
      </w:r>
      <w:r w:rsidR="005E0D08">
        <w:rPr>
          <w:rFonts w:ascii="Times New Roman" w:hAnsi="Times New Roman" w:cs="Times New Roman"/>
          <w:sz w:val="24"/>
          <w:vertAlign w:val="superscript"/>
          <w:lang w:val="en-GB"/>
        </w:rPr>
        <w:t xml:space="preserve"> </w:t>
      </w:r>
      <w:r w:rsidR="00720701" w:rsidRPr="001F6394">
        <w:rPr>
          <w:rFonts w:ascii="Times New Roman" w:hAnsi="Times New Roman" w:cs="Times New Roman"/>
          <w:sz w:val="24"/>
          <w:lang w:val="en-GB"/>
        </w:rPr>
        <w:t xml:space="preserve">and </w:t>
      </w:r>
      <w:r w:rsidR="001F6394" w:rsidRPr="001F6394">
        <w:rPr>
          <w:rFonts w:ascii="Times New Roman" w:hAnsi="Times New Roman" w:cs="Times New Roman"/>
          <w:sz w:val="24"/>
          <w:lang w:val="en-GB"/>
        </w:rPr>
        <w:t>39.9</w:t>
      </w:r>
      <w:r w:rsidR="00720701" w:rsidRPr="001F6394">
        <w:rPr>
          <w:rFonts w:ascii="Times New Roman" w:hAnsi="Times New Roman" w:cs="Times New Roman"/>
          <w:sz w:val="24"/>
          <w:lang w:val="en-GB"/>
        </w:rPr>
        <w:t xml:space="preserve"> </w:t>
      </w:r>
      <w:r w:rsidR="005E0D08" w:rsidRPr="0023761B">
        <w:rPr>
          <w:rFonts w:ascii="Times New Roman" w:hAnsi="Times New Roman" w:cs="Times New Roman"/>
          <w:sz w:val="24"/>
          <w:lang w:val="en-GB"/>
        </w:rPr>
        <w:t>µ</w:t>
      </w:r>
      <w:r w:rsidR="005E0D08">
        <w:rPr>
          <w:rFonts w:ascii="Times New Roman" w:hAnsi="Times New Roman" w:cs="Times New Roman"/>
          <w:sz w:val="24"/>
          <w:lang w:val="en-GB"/>
        </w:rPr>
        <w:t>gL</w:t>
      </w:r>
      <w:r w:rsidR="005E0D08" w:rsidRPr="005E0D08">
        <w:rPr>
          <w:rFonts w:ascii="Times New Roman" w:hAnsi="Times New Roman" w:cs="Times New Roman"/>
          <w:sz w:val="24"/>
          <w:vertAlign w:val="superscript"/>
          <w:lang w:val="en-GB"/>
        </w:rPr>
        <w:t>-1</w:t>
      </w:r>
      <w:r w:rsidR="00AC20FB">
        <w:rPr>
          <w:rFonts w:ascii="Times New Roman" w:hAnsi="Times New Roman" w:cs="Times New Roman"/>
          <w:sz w:val="24"/>
          <w:lang w:val="en-GB"/>
        </w:rPr>
        <w:t xml:space="preserve">, </w:t>
      </w:r>
      <w:r w:rsidR="00720701" w:rsidRPr="001F6394">
        <w:rPr>
          <w:rFonts w:ascii="Times New Roman" w:hAnsi="Times New Roman" w:cs="Times New Roman"/>
          <w:sz w:val="24"/>
          <w:lang w:val="en-GB"/>
        </w:rPr>
        <w:t>respectively</w:t>
      </w:r>
      <w:r w:rsidR="00720701">
        <w:rPr>
          <w:rFonts w:ascii="Times New Roman" w:hAnsi="Times New Roman" w:cs="Times New Roman"/>
          <w:sz w:val="24"/>
          <w:lang w:val="en-GB"/>
        </w:rPr>
        <w:t>.</w:t>
      </w:r>
      <w:r w:rsidR="00720701" w:rsidRPr="00720701">
        <w:rPr>
          <w:rFonts w:ascii="Times New Roman" w:hAnsi="Times New Roman" w:cs="Times New Roman"/>
          <w:sz w:val="24"/>
          <w:lang w:val="en-GB"/>
        </w:rPr>
        <w:t xml:space="preserve"> </w:t>
      </w:r>
      <w:r w:rsidR="00625964" w:rsidRPr="0023761B">
        <w:rPr>
          <w:rFonts w:ascii="Times New Roman" w:hAnsi="Times New Roman" w:cs="Times New Roman"/>
          <w:sz w:val="24"/>
          <w:lang w:val="en-GB"/>
        </w:rPr>
        <w:t xml:space="preserve">Such an approach </w:t>
      </w:r>
      <w:r w:rsidR="003B5647" w:rsidRPr="0023761B">
        <w:rPr>
          <w:rFonts w:ascii="Times New Roman" w:hAnsi="Times New Roman" w:cs="Times New Roman"/>
          <w:sz w:val="24"/>
          <w:lang w:val="en-GB"/>
        </w:rPr>
        <w:t xml:space="preserve">opens new opportunities for monitoring the content of iron </w:t>
      </w:r>
      <w:r w:rsidR="00F34AB9" w:rsidRPr="0023761B">
        <w:rPr>
          <w:rFonts w:ascii="Times New Roman" w:hAnsi="Times New Roman" w:cs="Times New Roman"/>
          <w:sz w:val="24"/>
          <w:lang w:val="en-GB"/>
        </w:rPr>
        <w:t xml:space="preserve">species </w:t>
      </w:r>
      <w:r w:rsidR="003B5647" w:rsidRPr="0023761B">
        <w:rPr>
          <w:rFonts w:ascii="Times New Roman" w:hAnsi="Times New Roman" w:cs="Times New Roman"/>
          <w:sz w:val="24"/>
          <w:lang w:val="en-GB"/>
        </w:rPr>
        <w:t>in natural waters and sediments and provides highly sensitive chemical analysis and an accurate qualitative and quantitative characteristic of the materials under study.</w:t>
      </w:r>
    </w:p>
    <w:p w14:paraId="56E2E735" w14:textId="77777777" w:rsidR="00A02E72" w:rsidRPr="0023761B" w:rsidRDefault="00A02E72" w:rsidP="00A02E72">
      <w:pPr>
        <w:spacing w:after="0" w:line="360" w:lineRule="auto"/>
        <w:jc w:val="both"/>
        <w:rPr>
          <w:rFonts w:ascii="Times New Roman" w:hAnsi="Times New Roman" w:cs="Times New Roman"/>
          <w:b/>
          <w:sz w:val="24"/>
          <w:lang w:val="en-GB"/>
        </w:rPr>
      </w:pPr>
    </w:p>
    <w:p w14:paraId="59CCAFB9" w14:textId="4EB7E8AE" w:rsidR="00982CF1" w:rsidRPr="0023761B" w:rsidRDefault="00A02E72" w:rsidP="00EE7ABD">
      <w:pPr>
        <w:spacing w:after="0" w:line="360" w:lineRule="auto"/>
        <w:jc w:val="both"/>
        <w:rPr>
          <w:rFonts w:ascii="Times New Roman" w:hAnsi="Times New Roman" w:cs="Times New Roman"/>
          <w:sz w:val="24"/>
          <w:lang w:val="en-GB"/>
        </w:rPr>
      </w:pPr>
      <w:r w:rsidRPr="0023761B">
        <w:rPr>
          <w:rFonts w:ascii="Times New Roman" w:hAnsi="Times New Roman" w:cs="Times New Roman"/>
          <w:b/>
          <w:sz w:val="24"/>
          <w:lang w:val="en-GB"/>
        </w:rPr>
        <w:t>Key</w:t>
      </w:r>
      <w:r w:rsidR="003B5647" w:rsidRPr="0023761B">
        <w:rPr>
          <w:rFonts w:ascii="Times New Roman" w:hAnsi="Times New Roman" w:cs="Times New Roman"/>
          <w:b/>
          <w:sz w:val="24"/>
          <w:lang w:val="en-GB"/>
        </w:rPr>
        <w:t>words:</w:t>
      </w:r>
      <w:r w:rsidR="003B5647" w:rsidRPr="0023761B">
        <w:rPr>
          <w:rFonts w:ascii="Times New Roman" w:hAnsi="Times New Roman" w:cs="Times New Roman"/>
          <w:sz w:val="24"/>
          <w:lang w:val="en-GB"/>
        </w:rPr>
        <w:t xml:space="preserve"> beam deflection spectroscopy, diffusive gradients</w:t>
      </w:r>
      <w:r w:rsidR="00F95366" w:rsidRPr="0023761B">
        <w:rPr>
          <w:rFonts w:ascii="Times New Roman" w:hAnsi="Times New Roman" w:cs="Times New Roman"/>
          <w:sz w:val="24"/>
          <w:lang w:val="en-GB"/>
        </w:rPr>
        <w:t xml:space="preserve"> </w:t>
      </w:r>
      <w:r w:rsidR="003B5647" w:rsidRPr="0023761B">
        <w:rPr>
          <w:rFonts w:ascii="Times New Roman" w:hAnsi="Times New Roman" w:cs="Times New Roman"/>
          <w:sz w:val="24"/>
          <w:lang w:val="en-GB"/>
        </w:rPr>
        <w:t>in thin-film</w:t>
      </w:r>
      <w:r w:rsidR="00683BFF" w:rsidRPr="0023761B">
        <w:rPr>
          <w:rFonts w:ascii="Times New Roman" w:hAnsi="Times New Roman" w:cs="Times New Roman"/>
          <w:sz w:val="24"/>
          <w:lang w:val="en-GB"/>
        </w:rPr>
        <w:t xml:space="preserve"> technique</w:t>
      </w:r>
      <w:r w:rsidR="003B5647" w:rsidRPr="0023761B">
        <w:rPr>
          <w:rFonts w:ascii="Times New Roman" w:hAnsi="Times New Roman" w:cs="Times New Roman"/>
          <w:sz w:val="24"/>
          <w:lang w:val="en-GB"/>
        </w:rPr>
        <w:t xml:space="preserve">, iron </w:t>
      </w:r>
      <w:r w:rsidR="00683BFF" w:rsidRPr="0023761B">
        <w:rPr>
          <w:rFonts w:ascii="Times New Roman" w:hAnsi="Times New Roman" w:cs="Times New Roman"/>
          <w:sz w:val="24"/>
          <w:lang w:val="en-GB"/>
        </w:rPr>
        <w:t xml:space="preserve">redox </w:t>
      </w:r>
      <w:r w:rsidR="003B5647" w:rsidRPr="0023761B">
        <w:rPr>
          <w:rFonts w:ascii="Times New Roman" w:hAnsi="Times New Roman" w:cs="Times New Roman"/>
          <w:sz w:val="24"/>
          <w:lang w:val="en-GB"/>
        </w:rPr>
        <w:t xml:space="preserve">species, photothermal techniques, </w:t>
      </w:r>
      <w:r w:rsidR="00683BFF" w:rsidRPr="0023761B">
        <w:rPr>
          <w:rFonts w:ascii="Times New Roman" w:hAnsi="Times New Roman" w:cs="Times New Roman"/>
          <w:sz w:val="24"/>
          <w:lang w:val="en-GB"/>
        </w:rPr>
        <w:t>sediment</w:t>
      </w:r>
      <w:r w:rsidR="003B5647" w:rsidRPr="0023761B">
        <w:rPr>
          <w:rFonts w:ascii="Times New Roman" w:hAnsi="Times New Roman" w:cs="Times New Roman"/>
          <w:sz w:val="24"/>
          <w:lang w:val="en-GB"/>
        </w:rPr>
        <w:t>.</w:t>
      </w:r>
    </w:p>
    <w:p w14:paraId="6F51CE76" w14:textId="6D18615C" w:rsidR="00840939" w:rsidRDefault="00840939" w:rsidP="00EE7ABD">
      <w:pPr>
        <w:spacing w:after="0" w:line="360" w:lineRule="auto"/>
        <w:jc w:val="both"/>
        <w:rPr>
          <w:rFonts w:ascii="Times New Roman" w:hAnsi="Times New Roman" w:cs="Times New Roman"/>
          <w:sz w:val="24"/>
          <w:lang w:val="en-GB"/>
        </w:rPr>
      </w:pPr>
    </w:p>
    <w:p w14:paraId="22E0E8D6" w14:textId="77777777" w:rsidR="00AC1A17" w:rsidRPr="0023761B" w:rsidRDefault="00AC1A17" w:rsidP="00EE7ABD">
      <w:pPr>
        <w:pStyle w:val="ListParagraph"/>
        <w:numPr>
          <w:ilvl w:val="0"/>
          <w:numId w:val="2"/>
        </w:numPr>
        <w:spacing w:after="0" w:line="360" w:lineRule="auto"/>
        <w:jc w:val="center"/>
        <w:rPr>
          <w:rFonts w:ascii="Times New Roman" w:hAnsi="Times New Roman" w:cs="Times New Roman"/>
          <w:sz w:val="28"/>
          <w:lang w:val="en-GB"/>
        </w:rPr>
      </w:pPr>
      <w:r w:rsidRPr="0023761B">
        <w:rPr>
          <w:rFonts w:ascii="Times New Roman" w:hAnsi="Times New Roman" w:cs="Times New Roman"/>
          <w:b/>
          <w:sz w:val="28"/>
          <w:lang w:val="en-GB"/>
        </w:rPr>
        <w:t>Introduction</w:t>
      </w:r>
    </w:p>
    <w:p w14:paraId="29511DEE" w14:textId="77777777" w:rsidR="009A45A2" w:rsidRPr="0023761B" w:rsidRDefault="009A45A2" w:rsidP="009A45A2">
      <w:pPr>
        <w:pStyle w:val="ListParagraph"/>
        <w:spacing w:after="0" w:line="360" w:lineRule="auto"/>
        <w:ind w:left="360"/>
        <w:rPr>
          <w:rFonts w:ascii="Times New Roman" w:hAnsi="Times New Roman" w:cs="Times New Roman"/>
          <w:sz w:val="28"/>
          <w:lang w:val="en-GB"/>
        </w:rPr>
      </w:pPr>
    </w:p>
    <w:p w14:paraId="364AD653" w14:textId="77777777" w:rsidR="00F0114E" w:rsidRDefault="00A02E72" w:rsidP="000F559A">
      <w:pPr>
        <w:spacing w:after="0" w:line="360" w:lineRule="auto"/>
        <w:ind w:firstLine="706"/>
        <w:jc w:val="both"/>
        <w:rPr>
          <w:rFonts w:ascii="Times New Roman" w:hAnsi="Times New Roman" w:cs="Times New Roman"/>
          <w:sz w:val="24"/>
          <w:szCs w:val="24"/>
          <w:vertAlign w:val="superscript"/>
          <w:lang w:val="en-GB"/>
        </w:rPr>
      </w:pPr>
      <w:r w:rsidRPr="0023761B">
        <w:rPr>
          <w:rFonts w:ascii="Times New Roman" w:hAnsi="Times New Roman" w:cs="Times New Roman"/>
          <w:sz w:val="24"/>
          <w:szCs w:val="24"/>
          <w:lang w:val="en-GB"/>
        </w:rPr>
        <w:lastRenderedPageBreak/>
        <w:t xml:space="preserve">Metals </w:t>
      </w:r>
      <w:r w:rsidR="00732ECB" w:rsidRPr="0023761B">
        <w:rPr>
          <w:rFonts w:ascii="Times New Roman" w:hAnsi="Times New Roman" w:cs="Times New Roman"/>
          <w:sz w:val="24"/>
          <w:szCs w:val="24"/>
          <w:lang w:val="en-GB"/>
        </w:rPr>
        <w:t xml:space="preserve">in trace amounts </w:t>
      </w:r>
      <w:r w:rsidRPr="0023761B">
        <w:rPr>
          <w:rFonts w:ascii="Times New Roman" w:hAnsi="Times New Roman" w:cs="Times New Roman"/>
          <w:sz w:val="24"/>
          <w:szCs w:val="24"/>
          <w:lang w:val="en-GB"/>
        </w:rPr>
        <w:t>are natural components of the environment</w:t>
      </w:r>
      <w:r w:rsidR="00732ECB" w:rsidRPr="0023761B">
        <w:rPr>
          <w:rFonts w:ascii="Times New Roman" w:hAnsi="Times New Roman" w:cs="Times New Roman"/>
          <w:sz w:val="24"/>
          <w:szCs w:val="24"/>
          <w:lang w:val="en-GB"/>
        </w:rPr>
        <w:t>, but</w:t>
      </w:r>
      <w:r w:rsidRPr="0023761B">
        <w:rPr>
          <w:rFonts w:ascii="Times New Roman" w:hAnsi="Times New Roman" w:cs="Times New Roman"/>
          <w:sz w:val="24"/>
          <w:szCs w:val="24"/>
          <w:lang w:val="en-GB"/>
        </w:rPr>
        <w:t xml:space="preserve"> </w:t>
      </w:r>
      <w:r w:rsidR="00732ECB" w:rsidRPr="0023761B">
        <w:rPr>
          <w:rFonts w:ascii="Times New Roman" w:hAnsi="Times New Roman" w:cs="Times New Roman"/>
          <w:sz w:val="24"/>
          <w:szCs w:val="24"/>
          <w:lang w:val="en-GB"/>
        </w:rPr>
        <w:t xml:space="preserve">at </w:t>
      </w:r>
      <w:r w:rsidRPr="0023761B">
        <w:rPr>
          <w:rFonts w:ascii="Times New Roman" w:hAnsi="Times New Roman" w:cs="Times New Roman"/>
          <w:sz w:val="24"/>
          <w:szCs w:val="24"/>
          <w:lang w:val="en-GB"/>
        </w:rPr>
        <w:t xml:space="preserve">high concentrations </w:t>
      </w:r>
      <w:r w:rsidR="0094214C" w:rsidRPr="0023761B">
        <w:rPr>
          <w:rFonts w:ascii="Times New Roman" w:hAnsi="Times New Roman" w:cs="Times New Roman"/>
          <w:sz w:val="24"/>
          <w:szCs w:val="24"/>
          <w:lang w:val="en-GB"/>
        </w:rPr>
        <w:t xml:space="preserve">they </w:t>
      </w:r>
      <w:r w:rsidRPr="0023761B">
        <w:rPr>
          <w:rFonts w:ascii="Times New Roman" w:hAnsi="Times New Roman" w:cs="Times New Roman"/>
          <w:sz w:val="24"/>
          <w:szCs w:val="24"/>
          <w:lang w:val="en-GB"/>
        </w:rPr>
        <w:t>can become toxic to living organisms</w:t>
      </w:r>
      <w:r w:rsidR="00732ECB" w:rsidRPr="0023761B">
        <w:rPr>
          <w:rFonts w:ascii="Times New Roman" w:hAnsi="Times New Roman" w:cs="Times New Roman"/>
          <w:sz w:val="24"/>
          <w:szCs w:val="24"/>
          <w:lang w:val="en-GB"/>
        </w:rPr>
        <w:t xml:space="preserve"> since they act as</w:t>
      </w:r>
      <w:r w:rsidRPr="0023761B">
        <w:rPr>
          <w:rFonts w:ascii="Times New Roman" w:hAnsi="Times New Roman" w:cs="Times New Roman"/>
          <w:sz w:val="24"/>
          <w:szCs w:val="24"/>
          <w:lang w:val="en-GB"/>
        </w:rPr>
        <w:t xml:space="preserve"> conservative pollutants.</w:t>
      </w:r>
      <w:r w:rsidR="009A45A2" w:rsidRPr="0023761B">
        <w:rPr>
          <w:rFonts w:ascii="Times New Roman" w:hAnsi="Times New Roman" w:cs="Times New Roman"/>
          <w:sz w:val="24"/>
          <w:szCs w:val="24"/>
          <w:lang w:val="en-GB"/>
        </w:rPr>
        <w:t xml:space="preserve"> </w:t>
      </w:r>
      <w:r w:rsidR="00683BFF" w:rsidRPr="0023761B">
        <w:rPr>
          <w:rFonts w:ascii="Times New Roman" w:hAnsi="Times New Roman" w:cs="Times New Roman"/>
          <w:sz w:val="24"/>
          <w:szCs w:val="24"/>
          <w:lang w:val="en-GB"/>
        </w:rPr>
        <w:t>A</w:t>
      </w:r>
      <w:r w:rsidR="009A45A2" w:rsidRPr="0023761B">
        <w:rPr>
          <w:rFonts w:ascii="Times New Roman" w:hAnsi="Times New Roman" w:cs="Times New Roman"/>
          <w:sz w:val="24"/>
          <w:szCs w:val="24"/>
          <w:lang w:val="en-GB"/>
        </w:rPr>
        <w:t>ll trace elements</w:t>
      </w:r>
      <w:r w:rsidR="001C768D" w:rsidRPr="0023761B">
        <w:rPr>
          <w:rFonts w:ascii="Times New Roman" w:hAnsi="Times New Roman" w:cs="Times New Roman"/>
          <w:sz w:val="24"/>
          <w:szCs w:val="24"/>
          <w:lang w:val="en-GB"/>
        </w:rPr>
        <w:t xml:space="preserve"> (including iron</w:t>
      </w:r>
      <w:r w:rsidR="0094214C" w:rsidRPr="0023761B">
        <w:rPr>
          <w:rFonts w:ascii="Times New Roman" w:hAnsi="Times New Roman" w:cs="Times New Roman"/>
          <w:sz w:val="24"/>
          <w:szCs w:val="24"/>
          <w:lang w:val="en-GB"/>
        </w:rPr>
        <w:t>, Fe</w:t>
      </w:r>
      <w:r w:rsidR="001C768D" w:rsidRPr="0023761B">
        <w:rPr>
          <w:rFonts w:ascii="Times New Roman" w:hAnsi="Times New Roman" w:cs="Times New Roman"/>
          <w:sz w:val="24"/>
          <w:szCs w:val="24"/>
          <w:lang w:val="en-GB"/>
        </w:rPr>
        <w:t>)</w:t>
      </w:r>
      <w:r w:rsidR="009A45A2" w:rsidRPr="0023761B">
        <w:rPr>
          <w:rFonts w:ascii="Times New Roman" w:hAnsi="Times New Roman" w:cs="Times New Roman"/>
          <w:sz w:val="24"/>
          <w:szCs w:val="24"/>
          <w:lang w:val="en-GB"/>
        </w:rPr>
        <w:t xml:space="preserve"> that are essential for supporting various life processes</w:t>
      </w:r>
      <w:r w:rsidR="001206EB" w:rsidRPr="0023761B">
        <w:rPr>
          <w:rFonts w:ascii="Times New Roman" w:hAnsi="Times New Roman" w:cs="Times New Roman"/>
          <w:sz w:val="24"/>
          <w:szCs w:val="24"/>
          <w:lang w:val="en-GB"/>
        </w:rPr>
        <w:t xml:space="preserve"> </w:t>
      </w:r>
      <w:r w:rsidR="00683BFF" w:rsidRPr="0023761B">
        <w:rPr>
          <w:rFonts w:ascii="Times New Roman" w:hAnsi="Times New Roman" w:cs="Times New Roman"/>
          <w:sz w:val="24"/>
          <w:szCs w:val="24"/>
          <w:lang w:val="en-GB"/>
        </w:rPr>
        <w:t>have</w:t>
      </w:r>
      <w:r w:rsidR="009A45A2" w:rsidRPr="0023761B">
        <w:rPr>
          <w:rFonts w:ascii="Times New Roman" w:hAnsi="Times New Roman" w:cs="Times New Roman"/>
          <w:sz w:val="24"/>
          <w:szCs w:val="24"/>
          <w:lang w:val="en-GB"/>
        </w:rPr>
        <w:t xml:space="preserve"> a fairly narrow “concentration window” between the</w:t>
      </w:r>
      <w:r w:rsidR="001C768D" w:rsidRPr="0023761B">
        <w:rPr>
          <w:rFonts w:ascii="Times New Roman" w:hAnsi="Times New Roman" w:cs="Times New Roman"/>
          <w:sz w:val="24"/>
          <w:szCs w:val="24"/>
          <w:lang w:val="en-GB"/>
        </w:rPr>
        <w:t>ir</w:t>
      </w:r>
      <w:r w:rsidR="009A45A2" w:rsidRPr="0023761B">
        <w:rPr>
          <w:rFonts w:ascii="Times New Roman" w:hAnsi="Times New Roman" w:cs="Times New Roman"/>
          <w:sz w:val="24"/>
          <w:szCs w:val="24"/>
          <w:lang w:val="en-GB"/>
        </w:rPr>
        <w:t xml:space="preserve"> biogenic and toxic levels</w:t>
      </w:r>
      <w:r w:rsidR="0094214C" w:rsidRPr="0023761B">
        <w:rPr>
          <w:rFonts w:ascii="Times New Roman" w:hAnsi="Times New Roman" w:cs="Times New Roman"/>
          <w:sz w:val="24"/>
          <w:szCs w:val="24"/>
          <w:lang w:val="en-GB"/>
        </w:rPr>
        <w:t>.</w:t>
      </w:r>
      <w:r w:rsidR="006E38BC" w:rsidRPr="0023761B">
        <w:rPr>
          <w:rFonts w:ascii="Times New Roman" w:hAnsi="Times New Roman" w:cs="Times New Roman"/>
          <w:sz w:val="24"/>
          <w:szCs w:val="24"/>
          <w:lang w:val="en-GB"/>
        </w:rPr>
        <w:t xml:space="preserve"> </w:t>
      </w:r>
      <w:r w:rsidR="0094214C" w:rsidRPr="0023761B">
        <w:rPr>
          <w:rFonts w:ascii="Times New Roman" w:hAnsi="Times New Roman" w:cs="Times New Roman"/>
          <w:sz w:val="24"/>
          <w:szCs w:val="24"/>
          <w:lang w:val="en-GB"/>
        </w:rPr>
        <w:t>Iron is a vital constituent of plant life since it is essential for photosynthetic and respiratory electron transport, nitrate reduction, chlorophyll synthesis, and detoxification of reactive oxygen species.</w:t>
      </w:r>
      <w:r w:rsidR="0094214C" w:rsidRPr="0023761B">
        <w:rPr>
          <w:rFonts w:ascii="Times New Roman" w:hAnsi="Times New Roman" w:cs="Times New Roman"/>
          <w:sz w:val="24"/>
          <w:szCs w:val="24"/>
          <w:vertAlign w:val="superscript"/>
          <w:lang w:val="en-GB"/>
        </w:rPr>
        <w:t>3</w:t>
      </w:r>
      <w:r w:rsidR="0094214C" w:rsidRPr="0023761B">
        <w:rPr>
          <w:rFonts w:ascii="Times New Roman" w:hAnsi="Times New Roman" w:cs="Times New Roman"/>
          <w:sz w:val="24"/>
          <w:szCs w:val="24"/>
          <w:lang w:val="en-GB"/>
        </w:rPr>
        <w:t xml:space="preserve"> </w:t>
      </w:r>
      <w:r w:rsidR="00D24183" w:rsidRPr="0023761B">
        <w:rPr>
          <w:rFonts w:ascii="Times New Roman" w:hAnsi="Times New Roman" w:cs="Times New Roman"/>
          <w:sz w:val="24"/>
          <w:szCs w:val="24"/>
          <w:lang w:val="en-GB"/>
        </w:rPr>
        <w:t>A</w:t>
      </w:r>
      <w:r w:rsidR="009A45A2" w:rsidRPr="0023761B">
        <w:rPr>
          <w:rFonts w:ascii="Times New Roman" w:hAnsi="Times New Roman" w:cs="Times New Roman"/>
          <w:sz w:val="24"/>
          <w:szCs w:val="24"/>
          <w:lang w:val="en-GB"/>
        </w:rPr>
        <w:t xml:space="preserve">t low concentrations, </w:t>
      </w:r>
      <w:r w:rsidR="0094214C" w:rsidRPr="0023761B">
        <w:rPr>
          <w:rFonts w:ascii="Times New Roman" w:hAnsi="Times New Roman" w:cs="Times New Roman"/>
          <w:sz w:val="24"/>
          <w:szCs w:val="24"/>
          <w:lang w:val="en-GB"/>
        </w:rPr>
        <w:t xml:space="preserve">Fe </w:t>
      </w:r>
      <w:r w:rsidR="009A45A2" w:rsidRPr="0023761B">
        <w:rPr>
          <w:rFonts w:ascii="Times New Roman" w:hAnsi="Times New Roman" w:cs="Times New Roman"/>
          <w:sz w:val="24"/>
          <w:szCs w:val="24"/>
          <w:lang w:val="en-GB"/>
        </w:rPr>
        <w:t>plays an important role in metabolic and fermentation processes, as an enzyme activator, stabilizer and fu</w:t>
      </w:r>
      <w:r w:rsidR="003B1A44" w:rsidRPr="0023761B">
        <w:rPr>
          <w:rFonts w:ascii="Times New Roman" w:hAnsi="Times New Roman" w:cs="Times New Roman"/>
          <w:sz w:val="24"/>
          <w:szCs w:val="24"/>
          <w:lang w:val="en-GB"/>
        </w:rPr>
        <w:t>nctional component of proteins.</w:t>
      </w:r>
    </w:p>
    <w:p w14:paraId="71C50335" w14:textId="10561D03" w:rsidR="008A47FA" w:rsidRPr="000F559A" w:rsidRDefault="00F667C5" w:rsidP="000F559A">
      <w:pPr>
        <w:spacing w:after="0" w:line="360" w:lineRule="auto"/>
        <w:ind w:firstLine="706"/>
        <w:jc w:val="both"/>
        <w:rPr>
          <w:rFonts w:ascii="Times New Roman" w:hAnsi="Times New Roman" w:cs="Times New Roman"/>
          <w:sz w:val="24"/>
          <w:szCs w:val="24"/>
          <w:lang w:val="en-GB"/>
        </w:rPr>
      </w:pPr>
      <w:r w:rsidRPr="0023761B">
        <w:rPr>
          <w:rFonts w:ascii="Times New Roman" w:hAnsi="Times New Roman" w:cs="Times New Roman"/>
          <w:sz w:val="24"/>
          <w:szCs w:val="24"/>
          <w:lang w:val="en-GB"/>
        </w:rPr>
        <w:t xml:space="preserve">Human </w:t>
      </w:r>
      <w:r w:rsidR="0094214C" w:rsidRPr="0023761B">
        <w:rPr>
          <w:rFonts w:ascii="Times New Roman" w:hAnsi="Times New Roman" w:cs="Times New Roman"/>
          <w:sz w:val="24"/>
          <w:szCs w:val="24"/>
          <w:lang w:val="en-GB"/>
        </w:rPr>
        <w:t xml:space="preserve">populations </w:t>
      </w:r>
      <w:r w:rsidR="000165C1" w:rsidRPr="0023761B">
        <w:rPr>
          <w:rFonts w:ascii="Times New Roman" w:hAnsi="Times New Roman" w:cs="Times New Roman"/>
          <w:sz w:val="24"/>
          <w:szCs w:val="24"/>
          <w:lang w:val="en-GB"/>
        </w:rPr>
        <w:t>in areas</w:t>
      </w:r>
      <w:r w:rsidRPr="0023761B">
        <w:rPr>
          <w:rFonts w:ascii="Times New Roman" w:hAnsi="Times New Roman" w:cs="Times New Roman"/>
          <w:sz w:val="24"/>
          <w:szCs w:val="24"/>
          <w:lang w:val="en-GB"/>
        </w:rPr>
        <w:t xml:space="preserve"> contaminated by </w:t>
      </w:r>
      <w:r w:rsidR="00F0114E">
        <w:rPr>
          <w:rFonts w:ascii="Times New Roman" w:hAnsi="Times New Roman" w:cs="Times New Roman"/>
          <w:sz w:val="24"/>
          <w:szCs w:val="24"/>
          <w:lang w:val="en-GB"/>
        </w:rPr>
        <w:t>i</w:t>
      </w:r>
      <w:r w:rsidR="00F0114E" w:rsidRPr="0023761B">
        <w:rPr>
          <w:rFonts w:ascii="Times New Roman" w:hAnsi="Times New Roman" w:cs="Times New Roman"/>
          <w:sz w:val="24"/>
          <w:szCs w:val="24"/>
          <w:lang w:val="en-GB"/>
        </w:rPr>
        <w:t xml:space="preserve">ron and other heavy metals </w:t>
      </w:r>
      <w:r w:rsidRPr="0023761B">
        <w:rPr>
          <w:rFonts w:ascii="Times New Roman" w:hAnsi="Times New Roman" w:cs="Times New Roman"/>
          <w:sz w:val="24"/>
          <w:szCs w:val="24"/>
          <w:lang w:val="en-GB"/>
        </w:rPr>
        <w:t xml:space="preserve">could be </w:t>
      </w:r>
      <w:r w:rsidR="000165C1" w:rsidRPr="0023761B">
        <w:rPr>
          <w:rFonts w:ascii="Times New Roman" w:hAnsi="Times New Roman" w:cs="Times New Roman"/>
          <w:sz w:val="24"/>
          <w:szCs w:val="24"/>
          <w:lang w:val="en-GB"/>
        </w:rPr>
        <w:t>significantly exposed</w:t>
      </w:r>
      <w:r w:rsidRPr="0023761B">
        <w:rPr>
          <w:rFonts w:ascii="Times New Roman" w:hAnsi="Times New Roman" w:cs="Times New Roman"/>
          <w:sz w:val="24"/>
          <w:szCs w:val="24"/>
          <w:lang w:val="en-GB"/>
        </w:rPr>
        <w:t xml:space="preserve"> to these contaminants due to </w:t>
      </w:r>
      <w:r w:rsidR="000165C1" w:rsidRPr="0023761B">
        <w:rPr>
          <w:rFonts w:ascii="Times New Roman" w:hAnsi="Times New Roman" w:cs="Times New Roman"/>
          <w:sz w:val="24"/>
          <w:szCs w:val="24"/>
          <w:lang w:val="en-GB"/>
        </w:rPr>
        <w:t xml:space="preserve">their </w:t>
      </w:r>
      <w:r w:rsidRPr="0023761B">
        <w:rPr>
          <w:rFonts w:ascii="Times New Roman" w:hAnsi="Times New Roman" w:cs="Times New Roman"/>
          <w:sz w:val="24"/>
          <w:szCs w:val="24"/>
          <w:lang w:val="en-GB"/>
        </w:rPr>
        <w:t>bioaccumulation</w:t>
      </w:r>
      <w:r w:rsidR="000165C1" w:rsidRPr="0023761B">
        <w:rPr>
          <w:rFonts w:ascii="Times New Roman" w:hAnsi="Times New Roman" w:cs="Times New Roman"/>
          <w:sz w:val="24"/>
          <w:szCs w:val="24"/>
          <w:lang w:val="en-GB"/>
        </w:rPr>
        <w:t xml:space="preserve"> properties</w:t>
      </w:r>
      <w:r w:rsidR="00F0114E">
        <w:rPr>
          <w:rFonts w:ascii="Times New Roman" w:hAnsi="Times New Roman" w:cs="Times New Roman"/>
          <w:sz w:val="24"/>
          <w:szCs w:val="24"/>
          <w:lang w:val="en-GB"/>
        </w:rPr>
        <w:t>. They</w:t>
      </w:r>
      <w:r w:rsidR="000165C1" w:rsidRPr="0023761B">
        <w:rPr>
          <w:rFonts w:ascii="Times New Roman" w:hAnsi="Times New Roman" w:cs="Times New Roman"/>
          <w:sz w:val="24"/>
          <w:szCs w:val="24"/>
          <w:lang w:val="en-GB"/>
        </w:rPr>
        <w:t xml:space="preserve"> </w:t>
      </w:r>
      <w:r w:rsidRPr="0023761B">
        <w:rPr>
          <w:rFonts w:ascii="Times New Roman" w:hAnsi="Times New Roman" w:cs="Times New Roman"/>
          <w:sz w:val="24"/>
          <w:szCs w:val="24"/>
          <w:lang w:val="en-GB"/>
        </w:rPr>
        <w:t>can accumulate in bone, hair and in some soft tissues, such as the liver, kidney</w:t>
      </w:r>
      <w:r w:rsidR="000165C1" w:rsidRPr="0023761B">
        <w:rPr>
          <w:rFonts w:ascii="Times New Roman" w:hAnsi="Times New Roman" w:cs="Times New Roman"/>
          <w:sz w:val="24"/>
          <w:szCs w:val="24"/>
          <w:lang w:val="en-GB"/>
        </w:rPr>
        <w:t xml:space="preserve"> and</w:t>
      </w:r>
      <w:r w:rsidRPr="0023761B">
        <w:rPr>
          <w:rFonts w:ascii="Times New Roman" w:hAnsi="Times New Roman" w:cs="Times New Roman"/>
          <w:sz w:val="24"/>
          <w:szCs w:val="24"/>
          <w:lang w:val="en-GB"/>
        </w:rPr>
        <w:t xml:space="preserve"> lungs. </w:t>
      </w:r>
      <w:r w:rsidR="000165C1" w:rsidRPr="0023761B">
        <w:rPr>
          <w:rFonts w:ascii="Times New Roman" w:hAnsi="Times New Roman" w:cs="Times New Roman"/>
          <w:sz w:val="24"/>
          <w:szCs w:val="24"/>
          <w:lang w:val="en-GB"/>
        </w:rPr>
        <w:t xml:space="preserve">Prolonged exposure </w:t>
      </w:r>
      <w:r w:rsidR="009F5CAF">
        <w:rPr>
          <w:rFonts w:ascii="Times New Roman" w:hAnsi="Times New Roman" w:cs="Times New Roman"/>
          <w:sz w:val="24"/>
          <w:szCs w:val="24"/>
          <w:lang w:val="en-GB"/>
        </w:rPr>
        <w:t xml:space="preserve">and high concentration levels </w:t>
      </w:r>
      <w:r w:rsidR="004E0DC0" w:rsidRPr="0023761B">
        <w:rPr>
          <w:rFonts w:ascii="Times New Roman" w:hAnsi="Times New Roman" w:cs="Times New Roman"/>
          <w:sz w:val="24"/>
          <w:szCs w:val="24"/>
          <w:lang w:val="en-GB"/>
        </w:rPr>
        <w:t xml:space="preserve">can lead to heart disease, the development of cancer, </w:t>
      </w:r>
      <w:r w:rsidR="000165C1" w:rsidRPr="0023761B">
        <w:rPr>
          <w:rFonts w:ascii="Times New Roman" w:hAnsi="Times New Roman" w:cs="Times New Roman"/>
          <w:sz w:val="24"/>
          <w:szCs w:val="24"/>
          <w:lang w:val="en-GB"/>
        </w:rPr>
        <w:t>as well as other</w:t>
      </w:r>
      <w:r w:rsidR="004E0DC0" w:rsidRPr="0023761B">
        <w:rPr>
          <w:rFonts w:ascii="Times New Roman" w:hAnsi="Times New Roman" w:cs="Times New Roman"/>
          <w:sz w:val="24"/>
          <w:szCs w:val="24"/>
          <w:lang w:val="en-GB"/>
        </w:rPr>
        <w:t xml:space="preserve"> complications </w:t>
      </w:r>
      <w:r w:rsidR="000165C1" w:rsidRPr="0023761B">
        <w:rPr>
          <w:rFonts w:ascii="Times New Roman" w:hAnsi="Times New Roman" w:cs="Times New Roman"/>
          <w:sz w:val="24"/>
          <w:szCs w:val="24"/>
          <w:lang w:val="en-GB"/>
        </w:rPr>
        <w:t xml:space="preserve">such </w:t>
      </w:r>
      <w:r w:rsidR="004E0DC0" w:rsidRPr="0023761B">
        <w:rPr>
          <w:rFonts w:ascii="Times New Roman" w:hAnsi="Times New Roman" w:cs="Times New Roman"/>
          <w:sz w:val="24"/>
          <w:szCs w:val="24"/>
          <w:lang w:val="en-GB"/>
        </w:rPr>
        <w:t>as arthritis, diabetes</w:t>
      </w:r>
      <w:r w:rsidR="000165C1" w:rsidRPr="0023761B">
        <w:rPr>
          <w:rFonts w:ascii="Times New Roman" w:hAnsi="Times New Roman" w:cs="Times New Roman"/>
          <w:sz w:val="24"/>
          <w:szCs w:val="24"/>
          <w:lang w:val="en-GB"/>
        </w:rPr>
        <w:t xml:space="preserve"> or</w:t>
      </w:r>
      <w:r w:rsidR="004E0DC0" w:rsidRPr="0023761B">
        <w:rPr>
          <w:rFonts w:ascii="Times New Roman" w:hAnsi="Times New Roman" w:cs="Times New Roman"/>
          <w:sz w:val="24"/>
          <w:szCs w:val="24"/>
          <w:lang w:val="en-GB"/>
        </w:rPr>
        <w:t xml:space="preserve"> liver disease.</w:t>
      </w:r>
      <w:r w:rsidRPr="0023761B">
        <w:rPr>
          <w:rFonts w:ascii="Times New Roman" w:hAnsi="Times New Roman" w:cs="Times New Roman"/>
          <w:sz w:val="24"/>
          <w:szCs w:val="24"/>
          <w:vertAlign w:val="superscript"/>
          <w:lang w:val="en-GB"/>
        </w:rPr>
        <w:t xml:space="preserve">1 </w:t>
      </w:r>
    </w:p>
    <w:p w14:paraId="5BB81AE9" w14:textId="0A6E9F38" w:rsidR="00864346" w:rsidRPr="0023761B" w:rsidRDefault="002C1B79" w:rsidP="001204B9">
      <w:pPr>
        <w:spacing w:after="0" w:line="360" w:lineRule="auto"/>
        <w:ind w:firstLine="706"/>
        <w:jc w:val="both"/>
        <w:rPr>
          <w:rFonts w:ascii="Times New Roman" w:hAnsi="Times New Roman" w:cs="Times New Roman"/>
          <w:sz w:val="24"/>
          <w:szCs w:val="24"/>
          <w:lang w:val="en-GB"/>
        </w:rPr>
      </w:pPr>
      <w:r w:rsidRPr="0023761B">
        <w:rPr>
          <w:rFonts w:ascii="Times New Roman" w:hAnsi="Times New Roman" w:cs="Times New Roman"/>
          <w:sz w:val="24"/>
          <w:szCs w:val="24"/>
          <w:lang w:val="en-GB"/>
        </w:rPr>
        <w:t xml:space="preserve">As a result of these </w:t>
      </w:r>
      <w:r w:rsidR="00032F5A" w:rsidRPr="0023761B">
        <w:rPr>
          <w:rFonts w:ascii="Times New Roman" w:hAnsi="Times New Roman" w:cs="Times New Roman"/>
          <w:sz w:val="24"/>
          <w:szCs w:val="24"/>
          <w:lang w:val="en-GB"/>
        </w:rPr>
        <w:t xml:space="preserve">health </w:t>
      </w:r>
      <w:r w:rsidRPr="0023761B">
        <w:rPr>
          <w:rFonts w:ascii="Times New Roman" w:hAnsi="Times New Roman" w:cs="Times New Roman"/>
          <w:sz w:val="24"/>
          <w:szCs w:val="24"/>
          <w:lang w:val="en-GB"/>
        </w:rPr>
        <w:t xml:space="preserve">concerns various methods </w:t>
      </w:r>
      <w:r w:rsidR="00EE7ABD" w:rsidRPr="0023761B">
        <w:rPr>
          <w:rFonts w:ascii="Times New Roman" w:hAnsi="Times New Roman" w:cs="Times New Roman"/>
          <w:sz w:val="24"/>
          <w:szCs w:val="24"/>
          <w:lang w:val="en-GB"/>
        </w:rPr>
        <w:t xml:space="preserve">have been developed </w:t>
      </w:r>
      <w:r w:rsidR="00DB7B7A" w:rsidRPr="0023761B">
        <w:rPr>
          <w:rFonts w:ascii="Times New Roman" w:hAnsi="Times New Roman" w:cs="Times New Roman"/>
          <w:sz w:val="24"/>
          <w:szCs w:val="24"/>
          <w:lang w:val="en-GB"/>
        </w:rPr>
        <w:t xml:space="preserve">for </w:t>
      </w:r>
      <w:r w:rsidR="00EE7ABD" w:rsidRPr="0023761B">
        <w:rPr>
          <w:rFonts w:ascii="Times New Roman" w:hAnsi="Times New Roman" w:cs="Times New Roman"/>
          <w:sz w:val="24"/>
          <w:szCs w:val="24"/>
          <w:lang w:val="en-GB"/>
        </w:rPr>
        <w:t xml:space="preserve">determination of </w:t>
      </w:r>
      <w:r w:rsidR="00DB7B7A" w:rsidRPr="0023761B">
        <w:rPr>
          <w:rFonts w:ascii="Times New Roman" w:hAnsi="Times New Roman" w:cs="Times New Roman"/>
          <w:sz w:val="24"/>
          <w:szCs w:val="24"/>
          <w:lang w:val="en-GB"/>
        </w:rPr>
        <w:t xml:space="preserve">iron </w:t>
      </w:r>
      <w:r w:rsidR="00EE7ABD" w:rsidRPr="0023761B">
        <w:rPr>
          <w:rFonts w:ascii="Times New Roman" w:hAnsi="Times New Roman" w:cs="Times New Roman"/>
          <w:sz w:val="24"/>
          <w:szCs w:val="24"/>
          <w:lang w:val="en-GB"/>
        </w:rPr>
        <w:t>concentration</w:t>
      </w:r>
      <w:r w:rsidR="00DB7B7A" w:rsidRPr="0023761B">
        <w:rPr>
          <w:rFonts w:ascii="Times New Roman" w:hAnsi="Times New Roman" w:cs="Times New Roman"/>
          <w:sz w:val="24"/>
          <w:szCs w:val="24"/>
          <w:lang w:val="en-GB"/>
        </w:rPr>
        <w:t xml:space="preserve"> in</w:t>
      </w:r>
      <w:r w:rsidRPr="0023761B">
        <w:rPr>
          <w:rFonts w:ascii="Times New Roman" w:hAnsi="Times New Roman" w:cs="Times New Roman"/>
          <w:sz w:val="24"/>
          <w:szCs w:val="24"/>
          <w:lang w:val="en-GB"/>
        </w:rPr>
        <w:t xml:space="preserve"> the</w:t>
      </w:r>
      <w:r w:rsidR="00DB7B7A" w:rsidRPr="0023761B">
        <w:rPr>
          <w:rFonts w:ascii="Times New Roman" w:hAnsi="Times New Roman" w:cs="Times New Roman"/>
          <w:sz w:val="24"/>
          <w:szCs w:val="24"/>
          <w:lang w:val="en-GB"/>
        </w:rPr>
        <w:t xml:space="preserve"> environmental samples. </w:t>
      </w:r>
      <w:r w:rsidR="00412DCA" w:rsidRPr="0023761B">
        <w:rPr>
          <w:rFonts w:ascii="Times New Roman" w:hAnsi="Times New Roman" w:cs="Times New Roman"/>
          <w:sz w:val="24"/>
          <w:szCs w:val="24"/>
          <w:lang w:val="en-GB"/>
        </w:rPr>
        <w:t>Unfortunately</w:t>
      </w:r>
      <w:r w:rsidR="00DB7B7A" w:rsidRPr="0023761B">
        <w:rPr>
          <w:rFonts w:ascii="Times New Roman" w:hAnsi="Times New Roman" w:cs="Times New Roman"/>
          <w:sz w:val="24"/>
          <w:szCs w:val="24"/>
          <w:lang w:val="en-GB"/>
        </w:rPr>
        <w:t xml:space="preserve">, </w:t>
      </w:r>
      <w:r w:rsidRPr="0023761B">
        <w:rPr>
          <w:rFonts w:ascii="Times New Roman" w:hAnsi="Times New Roman" w:cs="Times New Roman"/>
          <w:sz w:val="24"/>
          <w:szCs w:val="24"/>
          <w:lang w:val="en-GB"/>
        </w:rPr>
        <w:t>the</w:t>
      </w:r>
      <w:r w:rsidR="00EE7ABD" w:rsidRPr="0023761B">
        <w:rPr>
          <w:rFonts w:ascii="Times New Roman" w:hAnsi="Times New Roman" w:cs="Times New Roman"/>
          <w:sz w:val="24"/>
          <w:szCs w:val="24"/>
          <w:lang w:val="en-GB"/>
        </w:rPr>
        <w:t xml:space="preserve"> information about the</w:t>
      </w:r>
      <w:r w:rsidR="000F559A">
        <w:rPr>
          <w:rFonts w:ascii="Times New Roman" w:hAnsi="Times New Roman" w:cs="Times New Roman"/>
          <w:sz w:val="24"/>
          <w:szCs w:val="24"/>
          <w:lang w:val="en-GB"/>
        </w:rPr>
        <w:t xml:space="preserve"> bioavailable</w:t>
      </w:r>
      <w:r w:rsidR="00EE7ABD" w:rsidRPr="0023761B">
        <w:rPr>
          <w:rFonts w:ascii="Times New Roman" w:hAnsi="Times New Roman" w:cs="Times New Roman"/>
          <w:sz w:val="24"/>
          <w:szCs w:val="24"/>
          <w:lang w:val="en-GB"/>
        </w:rPr>
        <w:t xml:space="preserve"> fraction content of </w:t>
      </w:r>
      <w:r w:rsidR="00DB7B7A" w:rsidRPr="0023761B">
        <w:rPr>
          <w:rFonts w:ascii="Times New Roman" w:hAnsi="Times New Roman" w:cs="Times New Roman"/>
          <w:sz w:val="24"/>
          <w:szCs w:val="24"/>
          <w:lang w:val="en-GB"/>
        </w:rPr>
        <w:t xml:space="preserve">its </w:t>
      </w:r>
      <w:r w:rsidR="008D1988">
        <w:rPr>
          <w:rFonts w:ascii="Times New Roman" w:hAnsi="Times New Roman" w:cs="Times New Roman"/>
          <w:sz w:val="24"/>
          <w:szCs w:val="24"/>
          <w:lang w:val="en-GB"/>
        </w:rPr>
        <w:t xml:space="preserve">redox </w:t>
      </w:r>
      <w:r w:rsidR="00EE7ABD" w:rsidRPr="0023761B">
        <w:rPr>
          <w:rFonts w:ascii="Times New Roman" w:hAnsi="Times New Roman" w:cs="Times New Roman"/>
          <w:sz w:val="24"/>
          <w:szCs w:val="24"/>
          <w:lang w:val="en-GB"/>
        </w:rPr>
        <w:t>species</w:t>
      </w:r>
      <w:r w:rsidR="00032F5A" w:rsidRPr="0023761B">
        <w:rPr>
          <w:rFonts w:ascii="Times New Roman" w:hAnsi="Times New Roman" w:cs="Times New Roman"/>
          <w:sz w:val="24"/>
          <w:szCs w:val="24"/>
          <w:lang w:val="en-GB"/>
        </w:rPr>
        <w:t xml:space="preserve"> is very difficult to measure and is in most cases lacking, although it is very important</w:t>
      </w:r>
      <w:r w:rsidR="006004DD">
        <w:rPr>
          <w:rFonts w:ascii="Times New Roman" w:hAnsi="Times New Roman" w:cs="Times New Roman"/>
          <w:sz w:val="24"/>
          <w:szCs w:val="24"/>
          <w:lang w:val="en-GB"/>
        </w:rPr>
        <w:t xml:space="preserve"> for understanding Fe toxicity</w:t>
      </w:r>
      <w:r w:rsidR="00EE7ABD" w:rsidRPr="0023761B">
        <w:rPr>
          <w:rFonts w:ascii="Times New Roman" w:hAnsi="Times New Roman" w:cs="Times New Roman"/>
          <w:sz w:val="24"/>
          <w:szCs w:val="24"/>
          <w:lang w:val="en-GB"/>
        </w:rPr>
        <w:t>.</w:t>
      </w:r>
      <w:r w:rsidR="00EE7ABD" w:rsidRPr="0023761B">
        <w:rPr>
          <w:rFonts w:ascii="Times New Roman" w:hAnsi="Times New Roman" w:cs="Times New Roman"/>
          <w:sz w:val="24"/>
          <w:szCs w:val="24"/>
          <w:vertAlign w:val="superscript"/>
          <w:lang w:val="en-GB"/>
        </w:rPr>
        <w:t>4</w:t>
      </w:r>
      <w:r w:rsidR="00CE3DB3" w:rsidRPr="0023761B">
        <w:rPr>
          <w:rFonts w:ascii="Times New Roman" w:hAnsi="Times New Roman" w:cs="Times New Roman"/>
          <w:sz w:val="24"/>
          <w:szCs w:val="24"/>
          <w:vertAlign w:val="superscript"/>
          <w:lang w:val="en-GB"/>
        </w:rPr>
        <w:t>,5</w:t>
      </w:r>
      <w:r w:rsidR="00EE7ABD" w:rsidRPr="0023761B">
        <w:rPr>
          <w:rFonts w:ascii="Times New Roman" w:hAnsi="Times New Roman" w:cs="Times New Roman"/>
          <w:sz w:val="24"/>
          <w:szCs w:val="24"/>
          <w:vertAlign w:val="superscript"/>
          <w:lang w:val="en-GB"/>
        </w:rPr>
        <w:t xml:space="preserve"> </w:t>
      </w:r>
      <w:r w:rsidR="00032F5A" w:rsidRPr="0023761B">
        <w:rPr>
          <w:rFonts w:ascii="Times New Roman" w:hAnsi="Times New Roman" w:cs="Times New Roman"/>
          <w:sz w:val="24"/>
          <w:szCs w:val="24"/>
          <w:lang w:val="en-GB"/>
        </w:rPr>
        <w:t xml:space="preserve">This is partly due to complex Fe geochemistry; either of the two redox states (Fe(II), Fe(III)) may be present in various complexes </w:t>
      </w:r>
      <w:r w:rsidR="00F0114E">
        <w:rPr>
          <w:rFonts w:ascii="Times New Roman" w:hAnsi="Times New Roman" w:cs="Times New Roman"/>
          <w:sz w:val="24"/>
          <w:szCs w:val="24"/>
          <w:lang w:val="en-GB"/>
        </w:rPr>
        <w:t xml:space="preserve">and size fractions </w:t>
      </w:r>
      <w:r w:rsidR="00604695">
        <w:rPr>
          <w:rFonts w:ascii="Times New Roman" w:hAnsi="Times New Roman" w:cs="Times New Roman"/>
          <w:sz w:val="24"/>
          <w:szCs w:val="24"/>
          <w:lang w:val="en-GB"/>
        </w:rPr>
        <w:t>(e.g. as truly dissolved,</w:t>
      </w:r>
      <w:r w:rsidR="00EE7ABD" w:rsidRPr="0023761B">
        <w:rPr>
          <w:rFonts w:ascii="Times New Roman" w:hAnsi="Times New Roman" w:cs="Times New Roman"/>
          <w:sz w:val="24"/>
          <w:szCs w:val="24"/>
          <w:lang w:val="en-GB"/>
        </w:rPr>
        <w:t xml:space="preserve"> </w:t>
      </w:r>
      <w:r w:rsidR="00032F5A" w:rsidRPr="0023761B">
        <w:rPr>
          <w:rFonts w:ascii="Times New Roman" w:hAnsi="Times New Roman" w:cs="Times New Roman"/>
          <w:sz w:val="24"/>
          <w:szCs w:val="24"/>
          <w:lang w:val="en-GB"/>
        </w:rPr>
        <w:t xml:space="preserve">in </w:t>
      </w:r>
      <w:r w:rsidR="00EE7ABD" w:rsidRPr="0023761B">
        <w:rPr>
          <w:rFonts w:ascii="Times New Roman" w:hAnsi="Times New Roman" w:cs="Times New Roman"/>
          <w:sz w:val="24"/>
          <w:szCs w:val="24"/>
          <w:lang w:val="en-GB"/>
        </w:rPr>
        <w:t>soluble coordination complexes with inorganic ligands and organic ligands</w:t>
      </w:r>
      <w:r w:rsidR="00032F5A" w:rsidRPr="0023761B">
        <w:rPr>
          <w:rFonts w:ascii="Times New Roman" w:hAnsi="Times New Roman" w:cs="Times New Roman"/>
          <w:sz w:val="24"/>
          <w:szCs w:val="24"/>
          <w:lang w:val="en-GB"/>
        </w:rPr>
        <w:t>,</w:t>
      </w:r>
      <w:r w:rsidR="00EE7ABD" w:rsidRPr="0023761B">
        <w:rPr>
          <w:rFonts w:ascii="Times New Roman" w:hAnsi="Times New Roman" w:cs="Times New Roman"/>
          <w:sz w:val="24"/>
          <w:szCs w:val="24"/>
          <w:lang w:val="en-GB"/>
        </w:rPr>
        <w:t xml:space="preserve"> or in a variety of colloidal and/or particulate forms</w:t>
      </w:r>
      <w:r w:rsidR="00032F5A" w:rsidRPr="0023761B">
        <w:rPr>
          <w:rFonts w:ascii="Times New Roman" w:hAnsi="Times New Roman" w:cs="Times New Roman"/>
          <w:sz w:val="24"/>
          <w:szCs w:val="24"/>
          <w:lang w:val="en-GB"/>
        </w:rPr>
        <w:t>)</w:t>
      </w:r>
      <w:r w:rsidR="00EE7ABD" w:rsidRPr="0023761B">
        <w:rPr>
          <w:rFonts w:ascii="Times New Roman" w:hAnsi="Times New Roman" w:cs="Times New Roman"/>
          <w:sz w:val="24"/>
          <w:szCs w:val="24"/>
          <w:lang w:val="en-GB"/>
        </w:rPr>
        <w:t xml:space="preserve">. </w:t>
      </w:r>
      <w:r w:rsidR="00864346" w:rsidRPr="0023761B">
        <w:rPr>
          <w:rFonts w:ascii="Times New Roman" w:hAnsi="Times New Roman" w:cs="Times New Roman"/>
          <w:sz w:val="24"/>
          <w:szCs w:val="24"/>
          <w:lang w:val="en-GB"/>
        </w:rPr>
        <w:t>Investigation of the fractions accessible to biota</w:t>
      </w:r>
      <w:r w:rsidR="00032F5A" w:rsidRPr="0023761B">
        <w:rPr>
          <w:rFonts w:ascii="Times New Roman" w:hAnsi="Times New Roman" w:cs="Times New Roman"/>
          <w:sz w:val="24"/>
          <w:szCs w:val="24"/>
          <w:lang w:val="en-GB"/>
        </w:rPr>
        <w:t xml:space="preserve"> (bioavailable)</w:t>
      </w:r>
      <w:r w:rsidR="00864346" w:rsidRPr="0023761B">
        <w:rPr>
          <w:rFonts w:ascii="Times New Roman" w:hAnsi="Times New Roman" w:cs="Times New Roman"/>
          <w:sz w:val="24"/>
          <w:szCs w:val="24"/>
          <w:lang w:val="en-GB"/>
        </w:rPr>
        <w:t xml:space="preserve"> </w:t>
      </w:r>
      <w:r w:rsidR="00A20459" w:rsidRPr="0023761B">
        <w:rPr>
          <w:rFonts w:ascii="Times New Roman" w:hAnsi="Times New Roman" w:cs="Times New Roman"/>
          <w:sz w:val="24"/>
          <w:szCs w:val="24"/>
          <w:lang w:val="en-GB"/>
        </w:rPr>
        <w:t xml:space="preserve">is </w:t>
      </w:r>
      <w:r w:rsidR="00864346" w:rsidRPr="0023761B">
        <w:rPr>
          <w:rFonts w:ascii="Times New Roman" w:hAnsi="Times New Roman" w:cs="Times New Roman"/>
          <w:sz w:val="24"/>
          <w:szCs w:val="24"/>
          <w:lang w:val="en-GB"/>
        </w:rPr>
        <w:t>often hampered by their extremely low environmental concentrations, wh</w:t>
      </w:r>
      <w:r w:rsidR="00032F5A" w:rsidRPr="0023761B">
        <w:rPr>
          <w:rFonts w:ascii="Times New Roman" w:hAnsi="Times New Roman" w:cs="Times New Roman"/>
          <w:sz w:val="24"/>
          <w:szCs w:val="24"/>
          <w:lang w:val="en-GB"/>
        </w:rPr>
        <w:t>ich</w:t>
      </w:r>
      <w:r w:rsidR="0027703C" w:rsidRPr="0023761B">
        <w:rPr>
          <w:rFonts w:ascii="Times New Roman" w:hAnsi="Times New Roman" w:cs="Times New Roman"/>
          <w:sz w:val="24"/>
          <w:szCs w:val="24"/>
          <w:lang w:val="en-GB"/>
        </w:rPr>
        <w:t xml:space="preserve"> requires</w:t>
      </w:r>
      <w:r w:rsidR="00864346" w:rsidRPr="0023761B">
        <w:rPr>
          <w:rFonts w:ascii="Times New Roman" w:hAnsi="Times New Roman" w:cs="Times New Roman"/>
          <w:sz w:val="24"/>
          <w:szCs w:val="24"/>
          <w:lang w:val="en-GB"/>
        </w:rPr>
        <w:t xml:space="preserve"> the use of </w:t>
      </w:r>
      <w:r w:rsidR="00032F5A" w:rsidRPr="0023761B">
        <w:rPr>
          <w:rFonts w:ascii="Times New Roman" w:hAnsi="Times New Roman" w:cs="Times New Roman"/>
          <w:sz w:val="24"/>
          <w:szCs w:val="24"/>
          <w:lang w:val="en-GB"/>
        </w:rPr>
        <w:t xml:space="preserve">contamination-prone </w:t>
      </w:r>
      <w:r w:rsidR="00864346" w:rsidRPr="0023761B">
        <w:rPr>
          <w:rFonts w:ascii="Times New Roman" w:hAnsi="Times New Roman" w:cs="Times New Roman"/>
          <w:sz w:val="24"/>
          <w:szCs w:val="24"/>
          <w:lang w:val="en-GB"/>
        </w:rPr>
        <w:t>detection methods</w:t>
      </w:r>
      <w:r w:rsidR="0027703C" w:rsidRPr="0023761B">
        <w:rPr>
          <w:rFonts w:ascii="Times New Roman" w:hAnsi="Times New Roman" w:cs="Times New Roman"/>
          <w:sz w:val="24"/>
          <w:szCs w:val="24"/>
          <w:lang w:val="en-GB"/>
        </w:rPr>
        <w:t xml:space="preserve"> </w:t>
      </w:r>
      <w:r w:rsidR="00425A90" w:rsidRPr="0023761B">
        <w:rPr>
          <w:rFonts w:ascii="Times New Roman" w:hAnsi="Times New Roman" w:cs="Times New Roman"/>
          <w:sz w:val="24"/>
          <w:szCs w:val="24"/>
          <w:lang w:val="en-GB"/>
        </w:rPr>
        <w:t>(e</w:t>
      </w:r>
      <w:r w:rsidR="00F0114E">
        <w:rPr>
          <w:rFonts w:ascii="Times New Roman" w:hAnsi="Times New Roman" w:cs="Times New Roman"/>
          <w:sz w:val="24"/>
          <w:szCs w:val="24"/>
          <w:lang w:val="en-GB"/>
        </w:rPr>
        <w:t>.</w:t>
      </w:r>
      <w:r w:rsidR="00425A90" w:rsidRPr="0023761B">
        <w:rPr>
          <w:rFonts w:ascii="Times New Roman" w:hAnsi="Times New Roman" w:cs="Times New Roman"/>
          <w:sz w:val="24"/>
          <w:szCs w:val="24"/>
          <w:lang w:val="en-GB"/>
        </w:rPr>
        <w:t>g. voltam</w:t>
      </w:r>
      <w:r w:rsidR="00F0114E">
        <w:rPr>
          <w:rFonts w:ascii="Times New Roman" w:hAnsi="Times New Roman" w:cs="Times New Roman"/>
          <w:sz w:val="24"/>
          <w:szCs w:val="24"/>
          <w:lang w:val="en-GB"/>
        </w:rPr>
        <w:t>metry</w:t>
      </w:r>
      <w:r w:rsidR="00425A90" w:rsidRPr="0023761B">
        <w:rPr>
          <w:rFonts w:ascii="Times New Roman" w:hAnsi="Times New Roman" w:cs="Times New Roman"/>
          <w:sz w:val="24"/>
          <w:szCs w:val="24"/>
          <w:lang w:val="en-GB"/>
        </w:rPr>
        <w:t xml:space="preserve"> and </w:t>
      </w:r>
      <w:r w:rsidR="00F0114E" w:rsidRPr="0023761B">
        <w:rPr>
          <w:rFonts w:ascii="Times New Roman" w:hAnsi="Times New Roman" w:cs="Times New Roman"/>
          <w:sz w:val="24"/>
          <w:szCs w:val="24"/>
          <w:lang w:val="en-GB"/>
        </w:rPr>
        <w:t>potentiometr</w:t>
      </w:r>
      <w:r w:rsidR="00F0114E">
        <w:rPr>
          <w:rFonts w:ascii="Times New Roman" w:hAnsi="Times New Roman" w:cs="Times New Roman"/>
          <w:sz w:val="24"/>
          <w:szCs w:val="24"/>
          <w:lang w:val="en-GB"/>
        </w:rPr>
        <w:t>y</w:t>
      </w:r>
      <w:r w:rsidR="00425A90" w:rsidRPr="0023761B">
        <w:rPr>
          <w:rFonts w:ascii="Times New Roman" w:hAnsi="Times New Roman" w:cs="Times New Roman"/>
          <w:sz w:val="24"/>
          <w:szCs w:val="24"/>
          <w:lang w:val="en-GB"/>
        </w:rPr>
        <w:t>)</w:t>
      </w:r>
      <w:r w:rsidR="006E72F3" w:rsidRPr="0023761B">
        <w:rPr>
          <w:rFonts w:ascii="Times New Roman" w:hAnsi="Times New Roman" w:cs="Times New Roman"/>
          <w:sz w:val="24"/>
          <w:szCs w:val="24"/>
          <w:lang w:val="en-GB"/>
        </w:rPr>
        <w:t>.</w:t>
      </w:r>
      <w:r w:rsidR="00856180" w:rsidRPr="0023761B">
        <w:rPr>
          <w:rFonts w:ascii="Times New Roman" w:hAnsi="Times New Roman" w:cs="Times New Roman"/>
          <w:sz w:val="24"/>
          <w:szCs w:val="24"/>
          <w:vertAlign w:val="superscript"/>
          <w:lang w:val="en-GB"/>
        </w:rPr>
        <w:t>6</w:t>
      </w:r>
      <w:r w:rsidR="006E72F3" w:rsidRPr="0023761B">
        <w:rPr>
          <w:rFonts w:ascii="Times New Roman" w:hAnsi="Times New Roman" w:cs="Times New Roman"/>
          <w:sz w:val="24"/>
          <w:szCs w:val="24"/>
          <w:vertAlign w:val="superscript"/>
          <w:lang w:val="en-GB"/>
        </w:rPr>
        <w:t>-8</w:t>
      </w:r>
      <w:r w:rsidR="00864346" w:rsidRPr="0023761B">
        <w:rPr>
          <w:rFonts w:ascii="Times New Roman" w:hAnsi="Times New Roman" w:cs="Times New Roman"/>
          <w:sz w:val="24"/>
          <w:szCs w:val="24"/>
          <w:lang w:val="en-GB"/>
        </w:rPr>
        <w:t xml:space="preserve"> </w:t>
      </w:r>
      <w:r w:rsidR="00032F5A" w:rsidRPr="0023761B">
        <w:rPr>
          <w:rFonts w:ascii="Times New Roman" w:hAnsi="Times New Roman" w:cs="Times New Roman"/>
          <w:sz w:val="24"/>
          <w:szCs w:val="24"/>
          <w:lang w:val="en-GB"/>
        </w:rPr>
        <w:t>S</w:t>
      </w:r>
      <w:r w:rsidR="000501CB" w:rsidRPr="0023761B">
        <w:rPr>
          <w:rFonts w:ascii="Times New Roman" w:hAnsi="Times New Roman" w:cs="Times New Roman"/>
          <w:sz w:val="24"/>
          <w:szCs w:val="24"/>
          <w:lang w:val="en-GB"/>
        </w:rPr>
        <w:t>tudying</w:t>
      </w:r>
      <w:r w:rsidR="00864346" w:rsidRPr="0023761B">
        <w:rPr>
          <w:rFonts w:ascii="Times New Roman" w:hAnsi="Times New Roman" w:cs="Times New Roman"/>
          <w:sz w:val="24"/>
          <w:szCs w:val="24"/>
          <w:lang w:val="en-GB"/>
        </w:rPr>
        <w:t xml:space="preserve"> </w:t>
      </w:r>
      <w:r w:rsidR="000501CB" w:rsidRPr="0023761B">
        <w:rPr>
          <w:rFonts w:ascii="Times New Roman" w:hAnsi="Times New Roman" w:cs="Times New Roman"/>
          <w:sz w:val="24"/>
          <w:szCs w:val="24"/>
          <w:lang w:val="en-GB"/>
        </w:rPr>
        <w:t xml:space="preserve">of </w:t>
      </w:r>
      <w:r w:rsidR="00032F5A" w:rsidRPr="0023761B">
        <w:rPr>
          <w:rFonts w:ascii="Times New Roman" w:hAnsi="Times New Roman" w:cs="Times New Roman"/>
          <w:sz w:val="24"/>
          <w:szCs w:val="24"/>
          <w:lang w:val="en-GB"/>
        </w:rPr>
        <w:t xml:space="preserve">Fe </w:t>
      </w:r>
      <w:r w:rsidR="00864346" w:rsidRPr="0023761B">
        <w:rPr>
          <w:rFonts w:ascii="Times New Roman" w:hAnsi="Times New Roman" w:cs="Times New Roman"/>
          <w:sz w:val="24"/>
          <w:szCs w:val="24"/>
          <w:lang w:val="en-GB"/>
        </w:rPr>
        <w:t>cycling</w:t>
      </w:r>
      <w:r w:rsidR="000501CB" w:rsidRPr="0023761B">
        <w:rPr>
          <w:rFonts w:ascii="Times New Roman" w:hAnsi="Times New Roman" w:cs="Times New Roman"/>
          <w:sz w:val="24"/>
          <w:szCs w:val="24"/>
          <w:lang w:val="en-GB"/>
        </w:rPr>
        <w:t xml:space="preserve"> in the environment</w:t>
      </w:r>
      <w:r w:rsidR="00864346" w:rsidRPr="0023761B">
        <w:rPr>
          <w:rFonts w:ascii="Times New Roman" w:hAnsi="Times New Roman" w:cs="Times New Roman"/>
          <w:sz w:val="24"/>
          <w:szCs w:val="24"/>
          <w:lang w:val="en-GB"/>
        </w:rPr>
        <w:t xml:space="preserve"> is </w:t>
      </w:r>
      <w:r w:rsidR="00032F5A" w:rsidRPr="0023761B">
        <w:rPr>
          <w:rFonts w:ascii="Times New Roman" w:hAnsi="Times New Roman" w:cs="Times New Roman"/>
          <w:sz w:val="24"/>
          <w:szCs w:val="24"/>
          <w:lang w:val="en-GB"/>
        </w:rPr>
        <w:t xml:space="preserve">further complicated </w:t>
      </w:r>
      <w:r w:rsidR="000501CB" w:rsidRPr="0023761B">
        <w:rPr>
          <w:rFonts w:ascii="Times New Roman" w:hAnsi="Times New Roman" w:cs="Times New Roman"/>
          <w:sz w:val="24"/>
          <w:szCs w:val="24"/>
          <w:lang w:val="en-GB"/>
        </w:rPr>
        <w:t xml:space="preserve">also </w:t>
      </w:r>
      <w:r w:rsidR="00864346" w:rsidRPr="0023761B">
        <w:rPr>
          <w:rFonts w:ascii="Times New Roman" w:hAnsi="Times New Roman" w:cs="Times New Roman"/>
          <w:sz w:val="24"/>
          <w:szCs w:val="24"/>
          <w:lang w:val="en-GB"/>
        </w:rPr>
        <w:t xml:space="preserve">because the distribution of </w:t>
      </w:r>
      <w:r w:rsidR="000501CB" w:rsidRPr="0023761B">
        <w:rPr>
          <w:rFonts w:ascii="Times New Roman" w:hAnsi="Times New Roman" w:cs="Times New Roman"/>
          <w:sz w:val="24"/>
          <w:szCs w:val="24"/>
          <w:lang w:val="en-GB"/>
        </w:rPr>
        <w:t xml:space="preserve">its </w:t>
      </w:r>
      <w:r w:rsidR="00864346" w:rsidRPr="0023761B">
        <w:rPr>
          <w:rFonts w:ascii="Times New Roman" w:hAnsi="Times New Roman" w:cs="Times New Roman"/>
          <w:sz w:val="24"/>
          <w:szCs w:val="24"/>
          <w:lang w:val="en-GB"/>
        </w:rPr>
        <w:t>chemical species often changes during sampling and storage</w:t>
      </w:r>
      <w:r w:rsidR="00EE7ABD" w:rsidRPr="0023761B">
        <w:rPr>
          <w:rFonts w:ascii="Times New Roman" w:hAnsi="Times New Roman" w:cs="Times New Roman"/>
          <w:sz w:val="24"/>
          <w:szCs w:val="24"/>
          <w:lang w:val="en-GB"/>
        </w:rPr>
        <w:t>.</w:t>
      </w:r>
      <w:r w:rsidR="000501CB" w:rsidRPr="0023761B">
        <w:rPr>
          <w:rFonts w:ascii="Times New Roman" w:hAnsi="Times New Roman" w:cs="Times New Roman"/>
          <w:sz w:val="24"/>
          <w:szCs w:val="24"/>
          <w:lang w:val="en-GB"/>
        </w:rPr>
        <w:t xml:space="preserve"> Thus, </w:t>
      </w:r>
      <w:r w:rsidR="00032F5A" w:rsidRPr="0023761B">
        <w:rPr>
          <w:rFonts w:ascii="Times New Roman" w:hAnsi="Times New Roman" w:cs="Times New Roman"/>
          <w:sz w:val="24"/>
          <w:szCs w:val="24"/>
          <w:lang w:val="en-GB"/>
        </w:rPr>
        <w:t>there is need</w:t>
      </w:r>
      <w:r w:rsidR="000501CB" w:rsidRPr="0023761B">
        <w:rPr>
          <w:rFonts w:ascii="Times New Roman" w:hAnsi="Times New Roman" w:cs="Times New Roman"/>
          <w:sz w:val="24"/>
          <w:szCs w:val="24"/>
          <w:lang w:val="en-GB"/>
        </w:rPr>
        <w:t xml:space="preserve"> to develop new techniques that provide reliable measurement of </w:t>
      </w:r>
      <w:r w:rsidR="003B1FA1">
        <w:rPr>
          <w:rFonts w:ascii="Times New Roman" w:hAnsi="Times New Roman" w:cs="Times New Roman"/>
          <w:sz w:val="24"/>
          <w:szCs w:val="24"/>
          <w:lang w:val="en-GB"/>
        </w:rPr>
        <w:t>Fe</w:t>
      </w:r>
      <w:r w:rsidR="000501CB" w:rsidRPr="0023761B">
        <w:rPr>
          <w:rFonts w:ascii="Times New Roman" w:hAnsi="Times New Roman" w:cs="Times New Roman"/>
          <w:sz w:val="24"/>
          <w:szCs w:val="24"/>
          <w:lang w:val="en-GB"/>
        </w:rPr>
        <w:t xml:space="preserve"> redox species in natural </w:t>
      </w:r>
      <w:r w:rsidR="006004DD">
        <w:rPr>
          <w:rFonts w:ascii="Times New Roman" w:hAnsi="Times New Roman" w:cs="Times New Roman"/>
          <w:sz w:val="24"/>
          <w:szCs w:val="24"/>
          <w:lang w:val="en-GB"/>
        </w:rPr>
        <w:t>environments</w:t>
      </w:r>
      <w:r w:rsidR="000501CB" w:rsidRPr="0023761B">
        <w:rPr>
          <w:rFonts w:ascii="Times New Roman" w:hAnsi="Times New Roman" w:cs="Times New Roman"/>
          <w:sz w:val="24"/>
          <w:szCs w:val="24"/>
          <w:lang w:val="en-GB"/>
        </w:rPr>
        <w:t>.</w:t>
      </w:r>
    </w:p>
    <w:p w14:paraId="40C57ADF" w14:textId="2B3A61E4" w:rsidR="006D1203" w:rsidRPr="0023761B" w:rsidRDefault="008E7A72" w:rsidP="001204B9">
      <w:pPr>
        <w:spacing w:after="0" w:line="360" w:lineRule="auto"/>
        <w:ind w:firstLine="706"/>
        <w:jc w:val="both"/>
        <w:rPr>
          <w:lang w:val="en-GB"/>
        </w:rPr>
      </w:pPr>
      <w:r w:rsidRPr="0023761B">
        <w:rPr>
          <w:rFonts w:ascii="Times New Roman" w:hAnsi="Times New Roman" w:cs="Times New Roman"/>
          <w:sz w:val="24"/>
          <w:szCs w:val="24"/>
          <w:lang w:val="en-GB"/>
        </w:rPr>
        <w:t>Diffusive gradients in thin-film</w:t>
      </w:r>
      <w:r w:rsidR="00D2207F" w:rsidRPr="0023761B">
        <w:rPr>
          <w:rFonts w:ascii="Times New Roman" w:hAnsi="Times New Roman" w:cs="Times New Roman"/>
          <w:sz w:val="24"/>
          <w:szCs w:val="24"/>
          <w:lang w:val="en-GB"/>
        </w:rPr>
        <w:t xml:space="preserve"> </w:t>
      </w:r>
      <w:r w:rsidR="008D1988" w:rsidRPr="0023761B">
        <w:rPr>
          <w:rFonts w:ascii="Times New Roman" w:hAnsi="Times New Roman" w:cs="Times New Roman"/>
          <w:sz w:val="24"/>
          <w:szCs w:val="24"/>
          <w:lang w:val="en-GB"/>
        </w:rPr>
        <w:t>(DGT)</w:t>
      </w:r>
      <w:r w:rsidR="008D1988">
        <w:rPr>
          <w:rFonts w:ascii="Times New Roman" w:hAnsi="Times New Roman" w:cs="Times New Roman"/>
          <w:sz w:val="24"/>
          <w:szCs w:val="24"/>
          <w:lang w:val="en-GB"/>
        </w:rPr>
        <w:t xml:space="preserve"> </w:t>
      </w:r>
      <w:r w:rsidR="004A29AE" w:rsidRPr="0023761B">
        <w:rPr>
          <w:rFonts w:ascii="Times New Roman" w:hAnsi="Times New Roman" w:cs="Times New Roman"/>
          <w:sz w:val="24"/>
          <w:szCs w:val="24"/>
          <w:lang w:val="en-GB"/>
        </w:rPr>
        <w:t xml:space="preserve">technique </w:t>
      </w:r>
      <w:r w:rsidR="00D2207F" w:rsidRPr="0023761B">
        <w:rPr>
          <w:rFonts w:ascii="Times New Roman" w:hAnsi="Times New Roman" w:cs="Times New Roman"/>
          <w:sz w:val="24"/>
          <w:szCs w:val="24"/>
          <w:lang w:val="en-GB"/>
        </w:rPr>
        <w:t xml:space="preserve">has been </w:t>
      </w:r>
      <w:r w:rsidRPr="0023761B">
        <w:rPr>
          <w:rFonts w:ascii="Times New Roman" w:hAnsi="Times New Roman" w:cs="Times New Roman"/>
          <w:sz w:val="24"/>
          <w:szCs w:val="24"/>
          <w:lang w:val="en-GB"/>
        </w:rPr>
        <w:t xml:space="preserve">increasingly used </w:t>
      </w:r>
      <w:r w:rsidR="00D2207F" w:rsidRPr="0023761B">
        <w:rPr>
          <w:rFonts w:ascii="Times New Roman" w:hAnsi="Times New Roman" w:cs="Times New Roman"/>
          <w:sz w:val="24"/>
          <w:szCs w:val="24"/>
          <w:lang w:val="en-GB"/>
        </w:rPr>
        <w:t xml:space="preserve">for </w:t>
      </w:r>
      <w:r w:rsidRPr="0023761B">
        <w:rPr>
          <w:rFonts w:ascii="Times New Roman" w:hAnsi="Times New Roman" w:cs="Times New Roman"/>
          <w:sz w:val="24"/>
          <w:szCs w:val="24"/>
          <w:lang w:val="en-GB"/>
        </w:rPr>
        <w:t xml:space="preserve">monitoring of environmental pollution due to its robustness, versatility, precision and capacity </w:t>
      </w:r>
      <w:r w:rsidR="00D2207F" w:rsidRPr="0023761B">
        <w:rPr>
          <w:rFonts w:ascii="Times New Roman" w:hAnsi="Times New Roman" w:cs="Times New Roman"/>
          <w:sz w:val="24"/>
          <w:szCs w:val="24"/>
          <w:lang w:val="en-GB"/>
        </w:rPr>
        <w:t xml:space="preserve">of </w:t>
      </w:r>
      <w:r w:rsidRPr="0023761B">
        <w:rPr>
          <w:rFonts w:ascii="Times New Roman" w:hAnsi="Times New Roman" w:cs="Times New Roman"/>
          <w:sz w:val="24"/>
          <w:szCs w:val="24"/>
          <w:lang w:val="en-GB"/>
        </w:rPr>
        <w:t>pre-</w:t>
      </w:r>
      <w:r w:rsidR="00D2207F" w:rsidRPr="0023761B">
        <w:rPr>
          <w:rFonts w:ascii="Times New Roman" w:hAnsi="Times New Roman" w:cs="Times New Roman"/>
          <w:sz w:val="24"/>
          <w:szCs w:val="24"/>
          <w:lang w:val="en-GB"/>
        </w:rPr>
        <w:t xml:space="preserve">concentrating </w:t>
      </w:r>
      <w:r w:rsidRPr="0023761B">
        <w:rPr>
          <w:rFonts w:ascii="Times New Roman" w:hAnsi="Times New Roman" w:cs="Times New Roman"/>
          <w:sz w:val="24"/>
          <w:szCs w:val="24"/>
          <w:lang w:val="en-GB"/>
        </w:rPr>
        <w:t xml:space="preserve">trace-level </w:t>
      </w:r>
      <w:r w:rsidR="004A29AE" w:rsidRPr="0023761B">
        <w:rPr>
          <w:rFonts w:ascii="Times New Roman" w:hAnsi="Times New Roman" w:cs="Times New Roman"/>
          <w:sz w:val="24"/>
          <w:szCs w:val="24"/>
          <w:lang w:val="en-GB"/>
        </w:rPr>
        <w:t xml:space="preserve">metal </w:t>
      </w:r>
      <w:r w:rsidRPr="0023761B">
        <w:rPr>
          <w:rFonts w:ascii="Times New Roman" w:hAnsi="Times New Roman" w:cs="Times New Roman"/>
          <w:sz w:val="24"/>
          <w:szCs w:val="24"/>
          <w:lang w:val="en-GB"/>
        </w:rPr>
        <w:t xml:space="preserve">pollutants. </w:t>
      </w:r>
      <w:r w:rsidR="00A950E5" w:rsidRPr="0023761B">
        <w:rPr>
          <w:rFonts w:ascii="Times New Roman" w:hAnsi="Times New Roman" w:cs="Times New Roman"/>
          <w:sz w:val="24"/>
          <w:lang w:val="en-GB"/>
        </w:rPr>
        <w:t xml:space="preserve">In the uptake process, metals diffuse from natural waters through the diffusive layer to the binding layer </w:t>
      </w:r>
      <w:r w:rsidR="004A29AE" w:rsidRPr="0023761B">
        <w:rPr>
          <w:rFonts w:ascii="Times New Roman" w:hAnsi="Times New Roman" w:cs="Times New Roman"/>
          <w:sz w:val="24"/>
          <w:lang w:val="en-GB"/>
        </w:rPr>
        <w:t xml:space="preserve">(commonly </w:t>
      </w:r>
      <w:r w:rsidR="00A950E5" w:rsidRPr="0023761B">
        <w:rPr>
          <w:rFonts w:ascii="Times New Roman" w:hAnsi="Times New Roman" w:cs="Times New Roman"/>
          <w:sz w:val="24"/>
          <w:lang w:val="en-GB"/>
        </w:rPr>
        <w:t>Chelex-100 resin</w:t>
      </w:r>
      <w:r w:rsidR="004A29AE" w:rsidRPr="0023761B">
        <w:rPr>
          <w:rFonts w:ascii="Times New Roman" w:hAnsi="Times New Roman" w:cs="Times New Roman"/>
          <w:sz w:val="24"/>
          <w:lang w:val="en-GB"/>
        </w:rPr>
        <w:t>)</w:t>
      </w:r>
      <w:r w:rsidR="00A950E5" w:rsidRPr="0023761B">
        <w:rPr>
          <w:rFonts w:ascii="Times New Roman" w:hAnsi="Times New Roman" w:cs="Times New Roman"/>
          <w:sz w:val="24"/>
          <w:lang w:val="en-GB"/>
        </w:rPr>
        <w:t>, which is selective to transition metals and their species</w:t>
      </w:r>
      <w:r w:rsidR="00734112" w:rsidRPr="0023761B">
        <w:rPr>
          <w:rFonts w:ascii="Times New Roman" w:hAnsi="Times New Roman" w:cs="Times New Roman"/>
          <w:sz w:val="24"/>
          <w:vertAlign w:val="superscript"/>
          <w:lang w:val="en-GB"/>
        </w:rPr>
        <w:t>2,</w:t>
      </w:r>
      <w:r w:rsidR="006E72F3" w:rsidRPr="0023761B">
        <w:rPr>
          <w:rFonts w:ascii="Times New Roman" w:hAnsi="Times New Roman" w:cs="Times New Roman"/>
          <w:sz w:val="24"/>
          <w:vertAlign w:val="superscript"/>
          <w:lang w:val="en-GB"/>
        </w:rPr>
        <w:t>9</w:t>
      </w:r>
      <w:r w:rsidR="00A950E5" w:rsidRPr="0023761B">
        <w:rPr>
          <w:rFonts w:ascii="Times New Roman" w:hAnsi="Times New Roman" w:cs="Times New Roman"/>
          <w:sz w:val="24"/>
          <w:lang w:val="en-GB"/>
        </w:rPr>
        <w:t xml:space="preserve">, such </w:t>
      </w:r>
      <w:r w:rsidR="00D2207F" w:rsidRPr="0023761B">
        <w:rPr>
          <w:rFonts w:ascii="Times New Roman" w:hAnsi="Times New Roman" w:cs="Times New Roman"/>
          <w:sz w:val="24"/>
          <w:lang w:val="en-GB"/>
        </w:rPr>
        <w:t xml:space="preserve">as </w:t>
      </w:r>
      <w:r w:rsidR="00A950E5" w:rsidRPr="0023761B">
        <w:rPr>
          <w:rFonts w:ascii="Times New Roman" w:hAnsi="Times New Roman" w:cs="Times New Roman"/>
          <w:sz w:val="24"/>
          <w:lang w:val="en-GB"/>
        </w:rPr>
        <w:t>Fe(II) and Fe(III).</w:t>
      </w:r>
      <w:r w:rsidR="00C24B1A" w:rsidRPr="0023761B">
        <w:rPr>
          <w:rFonts w:ascii="Times New Roman" w:hAnsi="Times New Roman" w:cs="Times New Roman"/>
          <w:sz w:val="24"/>
          <w:lang w:val="en-GB"/>
        </w:rPr>
        <w:t xml:space="preserve"> The detection of iron species bo</w:t>
      </w:r>
      <w:r w:rsidR="006010B9" w:rsidRPr="0023761B">
        <w:rPr>
          <w:rFonts w:ascii="Times New Roman" w:hAnsi="Times New Roman" w:cs="Times New Roman"/>
          <w:sz w:val="24"/>
          <w:lang w:val="en-GB"/>
        </w:rPr>
        <w:t>u</w:t>
      </w:r>
      <w:r w:rsidR="00C24B1A" w:rsidRPr="0023761B">
        <w:rPr>
          <w:rFonts w:ascii="Times New Roman" w:hAnsi="Times New Roman" w:cs="Times New Roman"/>
          <w:sz w:val="24"/>
          <w:lang w:val="en-GB"/>
        </w:rPr>
        <w:t>nd in the resin gel ca</w:t>
      </w:r>
      <w:r w:rsidR="004A29AE" w:rsidRPr="0023761B">
        <w:rPr>
          <w:rFonts w:ascii="Times New Roman" w:hAnsi="Times New Roman" w:cs="Times New Roman"/>
          <w:sz w:val="24"/>
          <w:lang w:val="en-GB"/>
        </w:rPr>
        <w:t>n</w:t>
      </w:r>
      <w:r w:rsidR="00A544BF" w:rsidRPr="0023761B">
        <w:rPr>
          <w:rFonts w:ascii="Times New Roman" w:hAnsi="Times New Roman" w:cs="Times New Roman"/>
          <w:sz w:val="24"/>
          <w:lang w:val="en-GB"/>
        </w:rPr>
        <w:t xml:space="preserve"> then</w:t>
      </w:r>
      <w:r w:rsidR="00C24B1A" w:rsidRPr="0023761B">
        <w:rPr>
          <w:rFonts w:ascii="Times New Roman" w:hAnsi="Times New Roman" w:cs="Times New Roman"/>
          <w:sz w:val="24"/>
          <w:lang w:val="en-GB"/>
        </w:rPr>
        <w:t xml:space="preserve"> be performed by</w:t>
      </w:r>
      <w:r w:rsidR="00A950E5" w:rsidRPr="0023761B">
        <w:rPr>
          <w:rFonts w:ascii="Times New Roman" w:hAnsi="Times New Roman" w:cs="Times New Roman"/>
          <w:sz w:val="24"/>
          <w:lang w:val="en-GB"/>
        </w:rPr>
        <w:t xml:space="preserve"> </w:t>
      </w:r>
      <w:r w:rsidR="00A544BF" w:rsidRPr="0023761B">
        <w:rPr>
          <w:rFonts w:ascii="Times New Roman" w:hAnsi="Times New Roman" w:cs="Times New Roman"/>
          <w:sz w:val="24"/>
          <w:lang w:val="en-GB"/>
        </w:rPr>
        <w:t>a variety of analytical techniques</w:t>
      </w:r>
      <w:r w:rsidR="008C50EB" w:rsidRPr="0023761B">
        <w:rPr>
          <w:rFonts w:ascii="Times New Roman" w:hAnsi="Times New Roman" w:cs="Times New Roman"/>
          <w:sz w:val="24"/>
          <w:lang w:val="en-GB"/>
        </w:rPr>
        <w:t xml:space="preserve">, including </w:t>
      </w:r>
      <w:r w:rsidR="00A950E5" w:rsidRPr="0023761B">
        <w:rPr>
          <w:rFonts w:ascii="Times New Roman" w:hAnsi="Times New Roman" w:cs="Times New Roman"/>
          <w:sz w:val="24"/>
          <w:lang w:val="en-GB"/>
        </w:rPr>
        <w:t>the photothermal beam deflection spectroscopy (BDS).</w:t>
      </w:r>
      <w:r w:rsidR="00E02314" w:rsidRPr="0023761B">
        <w:rPr>
          <w:lang w:val="en-GB"/>
        </w:rPr>
        <w:t xml:space="preserve"> </w:t>
      </w:r>
    </w:p>
    <w:p w14:paraId="683E99FC" w14:textId="5244AC99" w:rsidR="001E494F" w:rsidRPr="0023761B" w:rsidRDefault="006004DD" w:rsidP="001204B9">
      <w:pPr>
        <w:spacing w:after="0" w:line="360" w:lineRule="auto"/>
        <w:ind w:firstLine="706"/>
        <w:jc w:val="both"/>
        <w:rPr>
          <w:rFonts w:ascii="Times New Roman" w:hAnsi="Times New Roman" w:cs="Times New Roman"/>
          <w:sz w:val="24"/>
          <w:lang w:val="en-GB"/>
        </w:rPr>
      </w:pPr>
      <w:r>
        <w:rPr>
          <w:rFonts w:ascii="Times New Roman" w:hAnsi="Times New Roman" w:cs="Times New Roman"/>
          <w:sz w:val="24"/>
          <w:lang w:val="en-GB"/>
        </w:rPr>
        <w:t xml:space="preserve">In the </w:t>
      </w:r>
      <w:r w:rsidR="00E44FC3">
        <w:rPr>
          <w:rFonts w:ascii="Times New Roman" w:hAnsi="Times New Roman" w:cs="Times New Roman"/>
          <w:sz w:val="24"/>
          <w:lang w:val="en-GB"/>
        </w:rPr>
        <w:t>theoretical approach</w:t>
      </w:r>
      <w:r w:rsidRPr="0023761B">
        <w:rPr>
          <w:rFonts w:ascii="Times New Roman" w:hAnsi="Times New Roman" w:cs="Times New Roman"/>
          <w:sz w:val="24"/>
          <w:lang w:val="en-GB"/>
        </w:rPr>
        <w:t xml:space="preserve"> </w:t>
      </w:r>
      <w:r w:rsidR="00E44FC3">
        <w:rPr>
          <w:rFonts w:ascii="Times New Roman" w:hAnsi="Times New Roman" w:cs="Times New Roman"/>
          <w:sz w:val="24"/>
          <w:lang w:val="en-GB"/>
        </w:rPr>
        <w:t>to</w:t>
      </w:r>
      <w:r w:rsidR="00945170" w:rsidRPr="0023761B">
        <w:rPr>
          <w:rFonts w:ascii="Times New Roman" w:hAnsi="Times New Roman" w:cs="Times New Roman"/>
          <w:sz w:val="24"/>
          <w:lang w:val="en-GB"/>
        </w:rPr>
        <w:t xml:space="preserve"> </w:t>
      </w:r>
      <w:r w:rsidR="00EA222D" w:rsidRPr="0023761B">
        <w:rPr>
          <w:rFonts w:ascii="Times New Roman" w:hAnsi="Times New Roman" w:cs="Times New Roman"/>
          <w:sz w:val="24"/>
          <w:lang w:val="en-GB"/>
        </w:rPr>
        <w:t xml:space="preserve">the coupled DGT-DBS </w:t>
      </w:r>
      <w:r w:rsidR="00945170" w:rsidRPr="0023761B">
        <w:rPr>
          <w:rFonts w:ascii="Times New Roman" w:hAnsi="Times New Roman" w:cs="Times New Roman"/>
          <w:sz w:val="24"/>
          <w:lang w:val="en-GB"/>
        </w:rPr>
        <w:t>method, an intensity modulated beam of light illuminates</w:t>
      </w:r>
      <w:r w:rsidR="006010B9" w:rsidRPr="0023761B">
        <w:rPr>
          <w:rFonts w:ascii="Times New Roman" w:hAnsi="Times New Roman" w:cs="Times New Roman"/>
          <w:sz w:val="24"/>
          <w:lang w:val="en-GB"/>
        </w:rPr>
        <w:t xml:space="preserve"> (excitation beam EB)</w:t>
      </w:r>
      <w:r w:rsidR="00945170" w:rsidRPr="0023761B">
        <w:rPr>
          <w:rFonts w:ascii="Times New Roman" w:hAnsi="Times New Roman" w:cs="Times New Roman"/>
          <w:sz w:val="24"/>
          <w:lang w:val="en-GB"/>
        </w:rPr>
        <w:t xml:space="preserve"> </w:t>
      </w:r>
      <w:r w:rsidR="006010B9" w:rsidRPr="0023761B">
        <w:rPr>
          <w:rFonts w:ascii="Times New Roman" w:hAnsi="Times New Roman" w:cs="Times New Roman"/>
          <w:sz w:val="24"/>
          <w:lang w:val="en-GB"/>
        </w:rPr>
        <w:t xml:space="preserve">the </w:t>
      </w:r>
      <w:r w:rsidR="00945170" w:rsidRPr="0023761B">
        <w:rPr>
          <w:rFonts w:ascii="Times New Roman" w:hAnsi="Times New Roman" w:cs="Times New Roman"/>
          <w:sz w:val="24"/>
          <w:lang w:val="en-GB"/>
        </w:rPr>
        <w:t>absorbing sample</w:t>
      </w:r>
      <w:r>
        <w:rPr>
          <w:rFonts w:ascii="Times New Roman" w:hAnsi="Times New Roman" w:cs="Times New Roman"/>
          <w:sz w:val="24"/>
          <w:lang w:val="en-GB"/>
        </w:rPr>
        <w:t xml:space="preserve"> with iron species</w:t>
      </w:r>
      <w:r w:rsidR="00945170" w:rsidRPr="0023761B">
        <w:rPr>
          <w:rFonts w:ascii="Times New Roman" w:hAnsi="Times New Roman" w:cs="Times New Roman"/>
          <w:sz w:val="24"/>
          <w:lang w:val="en-GB"/>
        </w:rPr>
        <w:t xml:space="preserve">. As a result of nonradiative deexcitation processes, thermal waves are generated. They diffuse into the sample and the adjacent medium </w:t>
      </w:r>
      <w:r w:rsidR="006010B9" w:rsidRPr="0023761B">
        <w:rPr>
          <w:rFonts w:ascii="Times New Roman" w:hAnsi="Times New Roman" w:cs="Times New Roman"/>
          <w:sz w:val="24"/>
          <w:lang w:val="en-GB"/>
        </w:rPr>
        <w:t>inducing the thermal oscillation</w:t>
      </w:r>
      <w:r w:rsidR="00451AEC" w:rsidRPr="0023761B">
        <w:rPr>
          <w:rFonts w:ascii="Times New Roman" w:hAnsi="Times New Roman" w:cs="Times New Roman"/>
          <w:sz w:val="24"/>
          <w:lang w:val="en-GB"/>
        </w:rPr>
        <w:t>s (TOs)</w:t>
      </w:r>
      <w:r w:rsidR="006010B9" w:rsidRPr="0023761B">
        <w:rPr>
          <w:rFonts w:ascii="Times New Roman" w:hAnsi="Times New Roman" w:cs="Times New Roman"/>
          <w:sz w:val="24"/>
          <w:lang w:val="en-GB"/>
        </w:rPr>
        <w:t xml:space="preserve"> called the </w:t>
      </w:r>
      <w:r w:rsidR="00945170" w:rsidRPr="0023761B">
        <w:rPr>
          <w:rFonts w:ascii="Times New Roman" w:hAnsi="Times New Roman" w:cs="Times New Roman"/>
          <w:sz w:val="24"/>
          <w:lang w:val="en-GB"/>
        </w:rPr>
        <w:t>temperature field</w:t>
      </w:r>
      <w:r w:rsidR="008C50EB" w:rsidRPr="0023761B">
        <w:rPr>
          <w:rFonts w:ascii="Times New Roman" w:hAnsi="Times New Roman" w:cs="Times New Roman"/>
          <w:sz w:val="24"/>
          <w:lang w:val="en-GB"/>
        </w:rPr>
        <w:t>.</w:t>
      </w:r>
      <w:r w:rsidR="00945170" w:rsidRPr="0023761B">
        <w:rPr>
          <w:rFonts w:ascii="Times New Roman" w:hAnsi="Times New Roman" w:cs="Times New Roman"/>
          <w:sz w:val="24"/>
          <w:lang w:val="en-GB"/>
        </w:rPr>
        <w:t xml:space="preserve"> </w:t>
      </w:r>
      <w:r w:rsidR="000F559A">
        <w:rPr>
          <w:rFonts w:ascii="Times New Roman" w:hAnsi="Times New Roman" w:cs="Times New Roman"/>
          <w:sz w:val="24"/>
          <w:lang w:val="en-GB"/>
        </w:rPr>
        <w:t>C</w:t>
      </w:r>
      <w:r w:rsidR="00864480" w:rsidRPr="0023761B">
        <w:rPr>
          <w:rFonts w:ascii="Times New Roman" w:hAnsi="Times New Roman" w:cs="Times New Roman"/>
          <w:sz w:val="24"/>
          <w:lang w:val="en-GB"/>
        </w:rPr>
        <w:t>ausing</w:t>
      </w:r>
      <w:r w:rsidR="00945170" w:rsidRPr="0023761B">
        <w:rPr>
          <w:rFonts w:ascii="Times New Roman" w:hAnsi="Times New Roman" w:cs="Times New Roman"/>
          <w:sz w:val="24"/>
          <w:lang w:val="en-GB"/>
        </w:rPr>
        <w:t xml:space="preserve"> the intensity change of another light beam </w:t>
      </w:r>
      <w:r w:rsidR="00DC7C15" w:rsidRPr="0023761B">
        <w:rPr>
          <w:rFonts w:ascii="Times New Roman" w:hAnsi="Times New Roman" w:cs="Times New Roman"/>
          <w:sz w:val="24"/>
          <w:lang w:val="en-GB"/>
        </w:rPr>
        <w:t xml:space="preserve">(probe beam PB) </w:t>
      </w:r>
      <w:r w:rsidR="00945170" w:rsidRPr="0023761B">
        <w:rPr>
          <w:rFonts w:ascii="Times New Roman" w:hAnsi="Times New Roman" w:cs="Times New Roman"/>
          <w:sz w:val="24"/>
          <w:lang w:val="en-GB"/>
        </w:rPr>
        <w:t>passing through the</w:t>
      </w:r>
      <w:r w:rsidR="00DC7C15" w:rsidRPr="0023761B">
        <w:rPr>
          <w:rFonts w:ascii="Times New Roman" w:hAnsi="Times New Roman" w:cs="Times New Roman"/>
          <w:sz w:val="24"/>
          <w:lang w:val="en-GB"/>
        </w:rPr>
        <w:t xml:space="preserve"> samples</w:t>
      </w:r>
      <w:r w:rsidR="00945170" w:rsidRPr="0023761B">
        <w:rPr>
          <w:rFonts w:ascii="Times New Roman" w:hAnsi="Times New Roman" w:cs="Times New Roman"/>
          <w:sz w:val="24"/>
          <w:lang w:val="en-GB"/>
        </w:rPr>
        <w:t xml:space="preserve"> adjacent medium</w:t>
      </w:r>
      <w:r w:rsidR="006010B9" w:rsidRPr="0023761B">
        <w:rPr>
          <w:rFonts w:ascii="Times New Roman" w:hAnsi="Times New Roman" w:cs="Times New Roman"/>
          <w:sz w:val="24"/>
          <w:lang w:val="en-GB"/>
        </w:rPr>
        <w:t xml:space="preserve"> and</w:t>
      </w:r>
      <w:r w:rsidR="00945170" w:rsidRPr="0023761B">
        <w:rPr>
          <w:rFonts w:ascii="Times New Roman" w:hAnsi="Times New Roman" w:cs="Times New Roman"/>
          <w:sz w:val="24"/>
          <w:lang w:val="en-GB"/>
        </w:rPr>
        <w:t xml:space="preserve"> grazing </w:t>
      </w:r>
      <w:r w:rsidR="00DC7C15" w:rsidRPr="0023761B">
        <w:rPr>
          <w:rFonts w:ascii="Times New Roman" w:hAnsi="Times New Roman" w:cs="Times New Roman"/>
          <w:sz w:val="24"/>
          <w:lang w:val="en-GB"/>
        </w:rPr>
        <w:t>its</w:t>
      </w:r>
      <w:r w:rsidR="00945170" w:rsidRPr="0023761B">
        <w:rPr>
          <w:rFonts w:ascii="Times New Roman" w:hAnsi="Times New Roman" w:cs="Times New Roman"/>
          <w:sz w:val="24"/>
          <w:lang w:val="en-GB"/>
        </w:rPr>
        <w:t xml:space="preserve"> surface</w:t>
      </w:r>
      <w:r w:rsidR="006E72F3" w:rsidRPr="0023761B">
        <w:rPr>
          <w:rFonts w:ascii="Times New Roman" w:hAnsi="Times New Roman" w:cs="Times New Roman"/>
          <w:sz w:val="24"/>
          <w:vertAlign w:val="superscript"/>
          <w:lang w:val="en-GB"/>
        </w:rPr>
        <w:t>10,11</w:t>
      </w:r>
      <w:r w:rsidR="00945170" w:rsidRPr="0023761B">
        <w:rPr>
          <w:rFonts w:ascii="Times New Roman" w:hAnsi="Times New Roman" w:cs="Times New Roman"/>
          <w:sz w:val="24"/>
          <w:lang w:val="en-GB"/>
        </w:rPr>
        <w:t xml:space="preserve">. </w:t>
      </w:r>
      <w:r w:rsidR="00864480" w:rsidRPr="0023761B">
        <w:rPr>
          <w:rFonts w:ascii="Times New Roman" w:hAnsi="Times New Roman" w:cs="Times New Roman"/>
          <w:sz w:val="24"/>
          <w:lang w:val="en-GB"/>
        </w:rPr>
        <w:t xml:space="preserve">Intensity </w:t>
      </w:r>
      <w:r w:rsidR="00E02314" w:rsidRPr="0023761B">
        <w:rPr>
          <w:rFonts w:ascii="Times New Roman" w:hAnsi="Times New Roman" w:cs="Times New Roman"/>
          <w:sz w:val="24"/>
          <w:lang w:val="en-GB"/>
        </w:rPr>
        <w:t xml:space="preserve">changes are </w:t>
      </w:r>
      <w:r w:rsidR="00F0114E">
        <w:rPr>
          <w:rFonts w:ascii="Times New Roman" w:hAnsi="Times New Roman" w:cs="Times New Roman"/>
          <w:sz w:val="24"/>
          <w:lang w:val="en-GB"/>
        </w:rPr>
        <w:t>correlated</w:t>
      </w:r>
      <w:r w:rsidR="00CC312A" w:rsidRPr="0023761B">
        <w:rPr>
          <w:rFonts w:ascii="Times New Roman" w:hAnsi="Times New Roman" w:cs="Times New Roman"/>
          <w:sz w:val="24"/>
          <w:lang w:val="en-GB"/>
        </w:rPr>
        <w:t xml:space="preserve"> </w:t>
      </w:r>
      <w:r w:rsidR="00E02314" w:rsidRPr="0023761B">
        <w:rPr>
          <w:rFonts w:ascii="Times New Roman" w:hAnsi="Times New Roman" w:cs="Times New Roman"/>
          <w:sz w:val="24"/>
          <w:lang w:val="en-GB"/>
        </w:rPr>
        <w:t xml:space="preserve">to the </w:t>
      </w:r>
      <w:r w:rsidR="00C47CCB" w:rsidRPr="0023761B">
        <w:rPr>
          <w:rFonts w:ascii="Times New Roman" w:hAnsi="Times New Roman" w:cs="Times New Roman"/>
          <w:sz w:val="24"/>
          <w:lang w:val="en-GB"/>
        </w:rPr>
        <w:t xml:space="preserve">iron </w:t>
      </w:r>
      <w:r w:rsidR="00E02314" w:rsidRPr="0023761B">
        <w:rPr>
          <w:rFonts w:ascii="Times New Roman" w:hAnsi="Times New Roman" w:cs="Times New Roman"/>
          <w:sz w:val="24"/>
          <w:lang w:val="en-GB"/>
        </w:rPr>
        <w:t xml:space="preserve">concentration </w:t>
      </w:r>
      <w:r w:rsidR="00CC312A" w:rsidRPr="0023761B">
        <w:rPr>
          <w:rFonts w:ascii="Times New Roman" w:hAnsi="Times New Roman" w:cs="Times New Roman"/>
          <w:sz w:val="24"/>
          <w:lang w:val="en-GB"/>
        </w:rPr>
        <w:t xml:space="preserve">bonded </w:t>
      </w:r>
      <w:r w:rsidR="00E02314" w:rsidRPr="0023761B">
        <w:rPr>
          <w:rFonts w:ascii="Times New Roman" w:hAnsi="Times New Roman" w:cs="Times New Roman"/>
          <w:sz w:val="24"/>
          <w:lang w:val="en-GB"/>
        </w:rPr>
        <w:t>in the examined gel</w:t>
      </w:r>
      <w:r w:rsidR="00C47CCB" w:rsidRPr="0023761B">
        <w:rPr>
          <w:rFonts w:ascii="Times New Roman" w:hAnsi="Times New Roman" w:cs="Times New Roman"/>
          <w:sz w:val="24"/>
          <w:lang w:val="en-GB"/>
        </w:rPr>
        <w:t>.</w:t>
      </w:r>
      <w:r w:rsidR="006E72F3" w:rsidRPr="0023761B">
        <w:rPr>
          <w:rFonts w:ascii="Times New Roman" w:hAnsi="Times New Roman" w:cs="Times New Roman"/>
          <w:sz w:val="24"/>
          <w:vertAlign w:val="superscript"/>
          <w:lang w:val="en-GB"/>
        </w:rPr>
        <w:t>12</w:t>
      </w:r>
      <w:r w:rsidR="00C47CCB" w:rsidRPr="0023761B">
        <w:rPr>
          <w:rFonts w:ascii="Times New Roman" w:hAnsi="Times New Roman" w:cs="Times New Roman"/>
          <w:sz w:val="24"/>
          <w:lang w:val="en-GB"/>
        </w:rPr>
        <w:t xml:space="preserve"> </w:t>
      </w:r>
      <w:r w:rsidR="00E909BC" w:rsidRPr="0023761B">
        <w:rPr>
          <w:rFonts w:ascii="Times New Roman" w:hAnsi="Times New Roman" w:cs="Times New Roman"/>
          <w:sz w:val="24"/>
          <w:lang w:val="en-GB"/>
        </w:rPr>
        <w:t>Presumably,</w:t>
      </w:r>
      <w:r w:rsidR="000F559A">
        <w:rPr>
          <w:rFonts w:ascii="Times New Roman" w:hAnsi="Times New Roman" w:cs="Times New Roman"/>
          <w:sz w:val="24"/>
          <w:lang w:val="en-GB"/>
        </w:rPr>
        <w:t xml:space="preserve"> </w:t>
      </w:r>
      <w:r w:rsidR="00E909BC" w:rsidRPr="0023761B">
        <w:rPr>
          <w:rFonts w:ascii="Times New Roman" w:hAnsi="Times New Roman" w:cs="Times New Roman"/>
          <w:sz w:val="24"/>
          <w:lang w:val="en-GB"/>
        </w:rPr>
        <w:t>t</w:t>
      </w:r>
      <w:r w:rsidR="00A45980" w:rsidRPr="0023761B">
        <w:rPr>
          <w:rFonts w:ascii="Times New Roman" w:hAnsi="Times New Roman" w:cs="Times New Roman"/>
          <w:sz w:val="24"/>
          <w:lang w:val="en-GB"/>
        </w:rPr>
        <w:t>he BDS technique</w:t>
      </w:r>
      <w:r w:rsidR="00C36CC0" w:rsidRPr="0023761B">
        <w:rPr>
          <w:rFonts w:ascii="Times New Roman" w:hAnsi="Times New Roman" w:cs="Times New Roman"/>
          <w:sz w:val="24"/>
          <w:lang w:val="en-GB"/>
        </w:rPr>
        <w:t xml:space="preserve"> </w:t>
      </w:r>
      <w:r w:rsidR="00E909BC" w:rsidRPr="0023761B">
        <w:rPr>
          <w:rFonts w:ascii="Times New Roman" w:hAnsi="Times New Roman" w:cs="Times New Roman"/>
          <w:sz w:val="24"/>
          <w:lang w:val="en-GB"/>
        </w:rPr>
        <w:t xml:space="preserve">would </w:t>
      </w:r>
      <w:r w:rsidR="00C36CC0" w:rsidRPr="0023761B">
        <w:rPr>
          <w:rFonts w:ascii="Times New Roman" w:hAnsi="Times New Roman" w:cs="Times New Roman"/>
          <w:sz w:val="24"/>
          <w:lang w:val="en-GB"/>
        </w:rPr>
        <w:t>provide a highly sensitive chemical analysis</w:t>
      </w:r>
      <w:r w:rsidR="00A45980" w:rsidRPr="0023761B">
        <w:rPr>
          <w:rFonts w:ascii="Times New Roman" w:hAnsi="Times New Roman" w:cs="Times New Roman"/>
          <w:sz w:val="24"/>
          <w:lang w:val="en-GB"/>
        </w:rPr>
        <w:t xml:space="preserve">, </w:t>
      </w:r>
      <w:r w:rsidR="00E909BC" w:rsidRPr="0023761B">
        <w:rPr>
          <w:rFonts w:ascii="Times New Roman" w:hAnsi="Times New Roman" w:cs="Times New Roman"/>
          <w:sz w:val="24"/>
          <w:lang w:val="en-GB"/>
        </w:rPr>
        <w:t>will be</w:t>
      </w:r>
      <w:r w:rsidR="00615378" w:rsidRPr="0023761B">
        <w:rPr>
          <w:rFonts w:ascii="Times New Roman" w:hAnsi="Times New Roman" w:cs="Times New Roman"/>
          <w:sz w:val="24"/>
          <w:lang w:val="en-GB"/>
        </w:rPr>
        <w:t xml:space="preserve"> non-invasive and </w:t>
      </w:r>
      <w:r w:rsidR="00E909BC" w:rsidRPr="0023761B">
        <w:rPr>
          <w:rFonts w:ascii="Times New Roman" w:hAnsi="Times New Roman" w:cs="Times New Roman"/>
          <w:sz w:val="24"/>
          <w:lang w:val="en-GB"/>
        </w:rPr>
        <w:t xml:space="preserve">will </w:t>
      </w:r>
      <w:r w:rsidR="00615378" w:rsidRPr="0023761B">
        <w:rPr>
          <w:rFonts w:ascii="Times New Roman" w:hAnsi="Times New Roman" w:cs="Times New Roman"/>
          <w:sz w:val="24"/>
          <w:lang w:val="en-GB"/>
        </w:rPr>
        <w:t xml:space="preserve">retain </w:t>
      </w:r>
      <w:r w:rsidR="00C36CC0" w:rsidRPr="0023761B">
        <w:rPr>
          <w:rFonts w:ascii="Times New Roman" w:hAnsi="Times New Roman" w:cs="Times New Roman"/>
          <w:sz w:val="24"/>
          <w:lang w:val="en-GB"/>
        </w:rPr>
        <w:t>optical and structural characteristics of the sample</w:t>
      </w:r>
      <w:r w:rsidR="00945170" w:rsidRPr="0023761B">
        <w:rPr>
          <w:rFonts w:ascii="Times New Roman" w:hAnsi="Times New Roman" w:cs="Times New Roman"/>
          <w:sz w:val="24"/>
          <w:vertAlign w:val="superscript"/>
          <w:lang w:val="en-GB"/>
        </w:rPr>
        <w:t>1</w:t>
      </w:r>
      <w:r w:rsidR="006E72F3" w:rsidRPr="0023761B">
        <w:rPr>
          <w:rFonts w:ascii="Times New Roman" w:hAnsi="Times New Roman" w:cs="Times New Roman"/>
          <w:sz w:val="24"/>
          <w:vertAlign w:val="superscript"/>
          <w:lang w:val="en-GB"/>
        </w:rPr>
        <w:t>3</w:t>
      </w:r>
      <w:r w:rsidR="004C5CE8" w:rsidRPr="0023761B">
        <w:rPr>
          <w:rFonts w:ascii="Times New Roman" w:hAnsi="Times New Roman" w:cs="Times New Roman"/>
          <w:sz w:val="24"/>
          <w:vertAlign w:val="superscript"/>
          <w:lang w:val="en-GB"/>
        </w:rPr>
        <w:t>-</w:t>
      </w:r>
      <w:r w:rsidR="00FC3DC5" w:rsidRPr="0023761B">
        <w:rPr>
          <w:rFonts w:ascii="Times New Roman" w:hAnsi="Times New Roman" w:cs="Times New Roman"/>
          <w:sz w:val="24"/>
          <w:vertAlign w:val="superscript"/>
          <w:lang w:val="en-GB"/>
        </w:rPr>
        <w:t>1</w:t>
      </w:r>
      <w:r w:rsidR="006044B7" w:rsidRPr="0023761B">
        <w:rPr>
          <w:rFonts w:ascii="Times New Roman" w:hAnsi="Times New Roman" w:cs="Times New Roman"/>
          <w:sz w:val="24"/>
          <w:vertAlign w:val="superscript"/>
          <w:lang w:val="en-GB"/>
        </w:rPr>
        <w:t>6</w:t>
      </w:r>
      <w:r w:rsidR="00C36CC0" w:rsidRPr="0023761B">
        <w:rPr>
          <w:rFonts w:ascii="Times New Roman" w:hAnsi="Times New Roman" w:cs="Times New Roman"/>
          <w:sz w:val="24"/>
          <w:lang w:val="en-GB"/>
        </w:rPr>
        <w:t xml:space="preserve">, </w:t>
      </w:r>
      <w:r w:rsidR="00A45980" w:rsidRPr="0023761B">
        <w:rPr>
          <w:rFonts w:ascii="Times New Roman" w:hAnsi="Times New Roman" w:cs="Times New Roman"/>
          <w:sz w:val="24"/>
          <w:lang w:val="en-GB"/>
        </w:rPr>
        <w:t xml:space="preserve">thus, </w:t>
      </w:r>
      <w:r w:rsidR="00C36CC0" w:rsidRPr="0023761B">
        <w:rPr>
          <w:rFonts w:ascii="Times New Roman" w:hAnsi="Times New Roman" w:cs="Times New Roman"/>
          <w:sz w:val="24"/>
          <w:lang w:val="en-GB"/>
        </w:rPr>
        <w:t>offer</w:t>
      </w:r>
      <w:r w:rsidR="00E909BC" w:rsidRPr="0023761B">
        <w:rPr>
          <w:rFonts w:ascii="Times New Roman" w:hAnsi="Times New Roman" w:cs="Times New Roman"/>
          <w:sz w:val="24"/>
          <w:lang w:val="en-GB"/>
        </w:rPr>
        <w:t>ing</w:t>
      </w:r>
      <w:r w:rsidR="00C36CC0" w:rsidRPr="0023761B">
        <w:rPr>
          <w:rFonts w:ascii="Times New Roman" w:hAnsi="Times New Roman" w:cs="Times New Roman"/>
          <w:sz w:val="24"/>
          <w:lang w:val="en-GB"/>
        </w:rPr>
        <w:t xml:space="preserve"> new possibilities for determination of iron species in natural water</w:t>
      </w:r>
      <w:r w:rsidR="00E909BC" w:rsidRPr="0023761B">
        <w:rPr>
          <w:rFonts w:ascii="Times New Roman" w:hAnsi="Times New Roman" w:cs="Times New Roman"/>
          <w:sz w:val="24"/>
          <w:lang w:val="en-GB"/>
        </w:rPr>
        <w:t xml:space="preserve"> environments</w:t>
      </w:r>
      <w:r w:rsidR="00C36CC0" w:rsidRPr="0023761B">
        <w:rPr>
          <w:rFonts w:ascii="Times New Roman" w:hAnsi="Times New Roman" w:cs="Times New Roman"/>
          <w:sz w:val="24"/>
          <w:lang w:val="en-GB"/>
        </w:rPr>
        <w:t>.</w:t>
      </w:r>
    </w:p>
    <w:p w14:paraId="660514F5" w14:textId="6875F1F1" w:rsidR="00F0114E" w:rsidRPr="0023761B" w:rsidRDefault="00F0114E" w:rsidP="00F0114E">
      <w:pPr>
        <w:spacing w:after="0" w:line="360" w:lineRule="auto"/>
        <w:ind w:firstLine="706"/>
        <w:jc w:val="both"/>
        <w:rPr>
          <w:rFonts w:ascii="Times New Roman" w:hAnsi="Times New Roman" w:cs="Times New Roman"/>
          <w:sz w:val="24"/>
          <w:szCs w:val="24"/>
          <w:lang w:val="en-GB"/>
        </w:rPr>
      </w:pPr>
      <w:r w:rsidRPr="0023761B">
        <w:rPr>
          <w:rFonts w:ascii="Times New Roman" w:hAnsi="Times New Roman" w:cs="Times New Roman"/>
          <w:sz w:val="24"/>
          <w:lang w:val="en-GB"/>
        </w:rPr>
        <w:t xml:space="preserve">The goal of this work was </w:t>
      </w:r>
      <w:r>
        <w:rPr>
          <w:rFonts w:ascii="Times New Roman" w:hAnsi="Times New Roman" w:cs="Times New Roman"/>
          <w:sz w:val="24"/>
          <w:lang w:val="en-GB"/>
        </w:rPr>
        <w:t xml:space="preserve">therefore </w:t>
      </w:r>
      <w:r w:rsidRPr="0023761B">
        <w:rPr>
          <w:rFonts w:ascii="Times New Roman" w:hAnsi="Times New Roman" w:cs="Times New Roman"/>
          <w:sz w:val="24"/>
          <w:lang w:val="en-GB"/>
        </w:rPr>
        <w:t xml:space="preserve">to couple </w:t>
      </w:r>
      <w:r>
        <w:rPr>
          <w:rFonts w:ascii="Times New Roman" w:hAnsi="Times New Roman" w:cs="Times New Roman"/>
          <w:sz w:val="24"/>
          <w:lang w:val="en-GB"/>
        </w:rPr>
        <w:t>DGT and</w:t>
      </w:r>
      <w:r w:rsidRPr="0023761B">
        <w:rPr>
          <w:rFonts w:ascii="Times New Roman" w:hAnsi="Times New Roman" w:cs="Times New Roman"/>
          <w:sz w:val="24"/>
          <w:lang w:val="en-GB"/>
        </w:rPr>
        <w:t xml:space="preserve"> BDS method</w:t>
      </w:r>
      <w:r>
        <w:rPr>
          <w:rFonts w:ascii="Times New Roman" w:hAnsi="Times New Roman" w:cs="Times New Roman"/>
          <w:sz w:val="24"/>
          <w:lang w:val="en-GB"/>
        </w:rPr>
        <w:t>s, and</w:t>
      </w:r>
      <w:r w:rsidRPr="0023761B">
        <w:rPr>
          <w:rFonts w:ascii="Times New Roman" w:hAnsi="Times New Roman" w:cs="Times New Roman"/>
          <w:sz w:val="24"/>
          <w:lang w:val="en-GB"/>
        </w:rPr>
        <w:t xml:space="preserve"> to determine dissolved Fe redox species concentration as well as the amount of dissolved total </w:t>
      </w:r>
      <w:r>
        <w:rPr>
          <w:rFonts w:ascii="Times New Roman" w:hAnsi="Times New Roman" w:cs="Times New Roman"/>
          <w:sz w:val="24"/>
          <w:lang w:val="en-GB"/>
        </w:rPr>
        <w:t>Fe</w:t>
      </w:r>
      <w:r w:rsidRPr="0023761B">
        <w:rPr>
          <w:rFonts w:ascii="Times New Roman" w:hAnsi="Times New Roman" w:cs="Times New Roman"/>
          <w:sz w:val="24"/>
          <w:lang w:val="en-GB"/>
        </w:rPr>
        <w:t xml:space="preserve"> in the river sediments.</w:t>
      </w:r>
    </w:p>
    <w:p w14:paraId="37522CDA" w14:textId="77777777" w:rsidR="00A02E72" w:rsidRPr="0023761B" w:rsidRDefault="00A02E72" w:rsidP="00A02E72">
      <w:pPr>
        <w:spacing w:after="0" w:line="360" w:lineRule="auto"/>
        <w:jc w:val="both"/>
        <w:rPr>
          <w:rFonts w:ascii="Times New Roman" w:hAnsi="Times New Roman" w:cs="Times New Roman"/>
          <w:sz w:val="24"/>
          <w:szCs w:val="24"/>
          <w:lang w:val="en-GB"/>
        </w:rPr>
      </w:pPr>
    </w:p>
    <w:p w14:paraId="668F818F" w14:textId="71517997" w:rsidR="006D123E" w:rsidRPr="0023761B" w:rsidRDefault="00AC1A17" w:rsidP="00EE7ABD">
      <w:pPr>
        <w:pStyle w:val="ListParagraph"/>
        <w:numPr>
          <w:ilvl w:val="0"/>
          <w:numId w:val="2"/>
        </w:numPr>
        <w:spacing w:after="0" w:line="360" w:lineRule="auto"/>
        <w:jc w:val="center"/>
        <w:rPr>
          <w:rFonts w:ascii="Times New Roman" w:hAnsi="Times New Roman" w:cs="Times New Roman"/>
          <w:sz w:val="28"/>
          <w:lang w:val="en-GB"/>
        </w:rPr>
      </w:pPr>
      <w:r w:rsidRPr="0023761B">
        <w:rPr>
          <w:rFonts w:ascii="Times New Roman" w:hAnsi="Times New Roman" w:cs="Times New Roman"/>
          <w:b/>
          <w:sz w:val="28"/>
          <w:lang w:val="en-GB"/>
        </w:rPr>
        <w:t>Experimental</w:t>
      </w:r>
    </w:p>
    <w:p w14:paraId="5DB290F6" w14:textId="77777777" w:rsidR="000D3611" w:rsidRPr="0023761B" w:rsidRDefault="000D3611" w:rsidP="000D3611">
      <w:pPr>
        <w:pStyle w:val="ListParagraph"/>
        <w:spacing w:after="0" w:line="360" w:lineRule="auto"/>
        <w:ind w:left="360"/>
        <w:rPr>
          <w:rFonts w:ascii="Times New Roman" w:hAnsi="Times New Roman" w:cs="Times New Roman"/>
          <w:sz w:val="28"/>
          <w:lang w:val="en-GB"/>
        </w:rPr>
      </w:pPr>
    </w:p>
    <w:p w14:paraId="7E5E7AD2" w14:textId="694619C6" w:rsidR="00856180" w:rsidRPr="0023761B" w:rsidRDefault="005F68A4" w:rsidP="000D3611">
      <w:pPr>
        <w:spacing w:after="0" w:line="360" w:lineRule="auto"/>
        <w:jc w:val="both"/>
        <w:rPr>
          <w:rFonts w:ascii="Times New Roman" w:hAnsi="Times New Roman" w:cs="Times New Roman"/>
          <w:b/>
          <w:sz w:val="24"/>
          <w:lang w:val="en-GB"/>
        </w:rPr>
      </w:pPr>
      <w:r w:rsidRPr="0023761B">
        <w:rPr>
          <w:rFonts w:ascii="Times New Roman" w:hAnsi="Times New Roman" w:cs="Times New Roman"/>
          <w:b/>
          <w:sz w:val="24"/>
          <w:lang w:val="en-GB"/>
        </w:rPr>
        <w:t>2.1.</w:t>
      </w:r>
      <w:r w:rsidR="00856180" w:rsidRPr="0023761B">
        <w:rPr>
          <w:rFonts w:ascii="Times New Roman" w:hAnsi="Times New Roman" w:cs="Times New Roman"/>
          <w:b/>
          <w:sz w:val="24"/>
          <w:lang w:val="en-GB"/>
        </w:rPr>
        <w:t xml:space="preserve"> Solutions and reagents</w:t>
      </w:r>
    </w:p>
    <w:p w14:paraId="1C5D39BF" w14:textId="37511AFE" w:rsidR="00856180" w:rsidRPr="0023761B" w:rsidRDefault="00856180" w:rsidP="00856180">
      <w:pPr>
        <w:spacing w:after="0" w:line="360" w:lineRule="auto"/>
        <w:ind w:firstLine="706"/>
        <w:jc w:val="both"/>
        <w:rPr>
          <w:rFonts w:ascii="Times New Roman" w:hAnsi="Times New Roman" w:cs="Times New Roman"/>
          <w:sz w:val="24"/>
          <w:szCs w:val="24"/>
          <w:lang w:val="en-GB"/>
        </w:rPr>
      </w:pPr>
      <w:r w:rsidRPr="0023761B">
        <w:rPr>
          <w:rFonts w:ascii="Times New Roman" w:hAnsi="Times New Roman" w:cs="Times New Roman"/>
          <w:sz w:val="24"/>
          <w:szCs w:val="24"/>
          <w:lang w:val="en-GB"/>
        </w:rPr>
        <w:t>The solution of 3 mM 1.10-phenanthroline</w:t>
      </w:r>
      <w:r w:rsidR="00FC3C15" w:rsidRPr="0023761B">
        <w:rPr>
          <w:rFonts w:ascii="Times New Roman" w:hAnsi="Times New Roman" w:cs="Times New Roman"/>
          <w:sz w:val="24"/>
          <w:szCs w:val="24"/>
          <w:lang w:val="en-GB"/>
        </w:rPr>
        <w:t xml:space="preserve"> (PHN)</w:t>
      </w:r>
      <w:r w:rsidRPr="0023761B">
        <w:rPr>
          <w:rFonts w:ascii="Times New Roman" w:hAnsi="Times New Roman" w:cs="Times New Roman"/>
          <w:sz w:val="24"/>
          <w:szCs w:val="24"/>
          <w:lang w:val="en-GB"/>
        </w:rPr>
        <w:t xml:space="preserve"> </w:t>
      </w:r>
      <w:r w:rsidRPr="0023761B">
        <w:rPr>
          <w:rFonts w:ascii="Times New Roman" w:hAnsi="Times New Roman" w:cs="Times New Roman"/>
          <w:sz w:val="24"/>
          <w:lang w:val="en-GB"/>
        </w:rPr>
        <w:t xml:space="preserve">was prepared by adding 2.61 g of </w:t>
      </w:r>
      <w:r w:rsidR="0057589F">
        <w:rPr>
          <w:rFonts w:ascii="Times New Roman" w:hAnsi="Times New Roman" w:cs="Times New Roman"/>
          <w:sz w:val="24"/>
          <w:lang w:val="en-GB"/>
        </w:rPr>
        <w:t>PHN</w:t>
      </w:r>
      <w:r w:rsidRPr="0023761B">
        <w:rPr>
          <w:rFonts w:ascii="Times New Roman" w:hAnsi="Times New Roman" w:cs="Times New Roman"/>
          <w:sz w:val="24"/>
          <w:lang w:val="en-GB"/>
        </w:rPr>
        <w:t xml:space="preserve"> (Merck) to 5.0 mL of 6 M HCl and dissolving both in 500 mL of double-deionized water </w:t>
      </w:r>
      <w:r w:rsidRPr="0023761B">
        <w:rPr>
          <w:rFonts w:ascii="Times New Roman" w:hAnsi="Times New Roman" w:cs="Times New Roman"/>
          <w:sz w:val="24"/>
          <w:szCs w:val="24"/>
          <w:lang w:val="en-GB"/>
        </w:rPr>
        <w:t>(18 MΩ·m</w:t>
      </w:r>
      <w:r w:rsidRPr="0023761B">
        <w:rPr>
          <w:rFonts w:ascii="Times New Roman" w:hAnsi="Times New Roman" w:cs="Times New Roman"/>
          <w:sz w:val="24"/>
          <w:szCs w:val="24"/>
          <w:vertAlign w:val="superscript"/>
          <w:lang w:val="en-GB"/>
        </w:rPr>
        <w:t>-1</w:t>
      </w:r>
      <w:r w:rsidRPr="0023761B">
        <w:rPr>
          <w:rFonts w:ascii="Times New Roman" w:hAnsi="Times New Roman" w:cs="Times New Roman"/>
          <w:sz w:val="24"/>
          <w:szCs w:val="24"/>
          <w:lang w:val="en-GB"/>
        </w:rPr>
        <w:t>, NANOPURE)</w:t>
      </w:r>
      <w:r w:rsidRPr="0023761B">
        <w:rPr>
          <w:rFonts w:ascii="Times New Roman" w:hAnsi="Times New Roman" w:cs="Times New Roman"/>
          <w:sz w:val="24"/>
          <w:lang w:val="en-GB"/>
        </w:rPr>
        <w:t xml:space="preserve">, </w:t>
      </w:r>
      <w:r w:rsidRPr="0023761B">
        <w:rPr>
          <w:rFonts w:ascii="Times New Roman" w:hAnsi="Times New Roman" w:cs="Times New Roman"/>
          <w:sz w:val="24"/>
          <w:szCs w:val="24"/>
          <w:lang w:val="en-GB"/>
        </w:rPr>
        <w:t>then</w:t>
      </w:r>
      <w:r w:rsidRPr="0023761B">
        <w:rPr>
          <w:rFonts w:ascii="Times New Roman" w:hAnsi="Times New Roman" w:cs="Times New Roman"/>
          <w:sz w:val="24"/>
          <w:lang w:val="en-GB"/>
        </w:rPr>
        <w:t xml:space="preserve"> diluted 10-times in 100 mL flasks.</w:t>
      </w:r>
      <w:r w:rsidRPr="0023761B">
        <w:rPr>
          <w:rFonts w:ascii="Times New Roman" w:hAnsi="Times New Roman" w:cs="Times New Roman"/>
          <w:color w:val="0070C0"/>
          <w:sz w:val="24"/>
          <w:szCs w:val="24"/>
          <w:lang w:val="en-GB"/>
        </w:rPr>
        <w:t xml:space="preserve"> </w:t>
      </w:r>
      <w:r w:rsidRPr="0023761B">
        <w:rPr>
          <w:rFonts w:ascii="Times New Roman" w:hAnsi="Times New Roman" w:cs="Times New Roman"/>
          <w:sz w:val="24"/>
          <w:szCs w:val="24"/>
          <w:lang w:val="en-GB"/>
        </w:rPr>
        <w:t>While</w:t>
      </w:r>
      <w:r w:rsidRPr="0023761B">
        <w:rPr>
          <w:rFonts w:ascii="Times New Roman" w:hAnsi="Times New Roman" w:cs="Times New Roman"/>
          <w:color w:val="0070C0"/>
          <w:sz w:val="24"/>
          <w:szCs w:val="24"/>
          <w:lang w:val="en-GB"/>
        </w:rPr>
        <w:t xml:space="preserve"> </w:t>
      </w:r>
      <w:r w:rsidRPr="0023761B">
        <w:rPr>
          <w:rFonts w:ascii="Times New Roman" w:hAnsi="Times New Roman" w:cs="Times New Roman"/>
          <w:sz w:val="24"/>
          <w:szCs w:val="24"/>
          <w:lang w:val="en-GB"/>
        </w:rPr>
        <w:t xml:space="preserve">6 M of hydrochloric acid (HCl) solution was prepared by dissolving 5.9 mL of 32% pure HCl (Sigma-Aldrich) in 10 mL of double-deionized water. </w:t>
      </w:r>
    </w:p>
    <w:p w14:paraId="3F7D13B4" w14:textId="77777777" w:rsidR="00856180" w:rsidRPr="0023761B" w:rsidRDefault="00856180" w:rsidP="00856180">
      <w:pPr>
        <w:spacing w:after="0" w:line="360" w:lineRule="auto"/>
        <w:ind w:firstLine="706"/>
        <w:jc w:val="both"/>
        <w:rPr>
          <w:rFonts w:ascii="Times New Roman" w:hAnsi="Times New Roman" w:cs="Times New Roman"/>
          <w:sz w:val="24"/>
          <w:szCs w:val="24"/>
          <w:lang w:val="en-GB"/>
        </w:rPr>
      </w:pPr>
      <w:r w:rsidRPr="0023761B">
        <w:rPr>
          <w:rFonts w:ascii="Times New Roman" w:hAnsi="Times New Roman" w:cs="Times New Roman"/>
          <w:sz w:val="24"/>
          <w:szCs w:val="24"/>
          <w:lang w:val="en-GB"/>
        </w:rPr>
        <w:t xml:space="preserve">The solution of 5.1 mM of L-ascorbic acid (Sigma-Aldrich) was prepared in 100 mL flask by dissolution of 9 mg of solid L-ascorbic acid in 0.1 M acetic acid. While 0.1 M acetic acid solution was prepared by dissolving 0.6 mL of 99.8% pure acetic acid (Merck) in 100 mL flask and diluted with double-deionized water. </w:t>
      </w:r>
    </w:p>
    <w:p w14:paraId="3C69B207" w14:textId="69C13CB2" w:rsidR="00856180" w:rsidRPr="0023761B" w:rsidRDefault="00856180" w:rsidP="00856180">
      <w:pPr>
        <w:spacing w:after="0" w:line="360" w:lineRule="auto"/>
        <w:ind w:firstLine="706"/>
        <w:jc w:val="both"/>
        <w:rPr>
          <w:rFonts w:ascii="Times New Roman" w:hAnsi="Times New Roman" w:cs="Times New Roman"/>
          <w:sz w:val="24"/>
          <w:szCs w:val="24"/>
          <w:lang w:val="en-GB"/>
        </w:rPr>
      </w:pPr>
      <w:r w:rsidRPr="0023761B">
        <w:rPr>
          <w:rFonts w:ascii="Times New Roman" w:hAnsi="Times New Roman" w:cs="Times New Roman"/>
          <w:sz w:val="24"/>
          <w:szCs w:val="24"/>
          <w:lang w:val="en-GB"/>
        </w:rPr>
        <w:t xml:space="preserve">Working solutions of Fe(II) and Fe(III) to construct the calibration curves were prepared in 25 mL flasks by proper dilution of stock solution in the </w:t>
      </w:r>
      <w:r w:rsidRPr="0023761B">
        <w:rPr>
          <w:rFonts w:ascii="Times New Roman" w:hAnsi="Times New Roman" w:cs="Times New Roman"/>
          <w:sz w:val="24"/>
          <w:lang w:val="en-GB"/>
        </w:rPr>
        <w:t xml:space="preserve">double-deionized water </w:t>
      </w:r>
      <w:r w:rsidRPr="0023761B">
        <w:rPr>
          <w:rFonts w:ascii="Times New Roman" w:hAnsi="Times New Roman" w:cs="Times New Roman"/>
          <w:sz w:val="24"/>
          <w:szCs w:val="24"/>
          <w:lang w:val="en-GB"/>
        </w:rPr>
        <w:t>(18 MΩ·m</w:t>
      </w:r>
      <w:r w:rsidRPr="0023761B">
        <w:rPr>
          <w:rFonts w:ascii="Times New Roman" w:hAnsi="Times New Roman" w:cs="Times New Roman"/>
          <w:sz w:val="24"/>
          <w:szCs w:val="24"/>
          <w:vertAlign w:val="superscript"/>
          <w:lang w:val="en-GB"/>
        </w:rPr>
        <w:t>-1</w:t>
      </w:r>
      <w:r w:rsidRPr="0023761B">
        <w:rPr>
          <w:rFonts w:ascii="Times New Roman" w:hAnsi="Times New Roman" w:cs="Times New Roman"/>
          <w:sz w:val="24"/>
          <w:szCs w:val="24"/>
          <w:lang w:val="en-GB"/>
        </w:rPr>
        <w:t>, NANOPURE).</w:t>
      </w:r>
    </w:p>
    <w:p w14:paraId="3DDF793B" w14:textId="556867A8" w:rsidR="00856180" w:rsidRPr="0023761B" w:rsidRDefault="00856180" w:rsidP="00856180">
      <w:pPr>
        <w:spacing w:after="0" w:line="360" w:lineRule="auto"/>
        <w:ind w:firstLine="706"/>
        <w:jc w:val="both"/>
        <w:rPr>
          <w:rFonts w:ascii="Times New Roman" w:hAnsi="Times New Roman" w:cs="Times New Roman"/>
          <w:sz w:val="24"/>
          <w:szCs w:val="24"/>
          <w:lang w:val="en-GB"/>
        </w:rPr>
      </w:pPr>
      <w:r w:rsidRPr="0023761B">
        <w:rPr>
          <w:rFonts w:ascii="Times New Roman" w:hAnsi="Times New Roman" w:cs="Times New Roman"/>
          <w:sz w:val="24"/>
          <w:szCs w:val="24"/>
          <w:lang w:val="en-GB"/>
        </w:rPr>
        <w:t xml:space="preserve">The Fe(II) stock solution was prepared by dissolving 695 mg of ferrous </w:t>
      </w:r>
      <w:r w:rsidR="000D3611" w:rsidRPr="0023761B">
        <w:rPr>
          <w:rFonts w:ascii="Times New Roman" w:hAnsi="Times New Roman" w:cs="Times New Roman"/>
          <w:sz w:val="24"/>
          <w:szCs w:val="24"/>
          <w:lang w:val="en-GB"/>
        </w:rPr>
        <w:t>sulphate</w:t>
      </w:r>
      <w:r w:rsidRPr="0023761B">
        <w:rPr>
          <w:rFonts w:ascii="Times New Roman" w:hAnsi="Times New Roman" w:cs="Times New Roman"/>
          <w:sz w:val="24"/>
          <w:szCs w:val="24"/>
          <w:lang w:val="en-GB"/>
        </w:rPr>
        <w:t xml:space="preserve"> heptahydrate (FeSO</w:t>
      </w:r>
      <w:r w:rsidRPr="0023761B">
        <w:rPr>
          <w:rFonts w:ascii="Times New Roman" w:hAnsi="Times New Roman" w:cs="Times New Roman"/>
          <w:sz w:val="24"/>
          <w:szCs w:val="24"/>
          <w:vertAlign w:val="subscript"/>
          <w:lang w:val="en-GB"/>
        </w:rPr>
        <w:t>4</w:t>
      </w:r>
      <w:r w:rsidRPr="0023761B">
        <w:rPr>
          <w:rFonts w:ascii="Times New Roman" w:hAnsi="Times New Roman" w:cs="Times New Roman"/>
          <w:sz w:val="24"/>
          <w:szCs w:val="24"/>
          <w:lang w:val="en-GB"/>
        </w:rPr>
        <w:t>·7H</w:t>
      </w:r>
      <w:r w:rsidRPr="0023761B">
        <w:rPr>
          <w:rFonts w:ascii="Times New Roman" w:hAnsi="Times New Roman" w:cs="Times New Roman"/>
          <w:sz w:val="24"/>
          <w:szCs w:val="24"/>
          <w:vertAlign w:val="subscript"/>
          <w:lang w:val="en-GB"/>
        </w:rPr>
        <w:t>2</w:t>
      </w:r>
      <w:r w:rsidRPr="0023761B">
        <w:rPr>
          <w:rFonts w:ascii="Times New Roman" w:hAnsi="Times New Roman" w:cs="Times New Roman"/>
          <w:sz w:val="24"/>
          <w:szCs w:val="24"/>
          <w:lang w:val="en-GB"/>
        </w:rPr>
        <w:t>O) reagent (Merck) in 250 mL of 0.1 M HCl solutions (Sigma-Aldrich). The Fe(II) concentration of stock solution was than 10 mmolL</w:t>
      </w:r>
      <w:r w:rsidRPr="0023761B">
        <w:rPr>
          <w:rFonts w:ascii="Times New Roman" w:hAnsi="Times New Roman" w:cs="Times New Roman"/>
          <w:sz w:val="24"/>
          <w:szCs w:val="24"/>
          <w:vertAlign w:val="superscript"/>
          <w:lang w:val="en-GB"/>
        </w:rPr>
        <w:t>-1</w:t>
      </w:r>
      <w:r w:rsidRPr="0023761B">
        <w:rPr>
          <w:rFonts w:ascii="Times New Roman" w:hAnsi="Times New Roman" w:cs="Times New Roman"/>
          <w:sz w:val="24"/>
          <w:szCs w:val="24"/>
          <w:lang w:val="en-GB"/>
        </w:rPr>
        <w:t>. While the 0.1 M of HCl prepared by dissolving 4.9 mL of 32% HCl in 500 mL of double-deionized H</w:t>
      </w:r>
      <w:r w:rsidRPr="0023761B">
        <w:rPr>
          <w:rFonts w:ascii="Times New Roman" w:hAnsi="Times New Roman" w:cs="Times New Roman"/>
          <w:sz w:val="24"/>
          <w:szCs w:val="24"/>
          <w:vertAlign w:val="subscript"/>
          <w:lang w:val="en-GB"/>
        </w:rPr>
        <w:t>2</w:t>
      </w:r>
      <w:r w:rsidRPr="0023761B">
        <w:rPr>
          <w:rFonts w:ascii="Times New Roman" w:hAnsi="Times New Roman" w:cs="Times New Roman"/>
          <w:sz w:val="24"/>
          <w:szCs w:val="24"/>
          <w:lang w:val="en-GB"/>
        </w:rPr>
        <w:t>O.</w:t>
      </w:r>
    </w:p>
    <w:p w14:paraId="413A993C" w14:textId="1442FB16" w:rsidR="00856180" w:rsidRPr="0023761B" w:rsidRDefault="00856180" w:rsidP="00856180">
      <w:pPr>
        <w:spacing w:after="0" w:line="360" w:lineRule="auto"/>
        <w:ind w:firstLine="706"/>
        <w:jc w:val="both"/>
        <w:rPr>
          <w:rFonts w:ascii="Times New Roman" w:hAnsi="Times New Roman" w:cs="Times New Roman"/>
          <w:sz w:val="24"/>
          <w:szCs w:val="24"/>
          <w:lang w:val="en-GB"/>
        </w:rPr>
      </w:pPr>
      <w:r w:rsidRPr="0023761B">
        <w:rPr>
          <w:rFonts w:ascii="Times New Roman" w:hAnsi="Times New Roman" w:cs="Times New Roman"/>
          <w:sz w:val="24"/>
          <w:szCs w:val="24"/>
          <w:lang w:val="en-GB"/>
        </w:rPr>
        <w:t>The Fe(III) stock solution was prepared by dissolving 677.6 mg of Iron</w:t>
      </w:r>
      <w:r w:rsidR="003B1FA1">
        <w:rPr>
          <w:rFonts w:ascii="Times New Roman" w:hAnsi="Times New Roman" w:cs="Times New Roman"/>
          <w:sz w:val="24"/>
          <w:szCs w:val="24"/>
          <w:lang w:val="en-GB"/>
        </w:rPr>
        <w:t xml:space="preserve"> </w:t>
      </w:r>
      <w:r w:rsidRPr="0023761B">
        <w:rPr>
          <w:rFonts w:ascii="Times New Roman" w:hAnsi="Times New Roman" w:cs="Times New Roman"/>
          <w:sz w:val="24"/>
          <w:szCs w:val="24"/>
          <w:lang w:val="en-GB"/>
        </w:rPr>
        <w:t>(III) chloride hexahydrate (FeCl</w:t>
      </w:r>
      <w:r w:rsidRPr="0023761B">
        <w:rPr>
          <w:rFonts w:ascii="Times New Roman" w:hAnsi="Times New Roman" w:cs="Times New Roman"/>
          <w:sz w:val="24"/>
          <w:szCs w:val="24"/>
          <w:vertAlign w:val="subscript"/>
          <w:lang w:val="en-GB"/>
        </w:rPr>
        <w:t>3</w:t>
      </w:r>
      <w:r w:rsidRPr="0023761B">
        <w:rPr>
          <w:rFonts w:ascii="Times New Roman" w:hAnsi="Times New Roman" w:cs="Times New Roman"/>
          <w:sz w:val="24"/>
          <w:szCs w:val="24"/>
          <w:lang w:val="en-GB"/>
        </w:rPr>
        <w:t>·6H</w:t>
      </w:r>
      <w:r w:rsidRPr="0023761B">
        <w:rPr>
          <w:rFonts w:ascii="Times New Roman" w:hAnsi="Times New Roman" w:cs="Times New Roman"/>
          <w:sz w:val="24"/>
          <w:szCs w:val="24"/>
          <w:vertAlign w:val="subscript"/>
          <w:lang w:val="en-GB"/>
        </w:rPr>
        <w:t>2</w:t>
      </w:r>
      <w:r w:rsidRPr="0023761B">
        <w:rPr>
          <w:rFonts w:ascii="Times New Roman" w:hAnsi="Times New Roman" w:cs="Times New Roman"/>
          <w:sz w:val="24"/>
          <w:szCs w:val="24"/>
          <w:lang w:val="en-GB"/>
        </w:rPr>
        <w:t>O) reagent (Riedel de Haen) in 250 mL of 0.1 M HCl solutions. The Fe(III) concentration of stock solution was than 10 mmolL</w:t>
      </w:r>
      <w:r w:rsidRPr="0023761B">
        <w:rPr>
          <w:rFonts w:ascii="Times New Roman" w:hAnsi="Times New Roman" w:cs="Times New Roman"/>
          <w:sz w:val="24"/>
          <w:szCs w:val="24"/>
          <w:vertAlign w:val="superscript"/>
          <w:lang w:val="en-GB"/>
        </w:rPr>
        <w:t>-1</w:t>
      </w:r>
      <w:r w:rsidRPr="0023761B">
        <w:rPr>
          <w:rFonts w:ascii="Times New Roman" w:hAnsi="Times New Roman" w:cs="Times New Roman"/>
          <w:sz w:val="24"/>
          <w:szCs w:val="24"/>
          <w:lang w:val="en-GB"/>
        </w:rPr>
        <w:t xml:space="preserve">. </w:t>
      </w:r>
    </w:p>
    <w:p w14:paraId="0015739C" w14:textId="77777777" w:rsidR="00856180" w:rsidRPr="0023761B" w:rsidRDefault="00856180" w:rsidP="00856180">
      <w:pPr>
        <w:spacing w:after="0" w:line="360" w:lineRule="auto"/>
        <w:ind w:firstLine="706"/>
        <w:jc w:val="both"/>
        <w:rPr>
          <w:rFonts w:ascii="Times New Roman" w:hAnsi="Times New Roman" w:cs="Times New Roman"/>
          <w:sz w:val="24"/>
          <w:szCs w:val="24"/>
          <w:lang w:val="en-GB"/>
        </w:rPr>
      </w:pPr>
      <w:r w:rsidRPr="0023761B">
        <w:rPr>
          <w:rFonts w:ascii="Times New Roman" w:hAnsi="Times New Roman" w:cs="Times New Roman"/>
          <w:sz w:val="24"/>
          <w:szCs w:val="24"/>
          <w:lang w:val="en-GB"/>
        </w:rPr>
        <w:t>All reagents and solvents were used as purchased without further purification.</w:t>
      </w:r>
    </w:p>
    <w:p w14:paraId="012F5444" w14:textId="77777777" w:rsidR="00494B16" w:rsidRPr="0023761B" w:rsidRDefault="00494B16" w:rsidP="00E33C5D">
      <w:pPr>
        <w:spacing w:after="0" w:line="360" w:lineRule="auto"/>
        <w:jc w:val="both"/>
        <w:rPr>
          <w:rFonts w:ascii="Times New Roman" w:hAnsi="Times New Roman" w:cs="Times New Roman"/>
          <w:b/>
          <w:sz w:val="24"/>
          <w:lang w:val="en-GB"/>
        </w:rPr>
      </w:pPr>
    </w:p>
    <w:p w14:paraId="2A6A270A" w14:textId="6C3DF31B" w:rsidR="005F68A4" w:rsidRPr="0023761B" w:rsidRDefault="002633B7" w:rsidP="00E33C5D">
      <w:pPr>
        <w:spacing w:after="0" w:line="360" w:lineRule="auto"/>
        <w:jc w:val="both"/>
        <w:rPr>
          <w:rFonts w:ascii="Times New Roman" w:hAnsi="Times New Roman" w:cs="Times New Roman"/>
          <w:b/>
          <w:sz w:val="24"/>
          <w:lang w:val="en-GB"/>
        </w:rPr>
      </w:pPr>
      <w:r w:rsidRPr="0023761B">
        <w:rPr>
          <w:rFonts w:ascii="Times New Roman" w:hAnsi="Times New Roman" w:cs="Times New Roman"/>
          <w:b/>
          <w:sz w:val="24"/>
          <w:lang w:val="en-GB"/>
        </w:rPr>
        <w:t xml:space="preserve"> </w:t>
      </w:r>
      <w:r w:rsidR="000D3611" w:rsidRPr="0023761B">
        <w:rPr>
          <w:rFonts w:ascii="Times New Roman" w:hAnsi="Times New Roman" w:cs="Times New Roman"/>
          <w:b/>
          <w:sz w:val="24"/>
          <w:lang w:val="en-GB"/>
        </w:rPr>
        <w:t>2.2. Sampling</w:t>
      </w:r>
    </w:p>
    <w:p w14:paraId="124DBB09" w14:textId="695B41EF" w:rsidR="00225052" w:rsidRPr="0023761B" w:rsidRDefault="007A5A42" w:rsidP="00B977EE">
      <w:pPr>
        <w:spacing w:after="0" w:line="360" w:lineRule="auto"/>
        <w:ind w:firstLine="706"/>
        <w:jc w:val="both"/>
        <w:rPr>
          <w:rFonts w:ascii="Times New Roman" w:hAnsi="Times New Roman" w:cs="Times New Roman"/>
          <w:color w:val="000000"/>
          <w:sz w:val="24"/>
          <w:szCs w:val="28"/>
          <w:lang w:val="en-GB"/>
        </w:rPr>
      </w:pPr>
      <w:r w:rsidRPr="0023761B">
        <w:rPr>
          <w:rFonts w:ascii="Times New Roman" w:hAnsi="Times New Roman" w:cs="Times New Roman"/>
          <w:sz w:val="24"/>
          <w:szCs w:val="28"/>
          <w:lang w:val="en-GB"/>
        </w:rPr>
        <w:t>DGT sediment probes were used f</w:t>
      </w:r>
      <w:r w:rsidR="007C37D6" w:rsidRPr="0023761B">
        <w:rPr>
          <w:rFonts w:ascii="Times New Roman" w:hAnsi="Times New Roman" w:cs="Times New Roman"/>
          <w:sz w:val="24"/>
          <w:szCs w:val="28"/>
          <w:lang w:val="en-GB"/>
        </w:rPr>
        <w:t>or</w:t>
      </w:r>
      <w:r w:rsidR="00E02314" w:rsidRPr="0023761B">
        <w:rPr>
          <w:rFonts w:ascii="Times New Roman" w:hAnsi="Times New Roman" w:cs="Times New Roman"/>
          <w:sz w:val="24"/>
          <w:szCs w:val="28"/>
          <w:lang w:val="en-GB"/>
        </w:rPr>
        <w:t xml:space="preserve"> accumulation and pre-</w:t>
      </w:r>
      <w:r w:rsidR="006C6D65" w:rsidRPr="0023761B">
        <w:rPr>
          <w:rFonts w:ascii="Times New Roman" w:hAnsi="Times New Roman" w:cs="Times New Roman"/>
          <w:sz w:val="24"/>
          <w:szCs w:val="28"/>
          <w:lang w:val="en-GB"/>
        </w:rPr>
        <w:t>concentration</w:t>
      </w:r>
      <w:r w:rsidR="00413C48" w:rsidRPr="0023761B">
        <w:rPr>
          <w:rFonts w:ascii="Times New Roman" w:hAnsi="Times New Roman" w:cs="Times New Roman"/>
          <w:sz w:val="24"/>
          <w:szCs w:val="28"/>
          <w:lang w:val="en-GB"/>
        </w:rPr>
        <w:t xml:space="preserve"> of </w:t>
      </w:r>
      <w:r w:rsidR="00E02314" w:rsidRPr="0023761B">
        <w:rPr>
          <w:rFonts w:ascii="Times New Roman" w:hAnsi="Times New Roman" w:cs="Times New Roman"/>
          <w:sz w:val="24"/>
          <w:szCs w:val="28"/>
          <w:lang w:val="en-GB"/>
        </w:rPr>
        <w:t xml:space="preserve">the </w:t>
      </w:r>
      <w:r w:rsidR="00445A85" w:rsidRPr="0023761B">
        <w:rPr>
          <w:rFonts w:ascii="Times New Roman" w:hAnsi="Times New Roman" w:cs="Times New Roman"/>
          <w:sz w:val="24"/>
          <w:szCs w:val="28"/>
          <w:lang w:val="en-GB"/>
        </w:rPr>
        <w:t xml:space="preserve">Fe redox species </w:t>
      </w:r>
      <w:r w:rsidR="00E02314" w:rsidRPr="00D35D3C">
        <w:rPr>
          <w:rFonts w:ascii="Times New Roman" w:hAnsi="Times New Roman" w:cs="Times New Roman"/>
          <w:i/>
          <w:sz w:val="24"/>
          <w:szCs w:val="28"/>
          <w:lang w:val="en-GB"/>
        </w:rPr>
        <w:t>in situ</w:t>
      </w:r>
      <w:r w:rsidR="003F756C" w:rsidRPr="0023761B">
        <w:rPr>
          <w:rFonts w:ascii="Times New Roman" w:hAnsi="Times New Roman" w:cs="Times New Roman"/>
          <w:sz w:val="24"/>
          <w:szCs w:val="28"/>
          <w:lang w:val="en-GB"/>
        </w:rPr>
        <w:t xml:space="preserve"> in the Vrtojbica River</w:t>
      </w:r>
      <w:r w:rsidR="00E02314" w:rsidRPr="0023761B">
        <w:rPr>
          <w:rFonts w:ascii="Times New Roman" w:hAnsi="Times New Roman" w:cs="Times New Roman"/>
          <w:color w:val="000000"/>
          <w:sz w:val="24"/>
          <w:szCs w:val="28"/>
          <w:lang w:val="en-GB"/>
        </w:rPr>
        <w:t>.</w:t>
      </w:r>
      <w:r w:rsidR="00CE3DB3" w:rsidRPr="0023761B">
        <w:rPr>
          <w:rFonts w:ascii="Times New Roman" w:hAnsi="Times New Roman" w:cs="Times New Roman"/>
          <w:color w:val="000000"/>
          <w:sz w:val="24"/>
          <w:szCs w:val="28"/>
          <w:lang w:val="en-GB"/>
        </w:rPr>
        <w:t xml:space="preserve"> </w:t>
      </w:r>
      <w:r w:rsidR="000A1F89" w:rsidRPr="0023761B">
        <w:rPr>
          <w:rFonts w:ascii="Times New Roman" w:hAnsi="Times New Roman" w:cs="Times New Roman"/>
          <w:color w:val="000000"/>
          <w:sz w:val="24"/>
          <w:szCs w:val="28"/>
          <w:lang w:val="en-GB"/>
        </w:rPr>
        <w:t xml:space="preserve">Vrtojbica flows through </w:t>
      </w:r>
      <w:r w:rsidR="005C6775" w:rsidRPr="0023761B">
        <w:rPr>
          <w:rFonts w:ascii="Times New Roman" w:hAnsi="Times New Roman" w:cs="Times New Roman"/>
          <w:color w:val="000000"/>
          <w:sz w:val="24"/>
          <w:szCs w:val="28"/>
          <w:lang w:val="en-GB"/>
        </w:rPr>
        <w:t xml:space="preserve">an </w:t>
      </w:r>
      <w:r w:rsidR="000A1F89" w:rsidRPr="0023761B">
        <w:rPr>
          <w:rFonts w:ascii="Times New Roman" w:hAnsi="Times New Roman" w:cs="Times New Roman"/>
          <w:color w:val="000000"/>
          <w:sz w:val="24"/>
          <w:szCs w:val="28"/>
          <w:lang w:val="en-GB"/>
        </w:rPr>
        <w:t>ant</w:t>
      </w:r>
      <w:r w:rsidR="006004DD">
        <w:rPr>
          <w:rFonts w:ascii="Times New Roman" w:hAnsi="Times New Roman" w:cs="Times New Roman"/>
          <w:color w:val="000000"/>
          <w:sz w:val="24"/>
          <w:szCs w:val="28"/>
          <w:lang w:val="en-GB"/>
        </w:rPr>
        <w:t>h</w:t>
      </w:r>
      <w:r w:rsidR="000A1F89" w:rsidRPr="0023761B">
        <w:rPr>
          <w:rFonts w:ascii="Times New Roman" w:hAnsi="Times New Roman" w:cs="Times New Roman"/>
          <w:color w:val="000000"/>
          <w:sz w:val="24"/>
          <w:szCs w:val="28"/>
          <w:lang w:val="en-GB"/>
        </w:rPr>
        <w:t xml:space="preserve">ropogenically-impacted environment of </w:t>
      </w:r>
      <w:r w:rsidR="00F87F56" w:rsidRPr="0023761B">
        <w:rPr>
          <w:rFonts w:ascii="Times New Roman" w:hAnsi="Times New Roman" w:cs="Times New Roman"/>
          <w:color w:val="000000"/>
          <w:sz w:val="24"/>
          <w:szCs w:val="28"/>
          <w:lang w:val="en-GB"/>
        </w:rPr>
        <w:t xml:space="preserve">the city of </w:t>
      </w:r>
      <w:r w:rsidR="000A1F89" w:rsidRPr="0023761B">
        <w:rPr>
          <w:rFonts w:ascii="Times New Roman" w:hAnsi="Times New Roman" w:cs="Times New Roman"/>
          <w:color w:val="000000"/>
          <w:sz w:val="24"/>
          <w:szCs w:val="28"/>
          <w:lang w:val="en-GB"/>
        </w:rPr>
        <w:t>Nova Gorica</w:t>
      </w:r>
      <w:r w:rsidR="00DF19B5" w:rsidRPr="0023761B">
        <w:rPr>
          <w:rFonts w:ascii="Times New Roman" w:hAnsi="Times New Roman" w:cs="Times New Roman"/>
          <w:color w:val="000000"/>
          <w:sz w:val="24"/>
          <w:szCs w:val="28"/>
          <w:lang w:val="en-GB"/>
        </w:rPr>
        <w:t xml:space="preserve"> and its </w:t>
      </w:r>
      <w:r w:rsidR="00A739DA" w:rsidRPr="0023761B">
        <w:rPr>
          <w:rFonts w:ascii="Times New Roman" w:hAnsi="Times New Roman" w:cs="Times New Roman"/>
          <w:color w:val="000000"/>
          <w:sz w:val="24"/>
          <w:szCs w:val="28"/>
          <w:lang w:val="en-GB"/>
        </w:rPr>
        <w:t xml:space="preserve">sedimentary </w:t>
      </w:r>
      <w:r w:rsidR="00DF19B5" w:rsidRPr="0023761B">
        <w:rPr>
          <w:rFonts w:ascii="Times New Roman" w:hAnsi="Times New Roman" w:cs="Times New Roman"/>
          <w:color w:val="000000"/>
          <w:sz w:val="24"/>
          <w:szCs w:val="28"/>
          <w:lang w:val="en-GB"/>
        </w:rPr>
        <w:t xml:space="preserve">Fe content is expected to be sufficiently high for </w:t>
      </w:r>
      <w:r w:rsidR="005C6775" w:rsidRPr="0023761B">
        <w:rPr>
          <w:rFonts w:ascii="Times New Roman" w:hAnsi="Times New Roman" w:cs="Times New Roman"/>
          <w:color w:val="000000"/>
          <w:sz w:val="24"/>
          <w:szCs w:val="28"/>
          <w:lang w:val="en-GB"/>
        </w:rPr>
        <w:t xml:space="preserve">reliable </w:t>
      </w:r>
      <w:r w:rsidR="00DF19B5" w:rsidRPr="0023761B">
        <w:rPr>
          <w:rFonts w:ascii="Times New Roman" w:hAnsi="Times New Roman" w:cs="Times New Roman"/>
          <w:color w:val="000000"/>
          <w:sz w:val="24"/>
          <w:szCs w:val="28"/>
          <w:lang w:val="en-GB"/>
        </w:rPr>
        <w:t xml:space="preserve">analysis. </w:t>
      </w:r>
      <w:r w:rsidR="00E51C35" w:rsidRPr="0023761B">
        <w:rPr>
          <w:rFonts w:ascii="Times New Roman" w:hAnsi="Times New Roman" w:cs="Times New Roman"/>
          <w:color w:val="000000"/>
          <w:sz w:val="24"/>
          <w:szCs w:val="28"/>
          <w:lang w:val="en-GB"/>
        </w:rPr>
        <w:t xml:space="preserve">Two assembled </w:t>
      </w:r>
      <w:r w:rsidR="00BE1EB3" w:rsidRPr="0023761B">
        <w:rPr>
          <w:rFonts w:ascii="Times New Roman" w:hAnsi="Times New Roman" w:cs="Times New Roman"/>
          <w:color w:val="000000"/>
          <w:sz w:val="24"/>
          <w:szCs w:val="28"/>
          <w:lang w:val="en-GB"/>
        </w:rPr>
        <w:t xml:space="preserve">DGT sediment </w:t>
      </w:r>
      <w:r w:rsidR="00E51C35" w:rsidRPr="0023761B">
        <w:rPr>
          <w:rFonts w:ascii="Times New Roman" w:hAnsi="Times New Roman" w:cs="Times New Roman"/>
          <w:color w:val="000000"/>
          <w:sz w:val="24"/>
          <w:szCs w:val="28"/>
          <w:lang w:val="en-GB"/>
        </w:rPr>
        <w:t>probes were placed back-to-back</w:t>
      </w:r>
      <w:r w:rsidR="007C4B05" w:rsidRPr="0023761B">
        <w:rPr>
          <w:rFonts w:ascii="Times New Roman" w:hAnsi="Times New Roman" w:cs="Times New Roman"/>
          <w:color w:val="000000"/>
          <w:sz w:val="24"/>
          <w:szCs w:val="28"/>
          <w:lang w:val="en-GB"/>
        </w:rPr>
        <w:t xml:space="preserve"> in the river sediment for 5 days</w:t>
      </w:r>
      <w:r w:rsidR="00D35D3C">
        <w:rPr>
          <w:rFonts w:ascii="Times New Roman" w:hAnsi="Times New Roman" w:cs="Times New Roman"/>
          <w:color w:val="000000"/>
          <w:sz w:val="24"/>
          <w:szCs w:val="28"/>
          <w:lang w:val="en-GB"/>
        </w:rPr>
        <w:t xml:space="preserve"> (from 18.07.2018 to 23.07.2018)</w:t>
      </w:r>
      <w:r w:rsidR="00FE552A" w:rsidRPr="0023761B">
        <w:rPr>
          <w:rFonts w:ascii="Times New Roman" w:hAnsi="Times New Roman" w:cs="Times New Roman"/>
          <w:color w:val="000000"/>
          <w:sz w:val="24"/>
          <w:szCs w:val="28"/>
          <w:lang w:val="en-GB"/>
        </w:rPr>
        <w:t>, reaching</w:t>
      </w:r>
      <w:r w:rsidR="00225052" w:rsidRPr="0023761B">
        <w:rPr>
          <w:rFonts w:ascii="Times New Roman" w:hAnsi="Times New Roman" w:cs="Times New Roman"/>
          <w:color w:val="000000"/>
          <w:sz w:val="24"/>
          <w:szCs w:val="28"/>
          <w:lang w:val="en-GB"/>
        </w:rPr>
        <w:t xml:space="preserve"> approximately 7.5 cm </w:t>
      </w:r>
      <w:r w:rsidR="00F87F56" w:rsidRPr="0023761B">
        <w:rPr>
          <w:rFonts w:ascii="Times New Roman" w:hAnsi="Times New Roman" w:cs="Times New Roman"/>
          <w:color w:val="000000"/>
          <w:sz w:val="24"/>
          <w:szCs w:val="28"/>
          <w:lang w:val="en-GB"/>
        </w:rPr>
        <w:t>deep</w:t>
      </w:r>
      <w:r w:rsidR="00FE552A" w:rsidRPr="0023761B">
        <w:rPr>
          <w:rFonts w:ascii="Times New Roman" w:hAnsi="Times New Roman" w:cs="Times New Roman"/>
          <w:color w:val="000000"/>
          <w:sz w:val="24"/>
          <w:szCs w:val="28"/>
          <w:lang w:val="en-GB"/>
        </w:rPr>
        <w:t xml:space="preserve">. The water temperature recorded </w:t>
      </w:r>
      <w:r w:rsidR="00B977EE" w:rsidRPr="0023761B">
        <w:rPr>
          <w:rFonts w:ascii="Times New Roman" w:hAnsi="Times New Roman" w:cs="Times New Roman"/>
          <w:color w:val="000000"/>
          <w:sz w:val="24"/>
          <w:szCs w:val="28"/>
          <w:lang w:val="en-GB"/>
        </w:rPr>
        <w:t xml:space="preserve">at the beginning and the end of the experiment ranged between 23.5 °C and 24.5 °C. </w:t>
      </w:r>
    </w:p>
    <w:p w14:paraId="514AFA32" w14:textId="1D20F2B1" w:rsidR="004925BE" w:rsidRDefault="00F0114E" w:rsidP="00E02314">
      <w:pPr>
        <w:spacing w:after="0" w:line="360" w:lineRule="auto"/>
        <w:ind w:firstLine="706"/>
        <w:jc w:val="both"/>
        <w:rPr>
          <w:rFonts w:ascii="Times New Roman" w:hAnsi="Times New Roman" w:cs="Times New Roman"/>
          <w:color w:val="000000"/>
          <w:sz w:val="24"/>
          <w:szCs w:val="28"/>
          <w:lang w:val="en-GB"/>
        </w:rPr>
      </w:pPr>
      <w:r w:rsidRPr="0023761B">
        <w:rPr>
          <w:rFonts w:ascii="Times New Roman" w:hAnsi="Times New Roman" w:cs="Times New Roman"/>
          <w:color w:val="000000"/>
          <w:sz w:val="24"/>
          <w:szCs w:val="28"/>
          <w:lang w:val="en-GB"/>
        </w:rPr>
        <w:t xml:space="preserve">The procedure for DGT probe preparation </w:t>
      </w:r>
      <w:r>
        <w:rPr>
          <w:rFonts w:ascii="Times New Roman" w:hAnsi="Times New Roman" w:cs="Times New Roman"/>
          <w:color w:val="000000"/>
          <w:sz w:val="24"/>
          <w:szCs w:val="28"/>
          <w:lang w:val="en-GB"/>
        </w:rPr>
        <w:t>is</w:t>
      </w:r>
      <w:r w:rsidRPr="0023761B">
        <w:rPr>
          <w:rFonts w:ascii="Times New Roman" w:hAnsi="Times New Roman" w:cs="Times New Roman"/>
          <w:color w:val="000000"/>
          <w:sz w:val="24"/>
          <w:szCs w:val="28"/>
          <w:lang w:val="en-GB"/>
        </w:rPr>
        <w:t xml:space="preserve"> in depth described elsewhere.</w:t>
      </w:r>
      <w:r w:rsidRPr="00D35D3C">
        <w:rPr>
          <w:rFonts w:ascii="Times New Roman" w:hAnsi="Times New Roman" w:cs="Times New Roman"/>
          <w:color w:val="000000"/>
          <w:sz w:val="24"/>
          <w:szCs w:val="28"/>
          <w:vertAlign w:val="superscript"/>
          <w:lang w:val="en-GB"/>
        </w:rPr>
        <w:t>17</w:t>
      </w:r>
      <w:r w:rsidRPr="0023761B">
        <w:rPr>
          <w:rFonts w:ascii="Times New Roman" w:hAnsi="Times New Roman" w:cs="Times New Roman"/>
          <w:color w:val="000000"/>
          <w:sz w:val="24"/>
          <w:szCs w:val="28"/>
          <w:lang w:val="en-GB"/>
        </w:rPr>
        <w:t xml:space="preserve"> Briefly, the probe base was overlaid in the following order with 1) ground Chelex-100 resin gel, 2) polyacrylamide diffusive gel (APA, 0.8 mm final thickness) and 3) acid-precleaned 0.45 µm HVLP filter (Millipore). The layers were </w:t>
      </w:r>
      <w:r>
        <w:rPr>
          <w:rFonts w:ascii="Times New Roman" w:hAnsi="Times New Roman" w:cs="Times New Roman"/>
          <w:color w:val="000000"/>
          <w:sz w:val="24"/>
          <w:szCs w:val="28"/>
          <w:lang w:val="en-GB"/>
        </w:rPr>
        <w:t>secured</w:t>
      </w:r>
      <w:r w:rsidRPr="0023761B">
        <w:rPr>
          <w:rFonts w:ascii="Times New Roman" w:hAnsi="Times New Roman" w:cs="Times New Roman"/>
          <w:color w:val="000000"/>
          <w:sz w:val="24"/>
          <w:szCs w:val="28"/>
          <w:lang w:val="en-GB"/>
        </w:rPr>
        <w:t xml:space="preserve"> by the probe cover with a fixed-area window for diffusion (Fig. 1).</w:t>
      </w:r>
    </w:p>
    <w:p w14:paraId="140B432D" w14:textId="77777777" w:rsidR="00F0114E" w:rsidRPr="0023761B" w:rsidRDefault="00F0114E" w:rsidP="00E02314">
      <w:pPr>
        <w:spacing w:after="0" w:line="360" w:lineRule="auto"/>
        <w:ind w:firstLine="706"/>
        <w:jc w:val="both"/>
        <w:rPr>
          <w:rFonts w:ascii="Times New Roman" w:hAnsi="Times New Roman" w:cs="Times New Roman"/>
          <w:sz w:val="24"/>
          <w:szCs w:val="28"/>
          <w:lang w:val="en-GB"/>
        </w:rPr>
      </w:pPr>
    </w:p>
    <w:p w14:paraId="446D29A1" w14:textId="5EF9205B" w:rsidR="005F68A4" w:rsidRPr="0023761B" w:rsidRDefault="0057589F" w:rsidP="005F68A4">
      <w:pPr>
        <w:spacing w:after="0" w:line="360" w:lineRule="auto"/>
        <w:jc w:val="both"/>
        <w:rPr>
          <w:rFonts w:ascii="Times New Roman" w:hAnsi="Times New Roman" w:cs="Times New Roman"/>
          <w:b/>
          <w:sz w:val="24"/>
          <w:lang w:val="en-GB"/>
        </w:rPr>
      </w:pPr>
      <w:r>
        <w:rPr>
          <w:rFonts w:ascii="Times New Roman" w:hAnsi="Times New Roman" w:cs="Times New Roman"/>
          <w:b/>
          <w:noProof/>
          <w:sz w:val="24"/>
          <w:lang w:val="en-US"/>
        </w:rPr>
        <w:drawing>
          <wp:inline distT="0" distB="0" distL="0" distR="0" wp14:anchorId="165B2D89" wp14:editId="37FF5A4C">
            <wp:extent cx="2880000" cy="22311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GT probe scheme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2231111"/>
                    </a:xfrm>
                    <a:prstGeom prst="rect">
                      <a:avLst/>
                    </a:prstGeom>
                  </pic:spPr>
                </pic:pic>
              </a:graphicData>
            </a:graphic>
          </wp:inline>
        </w:drawing>
      </w:r>
    </w:p>
    <w:p w14:paraId="2AE2DAAF" w14:textId="5184E1B9" w:rsidR="00DC3CD4" w:rsidRDefault="00DC3CD4" w:rsidP="005F68A4">
      <w:pPr>
        <w:spacing w:after="0" w:line="360" w:lineRule="auto"/>
        <w:jc w:val="both"/>
        <w:rPr>
          <w:rFonts w:ascii="Times New Roman" w:hAnsi="Times New Roman" w:cs="Times New Roman"/>
          <w:sz w:val="24"/>
          <w:lang w:val="en-GB"/>
        </w:rPr>
      </w:pPr>
      <w:r w:rsidRPr="002F73AB">
        <w:rPr>
          <w:rFonts w:ascii="Times New Roman" w:hAnsi="Times New Roman" w:cs="Times New Roman"/>
          <w:b/>
          <w:sz w:val="24"/>
          <w:lang w:val="en-GB"/>
        </w:rPr>
        <w:t>Fig.1.</w:t>
      </w:r>
      <w:r w:rsidRPr="0023761B">
        <w:rPr>
          <w:rFonts w:ascii="Times New Roman" w:hAnsi="Times New Roman" w:cs="Times New Roman"/>
          <w:sz w:val="24"/>
          <w:lang w:val="en-GB"/>
        </w:rPr>
        <w:t xml:space="preserve"> The </w:t>
      </w:r>
      <w:r w:rsidR="00CF6DB6" w:rsidRPr="0023761B">
        <w:rPr>
          <w:rFonts w:ascii="Times New Roman" w:hAnsi="Times New Roman" w:cs="Times New Roman"/>
          <w:sz w:val="24"/>
          <w:lang w:val="en-GB"/>
        </w:rPr>
        <w:t xml:space="preserve">components and assembled </w:t>
      </w:r>
      <w:r w:rsidRPr="0023761B">
        <w:rPr>
          <w:rFonts w:ascii="Times New Roman" w:hAnsi="Times New Roman" w:cs="Times New Roman"/>
          <w:sz w:val="24"/>
          <w:lang w:val="en-GB"/>
        </w:rPr>
        <w:t xml:space="preserve">DGT probe </w:t>
      </w:r>
      <w:r w:rsidR="00CF6DB6" w:rsidRPr="0023761B">
        <w:rPr>
          <w:rFonts w:ascii="Times New Roman" w:hAnsi="Times New Roman" w:cs="Times New Roman"/>
          <w:sz w:val="24"/>
          <w:lang w:val="en-GB"/>
        </w:rPr>
        <w:t>for</w:t>
      </w:r>
      <w:r w:rsidR="004925BE" w:rsidRPr="0023761B">
        <w:rPr>
          <w:rFonts w:ascii="Times New Roman" w:hAnsi="Times New Roman" w:cs="Times New Roman"/>
          <w:sz w:val="24"/>
          <w:lang w:val="en-GB"/>
        </w:rPr>
        <w:t xml:space="preserve"> sediment</w:t>
      </w:r>
      <w:r w:rsidR="00CF6DB6" w:rsidRPr="0023761B">
        <w:rPr>
          <w:rFonts w:ascii="Times New Roman" w:hAnsi="Times New Roman" w:cs="Times New Roman"/>
          <w:sz w:val="24"/>
          <w:lang w:val="en-GB"/>
        </w:rPr>
        <w:t xml:space="preserve"> </w:t>
      </w:r>
      <w:r w:rsidR="00D35D3C" w:rsidRPr="0023761B">
        <w:rPr>
          <w:rFonts w:ascii="Times New Roman" w:hAnsi="Times New Roman" w:cs="Times New Roman"/>
          <w:sz w:val="24"/>
          <w:lang w:val="en-GB"/>
        </w:rPr>
        <w:t>deployment</w:t>
      </w:r>
      <w:r w:rsidR="0011639D">
        <w:rPr>
          <w:rFonts w:ascii="Times New Roman" w:hAnsi="Times New Roman" w:cs="Times New Roman"/>
          <w:sz w:val="24"/>
          <w:lang w:val="en-GB"/>
        </w:rPr>
        <w:t>.</w:t>
      </w:r>
    </w:p>
    <w:p w14:paraId="71D45A02" w14:textId="77777777" w:rsidR="00C930EE" w:rsidRPr="0023761B" w:rsidRDefault="00C930EE" w:rsidP="005F68A4">
      <w:pPr>
        <w:spacing w:after="0" w:line="360" w:lineRule="auto"/>
        <w:jc w:val="both"/>
        <w:rPr>
          <w:rFonts w:ascii="Times New Roman" w:hAnsi="Times New Roman" w:cs="Times New Roman"/>
          <w:sz w:val="24"/>
          <w:lang w:val="en-GB"/>
        </w:rPr>
      </w:pPr>
    </w:p>
    <w:p w14:paraId="20D5CBAC" w14:textId="3541CA12" w:rsidR="0060041C" w:rsidRPr="0023761B" w:rsidRDefault="00905035" w:rsidP="0060041C">
      <w:pPr>
        <w:spacing w:after="0" w:line="360" w:lineRule="auto"/>
        <w:ind w:firstLine="706"/>
        <w:jc w:val="both"/>
        <w:rPr>
          <w:rFonts w:ascii="Times New Roman" w:hAnsi="Times New Roman" w:cs="Times New Roman"/>
          <w:sz w:val="24"/>
          <w:lang w:val="en-GB"/>
        </w:rPr>
      </w:pPr>
      <w:r w:rsidRPr="0023761B">
        <w:rPr>
          <w:rFonts w:ascii="Times New Roman" w:hAnsi="Times New Roman" w:cs="Times New Roman"/>
          <w:sz w:val="24"/>
          <w:lang w:val="en-GB"/>
        </w:rPr>
        <w:t xml:space="preserve">To avoid contamination of </w:t>
      </w:r>
      <w:r w:rsidR="00176AE2" w:rsidRPr="0023761B">
        <w:rPr>
          <w:rFonts w:ascii="Times New Roman" w:hAnsi="Times New Roman" w:cs="Times New Roman"/>
          <w:sz w:val="24"/>
          <w:lang w:val="en-GB"/>
        </w:rPr>
        <w:t xml:space="preserve">the </w:t>
      </w:r>
      <w:r w:rsidRPr="0023761B">
        <w:rPr>
          <w:rFonts w:ascii="Times New Roman" w:hAnsi="Times New Roman" w:cs="Times New Roman"/>
          <w:sz w:val="24"/>
          <w:lang w:val="en-GB"/>
        </w:rPr>
        <w:t xml:space="preserve">samplers, all used </w:t>
      </w:r>
      <w:r w:rsidR="009270EC" w:rsidRPr="0023761B">
        <w:rPr>
          <w:rFonts w:ascii="Times New Roman" w:hAnsi="Times New Roman" w:cs="Times New Roman"/>
          <w:sz w:val="24"/>
          <w:lang w:val="en-GB"/>
        </w:rPr>
        <w:t>equipment</w:t>
      </w:r>
      <w:r w:rsidRPr="0023761B">
        <w:rPr>
          <w:rFonts w:ascii="Times New Roman" w:hAnsi="Times New Roman" w:cs="Times New Roman"/>
          <w:sz w:val="24"/>
          <w:lang w:val="en-GB"/>
        </w:rPr>
        <w:t xml:space="preserve">, </w:t>
      </w:r>
      <w:r w:rsidR="00176AE2" w:rsidRPr="0023761B">
        <w:rPr>
          <w:rFonts w:ascii="Times New Roman" w:hAnsi="Times New Roman" w:cs="Times New Roman"/>
          <w:sz w:val="24"/>
          <w:lang w:val="en-GB"/>
        </w:rPr>
        <w:t xml:space="preserve">as well as </w:t>
      </w:r>
      <w:r w:rsidRPr="0023761B">
        <w:rPr>
          <w:rFonts w:ascii="Times New Roman" w:hAnsi="Times New Roman" w:cs="Times New Roman"/>
          <w:sz w:val="24"/>
          <w:lang w:val="en-GB"/>
        </w:rPr>
        <w:t xml:space="preserve">DGT sediment probes were </w:t>
      </w:r>
      <w:r w:rsidR="009270EC" w:rsidRPr="0023761B">
        <w:rPr>
          <w:rFonts w:ascii="Times New Roman" w:hAnsi="Times New Roman" w:cs="Times New Roman"/>
          <w:sz w:val="24"/>
          <w:lang w:val="en-GB"/>
        </w:rPr>
        <w:t xml:space="preserve">pre-cleaned </w:t>
      </w:r>
      <w:r w:rsidRPr="0023761B">
        <w:rPr>
          <w:rFonts w:ascii="Times New Roman" w:hAnsi="Times New Roman" w:cs="Times New Roman"/>
          <w:sz w:val="24"/>
          <w:lang w:val="en-GB"/>
        </w:rPr>
        <w:t>in 5% HNO</w:t>
      </w:r>
      <w:r w:rsidRPr="0023761B">
        <w:rPr>
          <w:rFonts w:ascii="Times New Roman" w:hAnsi="Times New Roman" w:cs="Times New Roman"/>
          <w:sz w:val="24"/>
          <w:vertAlign w:val="subscript"/>
          <w:lang w:val="en-GB"/>
        </w:rPr>
        <w:t>3</w:t>
      </w:r>
      <w:r w:rsidRPr="0023761B">
        <w:rPr>
          <w:rFonts w:ascii="Times New Roman" w:hAnsi="Times New Roman" w:cs="Times New Roman"/>
          <w:sz w:val="24"/>
          <w:lang w:val="en-GB"/>
        </w:rPr>
        <w:t>. Before assembling DGT</w:t>
      </w:r>
      <w:r w:rsidR="00176AE2" w:rsidRPr="0023761B">
        <w:rPr>
          <w:rFonts w:ascii="Times New Roman" w:hAnsi="Times New Roman" w:cs="Times New Roman"/>
          <w:sz w:val="24"/>
          <w:lang w:val="en-GB"/>
        </w:rPr>
        <w:t xml:space="preserve"> sampler</w:t>
      </w:r>
      <w:r w:rsidRPr="0023761B">
        <w:rPr>
          <w:rFonts w:ascii="Times New Roman" w:hAnsi="Times New Roman" w:cs="Times New Roman"/>
          <w:sz w:val="24"/>
          <w:lang w:val="en-GB"/>
        </w:rPr>
        <w:t xml:space="preserve">, </w:t>
      </w:r>
      <w:r w:rsidR="00176AE2" w:rsidRPr="0023761B">
        <w:rPr>
          <w:rFonts w:ascii="Times New Roman" w:hAnsi="Times New Roman" w:cs="Times New Roman"/>
          <w:sz w:val="24"/>
          <w:lang w:val="en-GB"/>
        </w:rPr>
        <w:t xml:space="preserve">its </w:t>
      </w:r>
      <w:r w:rsidR="006C6467" w:rsidRPr="0023761B">
        <w:rPr>
          <w:rFonts w:ascii="Times New Roman" w:hAnsi="Times New Roman" w:cs="Times New Roman"/>
          <w:sz w:val="24"/>
          <w:lang w:val="en-GB"/>
        </w:rPr>
        <w:t>parts</w:t>
      </w:r>
      <w:r w:rsidRPr="0023761B">
        <w:rPr>
          <w:rFonts w:ascii="Times New Roman" w:hAnsi="Times New Roman" w:cs="Times New Roman"/>
          <w:sz w:val="24"/>
          <w:lang w:val="en-GB"/>
        </w:rPr>
        <w:t xml:space="preserve"> were thoroughly washed with </w:t>
      </w:r>
      <w:r w:rsidR="00397E65" w:rsidRPr="0023761B">
        <w:rPr>
          <w:rFonts w:ascii="Times New Roman" w:hAnsi="Times New Roman" w:cs="Times New Roman"/>
          <w:sz w:val="24"/>
          <w:szCs w:val="24"/>
          <w:lang w:val="en-GB"/>
        </w:rPr>
        <w:t>double-deionized water</w:t>
      </w:r>
      <w:r w:rsidR="00397E65" w:rsidRPr="0023761B">
        <w:rPr>
          <w:rFonts w:ascii="Times New Roman" w:hAnsi="Times New Roman" w:cs="Times New Roman"/>
          <w:sz w:val="24"/>
          <w:lang w:val="en-GB"/>
        </w:rPr>
        <w:t xml:space="preserve"> (</w:t>
      </w:r>
      <w:r w:rsidR="00397E65" w:rsidRPr="0023761B">
        <w:rPr>
          <w:rFonts w:ascii="Times New Roman" w:hAnsi="Times New Roman" w:cs="Times New Roman"/>
          <w:sz w:val="24"/>
          <w:szCs w:val="24"/>
          <w:lang w:val="en-GB"/>
        </w:rPr>
        <w:t>18 MΩ·m</w:t>
      </w:r>
      <w:r w:rsidR="00397E65" w:rsidRPr="0023761B">
        <w:rPr>
          <w:rFonts w:ascii="Times New Roman" w:hAnsi="Times New Roman" w:cs="Times New Roman"/>
          <w:sz w:val="24"/>
          <w:szCs w:val="24"/>
          <w:vertAlign w:val="superscript"/>
          <w:lang w:val="en-GB"/>
        </w:rPr>
        <w:t>-1</w:t>
      </w:r>
      <w:r w:rsidR="00397E65" w:rsidRPr="0023761B">
        <w:rPr>
          <w:rFonts w:ascii="Times New Roman" w:hAnsi="Times New Roman" w:cs="Times New Roman"/>
          <w:sz w:val="24"/>
          <w:szCs w:val="24"/>
          <w:lang w:val="en-GB"/>
        </w:rPr>
        <w:t>, NANOPURE</w:t>
      </w:r>
      <w:r w:rsidRPr="0023761B">
        <w:rPr>
          <w:rFonts w:ascii="Times New Roman" w:hAnsi="Times New Roman" w:cs="Times New Roman"/>
          <w:sz w:val="24"/>
          <w:lang w:val="en-GB"/>
        </w:rPr>
        <w:t xml:space="preserve">) to </w:t>
      </w:r>
      <w:r w:rsidR="00176AE2" w:rsidRPr="0023761B">
        <w:rPr>
          <w:rFonts w:ascii="Times New Roman" w:hAnsi="Times New Roman" w:cs="Times New Roman"/>
          <w:sz w:val="24"/>
          <w:lang w:val="en-GB"/>
        </w:rPr>
        <w:t xml:space="preserve">protect from </w:t>
      </w:r>
      <w:r w:rsidRPr="0023761B">
        <w:rPr>
          <w:rFonts w:ascii="Times New Roman" w:hAnsi="Times New Roman" w:cs="Times New Roman"/>
          <w:sz w:val="24"/>
          <w:lang w:val="en-GB"/>
        </w:rPr>
        <w:t>acid coming into contact with the gels.</w:t>
      </w:r>
      <w:r w:rsidR="006C6467" w:rsidRPr="0023761B">
        <w:rPr>
          <w:rFonts w:ascii="Times New Roman" w:hAnsi="Times New Roman" w:cs="Times New Roman"/>
          <w:sz w:val="24"/>
          <w:lang w:val="en-GB"/>
        </w:rPr>
        <w:t xml:space="preserve"> Both polyacrylamide gel and Chelex-100 resin were stored in closed plastic vials in </w:t>
      </w:r>
      <w:r w:rsidR="00397E65" w:rsidRPr="0023761B">
        <w:rPr>
          <w:rFonts w:ascii="Times New Roman" w:hAnsi="Times New Roman" w:cs="Times New Roman"/>
          <w:sz w:val="24"/>
          <w:szCs w:val="24"/>
          <w:lang w:val="en-GB"/>
        </w:rPr>
        <w:t xml:space="preserve">double-deionized </w:t>
      </w:r>
      <w:r w:rsidR="006C6467" w:rsidRPr="0023761B">
        <w:rPr>
          <w:rFonts w:ascii="Times New Roman" w:hAnsi="Times New Roman" w:cs="Times New Roman"/>
          <w:sz w:val="24"/>
          <w:lang w:val="en-GB"/>
        </w:rPr>
        <w:t xml:space="preserve">water </w:t>
      </w:r>
      <w:r w:rsidR="00AC03A0" w:rsidRPr="0023761B">
        <w:rPr>
          <w:rFonts w:ascii="Times New Roman" w:hAnsi="Times New Roman" w:cs="Times New Roman"/>
          <w:sz w:val="24"/>
          <w:lang w:val="en-GB"/>
        </w:rPr>
        <w:t xml:space="preserve">before use </w:t>
      </w:r>
      <w:r w:rsidR="006C6467" w:rsidRPr="0023761B">
        <w:rPr>
          <w:rFonts w:ascii="Times New Roman" w:hAnsi="Times New Roman" w:cs="Times New Roman"/>
          <w:sz w:val="24"/>
          <w:lang w:val="en-GB"/>
        </w:rPr>
        <w:t>to prevent them from drying.</w:t>
      </w:r>
      <w:r w:rsidR="0092799A" w:rsidRPr="0023761B">
        <w:rPr>
          <w:rFonts w:ascii="Times New Roman" w:hAnsi="Times New Roman" w:cs="Times New Roman"/>
          <w:sz w:val="24"/>
          <w:lang w:val="en-GB"/>
        </w:rPr>
        <w:t xml:space="preserve"> </w:t>
      </w:r>
      <w:r w:rsidR="00176AE2" w:rsidRPr="0023761B">
        <w:rPr>
          <w:rFonts w:ascii="Times New Roman" w:hAnsi="Times New Roman" w:cs="Times New Roman"/>
          <w:sz w:val="24"/>
          <w:lang w:val="en-GB"/>
        </w:rPr>
        <w:t>T</w:t>
      </w:r>
      <w:r w:rsidR="0060041C" w:rsidRPr="0023761B">
        <w:rPr>
          <w:rFonts w:ascii="Times New Roman" w:hAnsi="Times New Roman" w:cs="Times New Roman"/>
          <w:sz w:val="24"/>
          <w:lang w:val="en-GB"/>
        </w:rPr>
        <w:t xml:space="preserve">he gels </w:t>
      </w:r>
      <w:r w:rsidR="00176AE2" w:rsidRPr="0023761B">
        <w:rPr>
          <w:rFonts w:ascii="Times New Roman" w:hAnsi="Times New Roman" w:cs="Times New Roman"/>
          <w:sz w:val="24"/>
          <w:lang w:val="en-GB"/>
        </w:rPr>
        <w:t xml:space="preserve">were cut </w:t>
      </w:r>
      <w:r w:rsidR="00600580">
        <w:rPr>
          <w:rFonts w:ascii="Times New Roman" w:hAnsi="Times New Roman" w:cs="Times New Roman"/>
          <w:sz w:val="24"/>
          <w:lang w:val="en-GB"/>
        </w:rPr>
        <w:t>with</w:t>
      </w:r>
      <w:r w:rsidR="00176AE2" w:rsidRPr="0023761B">
        <w:rPr>
          <w:rFonts w:ascii="Times New Roman" w:hAnsi="Times New Roman" w:cs="Times New Roman"/>
          <w:sz w:val="24"/>
          <w:lang w:val="en-GB"/>
        </w:rPr>
        <w:t xml:space="preserve"> Teflon-covered </w:t>
      </w:r>
      <w:r w:rsidR="00DD5144" w:rsidRPr="0023761B">
        <w:rPr>
          <w:rFonts w:ascii="Times New Roman" w:hAnsi="Times New Roman" w:cs="Times New Roman"/>
          <w:sz w:val="24"/>
          <w:lang w:val="en-GB"/>
        </w:rPr>
        <w:t xml:space="preserve">blade </w:t>
      </w:r>
      <w:r w:rsidR="00176AE2" w:rsidRPr="0023761B">
        <w:rPr>
          <w:rFonts w:ascii="Times New Roman" w:hAnsi="Times New Roman" w:cs="Times New Roman"/>
          <w:sz w:val="24"/>
          <w:lang w:val="en-GB"/>
        </w:rPr>
        <w:t xml:space="preserve">to </w:t>
      </w:r>
      <w:r w:rsidR="00BD5D7E" w:rsidRPr="0023761B">
        <w:rPr>
          <w:rFonts w:ascii="Times New Roman" w:hAnsi="Times New Roman" w:cs="Times New Roman"/>
          <w:sz w:val="24"/>
          <w:lang w:val="en-GB"/>
        </w:rPr>
        <w:t>fit</w:t>
      </w:r>
      <w:r w:rsidR="0060041C" w:rsidRPr="0023761B">
        <w:rPr>
          <w:rFonts w:ascii="Times New Roman" w:hAnsi="Times New Roman" w:cs="Times New Roman"/>
          <w:sz w:val="24"/>
          <w:lang w:val="en-GB"/>
        </w:rPr>
        <w:t xml:space="preserve"> the sediment </w:t>
      </w:r>
      <w:r w:rsidR="00AC03A0" w:rsidRPr="0023761B">
        <w:rPr>
          <w:rFonts w:ascii="Times New Roman" w:hAnsi="Times New Roman" w:cs="Times New Roman"/>
          <w:sz w:val="24"/>
          <w:lang w:val="en-GB"/>
        </w:rPr>
        <w:t>probe</w:t>
      </w:r>
      <w:r w:rsidR="00B11940" w:rsidRPr="0023761B">
        <w:rPr>
          <w:rFonts w:ascii="Times New Roman" w:hAnsi="Times New Roman" w:cs="Times New Roman"/>
          <w:sz w:val="24"/>
          <w:lang w:val="en-GB"/>
        </w:rPr>
        <w:t>.</w:t>
      </w:r>
    </w:p>
    <w:p w14:paraId="43BA3192" w14:textId="3EB56611" w:rsidR="0092799A" w:rsidRPr="0023761B" w:rsidRDefault="001B0B0B" w:rsidP="0092799A">
      <w:pPr>
        <w:spacing w:after="0" w:line="360" w:lineRule="auto"/>
        <w:ind w:firstLine="706"/>
        <w:jc w:val="both"/>
        <w:rPr>
          <w:rFonts w:ascii="Times New Roman" w:hAnsi="Times New Roman" w:cs="Times New Roman"/>
          <w:sz w:val="24"/>
          <w:lang w:val="en-GB"/>
        </w:rPr>
      </w:pPr>
      <w:r w:rsidRPr="0023761B">
        <w:rPr>
          <w:rFonts w:ascii="Times New Roman" w:hAnsi="Times New Roman" w:cs="Times New Roman"/>
          <w:sz w:val="24"/>
          <w:lang w:val="en-GB"/>
        </w:rPr>
        <w:t>One day b</w:t>
      </w:r>
      <w:r w:rsidR="0092799A" w:rsidRPr="0023761B">
        <w:rPr>
          <w:rFonts w:ascii="Times New Roman" w:hAnsi="Times New Roman" w:cs="Times New Roman"/>
          <w:sz w:val="24"/>
          <w:lang w:val="en-GB"/>
        </w:rPr>
        <w:t xml:space="preserve">efore field work, the assembled DGT probe was inserted into a bottle filled with </w:t>
      </w:r>
      <w:r w:rsidR="00397E65" w:rsidRPr="0023761B">
        <w:rPr>
          <w:rFonts w:ascii="Times New Roman" w:hAnsi="Times New Roman" w:cs="Times New Roman"/>
          <w:sz w:val="24"/>
          <w:szCs w:val="24"/>
          <w:lang w:val="en-GB"/>
        </w:rPr>
        <w:t>double-deionized water</w:t>
      </w:r>
      <w:r w:rsidR="0092799A" w:rsidRPr="0023761B">
        <w:rPr>
          <w:rFonts w:ascii="Times New Roman" w:hAnsi="Times New Roman" w:cs="Times New Roman"/>
          <w:sz w:val="24"/>
          <w:lang w:val="en-GB"/>
        </w:rPr>
        <w:t xml:space="preserve"> and purged with nitrogen to </w:t>
      </w:r>
      <w:r w:rsidR="004E1C61" w:rsidRPr="0023761B">
        <w:rPr>
          <w:rFonts w:ascii="Times New Roman" w:hAnsi="Times New Roman" w:cs="Times New Roman"/>
          <w:sz w:val="24"/>
          <w:lang w:val="en-GB"/>
        </w:rPr>
        <w:t>expel</w:t>
      </w:r>
      <w:r w:rsidR="0092799A" w:rsidRPr="0023761B">
        <w:rPr>
          <w:rFonts w:ascii="Times New Roman" w:hAnsi="Times New Roman" w:cs="Times New Roman"/>
          <w:sz w:val="24"/>
          <w:lang w:val="en-GB"/>
        </w:rPr>
        <w:t xml:space="preserve"> oxygen</w:t>
      </w:r>
      <w:r w:rsidR="004E1C61" w:rsidRPr="0023761B">
        <w:rPr>
          <w:rFonts w:ascii="Times New Roman" w:hAnsi="Times New Roman" w:cs="Times New Roman"/>
          <w:sz w:val="24"/>
          <w:lang w:val="en-GB"/>
        </w:rPr>
        <w:t xml:space="preserve">, which could affect </w:t>
      </w:r>
      <w:r w:rsidR="0052442F" w:rsidRPr="0023761B">
        <w:rPr>
          <w:rFonts w:ascii="Times New Roman" w:hAnsi="Times New Roman" w:cs="Times New Roman"/>
          <w:sz w:val="24"/>
          <w:lang w:val="en-GB"/>
        </w:rPr>
        <w:t>redox speciation</w:t>
      </w:r>
      <w:r w:rsidR="0092799A" w:rsidRPr="0023761B">
        <w:rPr>
          <w:rFonts w:ascii="Times New Roman" w:hAnsi="Times New Roman" w:cs="Times New Roman"/>
          <w:sz w:val="24"/>
          <w:lang w:val="en-GB"/>
        </w:rPr>
        <w:t xml:space="preserve">. </w:t>
      </w:r>
      <w:r w:rsidR="006C5E6D" w:rsidRPr="0023761B">
        <w:rPr>
          <w:rFonts w:ascii="Times New Roman" w:hAnsi="Times New Roman" w:cs="Times New Roman"/>
          <w:sz w:val="24"/>
          <w:lang w:val="en-GB"/>
        </w:rPr>
        <w:t xml:space="preserve">Immediately before sampling, </w:t>
      </w:r>
      <w:r w:rsidR="0092799A" w:rsidRPr="0023761B">
        <w:rPr>
          <w:rFonts w:ascii="Times New Roman" w:hAnsi="Times New Roman" w:cs="Times New Roman"/>
          <w:sz w:val="24"/>
          <w:lang w:val="en-GB"/>
        </w:rPr>
        <w:t>the bottle was tightly closed</w:t>
      </w:r>
      <w:r w:rsidR="006C5E6D" w:rsidRPr="0023761B">
        <w:rPr>
          <w:rFonts w:ascii="Times New Roman" w:hAnsi="Times New Roman" w:cs="Times New Roman"/>
          <w:sz w:val="24"/>
          <w:lang w:val="en-GB"/>
        </w:rPr>
        <w:t xml:space="preserve"> and</w:t>
      </w:r>
      <w:r w:rsidR="0092799A" w:rsidRPr="0023761B">
        <w:rPr>
          <w:rFonts w:ascii="Times New Roman" w:hAnsi="Times New Roman" w:cs="Times New Roman"/>
          <w:sz w:val="24"/>
          <w:lang w:val="en-GB"/>
        </w:rPr>
        <w:t xml:space="preserve"> transferred to the sampling site, where the sampler was inserted into the sediment.</w:t>
      </w:r>
    </w:p>
    <w:p w14:paraId="590C8DDF" w14:textId="405BC692" w:rsidR="0092799A" w:rsidRPr="0023761B" w:rsidRDefault="0060041C" w:rsidP="0092799A">
      <w:pPr>
        <w:spacing w:after="0" w:line="360" w:lineRule="auto"/>
        <w:ind w:firstLine="706"/>
        <w:jc w:val="both"/>
        <w:rPr>
          <w:rFonts w:ascii="Times New Roman" w:hAnsi="Times New Roman" w:cs="Times New Roman"/>
          <w:sz w:val="24"/>
          <w:szCs w:val="24"/>
          <w:lang w:val="en-GB"/>
        </w:rPr>
      </w:pPr>
      <w:r w:rsidRPr="0023761B">
        <w:rPr>
          <w:rFonts w:ascii="Times New Roman" w:hAnsi="Times New Roman" w:cs="Times New Roman"/>
          <w:sz w:val="24"/>
          <w:szCs w:val="24"/>
          <w:lang w:val="en-GB"/>
        </w:rPr>
        <w:t xml:space="preserve">After sampling, the DGT probes were carefully recuperated from the sediment, rinsed with a </w:t>
      </w:r>
      <w:r w:rsidR="00397E65" w:rsidRPr="0023761B">
        <w:rPr>
          <w:rFonts w:ascii="Times New Roman" w:hAnsi="Times New Roman" w:cs="Times New Roman"/>
          <w:sz w:val="24"/>
          <w:szCs w:val="24"/>
          <w:lang w:val="en-GB"/>
        </w:rPr>
        <w:t>double-deionized water</w:t>
      </w:r>
      <w:r w:rsidRPr="0023761B">
        <w:rPr>
          <w:rFonts w:ascii="Times New Roman" w:hAnsi="Times New Roman" w:cs="Times New Roman"/>
          <w:sz w:val="24"/>
          <w:szCs w:val="24"/>
          <w:lang w:val="en-GB"/>
        </w:rPr>
        <w:t>, inserted into the plastic bag and transfer</w:t>
      </w:r>
      <w:r w:rsidR="00E92AA1" w:rsidRPr="0023761B">
        <w:rPr>
          <w:rFonts w:ascii="Times New Roman" w:hAnsi="Times New Roman" w:cs="Times New Roman"/>
          <w:sz w:val="24"/>
          <w:szCs w:val="24"/>
          <w:lang w:val="en-GB"/>
        </w:rPr>
        <w:t>red</w:t>
      </w:r>
      <w:r w:rsidRPr="0023761B">
        <w:rPr>
          <w:rFonts w:ascii="Times New Roman" w:hAnsi="Times New Roman" w:cs="Times New Roman"/>
          <w:sz w:val="24"/>
          <w:szCs w:val="24"/>
          <w:lang w:val="en-GB"/>
        </w:rPr>
        <w:t xml:space="preserve"> to the lab</w:t>
      </w:r>
      <w:r w:rsidR="00793F49" w:rsidRPr="0023761B">
        <w:rPr>
          <w:rFonts w:ascii="Times New Roman" w:hAnsi="Times New Roman" w:cs="Times New Roman"/>
          <w:sz w:val="24"/>
          <w:szCs w:val="24"/>
          <w:lang w:val="en-GB"/>
        </w:rPr>
        <w:t>oratory</w:t>
      </w:r>
      <w:r w:rsidR="00EF7B0B" w:rsidRPr="0023761B">
        <w:rPr>
          <w:rFonts w:ascii="Times New Roman" w:hAnsi="Times New Roman" w:cs="Times New Roman"/>
          <w:sz w:val="24"/>
          <w:szCs w:val="24"/>
          <w:lang w:val="en-GB"/>
        </w:rPr>
        <w:t xml:space="preserve">. Then </w:t>
      </w:r>
      <w:r w:rsidR="00600580">
        <w:rPr>
          <w:rFonts w:ascii="Times New Roman" w:hAnsi="Times New Roman" w:cs="Times New Roman"/>
          <w:sz w:val="24"/>
          <w:szCs w:val="24"/>
          <w:lang w:val="en-GB"/>
        </w:rPr>
        <w:t xml:space="preserve">the </w:t>
      </w:r>
      <w:r w:rsidR="00EF7B0B" w:rsidRPr="0023761B">
        <w:rPr>
          <w:rFonts w:ascii="Times New Roman" w:hAnsi="Times New Roman" w:cs="Times New Roman"/>
          <w:sz w:val="24"/>
          <w:szCs w:val="24"/>
          <w:lang w:val="en-GB"/>
        </w:rPr>
        <w:t>diffusive layer and filter were discarded</w:t>
      </w:r>
      <w:r w:rsidR="00600580">
        <w:rPr>
          <w:rFonts w:ascii="Times New Roman" w:hAnsi="Times New Roman" w:cs="Times New Roman"/>
          <w:sz w:val="24"/>
          <w:szCs w:val="24"/>
          <w:lang w:val="en-GB"/>
        </w:rPr>
        <w:t>,</w:t>
      </w:r>
      <w:r w:rsidR="006A0930" w:rsidRPr="0023761B">
        <w:rPr>
          <w:rFonts w:ascii="Times New Roman" w:hAnsi="Times New Roman" w:cs="Times New Roman"/>
          <w:sz w:val="24"/>
          <w:szCs w:val="24"/>
          <w:lang w:val="en-GB"/>
        </w:rPr>
        <w:t xml:space="preserve"> and</w:t>
      </w:r>
      <w:r w:rsidR="00EF7B0B" w:rsidRPr="0023761B">
        <w:rPr>
          <w:rFonts w:ascii="Times New Roman" w:hAnsi="Times New Roman" w:cs="Times New Roman"/>
          <w:sz w:val="24"/>
          <w:szCs w:val="24"/>
          <w:lang w:val="en-GB"/>
        </w:rPr>
        <w:t xml:space="preserve"> resin layer was transferred into clean vial with </w:t>
      </w:r>
      <w:r w:rsidR="00397E65" w:rsidRPr="0023761B">
        <w:rPr>
          <w:rFonts w:ascii="Times New Roman" w:hAnsi="Times New Roman" w:cs="Times New Roman"/>
          <w:sz w:val="24"/>
          <w:szCs w:val="24"/>
          <w:lang w:val="en-GB"/>
        </w:rPr>
        <w:t>double-deionized water</w:t>
      </w:r>
      <w:r w:rsidR="006A0930" w:rsidRPr="0023761B">
        <w:rPr>
          <w:rFonts w:ascii="Times New Roman" w:hAnsi="Times New Roman" w:cs="Times New Roman"/>
          <w:sz w:val="24"/>
          <w:szCs w:val="24"/>
          <w:lang w:val="en-GB"/>
        </w:rPr>
        <w:t xml:space="preserve"> until analysis</w:t>
      </w:r>
      <w:r w:rsidR="004100F6" w:rsidRPr="0023761B">
        <w:rPr>
          <w:rFonts w:ascii="Times New Roman" w:hAnsi="Times New Roman" w:cs="Times New Roman"/>
          <w:sz w:val="24"/>
          <w:szCs w:val="24"/>
          <w:lang w:val="en-GB"/>
        </w:rPr>
        <w:t xml:space="preserve">. One probe gel was used to determine the dissolved Fe(II) concentration, whereas the second one to determine the total dissolved amount of iron. </w:t>
      </w:r>
      <w:r w:rsidR="00F0114E" w:rsidRPr="0023761B">
        <w:rPr>
          <w:rFonts w:ascii="Times New Roman" w:hAnsi="Times New Roman" w:cs="Times New Roman"/>
          <w:sz w:val="24"/>
          <w:szCs w:val="24"/>
          <w:lang w:val="en-GB"/>
        </w:rPr>
        <w:t>Fe(III</w:t>
      </w:r>
      <w:r w:rsidR="00F0114E">
        <w:rPr>
          <w:rFonts w:ascii="Times New Roman" w:hAnsi="Times New Roman" w:cs="Times New Roman"/>
          <w:sz w:val="24"/>
          <w:szCs w:val="24"/>
          <w:lang w:val="en-GB"/>
        </w:rPr>
        <w:t>)</w:t>
      </w:r>
      <w:r w:rsidR="00F0114E" w:rsidRPr="0023761B">
        <w:rPr>
          <w:rFonts w:ascii="Times New Roman" w:hAnsi="Times New Roman" w:cs="Times New Roman"/>
          <w:sz w:val="24"/>
          <w:szCs w:val="24"/>
          <w:lang w:val="en-GB"/>
        </w:rPr>
        <w:t xml:space="preserve"> </w:t>
      </w:r>
      <w:r w:rsidR="00F0114E">
        <w:rPr>
          <w:rFonts w:ascii="Times New Roman" w:hAnsi="Times New Roman" w:cs="Times New Roman"/>
          <w:sz w:val="24"/>
          <w:szCs w:val="24"/>
          <w:lang w:val="en-GB"/>
        </w:rPr>
        <w:t>was calculated as the</w:t>
      </w:r>
      <w:r w:rsidR="00F0114E" w:rsidRPr="0023761B">
        <w:rPr>
          <w:rFonts w:ascii="Times New Roman" w:hAnsi="Times New Roman" w:cs="Times New Roman"/>
          <w:sz w:val="24"/>
          <w:szCs w:val="24"/>
          <w:lang w:val="en-GB"/>
        </w:rPr>
        <w:t xml:space="preserve"> difference between dissolved total and Fe(II) values.</w:t>
      </w:r>
      <w:r w:rsidR="00F0114E">
        <w:rPr>
          <w:rFonts w:ascii="Times New Roman" w:hAnsi="Times New Roman" w:cs="Times New Roman"/>
          <w:sz w:val="24"/>
          <w:szCs w:val="24"/>
          <w:lang w:val="en-GB"/>
        </w:rPr>
        <w:t xml:space="preserve"> </w:t>
      </w:r>
      <w:r w:rsidR="002B4D95" w:rsidRPr="0023761B">
        <w:rPr>
          <w:rFonts w:ascii="Times New Roman" w:hAnsi="Times New Roman" w:cs="Times New Roman"/>
          <w:sz w:val="24"/>
          <w:szCs w:val="24"/>
          <w:lang w:val="en-GB"/>
        </w:rPr>
        <w:t xml:space="preserve">The procedure </w:t>
      </w:r>
      <w:r w:rsidR="00DC1E2C" w:rsidRPr="0023761B">
        <w:rPr>
          <w:rFonts w:ascii="Times New Roman" w:hAnsi="Times New Roman" w:cs="Times New Roman"/>
          <w:sz w:val="24"/>
          <w:szCs w:val="24"/>
          <w:lang w:val="en-GB"/>
        </w:rPr>
        <w:t xml:space="preserve">for total Fe determination </w:t>
      </w:r>
      <w:r w:rsidR="002B4D95" w:rsidRPr="0023761B">
        <w:rPr>
          <w:rFonts w:ascii="Times New Roman" w:hAnsi="Times New Roman" w:cs="Times New Roman"/>
          <w:sz w:val="24"/>
          <w:szCs w:val="24"/>
          <w:lang w:val="en-GB"/>
        </w:rPr>
        <w:t xml:space="preserve">was the same as described below (see 2.3). </w:t>
      </w:r>
    </w:p>
    <w:p w14:paraId="77D55211" w14:textId="263DFE8F" w:rsidR="002B4D95" w:rsidRPr="0023761B" w:rsidRDefault="002B4D95" w:rsidP="0092799A">
      <w:pPr>
        <w:spacing w:after="0" w:line="360" w:lineRule="auto"/>
        <w:ind w:firstLine="706"/>
        <w:jc w:val="both"/>
        <w:rPr>
          <w:rFonts w:ascii="Times New Roman" w:hAnsi="Times New Roman" w:cs="Times New Roman"/>
          <w:sz w:val="24"/>
          <w:lang w:val="en-GB"/>
        </w:rPr>
      </w:pPr>
      <w:r w:rsidRPr="0023761B">
        <w:rPr>
          <w:rFonts w:ascii="Times New Roman" w:hAnsi="Times New Roman" w:cs="Times New Roman"/>
          <w:sz w:val="24"/>
          <w:lang w:val="en-GB"/>
        </w:rPr>
        <w:t>After determination of Fe redox values in the gel,</w:t>
      </w:r>
      <w:r w:rsidR="00FB7CDA" w:rsidRPr="0023761B">
        <w:rPr>
          <w:rFonts w:ascii="Times New Roman" w:hAnsi="Times New Roman" w:cs="Times New Roman"/>
          <w:sz w:val="24"/>
          <w:lang w:val="en-GB"/>
        </w:rPr>
        <w:t xml:space="preserve"> DGT equation was </w:t>
      </w:r>
      <w:r w:rsidR="00D37E7A" w:rsidRPr="0023761B">
        <w:rPr>
          <w:rFonts w:ascii="Times New Roman" w:hAnsi="Times New Roman" w:cs="Times New Roman"/>
          <w:sz w:val="24"/>
          <w:lang w:val="en-GB"/>
        </w:rPr>
        <w:t>applied</w:t>
      </w:r>
      <w:r w:rsidR="00FB7CDA" w:rsidRPr="0023761B">
        <w:rPr>
          <w:rFonts w:ascii="Times New Roman" w:hAnsi="Times New Roman" w:cs="Times New Roman"/>
          <w:sz w:val="24"/>
          <w:lang w:val="en-GB"/>
        </w:rPr>
        <w:t xml:space="preserve"> to calculate the concentration of Fe species </w:t>
      </w:r>
      <w:r w:rsidR="00710B27" w:rsidRPr="0023761B">
        <w:rPr>
          <w:rFonts w:ascii="Times New Roman" w:hAnsi="Times New Roman" w:cs="Times New Roman"/>
          <w:sz w:val="24"/>
          <w:lang w:val="en-GB"/>
        </w:rPr>
        <w:t xml:space="preserve">(C) </w:t>
      </w:r>
      <w:r w:rsidR="00FB7CDA" w:rsidRPr="0023761B">
        <w:rPr>
          <w:rFonts w:ascii="Times New Roman" w:hAnsi="Times New Roman" w:cs="Times New Roman"/>
          <w:sz w:val="24"/>
          <w:lang w:val="en-GB"/>
        </w:rPr>
        <w:t xml:space="preserve">in the </w:t>
      </w:r>
      <w:r w:rsidR="00EF7480" w:rsidRPr="0023761B">
        <w:rPr>
          <w:rFonts w:ascii="Times New Roman" w:hAnsi="Times New Roman" w:cs="Times New Roman"/>
          <w:sz w:val="24"/>
          <w:lang w:val="en-GB"/>
        </w:rPr>
        <w:t>sediment pore waters</w:t>
      </w:r>
      <w:r w:rsidR="00407764" w:rsidRPr="0023761B">
        <w:rPr>
          <w:rFonts w:ascii="Times New Roman" w:hAnsi="Times New Roman" w:cs="Times New Roman"/>
          <w:sz w:val="24"/>
          <w:lang w:val="en-GB"/>
        </w:rPr>
        <w:t xml:space="preserve">: </w:t>
      </w:r>
    </w:p>
    <w:p w14:paraId="21B5D5E7" w14:textId="1F3CE461" w:rsidR="00591EE2" w:rsidRPr="00591EE2" w:rsidRDefault="00C66489" w:rsidP="00591EE2">
      <w:pPr>
        <w:spacing w:after="0" w:line="360" w:lineRule="auto"/>
        <w:jc w:val="right"/>
        <w:rPr>
          <w:rFonts w:ascii="Times New Roman" w:eastAsiaTheme="minorEastAsia" w:hAnsi="Times New Roman" w:cs="Times New Roman"/>
          <w:lang w:val="en-GB"/>
        </w:rPr>
      </w:pPr>
      <m:oMath>
        <m:r>
          <w:rPr>
            <w:rFonts w:ascii="Cambria Math" w:hAnsi="Cambria Math" w:cs="Times New Roman"/>
            <w:sz w:val="28"/>
            <w:szCs w:val="28"/>
            <w:lang w:val="en-GB"/>
          </w:rPr>
          <m:t xml:space="preserve">C= </m:t>
        </m:r>
        <m:f>
          <m:fPr>
            <m:ctrlPr>
              <w:rPr>
                <w:rFonts w:ascii="Cambria Math" w:hAnsi="Cambria Math" w:cs="Times New Roman"/>
                <w:i/>
                <w:sz w:val="28"/>
                <w:szCs w:val="28"/>
                <w:lang w:val="en-GB"/>
              </w:rPr>
            </m:ctrlPr>
          </m:fPr>
          <m:num>
            <m:r>
              <w:rPr>
                <w:rFonts w:ascii="Cambria Math" w:hAnsi="Cambria Math" w:cs="Times New Roman"/>
                <w:sz w:val="28"/>
                <w:szCs w:val="28"/>
                <w:lang w:val="en-GB"/>
              </w:rPr>
              <m:t>M ∆d</m:t>
            </m:r>
          </m:num>
          <m:den>
            <m:r>
              <w:rPr>
                <w:rFonts w:ascii="Cambria Math" w:hAnsi="Cambria Math" w:cs="Times New Roman"/>
                <w:sz w:val="28"/>
                <w:szCs w:val="28"/>
                <w:lang w:val="en-GB"/>
              </w:rPr>
              <m:t>D A t</m:t>
            </m:r>
          </m:den>
        </m:f>
        <m:r>
          <w:rPr>
            <w:rFonts w:ascii="Cambria Math" w:eastAsiaTheme="minorEastAsia" w:hAnsi="Cambria Math" w:cs="Times New Roman"/>
            <w:sz w:val="28"/>
            <w:szCs w:val="28"/>
            <w:lang w:val="en-GB"/>
          </w:rPr>
          <m:t xml:space="preserve">,  </m:t>
        </m:r>
      </m:oMath>
      <w:r w:rsidR="00591EE2">
        <w:rPr>
          <w:rFonts w:ascii="Times New Roman" w:eastAsiaTheme="minorEastAsia" w:hAnsi="Times New Roman" w:cs="Times New Roman"/>
          <w:lang w:val="en-GB"/>
        </w:rPr>
        <w:tab/>
      </w:r>
      <w:r w:rsidR="00194F1D">
        <w:rPr>
          <w:rFonts w:ascii="Times New Roman" w:eastAsiaTheme="minorEastAsia" w:hAnsi="Times New Roman" w:cs="Times New Roman"/>
          <w:lang w:val="en-GB"/>
        </w:rPr>
        <w:tab/>
      </w:r>
      <w:r w:rsidR="00591EE2">
        <w:rPr>
          <w:rFonts w:ascii="Times New Roman" w:eastAsiaTheme="minorEastAsia" w:hAnsi="Times New Roman" w:cs="Times New Roman"/>
          <w:lang w:val="en-GB"/>
        </w:rPr>
        <w:tab/>
      </w:r>
      <w:r w:rsidR="00591EE2">
        <w:rPr>
          <w:rFonts w:ascii="Times New Roman" w:eastAsiaTheme="minorEastAsia" w:hAnsi="Times New Roman" w:cs="Times New Roman"/>
          <w:lang w:val="en-GB"/>
        </w:rPr>
        <w:tab/>
      </w:r>
      <w:r w:rsidR="00591EE2">
        <w:rPr>
          <w:rFonts w:ascii="Times New Roman" w:eastAsiaTheme="minorEastAsia" w:hAnsi="Times New Roman" w:cs="Times New Roman"/>
          <w:lang w:val="en-GB"/>
        </w:rPr>
        <w:tab/>
      </w:r>
      <w:r w:rsidR="00591EE2">
        <w:rPr>
          <w:rFonts w:ascii="Times New Roman" w:eastAsiaTheme="minorEastAsia" w:hAnsi="Times New Roman" w:cs="Times New Roman"/>
          <w:lang w:val="en-GB"/>
        </w:rPr>
        <w:tab/>
        <w:t>(1)</w:t>
      </w:r>
    </w:p>
    <w:p w14:paraId="49FFD6EF" w14:textId="12AC654B" w:rsidR="00591EE2" w:rsidRDefault="00591EE2" w:rsidP="00591EE2">
      <w:pPr>
        <w:spacing w:after="0" w:line="360" w:lineRule="auto"/>
        <w:jc w:val="both"/>
        <w:rPr>
          <w:rFonts w:ascii="Times New Roman" w:hAnsi="Times New Roman" w:cs="Times New Roman"/>
          <w:sz w:val="24"/>
          <w:lang w:val="en-GB"/>
        </w:rPr>
      </w:pPr>
      <w:r>
        <w:rPr>
          <w:rFonts w:ascii="Times New Roman" w:hAnsi="Times New Roman" w:cs="Times New Roman"/>
          <w:sz w:val="24"/>
          <w:lang w:val="en-GB"/>
        </w:rPr>
        <w:t>w</w:t>
      </w:r>
      <w:r w:rsidR="00C66489" w:rsidRPr="0023761B">
        <w:rPr>
          <w:rFonts w:ascii="Times New Roman" w:hAnsi="Times New Roman" w:cs="Times New Roman"/>
          <w:sz w:val="24"/>
          <w:lang w:val="en-GB"/>
        </w:rPr>
        <w:t>here</w:t>
      </w:r>
      <w:r>
        <w:rPr>
          <w:rFonts w:ascii="Times New Roman" w:hAnsi="Times New Roman" w:cs="Times New Roman"/>
          <w:sz w:val="24"/>
          <w:lang w:val="en-GB"/>
        </w:rPr>
        <w:t xml:space="preserve"> </w:t>
      </w:r>
      <w:r w:rsidRPr="00591EE2">
        <w:rPr>
          <w:rFonts w:ascii="Times New Roman" w:hAnsi="Times New Roman" w:cs="Times New Roman"/>
          <w:i/>
          <w:sz w:val="24"/>
          <w:lang w:val="en-GB"/>
        </w:rPr>
        <w:t>M</w:t>
      </w:r>
      <w:r>
        <w:rPr>
          <w:rFonts w:ascii="Times New Roman" w:hAnsi="Times New Roman" w:cs="Times New Roman"/>
          <w:sz w:val="24"/>
          <w:lang w:val="en-GB"/>
        </w:rPr>
        <w:t xml:space="preserve"> is the </w:t>
      </w:r>
      <w:r w:rsidR="00C66489" w:rsidRPr="0023761B">
        <w:rPr>
          <w:rFonts w:ascii="Times New Roman" w:hAnsi="Times New Roman" w:cs="Times New Roman"/>
          <w:sz w:val="24"/>
          <w:lang w:val="en-GB"/>
        </w:rPr>
        <w:t>m</w:t>
      </w:r>
      <w:r w:rsidR="00782A81" w:rsidRPr="0023761B">
        <w:rPr>
          <w:rFonts w:ascii="Times New Roman" w:hAnsi="Times New Roman" w:cs="Times New Roman"/>
          <w:sz w:val="24"/>
          <w:lang w:val="en-GB"/>
        </w:rPr>
        <w:t xml:space="preserve">ass of accumulated </w:t>
      </w:r>
      <w:r w:rsidR="00C66489" w:rsidRPr="0023761B">
        <w:rPr>
          <w:rFonts w:ascii="Times New Roman" w:hAnsi="Times New Roman" w:cs="Times New Roman"/>
          <w:sz w:val="24"/>
          <w:lang w:val="en-GB"/>
        </w:rPr>
        <w:t>Fe</w:t>
      </w:r>
      <w:r w:rsidR="00782A81" w:rsidRPr="0023761B">
        <w:rPr>
          <w:rFonts w:ascii="Times New Roman" w:hAnsi="Times New Roman" w:cs="Times New Roman"/>
          <w:sz w:val="24"/>
          <w:lang w:val="en-GB"/>
        </w:rPr>
        <w:t xml:space="preserve"> species,</w:t>
      </w:r>
      <w:r>
        <w:rPr>
          <w:rFonts w:ascii="Times New Roman" w:hAnsi="Times New Roman" w:cs="Times New Roman"/>
          <w:sz w:val="24"/>
          <w:lang w:val="en-GB"/>
        </w:rPr>
        <w:t xml:space="preserve"> </w:t>
      </w:r>
      <w:r w:rsidRPr="00591EE2">
        <w:rPr>
          <w:rFonts w:ascii="Times New Roman" w:hAnsi="Times New Roman" w:cs="Times New Roman"/>
          <w:i/>
          <w:sz w:val="24"/>
          <w:lang w:val="en-GB"/>
        </w:rPr>
        <w:t>t</w:t>
      </w:r>
      <w:r>
        <w:rPr>
          <w:rFonts w:ascii="Times New Roman" w:hAnsi="Times New Roman" w:cs="Times New Roman"/>
          <w:sz w:val="24"/>
          <w:lang w:val="en-GB"/>
        </w:rPr>
        <w:t xml:space="preserve"> is the</w:t>
      </w:r>
      <w:r w:rsidR="00782A81" w:rsidRPr="0023761B">
        <w:rPr>
          <w:rFonts w:ascii="Times New Roman" w:hAnsi="Times New Roman" w:cs="Times New Roman"/>
          <w:sz w:val="24"/>
          <w:lang w:val="en-GB"/>
        </w:rPr>
        <w:t xml:space="preserve"> time of exposure, </w:t>
      </w:r>
      <w:r w:rsidRPr="00591EE2">
        <w:rPr>
          <w:rFonts w:ascii="Times New Roman" w:hAnsi="Times New Roman" w:cs="Times New Roman"/>
          <w:i/>
          <w:sz w:val="24"/>
          <w:lang w:val="en-GB"/>
        </w:rPr>
        <w:t>A</w:t>
      </w:r>
      <w:r>
        <w:rPr>
          <w:rFonts w:ascii="Times New Roman" w:hAnsi="Times New Roman" w:cs="Times New Roman"/>
          <w:sz w:val="24"/>
          <w:lang w:val="en-GB"/>
        </w:rPr>
        <w:t xml:space="preserve"> is the area of exposed surface</w:t>
      </w:r>
      <w:r w:rsidR="005E0D08">
        <w:rPr>
          <w:rFonts w:ascii="Times New Roman" w:hAnsi="Times New Roman" w:cs="Times New Roman"/>
          <w:sz w:val="24"/>
          <w:lang w:val="en-GB"/>
        </w:rPr>
        <w:t xml:space="preserve"> (</w:t>
      </w:r>
      <w:r w:rsidR="005E0D08" w:rsidRPr="005E0D08">
        <w:rPr>
          <w:rFonts w:ascii="Times New Roman" w:hAnsi="Times New Roman" w:cs="Times New Roman"/>
          <w:i/>
          <w:sz w:val="24"/>
          <w:lang w:val="en-GB"/>
        </w:rPr>
        <w:t>A</w:t>
      </w:r>
      <w:r w:rsidR="005E0D08">
        <w:rPr>
          <w:rFonts w:ascii="Times New Roman" w:hAnsi="Times New Roman" w:cs="Times New Roman"/>
          <w:sz w:val="24"/>
          <w:lang w:val="en-GB"/>
        </w:rPr>
        <w:t> = 0.15·10</w:t>
      </w:r>
      <w:r w:rsidR="005E0D08" w:rsidRPr="005E0D08">
        <w:rPr>
          <w:rFonts w:ascii="Times New Roman" w:hAnsi="Times New Roman" w:cs="Times New Roman"/>
          <w:sz w:val="24"/>
          <w:vertAlign w:val="superscript"/>
          <w:lang w:val="en-GB"/>
        </w:rPr>
        <w:t>-3</w:t>
      </w:r>
      <w:r w:rsidR="005E0D08">
        <w:rPr>
          <w:rFonts w:ascii="Times New Roman" w:hAnsi="Times New Roman" w:cs="Times New Roman"/>
          <w:sz w:val="24"/>
          <w:lang w:val="en-GB"/>
        </w:rPr>
        <w:t xml:space="preserve"> m</w:t>
      </w:r>
      <w:r w:rsidR="005E0D08" w:rsidRPr="005E0D08">
        <w:rPr>
          <w:rFonts w:ascii="Times New Roman" w:hAnsi="Times New Roman" w:cs="Times New Roman"/>
          <w:sz w:val="24"/>
          <w:vertAlign w:val="superscript"/>
          <w:lang w:val="en-GB"/>
        </w:rPr>
        <w:t>2</w:t>
      </w:r>
      <w:r w:rsidR="005E0D08">
        <w:rPr>
          <w:rFonts w:ascii="Times New Roman" w:hAnsi="Times New Roman" w:cs="Times New Roman"/>
          <w:sz w:val="24"/>
          <w:lang w:val="en-GB"/>
        </w:rPr>
        <w:t>)</w:t>
      </w:r>
      <w:r w:rsidR="00782A81" w:rsidRPr="0023761B">
        <w:rPr>
          <w:rFonts w:ascii="Times New Roman" w:hAnsi="Times New Roman" w:cs="Times New Roman"/>
          <w:sz w:val="24"/>
          <w:lang w:val="en-GB"/>
        </w:rPr>
        <w:t xml:space="preserve">, </w:t>
      </w:r>
      <w:r w:rsidRPr="00591EE2">
        <w:rPr>
          <w:rFonts w:ascii="Times New Roman" w:hAnsi="Times New Roman" w:cs="Times New Roman"/>
          <w:i/>
          <w:sz w:val="24"/>
          <w:lang w:val="en-GB"/>
        </w:rPr>
        <w:t>∆d</w:t>
      </w:r>
      <w:r w:rsidRPr="0023761B">
        <w:rPr>
          <w:rFonts w:ascii="Times New Roman" w:hAnsi="Times New Roman" w:cs="Times New Roman"/>
          <w:sz w:val="24"/>
          <w:lang w:val="en-GB"/>
        </w:rPr>
        <w:t xml:space="preserve"> </w:t>
      </w:r>
      <w:r>
        <w:rPr>
          <w:rFonts w:ascii="Times New Roman" w:hAnsi="Times New Roman" w:cs="Times New Roman"/>
          <w:sz w:val="24"/>
          <w:lang w:val="en-GB"/>
        </w:rPr>
        <w:t xml:space="preserve">is the </w:t>
      </w:r>
      <w:r w:rsidR="00782A81" w:rsidRPr="0023761B">
        <w:rPr>
          <w:rFonts w:ascii="Times New Roman" w:hAnsi="Times New Roman" w:cs="Times New Roman"/>
          <w:sz w:val="24"/>
          <w:lang w:val="en-GB"/>
        </w:rPr>
        <w:t>diffusive layer thickness and</w:t>
      </w:r>
      <w:r>
        <w:rPr>
          <w:rFonts w:ascii="Times New Roman" w:hAnsi="Times New Roman" w:cs="Times New Roman"/>
          <w:sz w:val="24"/>
          <w:lang w:val="en-GB"/>
        </w:rPr>
        <w:t xml:space="preserve"> </w:t>
      </w:r>
      <w:r w:rsidRPr="00591EE2">
        <w:rPr>
          <w:rFonts w:ascii="Times New Roman" w:hAnsi="Times New Roman" w:cs="Times New Roman"/>
          <w:i/>
          <w:sz w:val="24"/>
          <w:lang w:val="en-GB"/>
        </w:rPr>
        <w:t>D</w:t>
      </w:r>
      <w:r>
        <w:rPr>
          <w:rFonts w:ascii="Times New Roman" w:hAnsi="Times New Roman" w:cs="Times New Roman"/>
          <w:sz w:val="24"/>
          <w:lang w:val="en-GB"/>
        </w:rPr>
        <w:t xml:space="preserve"> is the</w:t>
      </w:r>
      <w:r w:rsidR="00782A81" w:rsidRPr="0023761B">
        <w:rPr>
          <w:rFonts w:ascii="Times New Roman" w:hAnsi="Times New Roman" w:cs="Times New Roman"/>
          <w:sz w:val="24"/>
          <w:lang w:val="en-GB"/>
        </w:rPr>
        <w:t xml:space="preserve"> diffusive coeffici</w:t>
      </w:r>
      <w:r>
        <w:rPr>
          <w:rFonts w:ascii="Times New Roman" w:hAnsi="Times New Roman" w:cs="Times New Roman"/>
          <w:sz w:val="24"/>
          <w:lang w:val="en-GB"/>
        </w:rPr>
        <w:t>ent of the labile Fe species</w:t>
      </w:r>
      <w:r w:rsidR="005E0D08">
        <w:rPr>
          <w:rFonts w:ascii="Times New Roman" w:hAnsi="Times New Roman" w:cs="Times New Roman"/>
          <w:sz w:val="24"/>
          <w:lang w:val="en-GB"/>
        </w:rPr>
        <w:t xml:space="preserve"> (</w:t>
      </w:r>
      <w:r w:rsidR="005E0D08" w:rsidRPr="005E0D08">
        <w:rPr>
          <w:rFonts w:ascii="Times New Roman" w:hAnsi="Times New Roman" w:cs="Times New Roman"/>
          <w:i/>
          <w:sz w:val="24"/>
          <w:lang w:val="en-GB"/>
        </w:rPr>
        <w:t>D</w:t>
      </w:r>
      <w:r w:rsidR="005E0D08">
        <w:rPr>
          <w:rFonts w:ascii="Times New Roman" w:hAnsi="Times New Roman" w:cs="Times New Roman"/>
          <w:sz w:val="24"/>
          <w:lang w:val="en-GB"/>
        </w:rPr>
        <w:t> = 5.9 ·10</w:t>
      </w:r>
      <w:r w:rsidR="005E0D08" w:rsidRPr="005E0D08">
        <w:rPr>
          <w:rFonts w:ascii="Times New Roman" w:hAnsi="Times New Roman" w:cs="Times New Roman"/>
          <w:sz w:val="24"/>
          <w:vertAlign w:val="superscript"/>
          <w:lang w:val="en-GB"/>
        </w:rPr>
        <w:t>-</w:t>
      </w:r>
      <w:r w:rsidR="005E0D08">
        <w:rPr>
          <w:rFonts w:ascii="Times New Roman" w:hAnsi="Times New Roman" w:cs="Times New Roman"/>
          <w:sz w:val="24"/>
          <w:vertAlign w:val="superscript"/>
          <w:lang w:val="en-GB"/>
        </w:rPr>
        <w:t>6</w:t>
      </w:r>
      <w:r w:rsidR="005E0D08">
        <w:rPr>
          <w:rFonts w:ascii="Times New Roman" w:hAnsi="Times New Roman" w:cs="Times New Roman"/>
          <w:sz w:val="24"/>
          <w:lang w:val="en-GB"/>
        </w:rPr>
        <w:t xml:space="preserve"> m</w:t>
      </w:r>
      <w:r w:rsidR="005E0D08" w:rsidRPr="005E0D08">
        <w:rPr>
          <w:rFonts w:ascii="Times New Roman" w:hAnsi="Times New Roman" w:cs="Times New Roman"/>
          <w:sz w:val="24"/>
          <w:vertAlign w:val="superscript"/>
          <w:lang w:val="en-GB"/>
        </w:rPr>
        <w:t>2</w:t>
      </w:r>
      <w:r w:rsidR="005E0D08">
        <w:rPr>
          <w:rFonts w:ascii="Times New Roman" w:hAnsi="Times New Roman" w:cs="Times New Roman"/>
          <w:sz w:val="24"/>
          <w:lang w:val="en-GB"/>
        </w:rPr>
        <w:t>/s)</w:t>
      </w:r>
      <w:r>
        <w:rPr>
          <w:rFonts w:ascii="Times New Roman" w:hAnsi="Times New Roman" w:cs="Times New Roman"/>
          <w:sz w:val="24"/>
          <w:lang w:val="en-GB"/>
        </w:rPr>
        <w:t>.</w:t>
      </w:r>
      <w:r w:rsidR="00782A81" w:rsidRPr="0023761B">
        <w:rPr>
          <w:rFonts w:ascii="Times New Roman" w:hAnsi="Times New Roman" w:cs="Times New Roman"/>
          <w:sz w:val="24"/>
          <w:lang w:val="en-GB"/>
        </w:rPr>
        <w:t xml:space="preserve"> </w:t>
      </w:r>
    </w:p>
    <w:p w14:paraId="6FDFBB37" w14:textId="2421EBDA" w:rsidR="00E03C37" w:rsidRPr="0023761B" w:rsidRDefault="00591EE2" w:rsidP="00E03C37">
      <w:pPr>
        <w:spacing w:after="0" w:line="360" w:lineRule="auto"/>
        <w:ind w:firstLine="706"/>
        <w:jc w:val="both"/>
        <w:rPr>
          <w:rFonts w:ascii="Times New Roman" w:hAnsi="Times New Roman" w:cs="Times New Roman"/>
          <w:sz w:val="24"/>
          <w:szCs w:val="24"/>
          <w:lang w:val="en-GB"/>
        </w:rPr>
      </w:pPr>
      <w:r>
        <w:rPr>
          <w:rFonts w:ascii="Times New Roman" w:hAnsi="Times New Roman" w:cs="Times New Roman"/>
          <w:sz w:val="24"/>
          <w:szCs w:val="24"/>
          <w:lang w:val="en-GB"/>
        </w:rPr>
        <w:t>The determination of Fe</w:t>
      </w:r>
      <w:r w:rsidR="00323A47" w:rsidRPr="0023761B">
        <w:rPr>
          <w:rFonts w:ascii="Times New Roman" w:hAnsi="Times New Roman" w:cs="Times New Roman"/>
          <w:sz w:val="24"/>
          <w:szCs w:val="24"/>
          <w:lang w:val="en-GB"/>
        </w:rPr>
        <w:t xml:space="preserve"> </w:t>
      </w:r>
      <w:r w:rsidR="00DD5144" w:rsidRPr="0023761B">
        <w:rPr>
          <w:rFonts w:ascii="Times New Roman" w:hAnsi="Times New Roman" w:cs="Times New Roman"/>
          <w:sz w:val="24"/>
          <w:szCs w:val="24"/>
          <w:lang w:val="en-GB"/>
        </w:rPr>
        <w:t xml:space="preserve">redox species </w:t>
      </w:r>
      <w:r w:rsidR="00323A47" w:rsidRPr="0023761B">
        <w:rPr>
          <w:rFonts w:ascii="Times New Roman" w:hAnsi="Times New Roman" w:cs="Times New Roman"/>
          <w:sz w:val="24"/>
          <w:szCs w:val="24"/>
          <w:lang w:val="en-GB"/>
        </w:rPr>
        <w:t>is based on colorimetr</w:t>
      </w:r>
      <w:r w:rsidR="00B36B1E" w:rsidRPr="0023761B">
        <w:rPr>
          <w:rFonts w:ascii="Times New Roman" w:hAnsi="Times New Roman" w:cs="Times New Roman"/>
          <w:sz w:val="24"/>
          <w:szCs w:val="24"/>
          <w:lang w:val="en-GB"/>
        </w:rPr>
        <w:t xml:space="preserve">ic reaction of the Fe(II) and </w:t>
      </w:r>
      <w:r w:rsidR="0057589F">
        <w:rPr>
          <w:rFonts w:ascii="Times New Roman" w:hAnsi="Times New Roman" w:cs="Times New Roman"/>
          <w:sz w:val="24"/>
          <w:szCs w:val="24"/>
          <w:lang w:val="en-GB"/>
        </w:rPr>
        <w:t>PHN</w:t>
      </w:r>
      <w:r w:rsidR="00323A47" w:rsidRPr="0023761B">
        <w:rPr>
          <w:rFonts w:ascii="Times New Roman" w:hAnsi="Times New Roman" w:cs="Times New Roman"/>
          <w:sz w:val="24"/>
          <w:szCs w:val="24"/>
          <w:lang w:val="en-GB"/>
        </w:rPr>
        <w:t xml:space="preserve">, accompanied by the formation of a stable orange </w:t>
      </w:r>
      <w:r w:rsidR="003B22EB" w:rsidRPr="0023761B">
        <w:rPr>
          <w:rFonts w:ascii="Times New Roman" w:hAnsi="Times New Roman" w:cs="Times New Roman"/>
          <w:sz w:val="24"/>
          <w:szCs w:val="24"/>
          <w:lang w:val="en-GB"/>
        </w:rPr>
        <w:t>complex, nam</w:t>
      </w:r>
      <w:r w:rsidR="00323A47" w:rsidRPr="0023761B">
        <w:rPr>
          <w:rFonts w:ascii="Times New Roman" w:hAnsi="Times New Roman" w:cs="Times New Roman"/>
          <w:sz w:val="24"/>
          <w:szCs w:val="24"/>
          <w:lang w:val="en-GB"/>
        </w:rPr>
        <w:t>ed Ferroin</w:t>
      </w:r>
      <w:r w:rsidR="0029307F" w:rsidRPr="0023761B">
        <w:rPr>
          <w:rFonts w:ascii="Times New Roman" w:hAnsi="Times New Roman" w:cs="Times New Roman"/>
          <w:sz w:val="24"/>
          <w:szCs w:val="24"/>
          <w:lang w:val="en-GB"/>
        </w:rPr>
        <w:t xml:space="preserve"> ([Fe(phen)</w:t>
      </w:r>
      <w:r w:rsidR="0029307F" w:rsidRPr="0023761B">
        <w:rPr>
          <w:rFonts w:ascii="Times New Roman" w:hAnsi="Times New Roman" w:cs="Times New Roman"/>
          <w:sz w:val="24"/>
          <w:szCs w:val="24"/>
          <w:vertAlign w:val="subscript"/>
          <w:lang w:val="en-GB"/>
        </w:rPr>
        <w:t>3</w:t>
      </w:r>
      <w:r w:rsidR="0029307F" w:rsidRPr="0023761B">
        <w:rPr>
          <w:rFonts w:ascii="Times New Roman" w:hAnsi="Times New Roman" w:cs="Times New Roman"/>
          <w:sz w:val="24"/>
          <w:szCs w:val="24"/>
          <w:lang w:val="en-GB"/>
        </w:rPr>
        <w:t>]</w:t>
      </w:r>
      <w:r w:rsidR="0029307F" w:rsidRPr="0023761B">
        <w:rPr>
          <w:rFonts w:ascii="Times New Roman" w:hAnsi="Times New Roman" w:cs="Times New Roman"/>
          <w:sz w:val="24"/>
          <w:szCs w:val="24"/>
          <w:vertAlign w:val="superscript"/>
          <w:lang w:val="en-GB"/>
        </w:rPr>
        <w:t>2+</w:t>
      </w:r>
      <w:r w:rsidR="0029307F" w:rsidRPr="0023761B">
        <w:rPr>
          <w:rFonts w:ascii="Times New Roman" w:hAnsi="Times New Roman" w:cs="Times New Roman"/>
          <w:sz w:val="24"/>
          <w:szCs w:val="24"/>
          <w:lang w:val="en-GB"/>
        </w:rPr>
        <w:t>),</w:t>
      </w:r>
      <w:r w:rsidR="00323A47" w:rsidRPr="0023761B">
        <w:rPr>
          <w:rFonts w:ascii="Times New Roman" w:hAnsi="Times New Roman" w:cs="Times New Roman"/>
          <w:sz w:val="24"/>
          <w:szCs w:val="24"/>
          <w:lang w:val="en-GB"/>
        </w:rPr>
        <w:t xml:space="preserve"> with </w:t>
      </w:r>
      <w:r w:rsidR="001816C2" w:rsidRPr="0023761B">
        <w:rPr>
          <w:rFonts w:ascii="Times New Roman" w:hAnsi="Times New Roman" w:cs="Times New Roman"/>
          <w:spacing w:val="-6"/>
          <w:sz w:val="24"/>
          <w:szCs w:val="24"/>
          <w:lang w:val="en-GB"/>
        </w:rPr>
        <w:t>high absorptivity</w:t>
      </w:r>
      <w:r w:rsidR="001816C2" w:rsidRPr="0023761B">
        <w:rPr>
          <w:spacing w:val="-6"/>
          <w:lang w:val="en-GB"/>
        </w:rPr>
        <w:t xml:space="preserve"> </w:t>
      </w:r>
      <w:r w:rsidR="00323A47" w:rsidRPr="0023761B">
        <w:rPr>
          <w:rFonts w:ascii="Times New Roman" w:hAnsi="Times New Roman" w:cs="Times New Roman"/>
          <w:sz w:val="24"/>
          <w:szCs w:val="24"/>
          <w:lang w:val="en-GB"/>
        </w:rPr>
        <w:t>at 508 nm</w:t>
      </w:r>
      <w:r w:rsidR="004925BE" w:rsidRPr="0023761B">
        <w:rPr>
          <w:rFonts w:ascii="Times New Roman" w:hAnsi="Times New Roman" w:cs="Times New Roman"/>
          <w:sz w:val="24"/>
          <w:szCs w:val="24"/>
          <w:lang w:val="en-GB"/>
        </w:rPr>
        <w:t xml:space="preserve"> (Fig.2)</w:t>
      </w:r>
      <w:r w:rsidR="00323A47" w:rsidRPr="0023761B">
        <w:rPr>
          <w:rFonts w:ascii="Times New Roman" w:hAnsi="Times New Roman" w:cs="Times New Roman"/>
          <w:sz w:val="24"/>
          <w:szCs w:val="24"/>
          <w:lang w:val="en-GB"/>
        </w:rPr>
        <w:t xml:space="preserve">. For the total iron </w:t>
      </w:r>
      <w:r w:rsidR="00F176B7" w:rsidRPr="0023761B">
        <w:rPr>
          <w:rFonts w:ascii="Times New Roman" w:hAnsi="Times New Roman" w:cs="Times New Roman"/>
          <w:sz w:val="24"/>
          <w:szCs w:val="24"/>
          <w:lang w:val="en-GB"/>
        </w:rPr>
        <w:t>content,</w:t>
      </w:r>
      <w:r w:rsidR="00323A47" w:rsidRPr="0023761B">
        <w:rPr>
          <w:rFonts w:ascii="Times New Roman" w:hAnsi="Times New Roman" w:cs="Times New Roman"/>
          <w:sz w:val="24"/>
          <w:szCs w:val="24"/>
          <w:lang w:val="en-GB"/>
        </w:rPr>
        <w:t xml:space="preserve"> th</w:t>
      </w:r>
      <w:r w:rsidR="00F176B7" w:rsidRPr="0023761B">
        <w:rPr>
          <w:rFonts w:ascii="Times New Roman" w:hAnsi="Times New Roman" w:cs="Times New Roman"/>
          <w:sz w:val="24"/>
          <w:szCs w:val="24"/>
          <w:lang w:val="en-GB"/>
        </w:rPr>
        <w:t>e</w:t>
      </w:r>
      <w:r w:rsidR="00323A47" w:rsidRPr="0023761B">
        <w:rPr>
          <w:rFonts w:ascii="Times New Roman" w:hAnsi="Times New Roman" w:cs="Times New Roman"/>
          <w:sz w:val="24"/>
          <w:szCs w:val="24"/>
          <w:lang w:val="en-GB"/>
        </w:rPr>
        <w:t xml:space="preserve"> Fe(III) </w:t>
      </w:r>
      <w:r w:rsidR="001F3A73" w:rsidRPr="0023761B">
        <w:rPr>
          <w:rFonts w:ascii="Times New Roman" w:hAnsi="Times New Roman" w:cs="Times New Roman"/>
          <w:sz w:val="24"/>
          <w:szCs w:val="24"/>
          <w:lang w:val="en-GB"/>
        </w:rPr>
        <w:t xml:space="preserve">was </w:t>
      </w:r>
      <w:r w:rsidR="00323A47" w:rsidRPr="0023761B">
        <w:rPr>
          <w:rFonts w:ascii="Times New Roman" w:hAnsi="Times New Roman" w:cs="Times New Roman"/>
          <w:sz w:val="24"/>
          <w:szCs w:val="24"/>
          <w:lang w:val="en-GB"/>
        </w:rPr>
        <w:t>reduc</w:t>
      </w:r>
      <w:r w:rsidR="001F3A73" w:rsidRPr="0023761B">
        <w:rPr>
          <w:rFonts w:ascii="Times New Roman" w:hAnsi="Times New Roman" w:cs="Times New Roman"/>
          <w:sz w:val="24"/>
          <w:szCs w:val="24"/>
          <w:lang w:val="en-GB"/>
        </w:rPr>
        <w:t xml:space="preserve">ed </w:t>
      </w:r>
      <w:r w:rsidR="00323A47" w:rsidRPr="0023761B">
        <w:rPr>
          <w:rFonts w:ascii="Times New Roman" w:hAnsi="Times New Roman" w:cs="Times New Roman"/>
          <w:sz w:val="24"/>
          <w:szCs w:val="24"/>
          <w:lang w:val="en-GB"/>
        </w:rPr>
        <w:t>to Fe(II) with L-ascorbic acid</w:t>
      </w:r>
      <w:r w:rsidR="001F3A73" w:rsidRPr="0023761B">
        <w:rPr>
          <w:rFonts w:ascii="Times New Roman" w:hAnsi="Times New Roman" w:cs="Times New Roman"/>
          <w:sz w:val="24"/>
          <w:szCs w:val="24"/>
          <w:lang w:val="en-GB"/>
        </w:rPr>
        <w:t>, followed by determinat</w:t>
      </w:r>
      <w:r w:rsidR="009A6AE1" w:rsidRPr="0023761B">
        <w:rPr>
          <w:rFonts w:ascii="Times New Roman" w:hAnsi="Times New Roman" w:cs="Times New Roman"/>
          <w:sz w:val="24"/>
          <w:szCs w:val="24"/>
          <w:lang w:val="en-GB"/>
        </w:rPr>
        <w:t>ion of total Fe as Fe(II)</w:t>
      </w:r>
      <w:r w:rsidR="00323A47" w:rsidRPr="0023761B">
        <w:rPr>
          <w:rFonts w:ascii="Times New Roman" w:hAnsi="Times New Roman" w:cs="Times New Roman"/>
          <w:sz w:val="24"/>
          <w:szCs w:val="24"/>
          <w:lang w:val="en-GB"/>
        </w:rPr>
        <w:t xml:space="preserve">. </w:t>
      </w:r>
    </w:p>
    <w:p w14:paraId="751E11E8" w14:textId="77777777" w:rsidR="004925BE" w:rsidRPr="0023761B" w:rsidRDefault="004925BE" w:rsidP="004925BE">
      <w:pPr>
        <w:spacing w:after="0" w:line="360" w:lineRule="auto"/>
        <w:jc w:val="both"/>
        <w:rPr>
          <w:rFonts w:ascii="Times New Roman" w:hAnsi="Times New Roman" w:cs="Times New Roman"/>
          <w:noProof/>
          <w:sz w:val="24"/>
          <w:szCs w:val="24"/>
          <w:lang w:val="en-GB"/>
        </w:rPr>
      </w:pPr>
    </w:p>
    <w:p w14:paraId="1DA1E4E6" w14:textId="262EF15F" w:rsidR="004925BE" w:rsidRPr="0023761B" w:rsidRDefault="002F73AB" w:rsidP="002B3AB9">
      <w:pPr>
        <w:spacing w:after="0" w:line="360" w:lineRule="auto"/>
        <w:rPr>
          <w:rFonts w:ascii="Times New Roman" w:hAnsi="Times New Roman" w:cs="Times New Roman"/>
          <w:sz w:val="24"/>
          <w:szCs w:val="24"/>
          <w:lang w:val="en-GB"/>
        </w:rPr>
      </w:pPr>
      <w:r>
        <w:rPr>
          <w:noProof/>
          <w:lang w:val="en-US"/>
        </w:rPr>
        <w:drawing>
          <wp:inline distT="0" distB="0" distL="0" distR="0" wp14:anchorId="71EE829B" wp14:editId="03BDEA88">
            <wp:extent cx="2880000" cy="196596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D70985" w14:textId="1C544BD6" w:rsidR="004925BE" w:rsidRPr="0023761B" w:rsidRDefault="004925BE" w:rsidP="004925BE">
      <w:pPr>
        <w:spacing w:after="0" w:line="360" w:lineRule="auto"/>
        <w:jc w:val="both"/>
        <w:rPr>
          <w:rFonts w:ascii="Times New Roman" w:hAnsi="Times New Roman" w:cs="Times New Roman"/>
          <w:sz w:val="24"/>
          <w:lang w:val="en-GB"/>
        </w:rPr>
      </w:pPr>
      <w:r w:rsidRPr="002F73AB">
        <w:rPr>
          <w:rFonts w:ascii="Times New Roman" w:hAnsi="Times New Roman" w:cs="Times New Roman"/>
          <w:b/>
          <w:sz w:val="24"/>
          <w:lang w:val="en-GB"/>
        </w:rPr>
        <w:t>Fig.2.</w:t>
      </w:r>
      <w:r w:rsidRPr="0023761B">
        <w:rPr>
          <w:lang w:val="en-GB"/>
        </w:rPr>
        <w:t xml:space="preserve"> </w:t>
      </w:r>
      <w:r w:rsidRPr="0023761B">
        <w:rPr>
          <w:rFonts w:ascii="Times New Roman" w:hAnsi="Times New Roman" w:cs="Times New Roman"/>
          <w:sz w:val="24"/>
          <w:lang w:val="en-GB"/>
        </w:rPr>
        <w:t>The Ferroin complex absorption spectrum</w:t>
      </w:r>
      <w:r w:rsidR="0011639D">
        <w:rPr>
          <w:rFonts w:ascii="Times New Roman" w:hAnsi="Times New Roman" w:cs="Times New Roman"/>
          <w:sz w:val="24"/>
          <w:lang w:val="en-GB"/>
        </w:rPr>
        <w:t>.</w:t>
      </w:r>
    </w:p>
    <w:p w14:paraId="62951578" w14:textId="77777777" w:rsidR="004925BE" w:rsidRPr="0023761B" w:rsidRDefault="004925BE" w:rsidP="004925BE">
      <w:pPr>
        <w:spacing w:after="0" w:line="360" w:lineRule="auto"/>
        <w:jc w:val="both"/>
        <w:rPr>
          <w:rFonts w:ascii="Times New Roman" w:hAnsi="Times New Roman" w:cs="Times New Roman"/>
          <w:sz w:val="24"/>
          <w:szCs w:val="24"/>
          <w:lang w:val="en-GB"/>
        </w:rPr>
      </w:pPr>
    </w:p>
    <w:p w14:paraId="0C659ADA" w14:textId="769E345A" w:rsidR="00A850FB" w:rsidRPr="0023761B" w:rsidRDefault="00FC24C2" w:rsidP="00A850FB">
      <w:pPr>
        <w:spacing w:after="0" w:line="360" w:lineRule="auto"/>
        <w:ind w:firstLine="706"/>
        <w:jc w:val="both"/>
        <w:rPr>
          <w:rFonts w:ascii="Times New Roman" w:hAnsi="Times New Roman" w:cs="Times New Roman"/>
          <w:sz w:val="24"/>
          <w:szCs w:val="24"/>
          <w:lang w:val="en-GB"/>
        </w:rPr>
      </w:pPr>
      <w:r w:rsidRPr="0023761B">
        <w:rPr>
          <w:rFonts w:ascii="Times New Roman" w:hAnsi="Times New Roman" w:cs="Times New Roman"/>
          <w:sz w:val="24"/>
          <w:szCs w:val="24"/>
          <w:lang w:val="en-GB"/>
        </w:rPr>
        <w:t xml:space="preserve">For a comprehensive understanding of how </w:t>
      </w:r>
      <w:r w:rsidR="003B1FA1">
        <w:rPr>
          <w:rFonts w:ascii="Times New Roman" w:hAnsi="Times New Roman" w:cs="Times New Roman"/>
          <w:sz w:val="24"/>
          <w:szCs w:val="24"/>
          <w:lang w:val="en-GB"/>
        </w:rPr>
        <w:t>Fe</w:t>
      </w:r>
      <w:r w:rsidRPr="0023761B">
        <w:rPr>
          <w:rFonts w:ascii="Times New Roman" w:hAnsi="Times New Roman" w:cs="Times New Roman"/>
          <w:sz w:val="24"/>
          <w:szCs w:val="24"/>
          <w:lang w:val="en-GB"/>
        </w:rPr>
        <w:t xml:space="preserve"> ions are distributed in the aqueous phase </w:t>
      </w:r>
      <w:r w:rsidR="009A6AE1" w:rsidRPr="0023761B">
        <w:rPr>
          <w:rFonts w:ascii="Times New Roman" w:hAnsi="Times New Roman" w:cs="Times New Roman"/>
          <w:sz w:val="24"/>
          <w:szCs w:val="24"/>
          <w:lang w:val="en-GB"/>
        </w:rPr>
        <w:t xml:space="preserve">of the </w:t>
      </w:r>
      <w:r w:rsidRPr="0023761B">
        <w:rPr>
          <w:rFonts w:ascii="Times New Roman" w:hAnsi="Times New Roman" w:cs="Times New Roman"/>
          <w:sz w:val="24"/>
          <w:szCs w:val="24"/>
          <w:lang w:val="en-GB"/>
        </w:rPr>
        <w:t xml:space="preserve">sediments </w:t>
      </w:r>
      <w:r w:rsidR="00F0114E">
        <w:rPr>
          <w:rFonts w:ascii="Times New Roman" w:hAnsi="Times New Roman" w:cs="Times New Roman"/>
          <w:sz w:val="24"/>
          <w:szCs w:val="24"/>
          <w:lang w:val="en-GB"/>
        </w:rPr>
        <w:t>using</w:t>
      </w:r>
      <w:r w:rsidR="0097430D" w:rsidRPr="0023761B">
        <w:rPr>
          <w:rFonts w:ascii="Times New Roman" w:hAnsi="Times New Roman" w:cs="Times New Roman"/>
          <w:sz w:val="24"/>
          <w:szCs w:val="24"/>
          <w:lang w:val="en-GB"/>
        </w:rPr>
        <w:t xml:space="preserve"> of</w:t>
      </w:r>
      <w:r w:rsidRPr="0023761B">
        <w:rPr>
          <w:rFonts w:ascii="Times New Roman" w:hAnsi="Times New Roman" w:cs="Times New Roman"/>
          <w:sz w:val="24"/>
          <w:szCs w:val="24"/>
          <w:lang w:val="en-GB"/>
        </w:rPr>
        <w:t xml:space="preserve"> </w:t>
      </w:r>
      <w:r w:rsidR="009A6AE1" w:rsidRPr="0023761B">
        <w:rPr>
          <w:rFonts w:ascii="Times New Roman" w:hAnsi="Times New Roman" w:cs="Times New Roman"/>
          <w:sz w:val="24"/>
          <w:szCs w:val="24"/>
          <w:lang w:val="en-GB"/>
        </w:rPr>
        <w:t xml:space="preserve">the </w:t>
      </w:r>
      <w:r w:rsidRPr="0023761B">
        <w:rPr>
          <w:rFonts w:ascii="Times New Roman" w:hAnsi="Times New Roman" w:cs="Times New Roman"/>
          <w:sz w:val="24"/>
          <w:szCs w:val="24"/>
          <w:lang w:val="en-GB"/>
        </w:rPr>
        <w:t>sampler</w:t>
      </w:r>
      <w:r w:rsidR="0097430D" w:rsidRPr="0023761B">
        <w:rPr>
          <w:rFonts w:ascii="Times New Roman" w:hAnsi="Times New Roman" w:cs="Times New Roman"/>
          <w:sz w:val="24"/>
          <w:szCs w:val="24"/>
          <w:lang w:val="en-GB"/>
        </w:rPr>
        <w:t xml:space="preserve"> described above</w:t>
      </w:r>
      <w:r w:rsidRPr="0023761B">
        <w:rPr>
          <w:rFonts w:ascii="Times New Roman" w:hAnsi="Times New Roman" w:cs="Times New Roman"/>
          <w:sz w:val="24"/>
          <w:szCs w:val="24"/>
          <w:lang w:val="en-GB"/>
        </w:rPr>
        <w:t xml:space="preserve">, the binding gel was cut into smaller pieces vertically and horizontally by </w:t>
      </w:r>
      <w:r w:rsidRPr="0023761B">
        <w:rPr>
          <w:rFonts w:ascii="Times New Roman" w:hAnsi="Times New Roman" w:cs="Times New Roman"/>
          <w:sz w:val="24"/>
          <w:lang w:val="en-GB"/>
        </w:rPr>
        <w:t xml:space="preserve">Teflon-covered </w:t>
      </w:r>
      <w:r w:rsidR="009A6AE1" w:rsidRPr="0023761B">
        <w:rPr>
          <w:rFonts w:ascii="Times New Roman" w:hAnsi="Times New Roman" w:cs="Times New Roman"/>
          <w:sz w:val="24"/>
          <w:lang w:val="en-GB"/>
        </w:rPr>
        <w:t>blade</w:t>
      </w:r>
      <w:r w:rsidRPr="0023761B">
        <w:rPr>
          <w:rFonts w:ascii="Times New Roman" w:hAnsi="Times New Roman" w:cs="Times New Roman"/>
          <w:sz w:val="24"/>
          <w:szCs w:val="24"/>
          <w:lang w:val="en-GB"/>
        </w:rPr>
        <w:t>.</w:t>
      </w:r>
      <w:r w:rsidR="006D6D3E" w:rsidRPr="0023761B">
        <w:rPr>
          <w:rFonts w:ascii="Times New Roman" w:hAnsi="Times New Roman" w:cs="Times New Roman"/>
          <w:sz w:val="24"/>
          <w:szCs w:val="24"/>
          <w:lang w:val="en-GB"/>
        </w:rPr>
        <w:t xml:space="preserve"> They were then separately, piece by piece, immersed directly in the </w:t>
      </w:r>
      <w:r w:rsidR="00C8632D" w:rsidRPr="0023761B">
        <w:rPr>
          <w:rFonts w:ascii="Times New Roman" w:hAnsi="Times New Roman" w:cs="Times New Roman"/>
          <w:sz w:val="24"/>
          <w:szCs w:val="24"/>
          <w:lang w:val="en-GB"/>
        </w:rPr>
        <w:t xml:space="preserve">3 mM </w:t>
      </w:r>
      <w:r w:rsidR="006D6D3E" w:rsidRPr="0023761B">
        <w:rPr>
          <w:rFonts w:ascii="Times New Roman" w:hAnsi="Times New Roman" w:cs="Times New Roman"/>
          <w:sz w:val="24"/>
          <w:szCs w:val="24"/>
          <w:lang w:val="en-GB"/>
        </w:rPr>
        <w:t xml:space="preserve">solution of </w:t>
      </w:r>
      <w:r w:rsidR="0057589F">
        <w:rPr>
          <w:rFonts w:ascii="Times New Roman" w:hAnsi="Times New Roman" w:cs="Times New Roman"/>
          <w:sz w:val="24"/>
          <w:szCs w:val="24"/>
          <w:lang w:val="en-GB"/>
        </w:rPr>
        <w:t>PHN</w:t>
      </w:r>
      <w:r w:rsidR="006D6D3E" w:rsidRPr="0023761B">
        <w:rPr>
          <w:rFonts w:ascii="Times New Roman" w:hAnsi="Times New Roman" w:cs="Times New Roman"/>
          <w:sz w:val="24"/>
          <w:szCs w:val="24"/>
          <w:lang w:val="en-GB"/>
        </w:rPr>
        <w:t xml:space="preserve"> for t</w:t>
      </w:r>
      <w:r w:rsidR="00C8632D" w:rsidRPr="0023761B">
        <w:rPr>
          <w:rFonts w:ascii="Times New Roman" w:hAnsi="Times New Roman" w:cs="Times New Roman"/>
          <w:sz w:val="24"/>
          <w:szCs w:val="24"/>
          <w:lang w:val="en-GB"/>
        </w:rPr>
        <w:t xml:space="preserve">he formation </w:t>
      </w:r>
      <w:r w:rsidR="000E0737" w:rsidRPr="0023761B">
        <w:rPr>
          <w:rFonts w:ascii="Times New Roman" w:hAnsi="Times New Roman" w:cs="Times New Roman"/>
          <w:sz w:val="24"/>
          <w:szCs w:val="24"/>
          <w:lang w:val="en-GB"/>
        </w:rPr>
        <w:t xml:space="preserve">of </w:t>
      </w:r>
      <w:r w:rsidR="00C8632D" w:rsidRPr="0023761B">
        <w:rPr>
          <w:rFonts w:ascii="Times New Roman" w:hAnsi="Times New Roman" w:cs="Times New Roman"/>
          <w:sz w:val="24"/>
          <w:szCs w:val="24"/>
          <w:lang w:val="en-GB"/>
        </w:rPr>
        <w:t xml:space="preserve">a coloured complex. </w:t>
      </w:r>
      <w:r w:rsidR="006D6D3E" w:rsidRPr="0023761B">
        <w:rPr>
          <w:rFonts w:ascii="Times New Roman" w:hAnsi="Times New Roman" w:cs="Times New Roman"/>
          <w:sz w:val="24"/>
          <w:szCs w:val="24"/>
          <w:lang w:val="en-GB"/>
        </w:rPr>
        <w:t xml:space="preserve"> </w:t>
      </w:r>
      <w:r w:rsidR="0057589F">
        <w:rPr>
          <w:rFonts w:ascii="Times New Roman" w:hAnsi="Times New Roman" w:cs="Times New Roman"/>
          <w:sz w:val="24"/>
          <w:szCs w:val="24"/>
          <w:lang w:val="en-GB"/>
        </w:rPr>
        <w:t>Before immersing in the PHN</w:t>
      </w:r>
      <w:r w:rsidR="005E26B2" w:rsidRPr="0023761B">
        <w:rPr>
          <w:rFonts w:ascii="Times New Roman" w:hAnsi="Times New Roman" w:cs="Times New Roman"/>
          <w:sz w:val="24"/>
          <w:szCs w:val="24"/>
          <w:lang w:val="en-GB"/>
        </w:rPr>
        <w:t xml:space="preserve"> solution t</w:t>
      </w:r>
      <w:r w:rsidR="006D6D3E" w:rsidRPr="0023761B">
        <w:rPr>
          <w:rFonts w:ascii="Times New Roman" w:hAnsi="Times New Roman" w:cs="Times New Roman"/>
          <w:sz w:val="24"/>
          <w:szCs w:val="24"/>
          <w:lang w:val="en-GB"/>
        </w:rPr>
        <w:t xml:space="preserve">he </w:t>
      </w:r>
      <w:r w:rsidR="000E0737" w:rsidRPr="0023761B">
        <w:rPr>
          <w:rFonts w:ascii="Times New Roman" w:hAnsi="Times New Roman" w:cs="Times New Roman"/>
          <w:sz w:val="24"/>
          <w:szCs w:val="24"/>
          <w:lang w:val="en-GB"/>
        </w:rPr>
        <w:t xml:space="preserve">pieces of </w:t>
      </w:r>
      <w:r w:rsidR="006D6D3E" w:rsidRPr="0023761B">
        <w:rPr>
          <w:rFonts w:ascii="Times New Roman" w:hAnsi="Times New Roman" w:cs="Times New Roman"/>
          <w:sz w:val="24"/>
          <w:szCs w:val="24"/>
          <w:lang w:val="en-GB"/>
        </w:rPr>
        <w:t xml:space="preserve">gel from the second sampler previously </w:t>
      </w:r>
      <w:r w:rsidR="000E0737" w:rsidRPr="0023761B">
        <w:rPr>
          <w:rFonts w:ascii="Times New Roman" w:hAnsi="Times New Roman" w:cs="Times New Roman"/>
          <w:sz w:val="24"/>
          <w:szCs w:val="24"/>
          <w:lang w:val="en-GB"/>
        </w:rPr>
        <w:t xml:space="preserve">were </w:t>
      </w:r>
      <w:r w:rsidR="006D6D3E" w:rsidRPr="0023761B">
        <w:rPr>
          <w:rFonts w:ascii="Times New Roman" w:hAnsi="Times New Roman" w:cs="Times New Roman"/>
          <w:sz w:val="24"/>
          <w:szCs w:val="24"/>
          <w:lang w:val="en-GB"/>
        </w:rPr>
        <w:t xml:space="preserve">enriched by </w:t>
      </w:r>
      <w:r w:rsidR="00C8632D" w:rsidRPr="0023761B">
        <w:rPr>
          <w:rFonts w:ascii="Times New Roman" w:hAnsi="Times New Roman" w:cs="Times New Roman"/>
          <w:sz w:val="24"/>
          <w:szCs w:val="24"/>
          <w:lang w:val="en-GB"/>
        </w:rPr>
        <w:t xml:space="preserve">5.1 mM </w:t>
      </w:r>
      <w:r w:rsidR="006D6D3E" w:rsidRPr="0023761B">
        <w:rPr>
          <w:rFonts w:ascii="Times New Roman" w:hAnsi="Times New Roman" w:cs="Times New Roman"/>
          <w:sz w:val="24"/>
          <w:lang w:val="en-GB"/>
        </w:rPr>
        <w:t>L-</w:t>
      </w:r>
      <w:r w:rsidR="006D6D3E" w:rsidRPr="0023761B">
        <w:rPr>
          <w:rFonts w:ascii="Times New Roman" w:hAnsi="Times New Roman" w:cs="Times New Roman"/>
          <w:sz w:val="24"/>
          <w:szCs w:val="24"/>
          <w:lang w:val="en-GB"/>
        </w:rPr>
        <w:t xml:space="preserve">ascorbic acid </w:t>
      </w:r>
      <w:r w:rsidR="00D60C5A" w:rsidRPr="0023761B">
        <w:rPr>
          <w:rFonts w:ascii="Times New Roman" w:hAnsi="Times New Roman" w:cs="Times New Roman"/>
          <w:sz w:val="24"/>
          <w:szCs w:val="24"/>
          <w:lang w:val="en-GB"/>
        </w:rPr>
        <w:t xml:space="preserve">for </w:t>
      </w:r>
      <w:r w:rsidR="005E26B2" w:rsidRPr="0023761B">
        <w:rPr>
          <w:rFonts w:ascii="Times New Roman" w:hAnsi="Times New Roman" w:cs="Times New Roman"/>
          <w:sz w:val="24"/>
          <w:szCs w:val="24"/>
          <w:lang w:val="en-GB"/>
        </w:rPr>
        <w:t xml:space="preserve">reduction reaction of Fe(III) to Fe(II) for determination </w:t>
      </w:r>
      <w:r w:rsidR="00D60C5A" w:rsidRPr="0023761B">
        <w:rPr>
          <w:rFonts w:ascii="Times New Roman" w:hAnsi="Times New Roman" w:cs="Times New Roman"/>
          <w:sz w:val="24"/>
          <w:szCs w:val="24"/>
          <w:lang w:val="en-GB"/>
        </w:rPr>
        <w:t xml:space="preserve">of </w:t>
      </w:r>
      <w:r w:rsidR="005E26B2" w:rsidRPr="0023761B">
        <w:rPr>
          <w:rFonts w:ascii="Times New Roman" w:hAnsi="Times New Roman" w:cs="Times New Roman"/>
          <w:sz w:val="24"/>
          <w:szCs w:val="24"/>
          <w:lang w:val="en-GB"/>
        </w:rPr>
        <w:t xml:space="preserve">the total </w:t>
      </w:r>
      <w:r w:rsidR="003B1FA1">
        <w:rPr>
          <w:rFonts w:ascii="Times New Roman" w:hAnsi="Times New Roman" w:cs="Times New Roman"/>
          <w:sz w:val="24"/>
          <w:szCs w:val="24"/>
          <w:lang w:val="en-GB"/>
        </w:rPr>
        <w:t>Fe</w:t>
      </w:r>
      <w:r w:rsidR="005E26B2" w:rsidRPr="0023761B">
        <w:rPr>
          <w:rFonts w:ascii="Times New Roman" w:hAnsi="Times New Roman" w:cs="Times New Roman"/>
          <w:sz w:val="24"/>
          <w:szCs w:val="24"/>
          <w:lang w:val="en-GB"/>
        </w:rPr>
        <w:t xml:space="preserve"> content.</w:t>
      </w:r>
      <w:r w:rsidR="00A850FB" w:rsidRPr="0023761B">
        <w:rPr>
          <w:rFonts w:ascii="Times New Roman" w:hAnsi="Times New Roman" w:cs="Times New Roman"/>
          <w:sz w:val="24"/>
          <w:szCs w:val="24"/>
          <w:lang w:val="en-GB"/>
        </w:rPr>
        <w:t xml:space="preserve"> After </w:t>
      </w:r>
      <w:r w:rsidR="008E67CE" w:rsidRPr="0023761B">
        <w:rPr>
          <w:rFonts w:ascii="Times New Roman" w:hAnsi="Times New Roman" w:cs="Times New Roman"/>
          <w:sz w:val="24"/>
          <w:szCs w:val="24"/>
          <w:lang w:val="en-GB"/>
        </w:rPr>
        <w:t>24 hours</w:t>
      </w:r>
      <w:r w:rsidR="00A850FB" w:rsidRPr="0023761B">
        <w:rPr>
          <w:rFonts w:ascii="Times New Roman" w:hAnsi="Times New Roman" w:cs="Times New Roman"/>
          <w:sz w:val="24"/>
          <w:szCs w:val="24"/>
          <w:lang w:val="en-GB"/>
        </w:rPr>
        <w:t xml:space="preserve"> of soaking in the </w:t>
      </w:r>
      <w:r w:rsidR="0057589F">
        <w:rPr>
          <w:rFonts w:ascii="Times New Roman" w:hAnsi="Times New Roman" w:cs="Times New Roman"/>
          <w:sz w:val="24"/>
          <w:szCs w:val="24"/>
          <w:lang w:val="en-GB"/>
        </w:rPr>
        <w:t>PHN</w:t>
      </w:r>
      <w:r w:rsidR="00A850FB" w:rsidRPr="0023761B">
        <w:rPr>
          <w:rFonts w:ascii="Times New Roman" w:hAnsi="Times New Roman" w:cs="Times New Roman"/>
          <w:sz w:val="24"/>
          <w:szCs w:val="24"/>
          <w:lang w:val="en-GB"/>
        </w:rPr>
        <w:t xml:space="preserve"> solution, the gels were </w:t>
      </w:r>
      <w:r w:rsidR="008E67CE" w:rsidRPr="0023761B">
        <w:rPr>
          <w:rFonts w:ascii="Times New Roman" w:hAnsi="Times New Roman" w:cs="Times New Roman"/>
          <w:sz w:val="24"/>
          <w:szCs w:val="24"/>
          <w:lang w:val="en-GB"/>
        </w:rPr>
        <w:t>dried between</w:t>
      </w:r>
      <w:r w:rsidR="00A850FB" w:rsidRPr="0023761B">
        <w:rPr>
          <w:rFonts w:ascii="Times New Roman" w:hAnsi="Times New Roman" w:cs="Times New Roman"/>
          <w:sz w:val="24"/>
          <w:szCs w:val="24"/>
          <w:lang w:val="en-GB"/>
        </w:rPr>
        <w:t xml:space="preserve"> clean glass layers </w:t>
      </w:r>
      <w:r w:rsidR="0078719C" w:rsidRPr="0023761B">
        <w:rPr>
          <w:rFonts w:ascii="Times New Roman" w:hAnsi="Times New Roman" w:cs="Times New Roman"/>
          <w:sz w:val="24"/>
          <w:szCs w:val="24"/>
          <w:lang w:val="en-GB"/>
        </w:rPr>
        <w:t xml:space="preserve">for </w:t>
      </w:r>
      <w:r w:rsidR="008E67CE" w:rsidRPr="0023761B">
        <w:rPr>
          <w:rFonts w:ascii="Times New Roman" w:hAnsi="Times New Roman" w:cs="Times New Roman"/>
          <w:sz w:val="24"/>
          <w:szCs w:val="24"/>
          <w:lang w:val="en-GB"/>
        </w:rPr>
        <w:t>another 24 hours</w:t>
      </w:r>
      <w:r w:rsidR="000E0737" w:rsidRPr="0023761B">
        <w:rPr>
          <w:rFonts w:ascii="Times New Roman" w:hAnsi="Times New Roman" w:cs="Times New Roman"/>
          <w:sz w:val="24"/>
          <w:szCs w:val="24"/>
          <w:lang w:val="en-GB"/>
        </w:rPr>
        <w:t xml:space="preserve"> before performing the </w:t>
      </w:r>
      <w:r w:rsidR="00A850FB" w:rsidRPr="0023761B">
        <w:rPr>
          <w:rFonts w:ascii="Times New Roman" w:hAnsi="Times New Roman" w:cs="Times New Roman"/>
          <w:sz w:val="24"/>
          <w:szCs w:val="24"/>
          <w:lang w:val="en-GB"/>
        </w:rPr>
        <w:t>BDS measurements.</w:t>
      </w:r>
    </w:p>
    <w:p w14:paraId="1A57D808" w14:textId="77777777" w:rsidR="00A02E72" w:rsidRPr="0023761B" w:rsidRDefault="00A02E72" w:rsidP="00620E53">
      <w:pPr>
        <w:spacing w:after="0" w:line="360" w:lineRule="auto"/>
        <w:jc w:val="both"/>
        <w:rPr>
          <w:rFonts w:ascii="Times New Roman" w:hAnsi="Times New Roman" w:cs="Times New Roman"/>
          <w:color w:val="0070C0"/>
          <w:sz w:val="24"/>
          <w:szCs w:val="24"/>
          <w:lang w:val="en-GB"/>
        </w:rPr>
      </w:pPr>
    </w:p>
    <w:p w14:paraId="37077A42" w14:textId="3638DC44" w:rsidR="00A02E72" w:rsidRPr="0023761B" w:rsidRDefault="00F0114E" w:rsidP="00960708">
      <w:pPr>
        <w:spacing w:after="0" w:line="360" w:lineRule="auto"/>
        <w:jc w:val="both"/>
        <w:rPr>
          <w:rFonts w:ascii="Times New Roman" w:hAnsi="Times New Roman" w:cs="Times New Roman"/>
          <w:b/>
          <w:sz w:val="24"/>
          <w:lang w:val="en-GB"/>
        </w:rPr>
      </w:pPr>
      <w:r>
        <w:rPr>
          <w:rFonts w:ascii="Times New Roman" w:hAnsi="Times New Roman" w:cs="Times New Roman"/>
          <w:b/>
          <w:sz w:val="24"/>
          <w:lang w:val="en-GB"/>
        </w:rPr>
        <w:t>2.3</w:t>
      </w:r>
      <w:r w:rsidR="00960708" w:rsidRPr="0023761B">
        <w:rPr>
          <w:rFonts w:ascii="Times New Roman" w:hAnsi="Times New Roman" w:cs="Times New Roman"/>
          <w:b/>
          <w:sz w:val="24"/>
          <w:lang w:val="en-GB"/>
        </w:rPr>
        <w:t>.</w:t>
      </w:r>
      <w:r w:rsidR="00620E53" w:rsidRPr="0023761B">
        <w:rPr>
          <w:rFonts w:ascii="Times New Roman" w:hAnsi="Times New Roman" w:cs="Times New Roman"/>
          <w:b/>
          <w:sz w:val="24"/>
          <w:lang w:val="en-GB"/>
        </w:rPr>
        <w:t xml:space="preserve"> </w:t>
      </w:r>
      <w:r w:rsidR="00387221" w:rsidRPr="0023761B">
        <w:rPr>
          <w:rFonts w:ascii="Times New Roman" w:hAnsi="Times New Roman" w:cs="Times New Roman"/>
          <w:b/>
          <w:sz w:val="24"/>
          <w:lang w:val="en-GB"/>
        </w:rPr>
        <w:t>Experimental setup for BDS method</w:t>
      </w:r>
    </w:p>
    <w:p w14:paraId="34E9F72A" w14:textId="7D24F000" w:rsidR="00FC7926" w:rsidRPr="0023761B" w:rsidRDefault="00FC7926" w:rsidP="00436798">
      <w:pPr>
        <w:spacing w:after="0" w:line="360" w:lineRule="auto"/>
        <w:ind w:firstLine="706"/>
        <w:jc w:val="both"/>
        <w:rPr>
          <w:rFonts w:ascii="Times New Roman" w:hAnsi="Times New Roman" w:cs="Times New Roman"/>
          <w:sz w:val="24"/>
          <w:lang w:val="en-GB"/>
        </w:rPr>
      </w:pPr>
      <w:r w:rsidRPr="0023761B">
        <w:rPr>
          <w:rFonts w:ascii="Times New Roman" w:hAnsi="Times New Roman" w:cs="Times New Roman"/>
          <w:sz w:val="24"/>
          <w:szCs w:val="24"/>
          <w:lang w:val="en-GB"/>
        </w:rPr>
        <w:t xml:space="preserve">For </w:t>
      </w:r>
      <w:r w:rsidR="006B797F" w:rsidRPr="0023761B">
        <w:rPr>
          <w:rFonts w:ascii="Times New Roman" w:hAnsi="Times New Roman" w:cs="Times New Roman"/>
          <w:sz w:val="24"/>
          <w:szCs w:val="24"/>
          <w:lang w:val="en-GB"/>
        </w:rPr>
        <w:t xml:space="preserve">determination of </w:t>
      </w:r>
      <w:r w:rsidR="00591EE2">
        <w:rPr>
          <w:rFonts w:ascii="Times New Roman" w:hAnsi="Times New Roman" w:cs="Times New Roman"/>
          <w:sz w:val="24"/>
          <w:szCs w:val="24"/>
          <w:lang w:val="en-GB"/>
        </w:rPr>
        <w:t>Fe</w:t>
      </w:r>
      <w:r w:rsidR="0078719C" w:rsidRPr="0023761B">
        <w:rPr>
          <w:rFonts w:ascii="Times New Roman" w:hAnsi="Times New Roman" w:cs="Times New Roman"/>
          <w:sz w:val="24"/>
          <w:szCs w:val="24"/>
          <w:lang w:val="en-GB"/>
        </w:rPr>
        <w:t xml:space="preserve"> </w:t>
      </w:r>
      <w:r w:rsidR="0084648D" w:rsidRPr="0023761B">
        <w:rPr>
          <w:rFonts w:ascii="Times New Roman" w:hAnsi="Times New Roman" w:cs="Times New Roman"/>
          <w:sz w:val="24"/>
          <w:szCs w:val="24"/>
          <w:lang w:val="en-GB"/>
        </w:rPr>
        <w:t>concentration</w:t>
      </w:r>
      <w:r w:rsidR="00F972CC" w:rsidRPr="0023761B">
        <w:rPr>
          <w:rFonts w:ascii="Times New Roman" w:hAnsi="Times New Roman" w:cs="Times New Roman"/>
          <w:sz w:val="24"/>
          <w:szCs w:val="24"/>
          <w:lang w:val="en-GB"/>
        </w:rPr>
        <w:t>,</w:t>
      </w:r>
      <w:r w:rsidRPr="0023761B">
        <w:rPr>
          <w:rFonts w:ascii="Times New Roman" w:hAnsi="Times New Roman" w:cs="Times New Roman"/>
          <w:sz w:val="24"/>
          <w:szCs w:val="24"/>
          <w:lang w:val="en-GB"/>
        </w:rPr>
        <w:t xml:space="preserve"> the </w:t>
      </w:r>
      <w:r w:rsidRPr="0023761B">
        <w:rPr>
          <w:rFonts w:ascii="Times New Roman" w:hAnsi="Times New Roman" w:cs="Times New Roman"/>
          <w:sz w:val="24"/>
          <w:lang w:val="en-GB"/>
        </w:rPr>
        <w:t xml:space="preserve">dried gels on glass </w:t>
      </w:r>
      <w:r w:rsidR="006B797F" w:rsidRPr="0023761B">
        <w:rPr>
          <w:rFonts w:ascii="Times New Roman" w:hAnsi="Times New Roman" w:cs="Times New Roman"/>
          <w:sz w:val="24"/>
          <w:lang w:val="en-GB"/>
        </w:rPr>
        <w:t>support was placed on</w:t>
      </w:r>
      <w:r w:rsidRPr="0023761B">
        <w:rPr>
          <w:rFonts w:ascii="Times New Roman" w:hAnsi="Times New Roman" w:cs="Times New Roman"/>
          <w:sz w:val="24"/>
          <w:lang w:val="en-GB"/>
        </w:rPr>
        <w:t xml:space="preserve"> the sample’s </w:t>
      </w:r>
      <w:r w:rsidR="006B797F" w:rsidRPr="0023761B">
        <w:rPr>
          <w:rFonts w:ascii="Times New Roman" w:hAnsi="Times New Roman" w:cs="Times New Roman"/>
          <w:sz w:val="24"/>
          <w:lang w:val="en-GB"/>
        </w:rPr>
        <w:t>holder</w:t>
      </w:r>
      <w:r w:rsidR="008E67CE" w:rsidRPr="0023761B">
        <w:rPr>
          <w:rFonts w:ascii="Times New Roman" w:hAnsi="Times New Roman" w:cs="Times New Roman"/>
          <w:sz w:val="24"/>
          <w:lang w:val="en-GB"/>
        </w:rPr>
        <w:t xml:space="preserve"> </w:t>
      </w:r>
      <w:r w:rsidRPr="0023761B">
        <w:rPr>
          <w:rFonts w:ascii="Times New Roman" w:hAnsi="Times New Roman" w:cs="Times New Roman"/>
          <w:sz w:val="24"/>
          <w:lang w:val="en-GB"/>
        </w:rPr>
        <w:t xml:space="preserve">in BDS </w:t>
      </w:r>
      <w:r w:rsidR="00436798" w:rsidRPr="0023761B">
        <w:rPr>
          <w:rFonts w:ascii="Times New Roman" w:hAnsi="Times New Roman" w:cs="Times New Roman"/>
          <w:sz w:val="24"/>
          <w:lang w:val="en-GB"/>
        </w:rPr>
        <w:t>system (Fig.3)</w:t>
      </w:r>
      <w:r w:rsidRPr="0023761B">
        <w:rPr>
          <w:rFonts w:ascii="Times New Roman" w:hAnsi="Times New Roman" w:cs="Times New Roman"/>
          <w:sz w:val="24"/>
          <w:lang w:val="en-GB"/>
        </w:rPr>
        <w:t xml:space="preserve">. </w:t>
      </w:r>
    </w:p>
    <w:p w14:paraId="58B92EF1" w14:textId="77777777" w:rsidR="00436798" w:rsidRPr="0023761B" w:rsidRDefault="00436798" w:rsidP="00436798">
      <w:pPr>
        <w:spacing w:after="0" w:line="360" w:lineRule="auto"/>
        <w:ind w:firstLine="706"/>
        <w:jc w:val="both"/>
        <w:rPr>
          <w:rFonts w:ascii="Times New Roman" w:hAnsi="Times New Roman" w:cs="Times New Roman"/>
          <w:sz w:val="24"/>
          <w:szCs w:val="24"/>
          <w:lang w:val="en-GB"/>
        </w:rPr>
      </w:pPr>
    </w:p>
    <w:p w14:paraId="534ABFF9" w14:textId="7B56CF80" w:rsidR="00436798" w:rsidRPr="0023761B" w:rsidRDefault="009C4F4D" w:rsidP="00436798">
      <w:pPr>
        <w:spacing w:after="0" w:line="360" w:lineRule="auto"/>
        <w:jc w:val="both"/>
        <w:rPr>
          <w:rFonts w:ascii="Times New Roman" w:hAnsi="Times New Roman" w:cs="Times New Roman"/>
          <w:sz w:val="24"/>
          <w:szCs w:val="24"/>
          <w:lang w:val="en-GB"/>
        </w:rPr>
      </w:pPr>
      <w:r w:rsidRPr="0023761B">
        <w:rPr>
          <w:noProof/>
          <w:sz w:val="16"/>
          <w:szCs w:val="16"/>
          <w:lang w:val="en-US"/>
        </w:rPr>
        <w:drawing>
          <wp:inline distT="0" distB="0" distL="0" distR="0" wp14:anchorId="4C636AD8" wp14:editId="551E8521">
            <wp:extent cx="2880000" cy="20288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S schem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2028889"/>
                    </a:xfrm>
                    <a:prstGeom prst="rect">
                      <a:avLst/>
                    </a:prstGeom>
                  </pic:spPr>
                </pic:pic>
              </a:graphicData>
            </a:graphic>
          </wp:inline>
        </w:drawing>
      </w:r>
    </w:p>
    <w:p w14:paraId="75B386ED" w14:textId="2C9598ED" w:rsidR="00436798" w:rsidRPr="0023761B" w:rsidRDefault="00436798" w:rsidP="00436798">
      <w:pPr>
        <w:spacing w:after="0" w:line="360" w:lineRule="auto"/>
        <w:jc w:val="both"/>
        <w:rPr>
          <w:rFonts w:ascii="Times New Roman" w:hAnsi="Times New Roman" w:cs="Times New Roman"/>
          <w:sz w:val="24"/>
          <w:lang w:val="en-GB"/>
        </w:rPr>
      </w:pPr>
      <w:r w:rsidRPr="002F73AB">
        <w:rPr>
          <w:rFonts w:ascii="Times New Roman" w:hAnsi="Times New Roman" w:cs="Times New Roman"/>
          <w:b/>
          <w:sz w:val="24"/>
          <w:lang w:val="en-GB"/>
        </w:rPr>
        <w:t>Fig.3</w:t>
      </w:r>
      <w:r w:rsidRPr="002F73AB">
        <w:rPr>
          <w:rFonts w:ascii="Times New Roman" w:hAnsi="Times New Roman" w:cs="Times New Roman"/>
          <w:b/>
          <w:sz w:val="24"/>
          <w:szCs w:val="24"/>
          <w:lang w:val="en-GB"/>
        </w:rPr>
        <w:t>.</w:t>
      </w:r>
      <w:r w:rsidRPr="0023761B">
        <w:rPr>
          <w:rFonts w:ascii="Times New Roman" w:hAnsi="Times New Roman" w:cs="Times New Roman"/>
          <w:sz w:val="24"/>
          <w:szCs w:val="24"/>
          <w:lang w:val="en-GB"/>
        </w:rPr>
        <w:t xml:space="preserve"> Experimental setup of BDS system</w:t>
      </w:r>
      <w:r w:rsidR="0011639D">
        <w:rPr>
          <w:rFonts w:ascii="Times New Roman" w:hAnsi="Times New Roman" w:cs="Times New Roman"/>
          <w:sz w:val="24"/>
          <w:szCs w:val="24"/>
          <w:lang w:val="en-GB"/>
        </w:rPr>
        <w:t>.</w:t>
      </w:r>
    </w:p>
    <w:p w14:paraId="15FCAF90" w14:textId="77777777" w:rsidR="008938F7" w:rsidRPr="0023761B" w:rsidRDefault="008938F7" w:rsidP="00436798">
      <w:pPr>
        <w:spacing w:after="0" w:line="360" w:lineRule="auto"/>
        <w:ind w:firstLine="706"/>
        <w:jc w:val="both"/>
        <w:rPr>
          <w:rFonts w:ascii="Times New Roman" w:hAnsi="Times New Roman" w:cs="Times New Roman"/>
          <w:sz w:val="24"/>
          <w:lang w:val="en-GB"/>
        </w:rPr>
      </w:pPr>
    </w:p>
    <w:p w14:paraId="197270EB" w14:textId="171A9EAE" w:rsidR="00A02E72" w:rsidRPr="0023761B" w:rsidRDefault="00FC7926" w:rsidP="00436798">
      <w:pPr>
        <w:spacing w:after="0" w:line="360" w:lineRule="auto"/>
        <w:ind w:firstLine="706"/>
        <w:jc w:val="both"/>
        <w:rPr>
          <w:rFonts w:ascii="Times New Roman" w:hAnsi="Times New Roman" w:cs="Times New Roman"/>
          <w:sz w:val="24"/>
          <w:lang w:val="en-GB"/>
        </w:rPr>
      </w:pPr>
      <w:r w:rsidRPr="0023761B">
        <w:rPr>
          <w:rFonts w:ascii="Times New Roman" w:hAnsi="Times New Roman" w:cs="Times New Roman"/>
          <w:sz w:val="24"/>
          <w:lang w:val="en-GB"/>
        </w:rPr>
        <w:t xml:space="preserve">As </w:t>
      </w:r>
      <w:r w:rsidR="00451AEC" w:rsidRPr="0023761B">
        <w:rPr>
          <w:rFonts w:ascii="Times New Roman" w:hAnsi="Times New Roman" w:cs="Times New Roman"/>
          <w:sz w:val="24"/>
          <w:lang w:val="en-GB"/>
        </w:rPr>
        <w:t>EB</w:t>
      </w:r>
      <w:r w:rsidR="00181990" w:rsidRPr="0023761B">
        <w:rPr>
          <w:rFonts w:ascii="Times New Roman" w:hAnsi="Times New Roman" w:cs="Times New Roman"/>
          <w:sz w:val="24"/>
          <w:lang w:val="en-GB"/>
        </w:rPr>
        <w:t xml:space="preserve"> (</w:t>
      </w:r>
      <w:r w:rsidR="009C4F4D" w:rsidRPr="0023761B">
        <w:rPr>
          <w:rFonts w:ascii="Times New Roman" w:hAnsi="Times New Roman" w:cs="Times New Roman"/>
          <w:sz w:val="24"/>
          <w:lang w:val="en-GB"/>
        </w:rPr>
        <w:t>excitation beam</w:t>
      </w:r>
      <w:r w:rsidR="00181990" w:rsidRPr="0023761B">
        <w:rPr>
          <w:rFonts w:ascii="Times New Roman" w:hAnsi="Times New Roman" w:cs="Times New Roman"/>
          <w:sz w:val="24"/>
          <w:lang w:val="en-GB"/>
        </w:rPr>
        <w:t>)</w:t>
      </w:r>
      <w:r w:rsidRPr="0023761B">
        <w:rPr>
          <w:rFonts w:ascii="Times New Roman" w:hAnsi="Times New Roman" w:cs="Times New Roman"/>
          <w:sz w:val="24"/>
          <w:lang w:val="en-GB"/>
        </w:rPr>
        <w:t xml:space="preserve"> was chosen a solid-state laser at 532 nm </w:t>
      </w:r>
      <w:r w:rsidR="00451AEC" w:rsidRPr="0023761B">
        <w:rPr>
          <w:rFonts w:ascii="Times New Roman" w:hAnsi="Times New Roman" w:cs="Times New Roman"/>
          <w:sz w:val="24"/>
          <w:lang w:val="en-GB"/>
        </w:rPr>
        <w:t xml:space="preserve">output </w:t>
      </w:r>
      <w:r w:rsidRPr="0023761B">
        <w:rPr>
          <w:rFonts w:ascii="Times New Roman" w:hAnsi="Times New Roman" w:cs="Times New Roman"/>
          <w:sz w:val="24"/>
          <w:lang w:val="en-GB"/>
        </w:rPr>
        <w:t>wavelength be</w:t>
      </w:r>
      <w:r w:rsidR="005C7106" w:rsidRPr="0023761B">
        <w:rPr>
          <w:rFonts w:ascii="Times New Roman" w:hAnsi="Times New Roman" w:cs="Times New Roman"/>
          <w:sz w:val="24"/>
          <w:lang w:val="en-GB"/>
        </w:rPr>
        <w:t>cause the absorption maximum of</w:t>
      </w:r>
      <w:r w:rsidRPr="0023761B">
        <w:rPr>
          <w:rFonts w:ascii="Times New Roman" w:hAnsi="Times New Roman" w:cs="Times New Roman"/>
          <w:sz w:val="24"/>
          <w:lang w:val="en-GB"/>
        </w:rPr>
        <w:t xml:space="preserve"> Ferroin complex is </w:t>
      </w:r>
      <w:r w:rsidR="00451AEC" w:rsidRPr="0023761B">
        <w:rPr>
          <w:rFonts w:ascii="Times New Roman" w:hAnsi="Times New Roman" w:cs="Times New Roman"/>
          <w:sz w:val="24"/>
          <w:lang w:val="en-GB"/>
        </w:rPr>
        <w:t>close to it (</w:t>
      </w:r>
      <w:r w:rsidRPr="0023761B">
        <w:rPr>
          <w:rFonts w:ascii="Times New Roman" w:hAnsi="Times New Roman" w:cs="Times New Roman"/>
          <w:sz w:val="24"/>
          <w:lang w:val="en-GB"/>
        </w:rPr>
        <w:t>508 nm</w:t>
      </w:r>
      <w:r w:rsidR="00451AEC" w:rsidRPr="0023761B">
        <w:rPr>
          <w:rFonts w:ascii="Times New Roman" w:hAnsi="Times New Roman" w:cs="Times New Roman"/>
          <w:sz w:val="24"/>
          <w:lang w:val="en-GB"/>
        </w:rPr>
        <w:t>)</w:t>
      </w:r>
      <w:r w:rsidRPr="0023761B">
        <w:rPr>
          <w:rFonts w:ascii="Times New Roman" w:hAnsi="Times New Roman" w:cs="Times New Roman"/>
          <w:sz w:val="24"/>
          <w:lang w:val="en-GB"/>
        </w:rPr>
        <w:t xml:space="preserve">, and 30 mW output power (CST-H-532nm-1000 MW). He-Ne laser (Uniphase, Model 1103P) was used as </w:t>
      </w:r>
      <w:r w:rsidR="00451AEC" w:rsidRPr="0023761B">
        <w:rPr>
          <w:rFonts w:ascii="Times New Roman" w:hAnsi="Times New Roman" w:cs="Times New Roman"/>
          <w:sz w:val="24"/>
          <w:lang w:val="en-GB"/>
        </w:rPr>
        <w:t>PB</w:t>
      </w:r>
      <w:r w:rsidRPr="0023761B">
        <w:rPr>
          <w:rFonts w:ascii="Times New Roman" w:hAnsi="Times New Roman" w:cs="Times New Roman"/>
          <w:sz w:val="24"/>
          <w:lang w:val="en-GB"/>
        </w:rPr>
        <w:t xml:space="preserve"> </w:t>
      </w:r>
      <w:r w:rsidR="009C4F4D" w:rsidRPr="0023761B">
        <w:rPr>
          <w:rFonts w:ascii="Times New Roman" w:hAnsi="Times New Roman" w:cs="Times New Roman"/>
          <w:sz w:val="24"/>
          <w:lang w:val="en-GB"/>
        </w:rPr>
        <w:t xml:space="preserve">(probe beam) </w:t>
      </w:r>
      <w:r w:rsidRPr="0023761B">
        <w:rPr>
          <w:rFonts w:ascii="Times New Roman" w:hAnsi="Times New Roman" w:cs="Times New Roman"/>
          <w:sz w:val="24"/>
          <w:lang w:val="en-GB"/>
        </w:rPr>
        <w:t xml:space="preserve">source at 633 nm </w:t>
      </w:r>
      <w:r w:rsidR="00451AEC" w:rsidRPr="0023761B">
        <w:rPr>
          <w:rFonts w:ascii="Times New Roman" w:hAnsi="Times New Roman" w:cs="Times New Roman"/>
          <w:sz w:val="24"/>
          <w:lang w:val="en-GB"/>
        </w:rPr>
        <w:t xml:space="preserve">output </w:t>
      </w:r>
      <w:r w:rsidRPr="0023761B">
        <w:rPr>
          <w:rFonts w:ascii="Times New Roman" w:hAnsi="Times New Roman" w:cs="Times New Roman"/>
          <w:sz w:val="24"/>
          <w:lang w:val="en-GB"/>
        </w:rPr>
        <w:t xml:space="preserve">wavelength </w:t>
      </w:r>
      <w:r w:rsidR="00451AEC" w:rsidRPr="0023761B">
        <w:rPr>
          <w:rFonts w:ascii="Times New Roman" w:hAnsi="Times New Roman" w:cs="Times New Roman"/>
          <w:sz w:val="24"/>
          <w:lang w:val="en-GB"/>
        </w:rPr>
        <w:t xml:space="preserve">and </w:t>
      </w:r>
      <w:r w:rsidRPr="0023761B">
        <w:rPr>
          <w:rFonts w:ascii="Times New Roman" w:hAnsi="Times New Roman" w:cs="Times New Roman"/>
          <w:sz w:val="24"/>
          <w:lang w:val="en-GB"/>
        </w:rPr>
        <w:t>3 mW output power</w:t>
      </w:r>
      <w:r w:rsidR="00451AEC" w:rsidRPr="0023761B">
        <w:rPr>
          <w:rFonts w:ascii="Times New Roman" w:hAnsi="Times New Roman" w:cs="Times New Roman"/>
          <w:sz w:val="24"/>
          <w:lang w:val="en-GB"/>
        </w:rPr>
        <w:t xml:space="preserve"> since this wavelength is not absorbed by Ferroin complex</w:t>
      </w:r>
      <w:r w:rsidRPr="0023761B">
        <w:rPr>
          <w:rFonts w:ascii="Times New Roman" w:hAnsi="Times New Roman" w:cs="Times New Roman"/>
          <w:sz w:val="24"/>
          <w:lang w:val="en-GB"/>
        </w:rPr>
        <w:t xml:space="preserve">. Both beams were focused by a set of lenses (Bi-Convex, AR Coated: 350-700 nm, EDMUND OPTICS). A variable-speed mechanical chopper (SCIENTIC INSTRUMENTS, Control unit model 300C, chopping head model 300CD, chopping disks model 300H) at frequency </w:t>
      </w:r>
      <w:r w:rsidR="00451AEC" w:rsidRPr="0023761B">
        <w:rPr>
          <w:rFonts w:ascii="Times New Roman" w:hAnsi="Times New Roman" w:cs="Times New Roman"/>
          <w:sz w:val="24"/>
          <w:lang w:val="en-GB"/>
        </w:rPr>
        <w:t xml:space="preserve">of </w:t>
      </w:r>
      <w:r w:rsidRPr="0023761B">
        <w:rPr>
          <w:rFonts w:ascii="Times New Roman" w:hAnsi="Times New Roman" w:cs="Times New Roman"/>
          <w:sz w:val="24"/>
          <w:lang w:val="en-GB"/>
        </w:rPr>
        <w:t>3.0 Hz</w:t>
      </w:r>
      <w:r w:rsidR="00451AEC" w:rsidRPr="0023761B">
        <w:rPr>
          <w:rFonts w:ascii="Times New Roman" w:hAnsi="Times New Roman" w:cs="Times New Roman"/>
          <w:sz w:val="24"/>
          <w:lang w:val="en-GB"/>
        </w:rPr>
        <w:t xml:space="preserve"> was used to modulate the EB</w:t>
      </w:r>
      <w:r w:rsidRPr="0023761B">
        <w:rPr>
          <w:rFonts w:ascii="Times New Roman" w:hAnsi="Times New Roman" w:cs="Times New Roman"/>
          <w:sz w:val="24"/>
          <w:lang w:val="en-GB"/>
        </w:rPr>
        <w:t>.</w:t>
      </w:r>
      <w:r w:rsidR="00E450B1" w:rsidRPr="0023761B">
        <w:rPr>
          <w:rFonts w:ascii="Times New Roman" w:hAnsi="Times New Roman" w:cs="Times New Roman"/>
          <w:sz w:val="24"/>
          <w:lang w:val="en-GB"/>
        </w:rPr>
        <w:t xml:space="preserve"> The used frequency range was chos</w:t>
      </w:r>
      <w:r w:rsidR="0011639D">
        <w:rPr>
          <w:rFonts w:ascii="Times New Roman" w:hAnsi="Times New Roman" w:cs="Times New Roman"/>
          <w:sz w:val="24"/>
          <w:lang w:val="en-GB"/>
        </w:rPr>
        <w:t>en</w:t>
      </w:r>
      <w:r w:rsidR="00E450B1" w:rsidRPr="0023761B">
        <w:rPr>
          <w:rFonts w:ascii="Times New Roman" w:hAnsi="Times New Roman" w:cs="Times New Roman"/>
          <w:sz w:val="24"/>
          <w:lang w:val="en-GB"/>
        </w:rPr>
        <w:t xml:space="preserve"> to ensure the TO</w:t>
      </w:r>
      <w:r w:rsidR="00451AEC" w:rsidRPr="0023761B">
        <w:rPr>
          <w:rFonts w:ascii="Times New Roman" w:hAnsi="Times New Roman" w:cs="Times New Roman"/>
          <w:sz w:val="24"/>
          <w:lang w:val="en-GB"/>
        </w:rPr>
        <w:t>s</w:t>
      </w:r>
      <w:r w:rsidR="00E450B1" w:rsidRPr="0023761B">
        <w:rPr>
          <w:rFonts w:ascii="Times New Roman" w:hAnsi="Times New Roman" w:cs="Times New Roman"/>
          <w:sz w:val="24"/>
          <w:lang w:val="en-GB"/>
        </w:rPr>
        <w:t xml:space="preserve"> penetration only within the sample</w:t>
      </w:r>
      <w:r w:rsidR="00E756D4" w:rsidRPr="0023761B">
        <w:rPr>
          <w:rFonts w:ascii="Times New Roman" w:hAnsi="Times New Roman" w:cs="Times New Roman"/>
          <w:sz w:val="24"/>
          <w:lang w:val="en-GB"/>
        </w:rPr>
        <w:t xml:space="preserve"> </w:t>
      </w:r>
      <w:r w:rsidR="00F02311" w:rsidRPr="0023761B">
        <w:rPr>
          <w:rFonts w:ascii="Times New Roman" w:hAnsi="Times New Roman" w:cs="Times New Roman"/>
          <w:sz w:val="24"/>
          <w:lang w:val="en-GB"/>
        </w:rPr>
        <w:t xml:space="preserve">(the thickness of the dried gel is </w:t>
      </w:r>
      <w:r w:rsidR="00E756D4" w:rsidRPr="0023761B">
        <w:rPr>
          <w:rFonts w:ascii="Times New Roman" w:hAnsi="Times New Roman" w:cs="Times New Roman"/>
          <w:sz w:val="24"/>
          <w:lang w:val="en-GB"/>
        </w:rPr>
        <w:t>0.04 mm</w:t>
      </w:r>
      <w:r w:rsidR="00F02311" w:rsidRPr="0023761B">
        <w:rPr>
          <w:rFonts w:ascii="Times New Roman" w:hAnsi="Times New Roman" w:cs="Times New Roman"/>
          <w:sz w:val="24"/>
          <w:lang w:val="en-GB"/>
        </w:rPr>
        <w:t xml:space="preserve">) </w:t>
      </w:r>
      <w:r w:rsidR="00E450B1" w:rsidRPr="0023761B">
        <w:rPr>
          <w:rFonts w:ascii="Times New Roman" w:hAnsi="Times New Roman" w:cs="Times New Roman"/>
          <w:sz w:val="24"/>
          <w:lang w:val="en-GB"/>
        </w:rPr>
        <w:t xml:space="preserve">to get the information only from it without the influence of the support. </w:t>
      </w:r>
      <w:r w:rsidRPr="0023761B">
        <w:rPr>
          <w:rFonts w:ascii="Times New Roman" w:hAnsi="Times New Roman" w:cs="Times New Roman"/>
          <w:sz w:val="24"/>
          <w:lang w:val="en-GB"/>
        </w:rPr>
        <w:t xml:space="preserve"> </w:t>
      </w:r>
      <w:r w:rsidR="00BF7DEB" w:rsidRPr="0023761B">
        <w:rPr>
          <w:rFonts w:ascii="Times New Roman" w:hAnsi="Times New Roman" w:cs="Times New Roman"/>
          <w:sz w:val="24"/>
          <w:lang w:val="en-GB"/>
        </w:rPr>
        <w:t>The s</w:t>
      </w:r>
      <w:r w:rsidRPr="0023761B">
        <w:rPr>
          <w:rFonts w:ascii="Times New Roman" w:hAnsi="Times New Roman" w:cs="Times New Roman"/>
          <w:sz w:val="24"/>
          <w:lang w:val="en-GB"/>
        </w:rPr>
        <w:t>ensitivity of the BDS system was improved by using additional mirrors (400-750 nm, Thorlabs)</w:t>
      </w:r>
      <w:r w:rsidR="00BF7DEB" w:rsidRPr="0023761B">
        <w:rPr>
          <w:rFonts w:ascii="Times New Roman" w:hAnsi="Times New Roman" w:cs="Times New Roman"/>
          <w:sz w:val="24"/>
          <w:lang w:val="en-GB"/>
        </w:rPr>
        <w:t xml:space="preserve"> that directed EB many</w:t>
      </w:r>
      <w:r w:rsidRPr="0023761B">
        <w:rPr>
          <w:rFonts w:ascii="Times New Roman" w:hAnsi="Times New Roman" w:cs="Times New Roman"/>
          <w:sz w:val="24"/>
          <w:lang w:val="en-GB"/>
        </w:rPr>
        <w:t xml:space="preserve"> times through the sample to enhance the </w:t>
      </w:r>
      <w:r w:rsidR="00BF7DEB" w:rsidRPr="0023761B">
        <w:rPr>
          <w:rFonts w:ascii="Times New Roman" w:hAnsi="Times New Roman" w:cs="Times New Roman"/>
          <w:sz w:val="24"/>
          <w:lang w:val="en-GB"/>
        </w:rPr>
        <w:t xml:space="preserve">TOs and PB </w:t>
      </w:r>
      <w:r w:rsidRPr="0023761B">
        <w:rPr>
          <w:rFonts w:ascii="Times New Roman" w:hAnsi="Times New Roman" w:cs="Times New Roman"/>
          <w:sz w:val="24"/>
          <w:lang w:val="en-GB"/>
        </w:rPr>
        <w:t xml:space="preserve">through the </w:t>
      </w:r>
      <w:r w:rsidR="00BF7DEB" w:rsidRPr="0023761B">
        <w:rPr>
          <w:rFonts w:ascii="Times New Roman" w:hAnsi="Times New Roman" w:cs="Times New Roman"/>
          <w:sz w:val="24"/>
          <w:lang w:val="en-GB"/>
        </w:rPr>
        <w:t>TOs</w:t>
      </w:r>
      <w:r w:rsidRPr="0023761B">
        <w:rPr>
          <w:rFonts w:ascii="Times New Roman" w:hAnsi="Times New Roman" w:cs="Times New Roman"/>
          <w:sz w:val="24"/>
          <w:lang w:val="en-GB"/>
        </w:rPr>
        <w:t xml:space="preserve"> to increase its intensity change and thus enhance the BDS signal. The </w:t>
      </w:r>
      <w:r w:rsidR="00E95230" w:rsidRPr="0023761B">
        <w:rPr>
          <w:rFonts w:ascii="Times New Roman" w:hAnsi="Times New Roman" w:cs="Times New Roman"/>
          <w:sz w:val="24"/>
          <w:lang w:val="en-GB"/>
        </w:rPr>
        <w:t>intensity</w:t>
      </w:r>
      <w:r w:rsidRPr="0023761B">
        <w:rPr>
          <w:rFonts w:ascii="Times New Roman" w:hAnsi="Times New Roman" w:cs="Times New Roman"/>
          <w:sz w:val="24"/>
          <w:lang w:val="en-GB"/>
        </w:rPr>
        <w:t xml:space="preserve"> change of </w:t>
      </w:r>
      <w:r w:rsidR="00E95230" w:rsidRPr="0023761B">
        <w:rPr>
          <w:rFonts w:ascii="Times New Roman" w:hAnsi="Times New Roman" w:cs="Times New Roman"/>
          <w:sz w:val="24"/>
          <w:lang w:val="en-GB"/>
        </w:rPr>
        <w:t>PB</w:t>
      </w:r>
      <w:r w:rsidRPr="0023761B">
        <w:rPr>
          <w:rFonts w:ascii="Times New Roman" w:hAnsi="Times New Roman" w:cs="Times New Roman"/>
          <w:sz w:val="24"/>
          <w:lang w:val="en-GB"/>
        </w:rPr>
        <w:t xml:space="preserve"> </w:t>
      </w:r>
      <w:r w:rsidR="00E95230" w:rsidRPr="0023761B">
        <w:rPr>
          <w:rFonts w:ascii="Times New Roman" w:hAnsi="Times New Roman" w:cs="Times New Roman"/>
          <w:sz w:val="24"/>
          <w:lang w:val="en-GB"/>
        </w:rPr>
        <w:t>was measured</w:t>
      </w:r>
      <w:r w:rsidRPr="0023761B">
        <w:rPr>
          <w:rFonts w:ascii="Times New Roman" w:hAnsi="Times New Roman" w:cs="Times New Roman"/>
          <w:sz w:val="24"/>
          <w:lang w:val="en-GB"/>
        </w:rPr>
        <w:t xml:space="preserve"> by a quadrant photodiode (RBM–R. Braumann GmbH, Model C30846E) equipped with an interference filter (</w:t>
      </w:r>
      <w:r w:rsidR="00BF7DEB" w:rsidRPr="0023761B">
        <w:rPr>
          <w:rFonts w:ascii="Times New Roman" w:hAnsi="Times New Roman" w:cs="Times New Roman"/>
          <w:sz w:val="24"/>
          <w:lang w:val="en-GB"/>
        </w:rPr>
        <w:t xml:space="preserve">633 nm, </w:t>
      </w:r>
      <w:r w:rsidRPr="0023761B">
        <w:rPr>
          <w:rFonts w:ascii="Times New Roman" w:hAnsi="Times New Roman" w:cs="Times New Roman"/>
          <w:sz w:val="24"/>
          <w:lang w:val="en-GB"/>
        </w:rPr>
        <w:t>Edmund Optics) and connected to the lock-in amplifier (Stanford research instruments, Model SR830 DSP). The examined sample was placed on a 3D translation stage (CVI, Model 2480M/2488) to vary its position in x, y and z direction and optimize the experimental configuration.</w:t>
      </w:r>
    </w:p>
    <w:p w14:paraId="56629CB9" w14:textId="77777777" w:rsidR="00031316" w:rsidRPr="0023761B" w:rsidRDefault="00031316" w:rsidP="00436798">
      <w:pPr>
        <w:spacing w:after="0" w:line="360" w:lineRule="auto"/>
        <w:jc w:val="both"/>
        <w:rPr>
          <w:rFonts w:ascii="Times New Roman" w:hAnsi="Times New Roman" w:cs="Times New Roman"/>
          <w:sz w:val="24"/>
          <w:lang w:val="en-GB"/>
        </w:rPr>
      </w:pPr>
    </w:p>
    <w:p w14:paraId="20233C47" w14:textId="77777777" w:rsidR="001F1EBC" w:rsidRPr="0023761B" w:rsidRDefault="00AC1A17" w:rsidP="00436798">
      <w:pPr>
        <w:pStyle w:val="ListParagraph"/>
        <w:numPr>
          <w:ilvl w:val="0"/>
          <w:numId w:val="2"/>
        </w:numPr>
        <w:spacing w:after="0" w:line="360" w:lineRule="auto"/>
        <w:jc w:val="center"/>
        <w:rPr>
          <w:rFonts w:ascii="Times New Roman" w:hAnsi="Times New Roman" w:cs="Times New Roman"/>
          <w:sz w:val="24"/>
          <w:lang w:val="en-GB"/>
        </w:rPr>
      </w:pPr>
      <w:r w:rsidRPr="0023761B">
        <w:rPr>
          <w:rFonts w:ascii="Times New Roman" w:hAnsi="Times New Roman" w:cs="Times New Roman"/>
          <w:b/>
          <w:sz w:val="28"/>
          <w:lang w:val="en-GB"/>
        </w:rPr>
        <w:t>Results and Discussion</w:t>
      </w:r>
    </w:p>
    <w:p w14:paraId="0CFB3F57" w14:textId="77777777" w:rsidR="00935B97" w:rsidRPr="0023761B" w:rsidRDefault="00935B97" w:rsidP="00436798">
      <w:pPr>
        <w:spacing w:after="0" w:line="360" w:lineRule="auto"/>
        <w:jc w:val="both"/>
        <w:rPr>
          <w:rFonts w:ascii="Times New Roman" w:hAnsi="Times New Roman" w:cs="Times New Roman"/>
          <w:b/>
          <w:sz w:val="24"/>
          <w:lang w:val="en-GB"/>
        </w:rPr>
      </w:pPr>
    </w:p>
    <w:p w14:paraId="1DB991D9" w14:textId="07B552BD" w:rsidR="00AA26E3" w:rsidRPr="0023761B" w:rsidRDefault="00E450B1" w:rsidP="00436798">
      <w:pPr>
        <w:spacing w:after="0" w:line="360" w:lineRule="auto"/>
        <w:jc w:val="both"/>
        <w:rPr>
          <w:rFonts w:ascii="Times New Roman" w:hAnsi="Times New Roman" w:cs="Times New Roman"/>
          <w:b/>
          <w:sz w:val="24"/>
          <w:lang w:val="en-GB"/>
        </w:rPr>
      </w:pPr>
      <w:r w:rsidRPr="0023761B">
        <w:rPr>
          <w:rFonts w:ascii="Times New Roman" w:hAnsi="Times New Roman" w:cs="Times New Roman"/>
          <w:b/>
          <w:sz w:val="24"/>
          <w:lang w:val="en-GB"/>
        </w:rPr>
        <w:t xml:space="preserve">3.1. </w:t>
      </w:r>
      <w:r w:rsidR="00AC1734" w:rsidRPr="0023761B">
        <w:rPr>
          <w:rFonts w:ascii="Times New Roman" w:hAnsi="Times New Roman" w:cs="Times New Roman"/>
          <w:b/>
          <w:sz w:val="24"/>
          <w:lang w:val="en-GB"/>
        </w:rPr>
        <w:t xml:space="preserve">Determination of </w:t>
      </w:r>
      <w:r w:rsidR="00F46835" w:rsidRPr="0023761B">
        <w:rPr>
          <w:rFonts w:ascii="Times New Roman" w:hAnsi="Times New Roman" w:cs="Times New Roman"/>
          <w:b/>
          <w:sz w:val="24"/>
          <w:lang w:val="en-GB"/>
        </w:rPr>
        <w:t xml:space="preserve">Fe(II) </w:t>
      </w:r>
      <w:r w:rsidR="00436798" w:rsidRPr="0023761B">
        <w:rPr>
          <w:rFonts w:ascii="Times New Roman" w:hAnsi="Times New Roman" w:cs="Times New Roman"/>
          <w:b/>
          <w:sz w:val="24"/>
          <w:lang w:val="en-GB"/>
        </w:rPr>
        <w:t>content</w:t>
      </w:r>
    </w:p>
    <w:p w14:paraId="731CEFDF" w14:textId="2D738C7F" w:rsidR="00935B97" w:rsidRPr="0023761B" w:rsidRDefault="00E239DF" w:rsidP="00436798">
      <w:pPr>
        <w:spacing w:after="0" w:line="360" w:lineRule="auto"/>
        <w:ind w:firstLine="706"/>
        <w:jc w:val="both"/>
        <w:rPr>
          <w:rFonts w:ascii="Times New Roman" w:hAnsi="Times New Roman" w:cs="Times New Roman"/>
          <w:sz w:val="24"/>
          <w:lang w:val="en-GB"/>
        </w:rPr>
      </w:pPr>
      <w:bookmarkStart w:id="0" w:name="_Hlk524701381"/>
      <w:r w:rsidRPr="0023761B">
        <w:rPr>
          <w:rFonts w:ascii="Times New Roman" w:hAnsi="Times New Roman" w:cs="Times New Roman"/>
          <w:sz w:val="24"/>
          <w:lang w:val="en-GB"/>
        </w:rPr>
        <w:t>The calibration curve obtained for</w:t>
      </w:r>
      <w:r w:rsidR="00016B30" w:rsidRPr="0023761B">
        <w:rPr>
          <w:rFonts w:ascii="Times New Roman" w:hAnsi="Times New Roman" w:cs="Times New Roman"/>
          <w:sz w:val="24"/>
          <w:lang w:val="en-GB"/>
        </w:rPr>
        <w:t xml:space="preserve"> the</w:t>
      </w:r>
      <w:r w:rsidRPr="0023761B">
        <w:rPr>
          <w:rFonts w:ascii="Times New Roman" w:hAnsi="Times New Roman" w:cs="Times New Roman"/>
          <w:sz w:val="24"/>
          <w:lang w:val="en-GB"/>
        </w:rPr>
        <w:t xml:space="preserve"> Chelex-100 resin </w:t>
      </w:r>
      <w:r w:rsidR="00016B30" w:rsidRPr="0023761B">
        <w:rPr>
          <w:rFonts w:ascii="Times New Roman" w:hAnsi="Times New Roman" w:cs="Times New Roman"/>
          <w:sz w:val="24"/>
          <w:lang w:val="en-GB"/>
        </w:rPr>
        <w:t xml:space="preserve">spiked with different concentration of Fe(II) is shown on the Fig.4. After </w:t>
      </w:r>
      <w:r w:rsidR="00A37F6A" w:rsidRPr="0023761B">
        <w:rPr>
          <w:rFonts w:ascii="Times New Roman" w:hAnsi="Times New Roman" w:cs="Times New Roman"/>
          <w:sz w:val="24"/>
          <w:lang w:val="en-GB"/>
        </w:rPr>
        <w:t xml:space="preserve">immersing the </w:t>
      </w:r>
      <w:r w:rsidR="00016B30" w:rsidRPr="0023761B">
        <w:rPr>
          <w:rFonts w:ascii="Times New Roman" w:hAnsi="Times New Roman" w:cs="Times New Roman"/>
          <w:sz w:val="24"/>
          <w:lang w:val="en-GB"/>
        </w:rPr>
        <w:t xml:space="preserve">gels in the Fe(II) solution for 5 days, the gels were </w:t>
      </w:r>
      <w:r w:rsidR="00A37F6A" w:rsidRPr="0023761B">
        <w:rPr>
          <w:rFonts w:ascii="Times New Roman" w:hAnsi="Times New Roman" w:cs="Times New Roman"/>
          <w:sz w:val="24"/>
          <w:lang w:val="en-GB"/>
        </w:rPr>
        <w:t>transferred to</w:t>
      </w:r>
      <w:r w:rsidR="00016B30" w:rsidRPr="0023761B">
        <w:rPr>
          <w:rFonts w:ascii="Times New Roman" w:hAnsi="Times New Roman" w:cs="Times New Roman"/>
          <w:sz w:val="24"/>
          <w:lang w:val="en-GB"/>
        </w:rPr>
        <w:t xml:space="preserve"> the PHN solution for 1 day to form a </w:t>
      </w:r>
      <w:r w:rsidR="001032A8" w:rsidRPr="0023761B">
        <w:rPr>
          <w:rFonts w:ascii="Times New Roman" w:hAnsi="Times New Roman" w:cs="Times New Roman"/>
          <w:sz w:val="24"/>
          <w:lang w:val="en-GB"/>
        </w:rPr>
        <w:t>coloured</w:t>
      </w:r>
      <w:r w:rsidR="00016B30" w:rsidRPr="0023761B">
        <w:rPr>
          <w:rFonts w:ascii="Times New Roman" w:hAnsi="Times New Roman" w:cs="Times New Roman"/>
          <w:sz w:val="24"/>
          <w:lang w:val="en-GB"/>
        </w:rPr>
        <w:t xml:space="preserve"> Ferroin complex, then transferred to the glass layers </w:t>
      </w:r>
      <w:r w:rsidR="00BD029F" w:rsidRPr="0023761B">
        <w:rPr>
          <w:rFonts w:ascii="Times New Roman" w:hAnsi="Times New Roman" w:cs="Times New Roman"/>
          <w:sz w:val="24"/>
          <w:lang w:val="en-GB"/>
        </w:rPr>
        <w:t>for</w:t>
      </w:r>
      <w:r w:rsidR="00016B30" w:rsidRPr="0023761B">
        <w:rPr>
          <w:rFonts w:ascii="Times New Roman" w:hAnsi="Times New Roman" w:cs="Times New Roman"/>
          <w:sz w:val="24"/>
          <w:lang w:val="en-GB"/>
        </w:rPr>
        <w:t xml:space="preserve"> dry</w:t>
      </w:r>
      <w:r w:rsidR="00BD029F" w:rsidRPr="0023761B">
        <w:rPr>
          <w:rFonts w:ascii="Times New Roman" w:hAnsi="Times New Roman" w:cs="Times New Roman"/>
          <w:sz w:val="24"/>
          <w:lang w:val="en-GB"/>
        </w:rPr>
        <w:t>ing</w:t>
      </w:r>
      <w:r w:rsidR="00016B30" w:rsidRPr="0023761B">
        <w:rPr>
          <w:rFonts w:ascii="Times New Roman" w:hAnsi="Times New Roman" w:cs="Times New Roman"/>
          <w:sz w:val="24"/>
          <w:lang w:val="en-GB"/>
        </w:rPr>
        <w:t xml:space="preserve">. </w:t>
      </w:r>
      <w:r w:rsidR="00436798" w:rsidRPr="0023761B">
        <w:rPr>
          <w:rFonts w:ascii="Times New Roman" w:hAnsi="Times New Roman" w:cs="Times New Roman"/>
          <w:sz w:val="24"/>
          <w:lang w:val="en-GB"/>
        </w:rPr>
        <w:t xml:space="preserve">The </w:t>
      </w:r>
      <w:r w:rsidR="00A950E5" w:rsidRPr="0023761B">
        <w:rPr>
          <w:rFonts w:ascii="Times New Roman" w:hAnsi="Times New Roman" w:cs="Times New Roman"/>
          <w:sz w:val="24"/>
          <w:lang w:val="en-GB"/>
        </w:rPr>
        <w:t>a</w:t>
      </w:r>
      <w:r w:rsidR="00935B97" w:rsidRPr="0023761B">
        <w:rPr>
          <w:rFonts w:ascii="Times New Roman" w:hAnsi="Times New Roman" w:cs="Times New Roman"/>
          <w:sz w:val="24"/>
          <w:lang w:val="en-GB"/>
        </w:rPr>
        <w:t>chieved limit</w:t>
      </w:r>
      <w:r w:rsidR="008674C4" w:rsidRPr="0023761B">
        <w:rPr>
          <w:rFonts w:ascii="Times New Roman" w:hAnsi="Times New Roman" w:cs="Times New Roman"/>
          <w:sz w:val="24"/>
          <w:lang w:val="en-GB"/>
        </w:rPr>
        <w:t xml:space="preserve"> of detection </w:t>
      </w:r>
      <w:r w:rsidR="00016B30" w:rsidRPr="0023761B">
        <w:rPr>
          <w:rFonts w:ascii="Times New Roman" w:hAnsi="Times New Roman" w:cs="Times New Roman"/>
          <w:sz w:val="24"/>
          <w:lang w:val="en-GB"/>
        </w:rPr>
        <w:t>was</w:t>
      </w:r>
      <w:r w:rsidR="00935B97" w:rsidRPr="0023761B">
        <w:rPr>
          <w:rFonts w:ascii="Times New Roman" w:hAnsi="Times New Roman" w:cs="Times New Roman"/>
          <w:sz w:val="24"/>
          <w:lang w:val="en-GB"/>
        </w:rPr>
        <w:t xml:space="preserve"> 0.14 </w:t>
      </w:r>
      <w:r w:rsidR="00935B97" w:rsidRPr="0023761B">
        <w:rPr>
          <w:rFonts w:ascii="Calibri" w:hAnsi="Calibri" w:cs="Calibri"/>
          <w:sz w:val="24"/>
          <w:szCs w:val="24"/>
          <w:lang w:val="en-GB"/>
        </w:rPr>
        <w:t>μ</w:t>
      </w:r>
      <w:r w:rsidR="00A950E5" w:rsidRPr="0023761B">
        <w:rPr>
          <w:rFonts w:ascii="Times New Roman" w:hAnsi="Times New Roman" w:cs="Times New Roman"/>
          <w:sz w:val="24"/>
          <w:lang w:val="en-GB"/>
        </w:rPr>
        <w:t>molL</w:t>
      </w:r>
      <w:r w:rsidR="00A950E5" w:rsidRPr="0023761B">
        <w:rPr>
          <w:rFonts w:ascii="Times New Roman" w:hAnsi="Times New Roman" w:cs="Times New Roman"/>
          <w:sz w:val="24"/>
          <w:vertAlign w:val="superscript"/>
          <w:lang w:val="en-GB"/>
        </w:rPr>
        <w:t>-1</w:t>
      </w:r>
      <w:r w:rsidR="00A950E5" w:rsidRPr="0023761B">
        <w:rPr>
          <w:rFonts w:ascii="Times New Roman" w:hAnsi="Times New Roman" w:cs="Times New Roman"/>
          <w:sz w:val="24"/>
          <w:lang w:val="en-GB"/>
        </w:rPr>
        <w:t>.</w:t>
      </w:r>
      <w:r w:rsidR="00076BA8" w:rsidRPr="0023761B">
        <w:rPr>
          <w:rFonts w:ascii="Times New Roman" w:hAnsi="Times New Roman" w:cs="Times New Roman"/>
          <w:sz w:val="24"/>
          <w:lang w:val="en-GB"/>
        </w:rPr>
        <w:t xml:space="preserve"> </w:t>
      </w:r>
    </w:p>
    <w:p w14:paraId="2D1D9AA1" w14:textId="70BD1FCF" w:rsidR="008C62E4" w:rsidRPr="0023761B" w:rsidRDefault="008C62E4" w:rsidP="00935B97">
      <w:pPr>
        <w:spacing w:after="0" w:line="360" w:lineRule="auto"/>
        <w:jc w:val="both"/>
        <w:rPr>
          <w:rFonts w:ascii="Times New Roman" w:hAnsi="Times New Roman" w:cs="Times New Roman"/>
          <w:sz w:val="24"/>
          <w:lang w:val="en-GB"/>
        </w:rPr>
      </w:pPr>
    </w:p>
    <w:p w14:paraId="59D749E1" w14:textId="7681C9CF" w:rsidR="000A3D13" w:rsidRPr="0023761B" w:rsidRDefault="002F73AB" w:rsidP="00A02E72">
      <w:pPr>
        <w:spacing w:after="0" w:line="360" w:lineRule="auto"/>
        <w:jc w:val="both"/>
        <w:rPr>
          <w:rFonts w:ascii="Times New Roman" w:hAnsi="Times New Roman" w:cs="Times New Roman"/>
          <w:sz w:val="24"/>
          <w:lang w:val="en-GB"/>
        </w:rPr>
      </w:pPr>
      <w:r>
        <w:rPr>
          <w:noProof/>
          <w:lang w:val="en-US"/>
        </w:rPr>
        <w:drawing>
          <wp:inline distT="0" distB="0" distL="0" distR="0" wp14:anchorId="3E28B6F8" wp14:editId="01E291E1">
            <wp:extent cx="2880000" cy="196596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728861" w14:textId="77777777" w:rsidR="0084648D" w:rsidRDefault="00CF0ABF" w:rsidP="00CF0ABF">
      <w:pPr>
        <w:spacing w:after="0" w:line="360" w:lineRule="auto"/>
        <w:rPr>
          <w:rFonts w:ascii="Times New Roman" w:hAnsi="Times New Roman" w:cs="Times New Roman"/>
          <w:sz w:val="24"/>
          <w:lang w:val="en-GB"/>
        </w:rPr>
      </w:pPr>
      <w:r w:rsidRPr="002F73AB">
        <w:rPr>
          <w:rFonts w:ascii="Times New Roman" w:hAnsi="Times New Roman" w:cs="Times New Roman"/>
          <w:b/>
          <w:sz w:val="24"/>
          <w:lang w:val="en-GB"/>
        </w:rPr>
        <w:t>Fig. 4</w:t>
      </w:r>
      <w:r w:rsidR="00510AB4" w:rsidRPr="002F73AB">
        <w:rPr>
          <w:rFonts w:ascii="Times New Roman" w:hAnsi="Times New Roman" w:cs="Times New Roman"/>
          <w:b/>
          <w:sz w:val="24"/>
          <w:lang w:val="en-GB"/>
        </w:rPr>
        <w:t>.</w:t>
      </w:r>
      <w:r w:rsidR="00510AB4" w:rsidRPr="0023761B">
        <w:rPr>
          <w:rFonts w:ascii="Times New Roman" w:hAnsi="Times New Roman" w:cs="Times New Roman"/>
          <w:sz w:val="24"/>
          <w:lang w:val="en-GB"/>
        </w:rPr>
        <w:t xml:space="preserve"> Calibration cu</w:t>
      </w:r>
      <w:r w:rsidRPr="0023761B">
        <w:rPr>
          <w:rFonts w:ascii="Times New Roman" w:hAnsi="Times New Roman" w:cs="Times New Roman"/>
          <w:sz w:val="24"/>
          <w:lang w:val="en-GB"/>
        </w:rPr>
        <w:t xml:space="preserve">rve for </w:t>
      </w:r>
      <w:r w:rsidR="00BD029F" w:rsidRPr="0023761B">
        <w:rPr>
          <w:rFonts w:ascii="Times New Roman" w:hAnsi="Times New Roman" w:cs="Times New Roman"/>
          <w:sz w:val="24"/>
          <w:lang w:val="en-GB"/>
        </w:rPr>
        <w:t xml:space="preserve">Fe(II) </w:t>
      </w:r>
      <w:r w:rsidRPr="0023761B">
        <w:rPr>
          <w:rFonts w:ascii="Times New Roman" w:hAnsi="Times New Roman" w:cs="Times New Roman"/>
          <w:sz w:val="24"/>
          <w:lang w:val="en-GB"/>
        </w:rPr>
        <w:t>determination</w:t>
      </w:r>
      <w:r w:rsidR="00BD029F" w:rsidRPr="0023761B">
        <w:rPr>
          <w:rFonts w:ascii="Times New Roman" w:hAnsi="Times New Roman" w:cs="Times New Roman"/>
          <w:sz w:val="24"/>
          <w:lang w:val="en-GB"/>
        </w:rPr>
        <w:t>.</w:t>
      </w:r>
    </w:p>
    <w:p w14:paraId="3109E55B" w14:textId="77777777" w:rsidR="0011639D" w:rsidRDefault="0011639D" w:rsidP="0011639D">
      <w:pPr>
        <w:spacing w:after="0" w:line="360" w:lineRule="auto"/>
        <w:ind w:firstLine="706"/>
        <w:jc w:val="both"/>
        <w:rPr>
          <w:rFonts w:ascii="Times New Roman" w:hAnsi="Times New Roman" w:cs="Times New Roman"/>
          <w:sz w:val="24"/>
          <w:lang w:val="en-GB"/>
        </w:rPr>
      </w:pPr>
    </w:p>
    <w:p w14:paraId="096B561E" w14:textId="75A9E00F" w:rsidR="00495913" w:rsidRPr="0023761B" w:rsidRDefault="00B826F6" w:rsidP="0011639D">
      <w:pPr>
        <w:spacing w:after="0" w:line="360" w:lineRule="auto"/>
        <w:ind w:firstLine="706"/>
        <w:jc w:val="both"/>
        <w:rPr>
          <w:rFonts w:ascii="Times New Roman" w:hAnsi="Times New Roman" w:cs="Times New Roman"/>
          <w:sz w:val="24"/>
          <w:lang w:val="en-GB"/>
        </w:rPr>
      </w:pPr>
      <w:r w:rsidRPr="0023761B">
        <w:rPr>
          <w:rFonts w:ascii="Times New Roman" w:hAnsi="Times New Roman" w:cs="Times New Roman"/>
          <w:sz w:val="24"/>
          <w:lang w:val="en-GB"/>
        </w:rPr>
        <w:t>A linear relationship between Fe concentration and BDS signal was</w:t>
      </w:r>
      <w:r w:rsidR="00694A88" w:rsidRPr="0023761B">
        <w:rPr>
          <w:rFonts w:ascii="Times New Roman" w:hAnsi="Times New Roman" w:cs="Times New Roman"/>
          <w:sz w:val="24"/>
          <w:lang w:val="en-GB"/>
        </w:rPr>
        <w:t xml:space="preserve"> obtained between 0 and 20 µM of Fe(II). </w:t>
      </w:r>
      <w:r w:rsidR="007F6E76" w:rsidRPr="0023761B">
        <w:rPr>
          <w:rFonts w:ascii="Times New Roman" w:hAnsi="Times New Roman" w:cs="Times New Roman"/>
          <w:sz w:val="24"/>
          <w:lang w:val="en-GB"/>
        </w:rPr>
        <w:t xml:space="preserve">All our samples fit in this concentration range. </w:t>
      </w:r>
      <w:r w:rsidR="00CF0ABF" w:rsidRPr="0023761B">
        <w:rPr>
          <w:rFonts w:ascii="Times New Roman" w:hAnsi="Times New Roman" w:cs="Times New Roman"/>
          <w:sz w:val="24"/>
          <w:lang w:val="en-GB"/>
        </w:rPr>
        <w:t xml:space="preserve"> </w:t>
      </w:r>
    </w:p>
    <w:p w14:paraId="009EFF65" w14:textId="176DB0B3" w:rsidR="00F0114E" w:rsidRDefault="00F0114E" w:rsidP="00F0114E">
      <w:pPr>
        <w:spacing w:after="0" w:line="360" w:lineRule="auto"/>
        <w:ind w:firstLine="706"/>
        <w:jc w:val="both"/>
        <w:rPr>
          <w:rFonts w:ascii="Times New Roman" w:hAnsi="Times New Roman" w:cs="Times New Roman"/>
          <w:sz w:val="24"/>
          <w:lang w:val="en-GB"/>
        </w:rPr>
      </w:pPr>
      <w:r>
        <w:rPr>
          <w:rFonts w:ascii="Times New Roman" w:hAnsi="Times New Roman" w:cs="Times New Roman"/>
          <w:sz w:val="24"/>
          <w:lang w:val="en-GB"/>
        </w:rPr>
        <w:t>To determine the 2D distribution of Fe</w:t>
      </w:r>
      <w:r w:rsidRPr="0023761B">
        <w:rPr>
          <w:rFonts w:ascii="Times New Roman" w:hAnsi="Times New Roman" w:cs="Times New Roman"/>
          <w:sz w:val="24"/>
          <w:lang w:val="en-GB"/>
        </w:rPr>
        <w:t xml:space="preserve"> redox species in the gels</w:t>
      </w:r>
      <w:r>
        <w:rPr>
          <w:rFonts w:ascii="Times New Roman" w:hAnsi="Times New Roman" w:cs="Times New Roman"/>
          <w:sz w:val="24"/>
          <w:lang w:val="en-GB"/>
        </w:rPr>
        <w:t>, the binding gel was cut into 4 parts horizontally and into 3</w:t>
      </w:r>
      <w:r w:rsidRPr="0023761B">
        <w:rPr>
          <w:rFonts w:ascii="Times New Roman" w:hAnsi="Times New Roman" w:cs="Times New Roman"/>
          <w:sz w:val="24"/>
          <w:lang w:val="en-GB"/>
        </w:rPr>
        <w:t xml:space="preserve"> parts vertically. </w:t>
      </w:r>
      <w:r>
        <w:rPr>
          <w:rFonts w:ascii="Times New Roman" w:hAnsi="Times New Roman" w:cs="Times New Roman"/>
          <w:sz w:val="24"/>
          <w:lang w:val="en-GB"/>
        </w:rPr>
        <w:t>In each part, Fe(II) concentration was d</w:t>
      </w:r>
      <w:r w:rsidRPr="0023761B">
        <w:rPr>
          <w:rFonts w:ascii="Times New Roman" w:hAnsi="Times New Roman" w:cs="Times New Roman"/>
          <w:sz w:val="24"/>
          <w:lang w:val="en-GB"/>
        </w:rPr>
        <w:t>etermined</w:t>
      </w:r>
      <w:r>
        <w:rPr>
          <w:rFonts w:ascii="Times New Roman" w:hAnsi="Times New Roman" w:cs="Times New Roman"/>
          <w:sz w:val="24"/>
          <w:lang w:val="en-GB"/>
        </w:rPr>
        <w:t>.</w:t>
      </w:r>
      <w:r w:rsidRPr="0023761B">
        <w:rPr>
          <w:rFonts w:ascii="Times New Roman" w:hAnsi="Times New Roman" w:cs="Times New Roman"/>
          <w:sz w:val="24"/>
          <w:lang w:val="en-GB"/>
        </w:rPr>
        <w:t xml:space="preserve"> </w:t>
      </w:r>
      <w:r>
        <w:rPr>
          <w:rFonts w:ascii="Times New Roman" w:hAnsi="Times New Roman" w:cs="Times New Roman"/>
          <w:sz w:val="24"/>
          <w:lang w:val="en-GB"/>
        </w:rPr>
        <w:t>T</w:t>
      </w:r>
      <w:r w:rsidRPr="0023761B">
        <w:rPr>
          <w:rFonts w:ascii="Times New Roman" w:hAnsi="Times New Roman" w:cs="Times New Roman"/>
          <w:sz w:val="24"/>
          <w:lang w:val="en-GB"/>
        </w:rPr>
        <w:t>he gel</w:t>
      </w:r>
      <w:r>
        <w:rPr>
          <w:rFonts w:ascii="Times New Roman" w:hAnsi="Times New Roman" w:cs="Times New Roman"/>
          <w:sz w:val="24"/>
          <w:lang w:val="en-GB"/>
        </w:rPr>
        <w:t xml:space="preserve"> concentrations</w:t>
      </w:r>
      <w:r w:rsidRPr="0023761B">
        <w:rPr>
          <w:rFonts w:ascii="Times New Roman" w:hAnsi="Times New Roman" w:cs="Times New Roman"/>
          <w:sz w:val="24"/>
          <w:lang w:val="en-GB"/>
        </w:rPr>
        <w:t xml:space="preserve"> from Vrtojbica River sediment are presented in Table 1</w:t>
      </w:r>
      <w:r>
        <w:rPr>
          <w:rFonts w:ascii="Times New Roman" w:hAnsi="Times New Roman" w:cs="Times New Roman"/>
          <w:sz w:val="24"/>
          <w:lang w:val="en-GB"/>
        </w:rPr>
        <w:t xml:space="preserve"> and Figure 6a</w:t>
      </w:r>
      <w:r w:rsidRPr="0023761B">
        <w:rPr>
          <w:rFonts w:ascii="Times New Roman" w:hAnsi="Times New Roman" w:cs="Times New Roman"/>
          <w:sz w:val="24"/>
          <w:lang w:val="en-GB"/>
        </w:rPr>
        <w:t>.</w:t>
      </w:r>
    </w:p>
    <w:p w14:paraId="66206F75" w14:textId="549901BC" w:rsidR="00F0114E" w:rsidRDefault="00F0114E" w:rsidP="00F0114E">
      <w:pPr>
        <w:spacing w:after="0" w:line="360" w:lineRule="auto"/>
        <w:ind w:firstLine="706"/>
        <w:jc w:val="both"/>
        <w:rPr>
          <w:rFonts w:ascii="Times New Roman" w:hAnsi="Times New Roman" w:cs="Times New Roman"/>
          <w:sz w:val="24"/>
          <w:lang w:val="en-GB"/>
        </w:rPr>
      </w:pPr>
      <w:r w:rsidRPr="000E26D5">
        <w:rPr>
          <w:rFonts w:ascii="Times New Roman" w:hAnsi="Times New Roman" w:cs="Times New Roman"/>
          <w:sz w:val="24"/>
          <w:lang w:val="en-GB"/>
        </w:rPr>
        <w:t xml:space="preserve">The </w:t>
      </w:r>
      <w:r>
        <w:rPr>
          <w:rFonts w:ascii="Times New Roman" w:hAnsi="Times New Roman" w:cs="Times New Roman"/>
          <w:sz w:val="24"/>
          <w:lang w:val="en-US"/>
        </w:rPr>
        <w:t>lower</w:t>
      </w:r>
      <w:r>
        <w:rPr>
          <w:rFonts w:ascii="Times New Roman" w:hAnsi="Times New Roman" w:cs="Times New Roman"/>
          <w:sz w:val="24"/>
          <w:lang w:val="en-GB"/>
        </w:rPr>
        <w:t xml:space="preserve"> horizontal part</w:t>
      </w:r>
      <w:r w:rsidRPr="000E26D5">
        <w:rPr>
          <w:rFonts w:ascii="Times New Roman" w:hAnsi="Times New Roman" w:cs="Times New Roman"/>
          <w:sz w:val="24"/>
          <w:lang w:val="en-GB"/>
        </w:rPr>
        <w:t xml:space="preserve"> was damaged during the </w:t>
      </w:r>
      <w:r>
        <w:rPr>
          <w:rFonts w:ascii="Times New Roman" w:hAnsi="Times New Roman" w:cs="Times New Roman"/>
          <w:sz w:val="24"/>
          <w:lang w:val="en-US"/>
        </w:rPr>
        <w:t>deployment</w:t>
      </w:r>
      <w:r w:rsidRPr="000E26D5">
        <w:rPr>
          <w:rFonts w:ascii="Times New Roman" w:hAnsi="Times New Roman" w:cs="Times New Roman"/>
          <w:sz w:val="24"/>
          <w:lang w:val="en-GB"/>
        </w:rPr>
        <w:t>, so the data for Fe (</w:t>
      </w:r>
      <w:r>
        <w:rPr>
          <w:rFonts w:ascii="Times New Roman" w:hAnsi="Times New Roman" w:cs="Times New Roman"/>
          <w:sz w:val="24"/>
          <w:lang w:val="en-GB"/>
        </w:rPr>
        <w:t>I</w:t>
      </w:r>
      <w:r w:rsidRPr="000E26D5">
        <w:rPr>
          <w:rFonts w:ascii="Times New Roman" w:hAnsi="Times New Roman" w:cs="Times New Roman"/>
          <w:sz w:val="24"/>
          <w:lang w:val="en-GB"/>
        </w:rPr>
        <w:t>I)</w:t>
      </w:r>
      <w:r>
        <w:rPr>
          <w:rFonts w:ascii="Times New Roman" w:hAnsi="Times New Roman" w:cs="Times New Roman"/>
          <w:sz w:val="24"/>
          <w:lang w:val="en-US"/>
        </w:rPr>
        <w:t xml:space="preserve"> (respectively for Fe (III) also</w:t>
      </w:r>
      <w:r w:rsidRPr="00D76735">
        <w:rPr>
          <w:rFonts w:ascii="Times New Roman" w:hAnsi="Times New Roman" w:cs="Times New Roman"/>
          <w:sz w:val="24"/>
          <w:lang w:val="en-US"/>
        </w:rPr>
        <w:t>)</w:t>
      </w:r>
      <w:r w:rsidRPr="000E26D5">
        <w:rPr>
          <w:rFonts w:ascii="Times New Roman" w:hAnsi="Times New Roman" w:cs="Times New Roman"/>
          <w:sz w:val="24"/>
          <w:lang w:val="en-GB"/>
        </w:rPr>
        <w:t xml:space="preserve"> in this layer</w:t>
      </w:r>
      <w:r w:rsidRPr="000E26D5">
        <w:rPr>
          <w:rFonts w:ascii="Times New Roman" w:hAnsi="Times New Roman" w:cs="Times New Roman"/>
          <w:sz w:val="24"/>
          <w:lang w:val="en-US"/>
        </w:rPr>
        <w:t xml:space="preserve"> </w:t>
      </w:r>
      <w:r>
        <w:rPr>
          <w:rFonts w:ascii="Times New Roman" w:hAnsi="Times New Roman" w:cs="Times New Roman"/>
          <w:sz w:val="24"/>
          <w:lang w:val="en-US"/>
        </w:rPr>
        <w:t>at the depth 7.5 cm</w:t>
      </w:r>
      <w:r w:rsidRPr="000E26D5">
        <w:rPr>
          <w:rFonts w:ascii="Times New Roman" w:hAnsi="Times New Roman" w:cs="Times New Roman"/>
          <w:sz w:val="24"/>
          <w:lang w:val="en-GB"/>
        </w:rPr>
        <w:t xml:space="preserve"> is not available.</w:t>
      </w:r>
    </w:p>
    <w:p w14:paraId="125EE114" w14:textId="3FF7863E" w:rsidR="008C62E4" w:rsidRPr="0023761B" w:rsidRDefault="008C62E4" w:rsidP="001032A8">
      <w:pPr>
        <w:spacing w:after="0" w:line="360" w:lineRule="auto"/>
        <w:ind w:firstLine="706"/>
        <w:jc w:val="both"/>
        <w:rPr>
          <w:rFonts w:ascii="Times New Roman" w:hAnsi="Times New Roman" w:cs="Times New Roman"/>
          <w:sz w:val="24"/>
          <w:lang w:val="en-GB"/>
        </w:rPr>
      </w:pPr>
    </w:p>
    <w:p w14:paraId="78D7A704" w14:textId="23ECF867" w:rsidR="004951AE" w:rsidRDefault="007B0E91" w:rsidP="008A47FA">
      <w:pPr>
        <w:spacing w:after="0" w:line="360" w:lineRule="auto"/>
        <w:jc w:val="both"/>
        <w:rPr>
          <w:rFonts w:ascii="Times New Roman" w:hAnsi="Times New Roman" w:cs="Times New Roman"/>
          <w:sz w:val="24"/>
          <w:lang w:val="en-GB"/>
        </w:rPr>
      </w:pPr>
      <w:r w:rsidRPr="002F73AB">
        <w:rPr>
          <w:rFonts w:ascii="Times New Roman" w:hAnsi="Times New Roman" w:cs="Times New Roman"/>
          <w:b/>
          <w:sz w:val="24"/>
          <w:lang w:val="en-GB"/>
        </w:rPr>
        <w:t>Table 1.</w:t>
      </w:r>
      <w:r w:rsidRPr="0023761B">
        <w:rPr>
          <w:rFonts w:ascii="Times New Roman" w:hAnsi="Times New Roman" w:cs="Times New Roman"/>
          <w:sz w:val="24"/>
          <w:lang w:val="en-GB"/>
        </w:rPr>
        <w:t xml:space="preserve"> Concentrations of</w:t>
      </w:r>
      <w:r w:rsidR="004951AE" w:rsidRPr="0023761B">
        <w:rPr>
          <w:rFonts w:ascii="Times New Roman" w:hAnsi="Times New Roman" w:cs="Times New Roman"/>
          <w:sz w:val="24"/>
          <w:lang w:val="en-GB"/>
        </w:rPr>
        <w:t xml:space="preserve"> the</w:t>
      </w:r>
      <w:r w:rsidRPr="0023761B">
        <w:rPr>
          <w:rFonts w:ascii="Times New Roman" w:hAnsi="Times New Roman" w:cs="Times New Roman"/>
          <w:sz w:val="24"/>
          <w:lang w:val="en-GB"/>
        </w:rPr>
        <w:t xml:space="preserve"> Fe(II) ions in the </w:t>
      </w:r>
      <w:r w:rsidR="00ED3081" w:rsidRPr="0023761B">
        <w:rPr>
          <w:rFonts w:ascii="Times New Roman" w:hAnsi="Times New Roman" w:cs="Times New Roman"/>
          <w:sz w:val="24"/>
          <w:lang w:val="en-GB"/>
        </w:rPr>
        <w:t>Chelex-100 resin</w:t>
      </w:r>
      <w:r w:rsidR="000E26D5">
        <w:rPr>
          <w:rFonts w:ascii="Times New Roman" w:hAnsi="Times New Roman" w:cs="Times New Roman"/>
          <w:sz w:val="24"/>
          <w:lang w:val="en-GB"/>
        </w:rPr>
        <w:t>.</w:t>
      </w:r>
      <w:r w:rsidR="00F0114E">
        <w:rPr>
          <w:rFonts w:ascii="Times New Roman" w:hAnsi="Times New Roman" w:cs="Times New Roman"/>
          <w:sz w:val="24"/>
          <w:lang w:val="en-GB"/>
        </w:rPr>
        <w:t xml:space="preserve"> (</w:t>
      </w:r>
      <w:r w:rsidR="00F0114E">
        <w:rPr>
          <w:rFonts w:ascii="Times New Roman" w:hAnsi="Times New Roman" w:cs="Times New Roman"/>
          <w:sz w:val="24"/>
          <w:lang w:val="en-US"/>
        </w:rPr>
        <w:t>T</w:t>
      </w:r>
      <w:r w:rsidR="00F0114E" w:rsidRPr="000E26D5">
        <w:rPr>
          <w:rFonts w:ascii="Times New Roman" w:hAnsi="Times New Roman" w:cs="Times New Roman"/>
          <w:sz w:val="24"/>
          <w:lang w:val="en-US"/>
        </w:rPr>
        <w:t xml:space="preserve">he </w:t>
      </w:r>
      <w:r w:rsidR="00F0114E">
        <w:rPr>
          <w:rFonts w:ascii="Times New Roman" w:hAnsi="Times New Roman" w:cs="Times New Roman"/>
          <w:sz w:val="24"/>
          <w:lang w:val="en-US"/>
        </w:rPr>
        <w:t>“</w:t>
      </w:r>
      <w:r w:rsidR="00F0114E" w:rsidRPr="000E26D5">
        <w:rPr>
          <w:rFonts w:ascii="Times New Roman" w:hAnsi="Times New Roman" w:cs="Times New Roman"/>
          <w:sz w:val="24"/>
          <w:lang w:val="en-US"/>
        </w:rPr>
        <w:t xml:space="preserve">-” sign </w:t>
      </w:r>
      <w:r w:rsidR="00F0114E">
        <w:rPr>
          <w:rFonts w:ascii="Times New Roman" w:hAnsi="Times New Roman" w:cs="Times New Roman"/>
          <w:sz w:val="24"/>
          <w:lang w:val="en-US"/>
        </w:rPr>
        <w:t>indicates</w:t>
      </w:r>
      <w:r w:rsidR="00F0114E" w:rsidRPr="000E26D5">
        <w:rPr>
          <w:rFonts w:ascii="Times New Roman" w:hAnsi="Times New Roman" w:cs="Times New Roman"/>
          <w:sz w:val="24"/>
          <w:lang w:val="en-US"/>
        </w:rPr>
        <w:t xml:space="preserve"> data lower than the LOD</w:t>
      </w:r>
      <w:r w:rsidR="00F0114E">
        <w:rPr>
          <w:rFonts w:ascii="Times New Roman" w:hAnsi="Times New Roman" w:cs="Times New Roman"/>
          <w:sz w:val="24"/>
          <w:lang w:val="en-US"/>
        </w:rPr>
        <w:t>.)</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20"/>
        <w:gridCol w:w="1811"/>
        <w:gridCol w:w="1811"/>
        <w:gridCol w:w="1811"/>
        <w:gridCol w:w="1819"/>
      </w:tblGrid>
      <w:tr w:rsidR="00264DCB" w14:paraId="1C204572" w14:textId="77777777" w:rsidTr="005E0D08">
        <w:trPr>
          <w:jc w:val="center"/>
        </w:trPr>
        <w:tc>
          <w:tcPr>
            <w:tcW w:w="1869" w:type="dxa"/>
            <w:tcBorders>
              <w:top w:val="nil"/>
              <w:bottom w:val="nil"/>
              <w:right w:val="nil"/>
            </w:tcBorders>
            <w:vAlign w:val="center"/>
          </w:tcPr>
          <w:p w14:paraId="705856EE" w14:textId="77777777" w:rsidR="00264DCB" w:rsidRDefault="00264DCB" w:rsidP="005E0D08">
            <w:pPr>
              <w:spacing w:line="360" w:lineRule="auto"/>
              <w:jc w:val="center"/>
            </w:pPr>
          </w:p>
        </w:tc>
        <w:tc>
          <w:tcPr>
            <w:tcW w:w="5607" w:type="dxa"/>
            <w:gridSpan w:val="3"/>
            <w:tcBorders>
              <w:top w:val="nil"/>
              <w:left w:val="nil"/>
              <w:bottom w:val="single" w:sz="4" w:space="0" w:color="auto"/>
              <w:right w:val="nil"/>
            </w:tcBorders>
            <w:vAlign w:val="center"/>
          </w:tcPr>
          <w:p w14:paraId="080BDB68" w14:textId="77777777" w:rsidR="00264DCB" w:rsidRDefault="00264DCB" w:rsidP="005E0D08">
            <w:pPr>
              <w:spacing w:line="360" w:lineRule="auto"/>
              <w:jc w:val="center"/>
            </w:pPr>
            <w:r>
              <w:rPr>
                <w:rFonts w:ascii="Arial" w:eastAsia="Times New Roman" w:hAnsi="Arial" w:cs="Arial"/>
                <w:b/>
                <w:bCs/>
                <w:color w:val="000000"/>
                <w:sz w:val="16"/>
                <w:szCs w:val="16"/>
                <w:lang w:eastAsia="sl-SI"/>
              </w:rPr>
              <w:t>Horizontal position in the sample</w:t>
            </w:r>
            <w:r w:rsidRPr="003223CE">
              <w:rPr>
                <w:rFonts w:ascii="Arial" w:eastAsia="Times New Roman" w:hAnsi="Arial" w:cs="Arial"/>
                <w:b/>
                <w:bCs/>
                <w:color w:val="000000"/>
                <w:sz w:val="16"/>
                <w:szCs w:val="16"/>
                <w:lang w:eastAsia="sl-SI"/>
              </w:rPr>
              <w:t>, cm</w:t>
            </w:r>
          </w:p>
        </w:tc>
        <w:tc>
          <w:tcPr>
            <w:tcW w:w="1869" w:type="dxa"/>
            <w:tcBorders>
              <w:top w:val="nil"/>
              <w:left w:val="nil"/>
              <w:bottom w:val="nil"/>
            </w:tcBorders>
            <w:vAlign w:val="center"/>
          </w:tcPr>
          <w:p w14:paraId="49ECCA78" w14:textId="77777777" w:rsidR="00264DCB" w:rsidRDefault="00264DCB" w:rsidP="005E0D08">
            <w:pPr>
              <w:spacing w:line="360" w:lineRule="auto"/>
              <w:jc w:val="center"/>
            </w:pPr>
          </w:p>
        </w:tc>
      </w:tr>
      <w:tr w:rsidR="00264DCB" w14:paraId="40D5FF0B" w14:textId="77777777" w:rsidTr="005E0D08">
        <w:trPr>
          <w:jc w:val="center"/>
        </w:trPr>
        <w:tc>
          <w:tcPr>
            <w:tcW w:w="1869" w:type="dxa"/>
            <w:tcBorders>
              <w:top w:val="nil"/>
              <w:bottom w:val="single" w:sz="4" w:space="0" w:color="auto"/>
              <w:right w:val="nil"/>
            </w:tcBorders>
            <w:vAlign w:val="center"/>
          </w:tcPr>
          <w:p w14:paraId="1D14F6D1" w14:textId="77777777" w:rsidR="00264DCB" w:rsidRDefault="00264DCB" w:rsidP="005E0D08">
            <w:pPr>
              <w:spacing w:line="360" w:lineRule="auto"/>
              <w:jc w:val="center"/>
            </w:pPr>
          </w:p>
        </w:tc>
        <w:tc>
          <w:tcPr>
            <w:tcW w:w="1869" w:type="dxa"/>
            <w:tcBorders>
              <w:top w:val="single" w:sz="4" w:space="0" w:color="auto"/>
              <w:left w:val="nil"/>
              <w:bottom w:val="single" w:sz="4" w:space="0" w:color="auto"/>
              <w:right w:val="nil"/>
            </w:tcBorders>
            <w:vAlign w:val="center"/>
          </w:tcPr>
          <w:p w14:paraId="484D5F94" w14:textId="77777777" w:rsidR="00264DCB" w:rsidRDefault="00264DCB" w:rsidP="005E0D08">
            <w:pPr>
              <w:spacing w:line="360" w:lineRule="auto"/>
              <w:jc w:val="center"/>
            </w:pPr>
            <w:r w:rsidRPr="003223CE">
              <w:rPr>
                <w:rFonts w:ascii="Arial" w:eastAsia="Times New Roman" w:hAnsi="Arial" w:cs="Arial"/>
                <w:color w:val="000000"/>
                <w:sz w:val="16"/>
                <w:szCs w:val="16"/>
                <w:lang w:eastAsia="sl-SI"/>
              </w:rPr>
              <w:t>0.6</w:t>
            </w:r>
          </w:p>
        </w:tc>
        <w:tc>
          <w:tcPr>
            <w:tcW w:w="1869" w:type="dxa"/>
            <w:tcBorders>
              <w:top w:val="single" w:sz="4" w:space="0" w:color="auto"/>
              <w:left w:val="nil"/>
              <w:bottom w:val="single" w:sz="4" w:space="0" w:color="auto"/>
              <w:right w:val="nil"/>
            </w:tcBorders>
            <w:vAlign w:val="center"/>
          </w:tcPr>
          <w:p w14:paraId="5B589EAF" w14:textId="77777777" w:rsidR="00264DCB" w:rsidRDefault="00264DCB" w:rsidP="005E0D08">
            <w:pPr>
              <w:spacing w:line="360" w:lineRule="auto"/>
              <w:jc w:val="center"/>
            </w:pPr>
            <w:r w:rsidRPr="003223CE">
              <w:rPr>
                <w:rFonts w:ascii="Arial" w:eastAsia="Times New Roman" w:hAnsi="Arial" w:cs="Arial"/>
                <w:color w:val="000000"/>
                <w:sz w:val="16"/>
                <w:szCs w:val="16"/>
                <w:lang w:eastAsia="sl-SI"/>
              </w:rPr>
              <w:t>1.2</w:t>
            </w:r>
          </w:p>
        </w:tc>
        <w:tc>
          <w:tcPr>
            <w:tcW w:w="1869" w:type="dxa"/>
            <w:tcBorders>
              <w:top w:val="single" w:sz="4" w:space="0" w:color="auto"/>
              <w:left w:val="nil"/>
              <w:bottom w:val="single" w:sz="4" w:space="0" w:color="auto"/>
              <w:right w:val="nil"/>
            </w:tcBorders>
            <w:vAlign w:val="center"/>
          </w:tcPr>
          <w:p w14:paraId="71CC8B52" w14:textId="77777777" w:rsidR="00264DCB" w:rsidRDefault="00264DCB" w:rsidP="005E0D08">
            <w:pPr>
              <w:spacing w:line="360" w:lineRule="auto"/>
              <w:jc w:val="center"/>
            </w:pPr>
            <w:r w:rsidRPr="003223CE">
              <w:rPr>
                <w:rFonts w:ascii="Arial" w:eastAsia="Times New Roman" w:hAnsi="Arial" w:cs="Arial"/>
                <w:color w:val="000000"/>
                <w:sz w:val="16"/>
                <w:szCs w:val="16"/>
                <w:lang w:eastAsia="sl-SI"/>
              </w:rPr>
              <w:t>1.8</w:t>
            </w:r>
          </w:p>
        </w:tc>
        <w:tc>
          <w:tcPr>
            <w:tcW w:w="1869" w:type="dxa"/>
            <w:tcBorders>
              <w:top w:val="nil"/>
              <w:left w:val="nil"/>
              <w:bottom w:val="single" w:sz="4" w:space="0" w:color="auto"/>
            </w:tcBorders>
            <w:vAlign w:val="center"/>
          </w:tcPr>
          <w:p w14:paraId="4F09AA45" w14:textId="77777777" w:rsidR="00264DCB" w:rsidRDefault="00264DCB" w:rsidP="005E0D08">
            <w:pPr>
              <w:spacing w:line="360" w:lineRule="auto"/>
              <w:jc w:val="center"/>
            </w:pPr>
          </w:p>
        </w:tc>
      </w:tr>
      <w:tr w:rsidR="00264DCB" w14:paraId="66861FC0" w14:textId="77777777" w:rsidTr="005E0D08">
        <w:trPr>
          <w:jc w:val="center"/>
        </w:trPr>
        <w:tc>
          <w:tcPr>
            <w:tcW w:w="1869" w:type="dxa"/>
            <w:tcBorders>
              <w:top w:val="single" w:sz="4" w:space="0" w:color="auto"/>
              <w:bottom w:val="single" w:sz="4" w:space="0" w:color="auto"/>
              <w:right w:val="nil"/>
            </w:tcBorders>
            <w:vAlign w:val="center"/>
          </w:tcPr>
          <w:p w14:paraId="6CA62B00" w14:textId="77777777" w:rsidR="00264DCB" w:rsidRDefault="00264DCB" w:rsidP="005E0D08">
            <w:pPr>
              <w:spacing w:line="360" w:lineRule="auto"/>
              <w:jc w:val="center"/>
            </w:pPr>
            <w:r>
              <w:rPr>
                <w:rFonts w:ascii="Arial" w:eastAsia="Times New Roman" w:hAnsi="Arial" w:cs="Arial"/>
                <w:b/>
                <w:bCs/>
                <w:color w:val="000000"/>
                <w:sz w:val="16"/>
                <w:szCs w:val="16"/>
                <w:lang w:eastAsia="sl-SI"/>
              </w:rPr>
              <w:t>Vertical position in the sample</w:t>
            </w:r>
            <w:r w:rsidRPr="003223CE">
              <w:rPr>
                <w:rFonts w:ascii="Arial" w:eastAsia="Times New Roman" w:hAnsi="Arial" w:cs="Arial"/>
                <w:b/>
                <w:bCs/>
                <w:color w:val="000000"/>
                <w:sz w:val="16"/>
                <w:szCs w:val="16"/>
                <w:lang w:eastAsia="sl-SI"/>
              </w:rPr>
              <w:t>, cm</w:t>
            </w:r>
          </w:p>
        </w:tc>
        <w:tc>
          <w:tcPr>
            <w:tcW w:w="5607" w:type="dxa"/>
            <w:gridSpan w:val="3"/>
            <w:tcBorders>
              <w:top w:val="single" w:sz="4" w:space="0" w:color="auto"/>
              <w:left w:val="nil"/>
              <w:bottom w:val="single" w:sz="4" w:space="0" w:color="auto"/>
              <w:right w:val="nil"/>
            </w:tcBorders>
            <w:vAlign w:val="center"/>
          </w:tcPr>
          <w:p w14:paraId="3DCC8F51" w14:textId="77777777" w:rsidR="00264DCB" w:rsidRDefault="00264DCB" w:rsidP="005E0D08">
            <w:pPr>
              <w:spacing w:line="360" w:lineRule="auto"/>
              <w:jc w:val="center"/>
            </w:pPr>
            <w:r w:rsidRPr="003223CE">
              <w:rPr>
                <w:rFonts w:ascii="Arial" w:eastAsia="Times New Roman" w:hAnsi="Arial" w:cs="Arial"/>
                <w:b/>
                <w:bCs/>
                <w:color w:val="000000"/>
                <w:sz w:val="16"/>
                <w:szCs w:val="16"/>
                <w:lang w:eastAsia="sl-SI"/>
              </w:rPr>
              <w:t>Molar concentration Fe(II), μmolL</w:t>
            </w:r>
            <w:r w:rsidRPr="003223CE">
              <w:rPr>
                <w:rFonts w:ascii="Arial" w:eastAsia="Times New Roman" w:hAnsi="Arial" w:cs="Arial"/>
                <w:b/>
                <w:bCs/>
                <w:color w:val="000000"/>
                <w:sz w:val="16"/>
                <w:szCs w:val="16"/>
                <w:vertAlign w:val="superscript"/>
                <w:lang w:eastAsia="sl-SI"/>
              </w:rPr>
              <w:t>-1</w:t>
            </w:r>
          </w:p>
        </w:tc>
        <w:tc>
          <w:tcPr>
            <w:tcW w:w="1869" w:type="dxa"/>
            <w:tcBorders>
              <w:top w:val="single" w:sz="4" w:space="0" w:color="auto"/>
              <w:left w:val="nil"/>
              <w:bottom w:val="single" w:sz="4" w:space="0" w:color="auto"/>
            </w:tcBorders>
            <w:vAlign w:val="center"/>
          </w:tcPr>
          <w:p w14:paraId="6BA2FB0D" w14:textId="77777777" w:rsidR="00264DCB" w:rsidRDefault="00264DCB" w:rsidP="005E0D08">
            <w:pPr>
              <w:spacing w:line="360" w:lineRule="auto"/>
              <w:jc w:val="center"/>
            </w:pPr>
            <w:r w:rsidRPr="003223CE">
              <w:rPr>
                <w:rFonts w:ascii="Arial" w:eastAsia="Times New Roman" w:hAnsi="Arial" w:cs="Arial"/>
                <w:b/>
                <w:color w:val="000000"/>
                <w:sz w:val="16"/>
                <w:szCs w:val="16"/>
                <w:lang w:eastAsia="sl-SI"/>
              </w:rPr>
              <w:t xml:space="preserve">Average, </w:t>
            </w:r>
            <w:r w:rsidRPr="003223CE">
              <w:rPr>
                <w:rFonts w:ascii="Arial" w:eastAsia="Times New Roman" w:hAnsi="Arial" w:cs="Arial"/>
                <w:b/>
                <w:bCs/>
                <w:color w:val="000000"/>
                <w:sz w:val="16"/>
                <w:szCs w:val="16"/>
                <w:lang w:eastAsia="sl-SI"/>
              </w:rPr>
              <w:t>μmolL</w:t>
            </w:r>
            <w:r w:rsidRPr="003223CE">
              <w:rPr>
                <w:rFonts w:ascii="Arial" w:eastAsia="Times New Roman" w:hAnsi="Arial" w:cs="Arial"/>
                <w:b/>
                <w:bCs/>
                <w:color w:val="000000"/>
                <w:sz w:val="16"/>
                <w:szCs w:val="16"/>
                <w:vertAlign w:val="superscript"/>
                <w:lang w:eastAsia="sl-SI"/>
              </w:rPr>
              <w:t>-1</w:t>
            </w:r>
          </w:p>
        </w:tc>
      </w:tr>
      <w:tr w:rsidR="00264DCB" w14:paraId="4610A9CC" w14:textId="77777777" w:rsidTr="005E0D08">
        <w:trPr>
          <w:jc w:val="center"/>
        </w:trPr>
        <w:tc>
          <w:tcPr>
            <w:tcW w:w="1869" w:type="dxa"/>
            <w:tcBorders>
              <w:top w:val="single" w:sz="4" w:space="0" w:color="auto"/>
              <w:bottom w:val="nil"/>
            </w:tcBorders>
            <w:vAlign w:val="center"/>
          </w:tcPr>
          <w:p w14:paraId="427CF6AC" w14:textId="77777777" w:rsidR="00264DCB" w:rsidRDefault="00264DCB" w:rsidP="005E0D08">
            <w:pPr>
              <w:spacing w:line="360" w:lineRule="auto"/>
              <w:jc w:val="center"/>
            </w:pPr>
            <w:r>
              <w:rPr>
                <w:rFonts w:ascii="Arial" w:eastAsia="Times New Roman" w:hAnsi="Arial" w:cs="Arial"/>
                <w:bCs/>
                <w:iCs/>
                <w:color w:val="000000"/>
                <w:sz w:val="16"/>
                <w:szCs w:val="16"/>
                <w:lang w:eastAsia="sl-SI"/>
              </w:rPr>
              <w:t>0</w:t>
            </w:r>
          </w:p>
        </w:tc>
        <w:tc>
          <w:tcPr>
            <w:tcW w:w="1869" w:type="dxa"/>
            <w:tcBorders>
              <w:top w:val="single" w:sz="4" w:space="0" w:color="auto"/>
              <w:bottom w:val="nil"/>
              <w:right w:val="nil"/>
            </w:tcBorders>
            <w:vAlign w:val="bottom"/>
          </w:tcPr>
          <w:p w14:paraId="4F0FE9DE" w14:textId="77777777" w:rsidR="00264DCB" w:rsidRDefault="00264DCB" w:rsidP="005E0D08">
            <w:pPr>
              <w:spacing w:line="360" w:lineRule="auto"/>
              <w:jc w:val="center"/>
            </w:pPr>
            <w:r w:rsidRPr="00A819AA">
              <w:rPr>
                <w:rFonts w:ascii="Arial" w:hAnsi="Arial" w:cs="Arial"/>
                <w:color w:val="000000"/>
                <w:sz w:val="16"/>
                <w:szCs w:val="16"/>
              </w:rPr>
              <w:t>2.1</w:t>
            </w:r>
            <w:r w:rsidRPr="003223CE">
              <w:rPr>
                <w:rFonts w:ascii="Arial" w:eastAsia="Times New Roman" w:hAnsi="Arial" w:cs="Arial"/>
                <w:color w:val="000000"/>
                <w:sz w:val="16"/>
                <w:szCs w:val="16"/>
                <w:lang w:val="en-US"/>
              </w:rPr>
              <w:t>±0.2</w:t>
            </w:r>
          </w:p>
        </w:tc>
        <w:tc>
          <w:tcPr>
            <w:tcW w:w="1869" w:type="dxa"/>
            <w:tcBorders>
              <w:top w:val="single" w:sz="4" w:space="0" w:color="auto"/>
              <w:left w:val="nil"/>
              <w:bottom w:val="nil"/>
              <w:right w:val="nil"/>
            </w:tcBorders>
            <w:vAlign w:val="bottom"/>
          </w:tcPr>
          <w:p w14:paraId="308BCB22" w14:textId="77777777" w:rsidR="00264DCB" w:rsidRDefault="00264DCB" w:rsidP="005E0D08">
            <w:pPr>
              <w:spacing w:line="360" w:lineRule="auto"/>
              <w:jc w:val="center"/>
            </w:pPr>
            <w:r w:rsidRPr="00A819AA">
              <w:rPr>
                <w:rFonts w:ascii="Arial" w:hAnsi="Arial" w:cs="Arial"/>
                <w:color w:val="000000"/>
                <w:sz w:val="16"/>
                <w:szCs w:val="16"/>
              </w:rPr>
              <w:t>1.9</w:t>
            </w:r>
            <w:r w:rsidRPr="003223CE">
              <w:rPr>
                <w:rFonts w:ascii="Arial" w:eastAsia="Times New Roman" w:hAnsi="Arial" w:cs="Arial"/>
                <w:color w:val="000000"/>
                <w:sz w:val="16"/>
                <w:szCs w:val="16"/>
                <w:lang w:val="en-US"/>
              </w:rPr>
              <w:t>±0.4</w:t>
            </w:r>
          </w:p>
        </w:tc>
        <w:tc>
          <w:tcPr>
            <w:tcW w:w="1869" w:type="dxa"/>
            <w:tcBorders>
              <w:top w:val="single" w:sz="4" w:space="0" w:color="auto"/>
              <w:left w:val="nil"/>
              <w:bottom w:val="nil"/>
            </w:tcBorders>
            <w:vAlign w:val="bottom"/>
          </w:tcPr>
          <w:p w14:paraId="7DFC96E3" w14:textId="77777777" w:rsidR="00264DCB" w:rsidRDefault="00264DCB" w:rsidP="005E0D08">
            <w:pPr>
              <w:spacing w:line="360" w:lineRule="auto"/>
              <w:jc w:val="center"/>
            </w:pPr>
            <w:r w:rsidRPr="00A819AA">
              <w:rPr>
                <w:rFonts w:ascii="Arial" w:hAnsi="Arial" w:cs="Arial"/>
                <w:color w:val="000000"/>
                <w:sz w:val="16"/>
                <w:szCs w:val="16"/>
              </w:rPr>
              <w:t>1.9</w:t>
            </w:r>
            <w:r w:rsidRPr="003223CE">
              <w:rPr>
                <w:rFonts w:ascii="Arial" w:eastAsia="Times New Roman" w:hAnsi="Arial" w:cs="Arial"/>
                <w:color w:val="000000"/>
                <w:sz w:val="16"/>
                <w:szCs w:val="16"/>
                <w:lang w:val="en-US"/>
              </w:rPr>
              <w:t>±0.4</w:t>
            </w:r>
          </w:p>
        </w:tc>
        <w:tc>
          <w:tcPr>
            <w:tcW w:w="1869" w:type="dxa"/>
            <w:tcBorders>
              <w:top w:val="single" w:sz="4" w:space="0" w:color="auto"/>
              <w:bottom w:val="nil"/>
            </w:tcBorders>
            <w:vAlign w:val="center"/>
          </w:tcPr>
          <w:p w14:paraId="5E3583DD" w14:textId="77777777" w:rsidR="00264DCB" w:rsidRDefault="00264DCB" w:rsidP="005E0D08">
            <w:pPr>
              <w:spacing w:line="360" w:lineRule="auto"/>
              <w:jc w:val="center"/>
            </w:pPr>
            <w:r w:rsidRPr="00A819AA">
              <w:rPr>
                <w:rFonts w:ascii="Arial" w:hAnsi="Arial" w:cs="Arial"/>
                <w:color w:val="000000"/>
                <w:sz w:val="16"/>
                <w:szCs w:val="16"/>
              </w:rPr>
              <w:t>2.0</w:t>
            </w:r>
            <w:r w:rsidRPr="003223CE">
              <w:rPr>
                <w:rFonts w:ascii="Arial" w:eastAsia="Times New Roman" w:hAnsi="Arial" w:cs="Arial"/>
                <w:color w:val="000000"/>
                <w:sz w:val="16"/>
                <w:szCs w:val="16"/>
                <w:lang w:val="en-US"/>
              </w:rPr>
              <w:t>±0.3</w:t>
            </w:r>
          </w:p>
        </w:tc>
      </w:tr>
      <w:tr w:rsidR="00264DCB" w14:paraId="7C36395B" w14:textId="77777777" w:rsidTr="002462FD">
        <w:trPr>
          <w:jc w:val="center"/>
        </w:trPr>
        <w:tc>
          <w:tcPr>
            <w:tcW w:w="1869" w:type="dxa"/>
            <w:tcBorders>
              <w:top w:val="nil"/>
              <w:bottom w:val="nil"/>
            </w:tcBorders>
            <w:vAlign w:val="center"/>
          </w:tcPr>
          <w:p w14:paraId="084EE243" w14:textId="77777777" w:rsidR="00264DCB" w:rsidRDefault="00264DCB" w:rsidP="005E0D08">
            <w:pPr>
              <w:spacing w:line="360" w:lineRule="auto"/>
              <w:jc w:val="center"/>
            </w:pPr>
            <w:r>
              <w:rPr>
                <w:rFonts w:ascii="Arial" w:eastAsia="Times New Roman" w:hAnsi="Arial" w:cs="Arial"/>
                <w:bCs/>
                <w:iCs/>
                <w:color w:val="000000"/>
                <w:sz w:val="16"/>
                <w:szCs w:val="16"/>
                <w:lang w:eastAsia="sl-SI"/>
              </w:rPr>
              <w:t>-2.5</w:t>
            </w:r>
          </w:p>
        </w:tc>
        <w:tc>
          <w:tcPr>
            <w:tcW w:w="1869" w:type="dxa"/>
            <w:tcBorders>
              <w:top w:val="nil"/>
              <w:bottom w:val="nil"/>
              <w:right w:val="nil"/>
            </w:tcBorders>
            <w:vAlign w:val="bottom"/>
          </w:tcPr>
          <w:p w14:paraId="554ACE13" w14:textId="77777777" w:rsidR="00264DCB" w:rsidRDefault="00264DCB" w:rsidP="005E0D08">
            <w:pPr>
              <w:spacing w:line="360" w:lineRule="auto"/>
              <w:jc w:val="center"/>
            </w:pPr>
            <w:r w:rsidRPr="00A819AA">
              <w:rPr>
                <w:rFonts w:ascii="Arial" w:hAnsi="Arial" w:cs="Arial"/>
                <w:color w:val="000000"/>
                <w:sz w:val="16"/>
                <w:szCs w:val="16"/>
              </w:rPr>
              <w:t>2.3</w:t>
            </w:r>
            <w:r w:rsidRPr="003223CE">
              <w:rPr>
                <w:rFonts w:ascii="Arial" w:eastAsia="Times New Roman" w:hAnsi="Arial" w:cs="Arial"/>
                <w:color w:val="000000"/>
                <w:sz w:val="16"/>
                <w:szCs w:val="16"/>
                <w:lang w:val="en-US"/>
              </w:rPr>
              <w:t>±0.2</w:t>
            </w:r>
          </w:p>
        </w:tc>
        <w:tc>
          <w:tcPr>
            <w:tcW w:w="1869" w:type="dxa"/>
            <w:tcBorders>
              <w:top w:val="nil"/>
              <w:left w:val="nil"/>
              <w:bottom w:val="nil"/>
              <w:right w:val="nil"/>
            </w:tcBorders>
            <w:vAlign w:val="center"/>
          </w:tcPr>
          <w:p w14:paraId="31D08F69" w14:textId="40F41385" w:rsidR="00264DCB" w:rsidRDefault="00264DCB" w:rsidP="002462FD">
            <w:pPr>
              <w:spacing w:line="360" w:lineRule="auto"/>
              <w:jc w:val="center"/>
            </w:pPr>
            <w:r>
              <w:t>-</w:t>
            </w:r>
          </w:p>
        </w:tc>
        <w:tc>
          <w:tcPr>
            <w:tcW w:w="1869" w:type="dxa"/>
            <w:tcBorders>
              <w:top w:val="nil"/>
              <w:left w:val="nil"/>
              <w:bottom w:val="nil"/>
            </w:tcBorders>
            <w:vAlign w:val="center"/>
          </w:tcPr>
          <w:p w14:paraId="291A8730" w14:textId="092C4925" w:rsidR="00264DCB" w:rsidRDefault="00264DCB" w:rsidP="002462FD">
            <w:pPr>
              <w:spacing w:line="360" w:lineRule="auto"/>
              <w:jc w:val="center"/>
            </w:pPr>
            <w:r>
              <w:t>-</w:t>
            </w:r>
          </w:p>
        </w:tc>
        <w:tc>
          <w:tcPr>
            <w:tcW w:w="1869" w:type="dxa"/>
            <w:tcBorders>
              <w:top w:val="nil"/>
              <w:bottom w:val="nil"/>
            </w:tcBorders>
            <w:vAlign w:val="center"/>
          </w:tcPr>
          <w:p w14:paraId="79C10052" w14:textId="77777777" w:rsidR="00264DCB" w:rsidRDefault="00264DCB" w:rsidP="005E0D08">
            <w:pPr>
              <w:spacing w:line="360" w:lineRule="auto"/>
              <w:jc w:val="center"/>
            </w:pPr>
            <w:r>
              <w:rPr>
                <w:rFonts w:ascii="Arial" w:hAnsi="Arial" w:cs="Arial"/>
                <w:color w:val="000000"/>
                <w:sz w:val="16"/>
                <w:szCs w:val="16"/>
              </w:rPr>
              <w:t>2</w:t>
            </w:r>
            <w:r w:rsidRPr="00A819AA">
              <w:rPr>
                <w:rFonts w:ascii="Arial" w:hAnsi="Arial" w:cs="Arial"/>
                <w:color w:val="000000"/>
                <w:sz w:val="16"/>
                <w:szCs w:val="16"/>
              </w:rPr>
              <w:t>.</w:t>
            </w:r>
            <w:r>
              <w:rPr>
                <w:rFonts w:ascii="Arial" w:hAnsi="Arial" w:cs="Arial"/>
                <w:color w:val="000000"/>
                <w:sz w:val="16"/>
                <w:szCs w:val="16"/>
              </w:rPr>
              <w:t>3</w:t>
            </w:r>
            <w:r>
              <w:rPr>
                <w:rFonts w:ascii="Arial" w:eastAsia="Times New Roman" w:hAnsi="Arial" w:cs="Arial"/>
                <w:color w:val="000000"/>
                <w:sz w:val="16"/>
                <w:szCs w:val="16"/>
                <w:lang w:val="en-US"/>
              </w:rPr>
              <w:t>±0.2</w:t>
            </w:r>
          </w:p>
        </w:tc>
      </w:tr>
      <w:tr w:rsidR="00264DCB" w14:paraId="553D1A09" w14:textId="77777777" w:rsidTr="002462FD">
        <w:trPr>
          <w:jc w:val="center"/>
        </w:trPr>
        <w:tc>
          <w:tcPr>
            <w:tcW w:w="1869" w:type="dxa"/>
            <w:tcBorders>
              <w:top w:val="nil"/>
              <w:bottom w:val="single" w:sz="4" w:space="0" w:color="auto"/>
            </w:tcBorders>
            <w:vAlign w:val="center"/>
          </w:tcPr>
          <w:p w14:paraId="474343BB" w14:textId="77777777" w:rsidR="00264DCB" w:rsidRDefault="00264DCB" w:rsidP="005E0D08">
            <w:pPr>
              <w:spacing w:line="360" w:lineRule="auto"/>
              <w:jc w:val="center"/>
            </w:pPr>
            <w:r>
              <w:rPr>
                <w:rFonts w:ascii="Arial" w:eastAsia="Times New Roman" w:hAnsi="Arial" w:cs="Arial"/>
                <w:bCs/>
                <w:iCs/>
                <w:color w:val="000000"/>
                <w:sz w:val="16"/>
                <w:szCs w:val="16"/>
                <w:lang w:eastAsia="sl-SI"/>
              </w:rPr>
              <w:t>-5.0</w:t>
            </w:r>
          </w:p>
        </w:tc>
        <w:tc>
          <w:tcPr>
            <w:tcW w:w="1869" w:type="dxa"/>
            <w:tcBorders>
              <w:top w:val="nil"/>
              <w:bottom w:val="single" w:sz="4" w:space="0" w:color="auto"/>
              <w:right w:val="nil"/>
            </w:tcBorders>
            <w:vAlign w:val="bottom"/>
          </w:tcPr>
          <w:p w14:paraId="7A8A3785" w14:textId="77777777" w:rsidR="00264DCB" w:rsidRDefault="00264DCB" w:rsidP="005E0D08">
            <w:pPr>
              <w:spacing w:line="360" w:lineRule="auto"/>
              <w:jc w:val="center"/>
            </w:pPr>
            <w:r w:rsidRPr="00A819AA">
              <w:rPr>
                <w:rFonts w:ascii="Arial" w:hAnsi="Arial" w:cs="Arial"/>
                <w:color w:val="000000"/>
                <w:sz w:val="16"/>
                <w:szCs w:val="16"/>
              </w:rPr>
              <w:t>2.5</w:t>
            </w:r>
            <w:r w:rsidRPr="003223CE">
              <w:rPr>
                <w:rFonts w:ascii="Arial" w:eastAsia="Times New Roman" w:hAnsi="Arial" w:cs="Arial"/>
                <w:color w:val="000000"/>
                <w:sz w:val="16"/>
                <w:szCs w:val="16"/>
                <w:lang w:val="en-US"/>
              </w:rPr>
              <w:t>±0.4</w:t>
            </w:r>
          </w:p>
        </w:tc>
        <w:tc>
          <w:tcPr>
            <w:tcW w:w="1869" w:type="dxa"/>
            <w:tcBorders>
              <w:top w:val="nil"/>
              <w:left w:val="nil"/>
              <w:bottom w:val="single" w:sz="4" w:space="0" w:color="auto"/>
              <w:right w:val="nil"/>
            </w:tcBorders>
            <w:vAlign w:val="center"/>
          </w:tcPr>
          <w:p w14:paraId="2380DA4F" w14:textId="77777777" w:rsidR="00264DCB" w:rsidRDefault="00264DCB" w:rsidP="002462FD">
            <w:pPr>
              <w:spacing w:line="360" w:lineRule="auto"/>
              <w:jc w:val="center"/>
            </w:pPr>
            <w:r w:rsidRPr="00A819AA">
              <w:rPr>
                <w:rFonts w:ascii="Arial" w:hAnsi="Arial" w:cs="Arial"/>
                <w:color w:val="000000"/>
                <w:sz w:val="16"/>
                <w:szCs w:val="16"/>
              </w:rPr>
              <w:t>1.5</w:t>
            </w:r>
            <w:r w:rsidRPr="003223CE">
              <w:rPr>
                <w:rFonts w:ascii="Arial" w:eastAsia="Times New Roman" w:hAnsi="Arial" w:cs="Arial"/>
                <w:color w:val="000000"/>
                <w:sz w:val="16"/>
                <w:szCs w:val="16"/>
                <w:lang w:val="en-US"/>
              </w:rPr>
              <w:t>±0.4</w:t>
            </w:r>
          </w:p>
        </w:tc>
        <w:tc>
          <w:tcPr>
            <w:tcW w:w="1869" w:type="dxa"/>
            <w:tcBorders>
              <w:top w:val="nil"/>
              <w:left w:val="nil"/>
              <w:bottom w:val="single" w:sz="4" w:space="0" w:color="auto"/>
            </w:tcBorders>
            <w:vAlign w:val="center"/>
          </w:tcPr>
          <w:p w14:paraId="2143DF3E" w14:textId="39177FC5" w:rsidR="00264DCB" w:rsidRDefault="00264DCB" w:rsidP="002462FD">
            <w:pPr>
              <w:spacing w:line="360" w:lineRule="auto"/>
              <w:jc w:val="center"/>
            </w:pPr>
            <w:r>
              <w:t>-</w:t>
            </w:r>
          </w:p>
        </w:tc>
        <w:tc>
          <w:tcPr>
            <w:tcW w:w="1869" w:type="dxa"/>
            <w:tcBorders>
              <w:top w:val="nil"/>
              <w:bottom w:val="single" w:sz="4" w:space="0" w:color="auto"/>
            </w:tcBorders>
            <w:vAlign w:val="center"/>
          </w:tcPr>
          <w:p w14:paraId="43D81F7F" w14:textId="77777777" w:rsidR="00264DCB" w:rsidRDefault="00264DCB" w:rsidP="005E0D08">
            <w:pPr>
              <w:spacing w:line="360" w:lineRule="auto"/>
              <w:jc w:val="center"/>
            </w:pPr>
            <w:r>
              <w:rPr>
                <w:rFonts w:ascii="Arial" w:hAnsi="Arial" w:cs="Arial"/>
                <w:color w:val="000000"/>
                <w:sz w:val="16"/>
                <w:szCs w:val="16"/>
              </w:rPr>
              <w:t>2</w:t>
            </w:r>
            <w:r w:rsidRPr="00A819AA">
              <w:rPr>
                <w:rFonts w:ascii="Arial" w:hAnsi="Arial" w:cs="Arial"/>
                <w:color w:val="000000"/>
                <w:sz w:val="16"/>
                <w:szCs w:val="16"/>
              </w:rPr>
              <w:t>.</w:t>
            </w:r>
            <w:r>
              <w:rPr>
                <w:rFonts w:ascii="Arial" w:hAnsi="Arial" w:cs="Arial"/>
                <w:color w:val="000000"/>
                <w:sz w:val="16"/>
                <w:szCs w:val="16"/>
              </w:rPr>
              <w:t>0</w:t>
            </w:r>
            <w:r w:rsidRPr="003223CE">
              <w:rPr>
                <w:rFonts w:ascii="Arial" w:eastAsia="Times New Roman" w:hAnsi="Arial" w:cs="Arial"/>
                <w:color w:val="000000"/>
                <w:sz w:val="16"/>
                <w:szCs w:val="16"/>
                <w:lang w:val="en-US"/>
              </w:rPr>
              <w:t>±0.3</w:t>
            </w:r>
          </w:p>
        </w:tc>
      </w:tr>
      <w:tr w:rsidR="00264DCB" w14:paraId="457001E4" w14:textId="77777777" w:rsidTr="005E0D08">
        <w:trPr>
          <w:jc w:val="center"/>
        </w:trPr>
        <w:tc>
          <w:tcPr>
            <w:tcW w:w="1869" w:type="dxa"/>
            <w:tcBorders>
              <w:top w:val="single" w:sz="4" w:space="0" w:color="auto"/>
            </w:tcBorders>
            <w:vAlign w:val="center"/>
          </w:tcPr>
          <w:p w14:paraId="241CAF60" w14:textId="77777777" w:rsidR="00264DCB" w:rsidRDefault="00264DCB" w:rsidP="005E0D08">
            <w:pPr>
              <w:spacing w:line="360" w:lineRule="auto"/>
              <w:jc w:val="center"/>
              <w:rPr>
                <w:rFonts w:ascii="Arial" w:eastAsia="Times New Roman" w:hAnsi="Arial" w:cs="Arial"/>
                <w:bCs/>
                <w:iCs/>
                <w:color w:val="000000"/>
                <w:sz w:val="16"/>
                <w:szCs w:val="16"/>
                <w:lang w:eastAsia="sl-SI"/>
              </w:rPr>
            </w:pPr>
            <w:r w:rsidRPr="003223CE">
              <w:rPr>
                <w:rFonts w:ascii="Arial" w:eastAsia="Times New Roman" w:hAnsi="Arial" w:cs="Arial"/>
                <w:b/>
                <w:bCs/>
                <w:iCs/>
                <w:color w:val="000000"/>
                <w:sz w:val="16"/>
                <w:szCs w:val="16"/>
                <w:lang w:eastAsia="sl-SI"/>
              </w:rPr>
              <w:t xml:space="preserve">Average, </w:t>
            </w:r>
            <w:r w:rsidRPr="003223CE">
              <w:rPr>
                <w:rFonts w:ascii="Arial" w:eastAsia="Times New Roman" w:hAnsi="Arial" w:cs="Arial"/>
                <w:b/>
                <w:bCs/>
                <w:color w:val="000000"/>
                <w:sz w:val="16"/>
                <w:szCs w:val="16"/>
                <w:lang w:eastAsia="sl-SI"/>
              </w:rPr>
              <w:t>μmolL</w:t>
            </w:r>
            <w:r w:rsidRPr="003223CE">
              <w:rPr>
                <w:rFonts w:ascii="Arial" w:eastAsia="Times New Roman" w:hAnsi="Arial" w:cs="Arial"/>
                <w:b/>
                <w:bCs/>
                <w:color w:val="000000"/>
                <w:sz w:val="16"/>
                <w:szCs w:val="16"/>
                <w:vertAlign w:val="superscript"/>
                <w:lang w:eastAsia="sl-SI"/>
              </w:rPr>
              <w:t>-1</w:t>
            </w:r>
          </w:p>
        </w:tc>
        <w:tc>
          <w:tcPr>
            <w:tcW w:w="1869" w:type="dxa"/>
            <w:tcBorders>
              <w:top w:val="single" w:sz="4" w:space="0" w:color="auto"/>
              <w:bottom w:val="nil"/>
              <w:right w:val="nil"/>
            </w:tcBorders>
            <w:vAlign w:val="center"/>
          </w:tcPr>
          <w:p w14:paraId="7B80C31F" w14:textId="77777777" w:rsidR="00264DCB" w:rsidRDefault="00264DCB" w:rsidP="005E0D08">
            <w:pPr>
              <w:spacing w:line="360" w:lineRule="auto"/>
              <w:jc w:val="center"/>
            </w:pPr>
            <w:r w:rsidRPr="00A819AA">
              <w:rPr>
                <w:rFonts w:ascii="Arial" w:hAnsi="Arial" w:cs="Arial"/>
                <w:color w:val="000000"/>
                <w:sz w:val="16"/>
                <w:szCs w:val="16"/>
              </w:rPr>
              <w:t>2.</w:t>
            </w:r>
            <w:r>
              <w:rPr>
                <w:rFonts w:ascii="Arial" w:hAnsi="Arial" w:cs="Arial"/>
                <w:color w:val="000000"/>
                <w:sz w:val="16"/>
                <w:szCs w:val="16"/>
              </w:rPr>
              <w:t>3</w:t>
            </w:r>
            <w:r>
              <w:rPr>
                <w:rFonts w:ascii="Arial" w:eastAsia="Times New Roman" w:hAnsi="Arial" w:cs="Arial"/>
                <w:color w:val="000000"/>
                <w:sz w:val="16"/>
                <w:szCs w:val="16"/>
                <w:lang w:val="en-US"/>
              </w:rPr>
              <w:t>±0.3</w:t>
            </w:r>
          </w:p>
        </w:tc>
        <w:tc>
          <w:tcPr>
            <w:tcW w:w="1869" w:type="dxa"/>
            <w:tcBorders>
              <w:top w:val="single" w:sz="4" w:space="0" w:color="auto"/>
              <w:left w:val="nil"/>
              <w:bottom w:val="nil"/>
              <w:right w:val="nil"/>
            </w:tcBorders>
            <w:vAlign w:val="center"/>
          </w:tcPr>
          <w:p w14:paraId="15CA86E2" w14:textId="77777777" w:rsidR="00264DCB" w:rsidRDefault="00264DCB" w:rsidP="005E0D08">
            <w:pPr>
              <w:spacing w:line="360" w:lineRule="auto"/>
              <w:jc w:val="center"/>
            </w:pPr>
            <w:r>
              <w:rPr>
                <w:rFonts w:ascii="Arial" w:hAnsi="Arial" w:cs="Arial"/>
                <w:color w:val="000000"/>
                <w:sz w:val="16"/>
                <w:szCs w:val="16"/>
              </w:rPr>
              <w:t>1.7</w:t>
            </w:r>
            <w:r w:rsidRPr="003223CE">
              <w:rPr>
                <w:rFonts w:ascii="Arial" w:eastAsia="Times New Roman" w:hAnsi="Arial" w:cs="Arial"/>
                <w:color w:val="000000"/>
                <w:sz w:val="16"/>
                <w:szCs w:val="16"/>
                <w:lang w:val="en-US"/>
              </w:rPr>
              <w:t>±0.4</w:t>
            </w:r>
          </w:p>
        </w:tc>
        <w:tc>
          <w:tcPr>
            <w:tcW w:w="1869" w:type="dxa"/>
            <w:tcBorders>
              <w:top w:val="single" w:sz="4" w:space="0" w:color="auto"/>
              <w:left w:val="nil"/>
              <w:bottom w:val="nil"/>
            </w:tcBorders>
            <w:vAlign w:val="center"/>
          </w:tcPr>
          <w:p w14:paraId="15A54114" w14:textId="77777777" w:rsidR="00264DCB" w:rsidRDefault="00264DCB" w:rsidP="005E0D08">
            <w:pPr>
              <w:spacing w:line="360" w:lineRule="auto"/>
              <w:jc w:val="center"/>
            </w:pPr>
            <w:r>
              <w:rPr>
                <w:rFonts w:ascii="Arial" w:hAnsi="Arial" w:cs="Arial"/>
                <w:color w:val="000000"/>
                <w:sz w:val="16"/>
                <w:szCs w:val="16"/>
              </w:rPr>
              <w:t>1.9</w:t>
            </w:r>
            <w:r>
              <w:rPr>
                <w:rFonts w:ascii="Arial" w:eastAsia="Times New Roman" w:hAnsi="Arial" w:cs="Arial"/>
                <w:color w:val="000000"/>
                <w:sz w:val="16"/>
                <w:szCs w:val="16"/>
                <w:lang w:val="en-US"/>
              </w:rPr>
              <w:t>±0.4</w:t>
            </w:r>
          </w:p>
        </w:tc>
        <w:tc>
          <w:tcPr>
            <w:tcW w:w="1869" w:type="dxa"/>
            <w:tcBorders>
              <w:top w:val="single" w:sz="4" w:space="0" w:color="auto"/>
            </w:tcBorders>
            <w:vAlign w:val="center"/>
          </w:tcPr>
          <w:p w14:paraId="7FBE5FD9" w14:textId="77777777" w:rsidR="00264DCB" w:rsidRDefault="00264DCB" w:rsidP="005E0D08">
            <w:pPr>
              <w:spacing w:line="360" w:lineRule="auto"/>
              <w:jc w:val="center"/>
            </w:pPr>
            <w:r>
              <w:rPr>
                <w:rFonts w:ascii="Arial" w:hAnsi="Arial" w:cs="Arial"/>
                <w:color w:val="000000"/>
                <w:sz w:val="16"/>
                <w:szCs w:val="16"/>
              </w:rPr>
              <w:t>2</w:t>
            </w:r>
            <w:r w:rsidRPr="00A819AA">
              <w:rPr>
                <w:rFonts w:ascii="Arial" w:hAnsi="Arial" w:cs="Arial"/>
                <w:color w:val="000000"/>
                <w:sz w:val="16"/>
                <w:szCs w:val="16"/>
              </w:rPr>
              <w:t>.</w:t>
            </w:r>
            <w:r>
              <w:rPr>
                <w:rFonts w:ascii="Arial" w:hAnsi="Arial" w:cs="Arial"/>
                <w:color w:val="000000"/>
                <w:sz w:val="16"/>
                <w:szCs w:val="16"/>
              </w:rPr>
              <w:t>0</w:t>
            </w:r>
            <w:r>
              <w:rPr>
                <w:rFonts w:ascii="Arial" w:eastAsia="Times New Roman" w:hAnsi="Arial" w:cs="Arial"/>
                <w:color w:val="000000"/>
                <w:sz w:val="16"/>
                <w:szCs w:val="16"/>
                <w:lang w:val="en-US"/>
              </w:rPr>
              <w:t>±0.3</w:t>
            </w:r>
          </w:p>
        </w:tc>
      </w:tr>
    </w:tbl>
    <w:p w14:paraId="02C2A322" w14:textId="77777777" w:rsidR="00264DCB" w:rsidRPr="0023761B" w:rsidRDefault="00264DCB" w:rsidP="008A47FA">
      <w:pPr>
        <w:spacing w:after="0" w:line="360" w:lineRule="auto"/>
        <w:jc w:val="both"/>
        <w:rPr>
          <w:rFonts w:ascii="Times New Roman" w:hAnsi="Times New Roman" w:cs="Times New Roman"/>
          <w:sz w:val="24"/>
          <w:lang w:val="en-GB"/>
        </w:rPr>
      </w:pPr>
    </w:p>
    <w:p w14:paraId="6BEE70D7" w14:textId="0B4BAC67" w:rsidR="00F0114E" w:rsidRPr="00F818D2" w:rsidRDefault="00F0114E" w:rsidP="00F0114E">
      <w:pPr>
        <w:spacing w:after="0" w:line="360" w:lineRule="auto"/>
        <w:ind w:firstLine="706"/>
        <w:jc w:val="both"/>
        <w:rPr>
          <w:rFonts w:ascii="Times New Roman" w:hAnsi="Times New Roman" w:cs="Times New Roman"/>
          <w:sz w:val="24"/>
          <w:lang w:val="en-GB"/>
        </w:rPr>
      </w:pPr>
      <w:r>
        <w:rPr>
          <w:rFonts w:ascii="Times New Roman" w:hAnsi="Times New Roman" w:cs="Times New Roman"/>
          <w:sz w:val="24"/>
          <w:lang w:val="en-GB"/>
        </w:rPr>
        <w:t>The obtained data</w:t>
      </w:r>
      <w:r w:rsidRPr="0023761B">
        <w:rPr>
          <w:rFonts w:ascii="Times New Roman" w:hAnsi="Times New Roman" w:cs="Times New Roman"/>
          <w:sz w:val="24"/>
          <w:lang w:val="en-GB"/>
        </w:rPr>
        <w:t xml:space="preserve"> </w:t>
      </w:r>
      <w:r>
        <w:rPr>
          <w:rFonts w:ascii="Times New Roman" w:hAnsi="Times New Roman" w:cs="Times New Roman"/>
          <w:sz w:val="24"/>
          <w:lang w:val="en-GB"/>
        </w:rPr>
        <w:t>indicate</w:t>
      </w:r>
      <w:r w:rsidRPr="0023761B">
        <w:rPr>
          <w:rFonts w:ascii="Times New Roman" w:hAnsi="Times New Roman" w:cs="Times New Roman"/>
          <w:sz w:val="24"/>
          <w:lang w:val="en-GB"/>
        </w:rPr>
        <w:t xml:space="preserve"> that the concentrations of Fe(II)</w:t>
      </w:r>
      <w:r>
        <w:rPr>
          <w:rFonts w:ascii="Times New Roman" w:hAnsi="Times New Roman" w:cs="Times New Roman"/>
          <w:sz w:val="24"/>
          <w:lang w:val="en-GB"/>
        </w:rPr>
        <w:t xml:space="preserve"> do not</w:t>
      </w:r>
      <w:r w:rsidRPr="0023761B">
        <w:rPr>
          <w:rFonts w:ascii="Times New Roman" w:hAnsi="Times New Roman" w:cs="Times New Roman"/>
          <w:sz w:val="24"/>
          <w:lang w:val="en-GB"/>
        </w:rPr>
        <w:t xml:space="preserve"> vary </w:t>
      </w:r>
      <w:r>
        <w:rPr>
          <w:rFonts w:ascii="Times New Roman" w:hAnsi="Times New Roman" w:cs="Times New Roman"/>
          <w:sz w:val="24"/>
          <w:lang w:val="en-GB"/>
        </w:rPr>
        <w:t xml:space="preserve">much </w:t>
      </w:r>
      <w:r w:rsidRPr="0023761B">
        <w:rPr>
          <w:rFonts w:ascii="Times New Roman" w:hAnsi="Times New Roman" w:cs="Times New Roman"/>
          <w:sz w:val="24"/>
          <w:lang w:val="en-GB"/>
        </w:rPr>
        <w:t xml:space="preserve">in the sediment pore waters. Generally, the absence of Fe(II) indicates oxidative environment and the presence implies reductive conditions. </w:t>
      </w:r>
      <w:r>
        <w:rPr>
          <w:rFonts w:ascii="Times New Roman" w:hAnsi="Times New Roman" w:cs="Times New Roman"/>
          <w:sz w:val="24"/>
          <w:lang w:val="en-GB"/>
        </w:rPr>
        <w:t xml:space="preserve">There is an increase on the left side of the investigated area, which could imply more reductive localized condition during the time of the sampling. </w:t>
      </w:r>
      <w:r w:rsidRPr="0023761B">
        <w:rPr>
          <w:rFonts w:ascii="Times New Roman" w:hAnsi="Times New Roman" w:cs="Times New Roman"/>
          <w:sz w:val="24"/>
          <w:lang w:val="en-GB"/>
        </w:rPr>
        <w:t xml:space="preserve">Considering that DGT binds the dissolved and labile fractions of total Fe(II), our data suggest there </w:t>
      </w:r>
      <w:r>
        <w:rPr>
          <w:rFonts w:ascii="Times New Roman" w:hAnsi="Times New Roman" w:cs="Times New Roman"/>
          <w:sz w:val="24"/>
          <w:lang w:val="en-GB"/>
        </w:rPr>
        <w:t>wa</w:t>
      </w:r>
      <w:r w:rsidRPr="0023761B">
        <w:rPr>
          <w:rFonts w:ascii="Times New Roman" w:hAnsi="Times New Roman" w:cs="Times New Roman"/>
          <w:sz w:val="24"/>
          <w:lang w:val="en-GB"/>
        </w:rPr>
        <w:t xml:space="preserve">s a </w:t>
      </w:r>
      <w:r>
        <w:rPr>
          <w:rFonts w:ascii="Times New Roman" w:hAnsi="Times New Roman" w:cs="Times New Roman"/>
          <w:sz w:val="24"/>
          <w:lang w:val="en-GB"/>
        </w:rPr>
        <w:t>constant</w:t>
      </w:r>
      <w:r w:rsidRPr="0023761B">
        <w:rPr>
          <w:rFonts w:ascii="Times New Roman" w:hAnsi="Times New Roman" w:cs="Times New Roman"/>
          <w:sz w:val="24"/>
          <w:lang w:val="en-GB"/>
        </w:rPr>
        <w:t xml:space="preserve"> amount of Fe(II) available for geochemical transformations</w:t>
      </w:r>
      <w:r>
        <w:rPr>
          <w:rFonts w:ascii="Times New Roman" w:hAnsi="Times New Roman" w:cs="Times New Roman"/>
          <w:sz w:val="24"/>
          <w:lang w:val="en-GB"/>
        </w:rPr>
        <w:t xml:space="preserve"> and as well for organisms</w:t>
      </w:r>
      <w:r w:rsidRPr="0023761B">
        <w:rPr>
          <w:rFonts w:ascii="Times New Roman" w:hAnsi="Times New Roman" w:cs="Times New Roman"/>
          <w:sz w:val="24"/>
          <w:lang w:val="en-GB"/>
        </w:rPr>
        <w:t xml:space="preserve">. Surprisingly, </w:t>
      </w:r>
      <w:r>
        <w:rPr>
          <w:rFonts w:ascii="Times New Roman" w:hAnsi="Times New Roman" w:cs="Times New Roman"/>
          <w:sz w:val="24"/>
          <w:lang w:val="en-GB"/>
        </w:rPr>
        <w:t>no decrease in</w:t>
      </w:r>
      <w:r w:rsidRPr="0023761B">
        <w:rPr>
          <w:rFonts w:ascii="Times New Roman" w:hAnsi="Times New Roman" w:cs="Times New Roman"/>
          <w:sz w:val="24"/>
          <w:lang w:val="en-GB"/>
        </w:rPr>
        <w:t xml:space="preserve"> Fe(II) concentrations were observed at the sediment-water interface (SWI), suggesting that there might be a loss of this species to the water.</w:t>
      </w:r>
      <w:r>
        <w:rPr>
          <w:rFonts w:ascii="Times New Roman" w:hAnsi="Times New Roman" w:cs="Times New Roman"/>
          <w:sz w:val="24"/>
          <w:lang w:val="en-GB"/>
        </w:rPr>
        <w:t xml:space="preserve"> Also interestingly and somewhat contrary to general behaviour of reduced metals species, the values around -2.5 and -5 cm were below LOD on the right side of the gel. Usually, in the sediments the anoxia begins somewhere below SWI and extends in the interior of the sediment, where the reduced species dominate</w:t>
      </w:r>
      <w:r>
        <w:rPr>
          <w:rFonts w:ascii="Times New Roman" w:hAnsi="Times New Roman" w:cs="Times New Roman"/>
          <w:sz w:val="24"/>
          <w:vertAlign w:val="superscript"/>
          <w:lang w:val="en-GB"/>
        </w:rPr>
        <w:t>17</w:t>
      </w:r>
      <w:r>
        <w:rPr>
          <w:rFonts w:ascii="Times New Roman" w:hAnsi="Times New Roman" w:cs="Times New Roman"/>
          <w:sz w:val="24"/>
          <w:lang w:val="en-GB"/>
        </w:rPr>
        <w:t xml:space="preserve">. The Vrtojbica River however, is a quickly flowing stream of water, hence the absence of Fe(II) in the part of the sediment of might represent a well aerated sediment. </w:t>
      </w:r>
    </w:p>
    <w:p w14:paraId="0A1DE3B8" w14:textId="77777777" w:rsidR="00910E0D" w:rsidRPr="0023761B" w:rsidRDefault="00910E0D" w:rsidP="00910E0D">
      <w:pPr>
        <w:spacing w:after="0" w:line="360" w:lineRule="auto"/>
        <w:ind w:firstLine="706"/>
        <w:jc w:val="both"/>
        <w:rPr>
          <w:rFonts w:ascii="Times New Roman" w:hAnsi="Times New Roman" w:cs="Times New Roman"/>
          <w:sz w:val="24"/>
          <w:lang w:val="en-GB"/>
        </w:rPr>
      </w:pPr>
    </w:p>
    <w:bookmarkEnd w:id="0"/>
    <w:p w14:paraId="446E5E9C" w14:textId="6F8813EB" w:rsidR="00A02E72" w:rsidRPr="0023761B" w:rsidRDefault="000D3611" w:rsidP="00436798">
      <w:pPr>
        <w:pStyle w:val="ListParagraph"/>
        <w:numPr>
          <w:ilvl w:val="1"/>
          <w:numId w:val="3"/>
        </w:numPr>
        <w:spacing w:after="0" w:line="360" w:lineRule="auto"/>
        <w:jc w:val="both"/>
        <w:rPr>
          <w:rFonts w:ascii="Times New Roman" w:hAnsi="Times New Roman" w:cs="Times New Roman"/>
          <w:b/>
          <w:sz w:val="24"/>
          <w:lang w:val="en-GB"/>
        </w:rPr>
      </w:pPr>
      <w:r w:rsidRPr="0023761B">
        <w:rPr>
          <w:rFonts w:ascii="Times New Roman" w:hAnsi="Times New Roman" w:cs="Times New Roman"/>
          <w:b/>
          <w:sz w:val="24"/>
          <w:lang w:val="en-GB"/>
        </w:rPr>
        <w:t xml:space="preserve"> </w:t>
      </w:r>
      <w:r w:rsidR="00B4512A" w:rsidRPr="0023761B">
        <w:rPr>
          <w:rFonts w:ascii="Times New Roman" w:hAnsi="Times New Roman" w:cs="Times New Roman"/>
          <w:b/>
          <w:sz w:val="24"/>
          <w:lang w:val="en-GB"/>
        </w:rPr>
        <w:t>Determination</w:t>
      </w:r>
      <w:r w:rsidR="00AC1734" w:rsidRPr="0023761B">
        <w:rPr>
          <w:rFonts w:ascii="Times New Roman" w:hAnsi="Times New Roman" w:cs="Times New Roman"/>
          <w:b/>
          <w:sz w:val="24"/>
          <w:lang w:val="en-GB"/>
        </w:rPr>
        <w:t xml:space="preserve"> of t</w:t>
      </w:r>
      <w:r w:rsidR="00F46835" w:rsidRPr="0023761B">
        <w:rPr>
          <w:rFonts w:ascii="Times New Roman" w:hAnsi="Times New Roman" w:cs="Times New Roman"/>
          <w:b/>
          <w:sz w:val="24"/>
          <w:lang w:val="en-GB"/>
        </w:rPr>
        <w:t xml:space="preserve">otal </w:t>
      </w:r>
      <w:r w:rsidR="003B1FA1">
        <w:rPr>
          <w:rFonts w:ascii="Times New Roman" w:hAnsi="Times New Roman" w:cs="Times New Roman"/>
          <w:b/>
          <w:sz w:val="24"/>
          <w:lang w:val="en-GB"/>
        </w:rPr>
        <w:t>Fe</w:t>
      </w:r>
      <w:r w:rsidR="00F46835" w:rsidRPr="0023761B">
        <w:rPr>
          <w:rFonts w:ascii="Times New Roman" w:hAnsi="Times New Roman" w:cs="Times New Roman"/>
          <w:b/>
          <w:sz w:val="24"/>
          <w:lang w:val="en-GB"/>
        </w:rPr>
        <w:t xml:space="preserve"> </w:t>
      </w:r>
      <w:r w:rsidR="00436798" w:rsidRPr="0023761B">
        <w:rPr>
          <w:rFonts w:ascii="Times New Roman" w:hAnsi="Times New Roman" w:cs="Times New Roman"/>
          <w:b/>
          <w:sz w:val="24"/>
          <w:lang w:val="en-GB"/>
        </w:rPr>
        <w:t>content</w:t>
      </w:r>
      <w:r w:rsidR="006203AE" w:rsidRPr="0023761B">
        <w:rPr>
          <w:rFonts w:ascii="Times New Roman" w:hAnsi="Times New Roman" w:cs="Times New Roman"/>
          <w:b/>
          <w:sz w:val="24"/>
          <w:lang w:val="en-GB"/>
        </w:rPr>
        <w:t xml:space="preserve"> </w:t>
      </w:r>
    </w:p>
    <w:p w14:paraId="670825BC" w14:textId="036F9F4E" w:rsidR="000B4BB8" w:rsidRPr="0023761B" w:rsidRDefault="00E40A00" w:rsidP="00903D72">
      <w:pPr>
        <w:spacing w:after="0" w:line="360" w:lineRule="auto"/>
        <w:ind w:firstLine="706"/>
        <w:jc w:val="both"/>
        <w:rPr>
          <w:rFonts w:ascii="Times New Roman" w:hAnsi="Times New Roman" w:cs="Times New Roman"/>
          <w:sz w:val="24"/>
          <w:lang w:val="en-GB"/>
        </w:rPr>
      </w:pPr>
      <w:r w:rsidRPr="0023761B">
        <w:rPr>
          <w:rFonts w:ascii="Times New Roman" w:hAnsi="Times New Roman" w:cs="Times New Roman"/>
          <w:sz w:val="24"/>
          <w:lang w:val="en-GB"/>
        </w:rPr>
        <w:t>After conversion of the</w:t>
      </w:r>
      <w:r w:rsidR="00F972CC" w:rsidRPr="0023761B">
        <w:rPr>
          <w:rFonts w:ascii="Times New Roman" w:hAnsi="Times New Roman" w:cs="Times New Roman"/>
          <w:sz w:val="24"/>
          <w:lang w:val="en-GB"/>
        </w:rPr>
        <w:t xml:space="preserve"> Fe(III) into Fe(II) </w:t>
      </w:r>
      <w:r w:rsidRPr="0023761B">
        <w:rPr>
          <w:rFonts w:ascii="Times New Roman" w:hAnsi="Times New Roman" w:cs="Times New Roman"/>
          <w:sz w:val="24"/>
          <w:lang w:val="en-GB"/>
        </w:rPr>
        <w:t>using</w:t>
      </w:r>
      <w:r w:rsidR="00F972CC" w:rsidRPr="0023761B">
        <w:rPr>
          <w:rFonts w:ascii="Times New Roman" w:hAnsi="Times New Roman" w:cs="Times New Roman"/>
          <w:sz w:val="24"/>
          <w:lang w:val="en-GB"/>
        </w:rPr>
        <w:t xml:space="preserve"> L-ascorbic acid as a </w:t>
      </w:r>
      <w:r w:rsidR="006044B7" w:rsidRPr="0023761B">
        <w:rPr>
          <w:rFonts w:ascii="Times New Roman" w:hAnsi="Times New Roman" w:cs="Times New Roman"/>
          <w:sz w:val="24"/>
          <w:lang w:val="en-GB"/>
        </w:rPr>
        <w:t>reducing</w:t>
      </w:r>
      <w:r w:rsidR="00F972CC" w:rsidRPr="0023761B">
        <w:rPr>
          <w:rFonts w:ascii="Times New Roman" w:hAnsi="Times New Roman" w:cs="Times New Roman"/>
          <w:sz w:val="24"/>
          <w:lang w:val="en-GB"/>
        </w:rPr>
        <w:t xml:space="preserve"> agent</w:t>
      </w:r>
      <w:r w:rsidR="008109CD" w:rsidRPr="0023761B">
        <w:rPr>
          <w:rFonts w:ascii="Times New Roman" w:hAnsi="Times New Roman" w:cs="Times New Roman"/>
          <w:sz w:val="24"/>
          <w:lang w:val="en-GB"/>
        </w:rPr>
        <w:t xml:space="preserve">, dissolved total Fe </w:t>
      </w:r>
      <w:r w:rsidR="00F0114E">
        <w:rPr>
          <w:rFonts w:ascii="Times New Roman" w:hAnsi="Times New Roman" w:cs="Times New Roman"/>
          <w:sz w:val="24"/>
          <w:lang w:val="en-GB"/>
        </w:rPr>
        <w:t>was</w:t>
      </w:r>
      <w:r w:rsidR="008109CD" w:rsidRPr="0023761B">
        <w:rPr>
          <w:rFonts w:ascii="Times New Roman" w:hAnsi="Times New Roman" w:cs="Times New Roman"/>
          <w:sz w:val="24"/>
          <w:lang w:val="en-GB"/>
        </w:rPr>
        <w:t xml:space="preserve"> determined</w:t>
      </w:r>
      <w:r w:rsidR="00F972CC" w:rsidRPr="0023761B">
        <w:rPr>
          <w:rFonts w:ascii="Times New Roman" w:hAnsi="Times New Roman" w:cs="Times New Roman"/>
          <w:sz w:val="24"/>
          <w:lang w:val="en-GB"/>
        </w:rPr>
        <w:t>.</w:t>
      </w:r>
      <w:r w:rsidR="00903D72" w:rsidRPr="0023761B">
        <w:rPr>
          <w:rFonts w:ascii="Times New Roman" w:hAnsi="Times New Roman" w:cs="Times New Roman"/>
          <w:sz w:val="24"/>
          <w:lang w:val="en-GB"/>
        </w:rPr>
        <w:t xml:space="preserve"> </w:t>
      </w:r>
    </w:p>
    <w:p w14:paraId="51B62EF8" w14:textId="1D3BD577" w:rsidR="000B4BB8" w:rsidRPr="0023761B" w:rsidRDefault="00903D72" w:rsidP="000B4BB8">
      <w:pPr>
        <w:spacing w:after="0" w:line="360" w:lineRule="auto"/>
        <w:ind w:firstLine="706"/>
        <w:jc w:val="both"/>
        <w:rPr>
          <w:rFonts w:ascii="Times New Roman" w:hAnsi="Times New Roman" w:cs="Times New Roman"/>
          <w:sz w:val="24"/>
          <w:lang w:val="en-GB"/>
        </w:rPr>
      </w:pPr>
      <w:r w:rsidRPr="0023761B">
        <w:rPr>
          <w:rFonts w:ascii="Times New Roman" w:hAnsi="Times New Roman" w:cs="Times New Roman"/>
          <w:sz w:val="24"/>
          <w:lang w:val="en-GB"/>
        </w:rPr>
        <w:t xml:space="preserve">The calibration curve obtained for the Chelex-100 resin spiked with different concentration of Fe(III) reduced into Fe(II) is shown </w:t>
      </w:r>
      <w:r w:rsidR="00433AD2" w:rsidRPr="0023761B">
        <w:rPr>
          <w:rFonts w:ascii="Times New Roman" w:hAnsi="Times New Roman" w:cs="Times New Roman"/>
          <w:sz w:val="24"/>
          <w:lang w:val="en-GB"/>
        </w:rPr>
        <w:t xml:space="preserve">in </w:t>
      </w:r>
      <w:r w:rsidR="009F5CAF">
        <w:rPr>
          <w:rFonts w:ascii="Times New Roman" w:hAnsi="Times New Roman" w:cs="Times New Roman"/>
          <w:sz w:val="24"/>
          <w:lang w:val="en-GB"/>
        </w:rPr>
        <w:t>the Figure 5</w:t>
      </w:r>
      <w:r w:rsidRPr="0023761B">
        <w:rPr>
          <w:rFonts w:ascii="Times New Roman" w:hAnsi="Times New Roman" w:cs="Times New Roman"/>
          <w:sz w:val="24"/>
          <w:lang w:val="en-GB"/>
        </w:rPr>
        <w:t>.</w:t>
      </w:r>
      <w:r w:rsidR="000B4BB8" w:rsidRPr="0023761B">
        <w:rPr>
          <w:rFonts w:ascii="Times New Roman" w:hAnsi="Times New Roman" w:cs="Times New Roman"/>
          <w:sz w:val="24"/>
          <w:lang w:val="en-GB"/>
        </w:rPr>
        <w:t xml:space="preserve"> The achieved limit</w:t>
      </w:r>
      <w:r w:rsidR="00DF4E94" w:rsidRPr="0023761B">
        <w:rPr>
          <w:rFonts w:ascii="Times New Roman" w:hAnsi="Times New Roman" w:cs="Times New Roman"/>
          <w:sz w:val="24"/>
          <w:lang w:val="en-GB"/>
        </w:rPr>
        <w:t xml:space="preserve"> o</w:t>
      </w:r>
      <w:r w:rsidR="008674C4" w:rsidRPr="0023761B">
        <w:rPr>
          <w:rFonts w:ascii="Times New Roman" w:hAnsi="Times New Roman" w:cs="Times New Roman"/>
          <w:sz w:val="24"/>
          <w:lang w:val="en-GB"/>
        </w:rPr>
        <w:t xml:space="preserve">f detection </w:t>
      </w:r>
      <w:r w:rsidR="00A54787" w:rsidRPr="0023761B">
        <w:rPr>
          <w:rFonts w:ascii="Times New Roman" w:hAnsi="Times New Roman" w:cs="Times New Roman"/>
          <w:sz w:val="24"/>
          <w:lang w:val="en-GB"/>
        </w:rPr>
        <w:t xml:space="preserve">in this case </w:t>
      </w:r>
      <w:r w:rsidR="000B4BB8" w:rsidRPr="0023761B">
        <w:rPr>
          <w:rFonts w:ascii="Times New Roman" w:hAnsi="Times New Roman" w:cs="Times New Roman"/>
          <w:sz w:val="24"/>
          <w:lang w:val="en-GB"/>
        </w:rPr>
        <w:t>was</w:t>
      </w:r>
      <w:r w:rsidR="00DF4E94" w:rsidRPr="0023761B">
        <w:rPr>
          <w:rFonts w:ascii="Times New Roman" w:hAnsi="Times New Roman" w:cs="Times New Roman"/>
          <w:sz w:val="24"/>
          <w:lang w:val="en-GB"/>
        </w:rPr>
        <w:t xml:space="preserve"> </w:t>
      </w:r>
      <w:r w:rsidR="000B4BB8" w:rsidRPr="0023761B">
        <w:rPr>
          <w:rFonts w:ascii="Times New Roman" w:hAnsi="Times New Roman" w:cs="Times New Roman"/>
          <w:sz w:val="24"/>
          <w:lang w:val="en-GB"/>
        </w:rPr>
        <w:t>0.</w:t>
      </w:r>
      <w:r w:rsidR="00DF4E94" w:rsidRPr="0023761B">
        <w:rPr>
          <w:rFonts w:ascii="Times New Roman" w:hAnsi="Times New Roman" w:cs="Times New Roman"/>
          <w:sz w:val="24"/>
          <w:lang w:val="en-GB"/>
        </w:rPr>
        <w:t>2</w:t>
      </w:r>
      <w:r w:rsidR="000B4BB8" w:rsidRPr="0023761B">
        <w:rPr>
          <w:rFonts w:ascii="Times New Roman" w:hAnsi="Times New Roman" w:cs="Times New Roman"/>
          <w:sz w:val="24"/>
          <w:lang w:val="en-GB"/>
        </w:rPr>
        <w:t>1</w:t>
      </w:r>
      <w:r w:rsidR="00DF4E94" w:rsidRPr="0023761B">
        <w:rPr>
          <w:rFonts w:ascii="Times New Roman" w:hAnsi="Times New Roman" w:cs="Times New Roman"/>
          <w:sz w:val="24"/>
          <w:lang w:val="en-GB"/>
        </w:rPr>
        <w:t xml:space="preserve"> </w:t>
      </w:r>
      <w:r w:rsidR="000B4BB8" w:rsidRPr="0023761B">
        <w:rPr>
          <w:rFonts w:ascii="Times New Roman" w:hAnsi="Times New Roman" w:cs="Times New Roman"/>
          <w:sz w:val="24"/>
          <w:lang w:val="en-GB"/>
        </w:rPr>
        <w:t>µ</w:t>
      </w:r>
      <w:r w:rsidR="00DF4E94" w:rsidRPr="0023761B">
        <w:rPr>
          <w:rFonts w:ascii="Times New Roman" w:hAnsi="Times New Roman" w:cs="Times New Roman"/>
          <w:sz w:val="24"/>
          <w:lang w:val="en-GB"/>
        </w:rPr>
        <w:t>molL</w:t>
      </w:r>
      <w:r w:rsidR="00DF4E94" w:rsidRPr="0023761B">
        <w:rPr>
          <w:rFonts w:ascii="Times New Roman" w:hAnsi="Times New Roman" w:cs="Times New Roman"/>
          <w:sz w:val="24"/>
          <w:vertAlign w:val="superscript"/>
          <w:lang w:val="en-GB"/>
        </w:rPr>
        <w:t>-1</w:t>
      </w:r>
      <w:r w:rsidR="000B4BB8" w:rsidRPr="0023761B">
        <w:rPr>
          <w:rFonts w:ascii="Times New Roman" w:hAnsi="Times New Roman" w:cs="Times New Roman"/>
          <w:sz w:val="24"/>
          <w:lang w:val="en-GB"/>
        </w:rPr>
        <w:t>.</w:t>
      </w:r>
    </w:p>
    <w:p w14:paraId="4435349B" w14:textId="77777777" w:rsidR="00A02E72" w:rsidRPr="0023761B" w:rsidRDefault="00A02E72" w:rsidP="00A02E72">
      <w:pPr>
        <w:spacing w:after="0" w:line="360" w:lineRule="auto"/>
        <w:jc w:val="both"/>
        <w:rPr>
          <w:rFonts w:ascii="Times New Roman" w:hAnsi="Times New Roman" w:cs="Times New Roman"/>
          <w:sz w:val="24"/>
          <w:lang w:val="en-GB"/>
        </w:rPr>
      </w:pPr>
    </w:p>
    <w:p w14:paraId="48300183" w14:textId="601F2835" w:rsidR="00D0281D" w:rsidRPr="0023761B" w:rsidRDefault="002F73AB" w:rsidP="008A47FA">
      <w:pPr>
        <w:spacing w:after="0" w:line="360" w:lineRule="auto"/>
        <w:rPr>
          <w:rFonts w:ascii="Times New Roman" w:hAnsi="Times New Roman" w:cs="Times New Roman"/>
          <w:sz w:val="24"/>
          <w:lang w:val="en-GB"/>
        </w:rPr>
      </w:pPr>
      <w:r>
        <w:rPr>
          <w:noProof/>
          <w:lang w:val="en-US"/>
        </w:rPr>
        <w:drawing>
          <wp:inline distT="0" distB="0" distL="0" distR="0" wp14:anchorId="26566348" wp14:editId="67855B48">
            <wp:extent cx="2880000" cy="196596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A07EB8" w14:textId="14CE4FE6" w:rsidR="00DB07B3" w:rsidRPr="0023761B" w:rsidRDefault="00DB07B3" w:rsidP="00DB07B3">
      <w:pPr>
        <w:spacing w:after="0" w:line="360" w:lineRule="auto"/>
        <w:rPr>
          <w:rFonts w:ascii="Times New Roman" w:hAnsi="Times New Roman" w:cs="Times New Roman"/>
          <w:sz w:val="24"/>
          <w:lang w:val="en-GB"/>
        </w:rPr>
      </w:pPr>
      <w:r w:rsidRPr="002F73AB">
        <w:rPr>
          <w:rFonts w:ascii="Times New Roman" w:hAnsi="Times New Roman" w:cs="Times New Roman"/>
          <w:b/>
          <w:sz w:val="24"/>
          <w:lang w:val="en-GB"/>
        </w:rPr>
        <w:t xml:space="preserve">Fig. </w:t>
      </w:r>
      <w:r w:rsidR="009F5CAF" w:rsidRPr="002F73AB">
        <w:rPr>
          <w:rFonts w:ascii="Times New Roman" w:hAnsi="Times New Roman" w:cs="Times New Roman"/>
          <w:b/>
          <w:sz w:val="24"/>
          <w:lang w:val="en-GB"/>
        </w:rPr>
        <w:t>5</w:t>
      </w:r>
      <w:r w:rsidRPr="002F73AB">
        <w:rPr>
          <w:rFonts w:ascii="Times New Roman" w:hAnsi="Times New Roman" w:cs="Times New Roman"/>
          <w:b/>
          <w:sz w:val="24"/>
          <w:lang w:val="en-GB"/>
        </w:rPr>
        <w:t>.</w:t>
      </w:r>
      <w:r w:rsidRPr="0023761B">
        <w:rPr>
          <w:rFonts w:ascii="Times New Roman" w:hAnsi="Times New Roman" w:cs="Times New Roman"/>
          <w:sz w:val="24"/>
          <w:lang w:val="en-GB"/>
        </w:rPr>
        <w:t xml:space="preserve"> Calibration curve for </w:t>
      </w:r>
      <w:r w:rsidR="00433AD2" w:rsidRPr="0023761B">
        <w:rPr>
          <w:rFonts w:ascii="Times New Roman" w:hAnsi="Times New Roman" w:cs="Times New Roman"/>
          <w:sz w:val="24"/>
          <w:lang w:val="en-GB"/>
        </w:rPr>
        <w:t xml:space="preserve">total </w:t>
      </w:r>
      <w:r w:rsidR="003B1FA1">
        <w:rPr>
          <w:rFonts w:ascii="Times New Roman" w:hAnsi="Times New Roman" w:cs="Times New Roman"/>
          <w:sz w:val="24"/>
          <w:lang w:val="en-GB"/>
        </w:rPr>
        <w:t>Fe</w:t>
      </w:r>
      <w:r w:rsidR="00433AD2" w:rsidRPr="0023761B">
        <w:rPr>
          <w:rFonts w:ascii="Times New Roman" w:hAnsi="Times New Roman" w:cs="Times New Roman"/>
          <w:sz w:val="24"/>
          <w:lang w:val="en-GB"/>
        </w:rPr>
        <w:t xml:space="preserve"> </w:t>
      </w:r>
      <w:r w:rsidRPr="0023761B">
        <w:rPr>
          <w:rFonts w:ascii="Times New Roman" w:hAnsi="Times New Roman" w:cs="Times New Roman"/>
          <w:sz w:val="24"/>
          <w:lang w:val="en-GB"/>
        </w:rPr>
        <w:t>determination</w:t>
      </w:r>
      <w:r w:rsidR="00433AD2" w:rsidRPr="0023761B">
        <w:rPr>
          <w:rFonts w:ascii="Times New Roman" w:hAnsi="Times New Roman" w:cs="Times New Roman"/>
          <w:sz w:val="24"/>
          <w:lang w:val="en-GB"/>
        </w:rPr>
        <w:t>.</w:t>
      </w:r>
      <w:r w:rsidRPr="0023761B">
        <w:rPr>
          <w:rFonts w:ascii="Times New Roman" w:hAnsi="Times New Roman" w:cs="Times New Roman"/>
          <w:sz w:val="24"/>
          <w:lang w:val="en-GB"/>
        </w:rPr>
        <w:t xml:space="preserve"> </w:t>
      </w:r>
    </w:p>
    <w:p w14:paraId="286E250B" w14:textId="201BA27D" w:rsidR="00A02E72" w:rsidRPr="0023761B" w:rsidRDefault="00A02E72" w:rsidP="003B1FA1">
      <w:pPr>
        <w:spacing w:after="0" w:line="360" w:lineRule="auto"/>
        <w:jc w:val="both"/>
        <w:rPr>
          <w:rFonts w:ascii="Times New Roman" w:hAnsi="Times New Roman" w:cs="Times New Roman"/>
          <w:sz w:val="24"/>
          <w:lang w:val="en-GB"/>
        </w:rPr>
      </w:pPr>
    </w:p>
    <w:p w14:paraId="37FBD3C5" w14:textId="6C85FB4E" w:rsidR="004951AE" w:rsidRPr="0023761B" w:rsidRDefault="001772AA" w:rsidP="001772AA">
      <w:pPr>
        <w:spacing w:after="0" w:line="360" w:lineRule="auto"/>
        <w:ind w:firstLine="706"/>
        <w:jc w:val="both"/>
        <w:rPr>
          <w:rFonts w:ascii="Times New Roman" w:hAnsi="Times New Roman" w:cs="Times New Roman"/>
          <w:sz w:val="24"/>
          <w:lang w:val="en-GB"/>
        </w:rPr>
      </w:pPr>
      <w:r w:rsidRPr="0023761B">
        <w:rPr>
          <w:rFonts w:ascii="Times New Roman" w:hAnsi="Times New Roman" w:cs="Times New Roman"/>
          <w:sz w:val="24"/>
          <w:lang w:val="en-GB"/>
        </w:rPr>
        <w:t xml:space="preserve">Using a linear equation </w:t>
      </w:r>
      <w:r w:rsidR="00DD4CB4" w:rsidRPr="0023761B">
        <w:rPr>
          <w:rFonts w:ascii="Times New Roman" w:hAnsi="Times New Roman" w:cs="Times New Roman"/>
          <w:sz w:val="24"/>
          <w:lang w:val="en-GB"/>
        </w:rPr>
        <w:t xml:space="preserve">of </w:t>
      </w:r>
      <w:r w:rsidRPr="0023761B">
        <w:rPr>
          <w:rFonts w:ascii="Times New Roman" w:hAnsi="Times New Roman" w:cs="Times New Roman"/>
          <w:sz w:val="24"/>
          <w:lang w:val="en-GB"/>
        </w:rPr>
        <w:t xml:space="preserve">the calibration curve </w:t>
      </w:r>
      <w:r w:rsidR="00316469" w:rsidRPr="0023761B">
        <w:rPr>
          <w:rFonts w:ascii="Times New Roman" w:hAnsi="Times New Roman" w:cs="Times New Roman"/>
          <w:sz w:val="24"/>
          <w:lang w:val="en-GB"/>
        </w:rPr>
        <w:t xml:space="preserve">the </w:t>
      </w:r>
      <w:r w:rsidRPr="0023761B">
        <w:rPr>
          <w:rFonts w:ascii="Times New Roman" w:hAnsi="Times New Roman" w:cs="Times New Roman"/>
          <w:sz w:val="24"/>
          <w:lang w:val="en-GB"/>
        </w:rPr>
        <w:t xml:space="preserve">total </w:t>
      </w:r>
      <w:r w:rsidR="003B1FA1">
        <w:rPr>
          <w:rFonts w:ascii="Times New Roman" w:hAnsi="Times New Roman" w:cs="Times New Roman"/>
          <w:sz w:val="24"/>
          <w:lang w:val="en-GB"/>
        </w:rPr>
        <w:t>Fe</w:t>
      </w:r>
      <w:r w:rsidRPr="0023761B">
        <w:rPr>
          <w:rFonts w:ascii="Times New Roman" w:hAnsi="Times New Roman" w:cs="Times New Roman"/>
          <w:sz w:val="24"/>
          <w:lang w:val="en-GB"/>
        </w:rPr>
        <w:t xml:space="preserve"> concentrations </w:t>
      </w:r>
      <w:r w:rsidR="00316469" w:rsidRPr="0023761B">
        <w:rPr>
          <w:rFonts w:ascii="Times New Roman" w:hAnsi="Times New Roman" w:cs="Times New Roman"/>
          <w:sz w:val="24"/>
          <w:lang w:val="en-GB"/>
        </w:rPr>
        <w:t xml:space="preserve">in river water and sediment </w:t>
      </w:r>
      <w:r w:rsidRPr="0023761B">
        <w:rPr>
          <w:rFonts w:ascii="Times New Roman" w:hAnsi="Times New Roman" w:cs="Times New Roman"/>
          <w:sz w:val="24"/>
          <w:lang w:val="en-GB"/>
        </w:rPr>
        <w:t xml:space="preserve">were calculated. The </w:t>
      </w:r>
      <w:r w:rsidR="00316469" w:rsidRPr="0023761B">
        <w:rPr>
          <w:rFonts w:ascii="Times New Roman" w:hAnsi="Times New Roman" w:cs="Times New Roman"/>
          <w:sz w:val="24"/>
          <w:lang w:val="en-GB"/>
        </w:rPr>
        <w:t>results</w:t>
      </w:r>
      <w:r w:rsidRPr="0023761B">
        <w:rPr>
          <w:rFonts w:ascii="Times New Roman" w:hAnsi="Times New Roman" w:cs="Times New Roman"/>
          <w:sz w:val="24"/>
          <w:lang w:val="en-GB"/>
        </w:rPr>
        <w:t xml:space="preserve"> are presented in Table 2</w:t>
      </w:r>
      <w:r w:rsidR="008109CD" w:rsidRPr="0023761B">
        <w:rPr>
          <w:rFonts w:ascii="Times New Roman" w:hAnsi="Times New Roman" w:cs="Times New Roman"/>
          <w:sz w:val="24"/>
          <w:lang w:val="en-GB"/>
        </w:rPr>
        <w:t xml:space="preserve"> and </w:t>
      </w:r>
      <w:r w:rsidR="006E2014" w:rsidRPr="0023761B">
        <w:rPr>
          <w:rFonts w:ascii="Times New Roman" w:hAnsi="Times New Roman" w:cs="Times New Roman"/>
          <w:sz w:val="24"/>
          <w:lang w:val="en-GB"/>
        </w:rPr>
        <w:t xml:space="preserve">its distribution in the gels </w:t>
      </w:r>
      <w:r w:rsidR="00562E04" w:rsidRPr="0023761B">
        <w:rPr>
          <w:rFonts w:ascii="Times New Roman" w:hAnsi="Times New Roman" w:cs="Times New Roman"/>
          <w:sz w:val="24"/>
          <w:lang w:val="en-GB"/>
        </w:rPr>
        <w:t xml:space="preserve">in </w:t>
      </w:r>
      <w:r w:rsidR="008109CD" w:rsidRPr="0023761B">
        <w:rPr>
          <w:rFonts w:ascii="Times New Roman" w:hAnsi="Times New Roman" w:cs="Times New Roman"/>
          <w:sz w:val="24"/>
          <w:lang w:val="en-GB"/>
        </w:rPr>
        <w:t xml:space="preserve">Figure </w:t>
      </w:r>
      <w:r w:rsidR="009F5CAF">
        <w:rPr>
          <w:rFonts w:ascii="Times New Roman" w:hAnsi="Times New Roman" w:cs="Times New Roman"/>
          <w:sz w:val="24"/>
          <w:lang w:val="en-GB"/>
        </w:rPr>
        <w:t>6b</w:t>
      </w:r>
      <w:r w:rsidRPr="0023761B">
        <w:rPr>
          <w:rFonts w:ascii="Times New Roman" w:hAnsi="Times New Roman" w:cs="Times New Roman"/>
          <w:sz w:val="24"/>
          <w:lang w:val="en-GB"/>
        </w:rPr>
        <w:t>.</w:t>
      </w:r>
    </w:p>
    <w:p w14:paraId="0C542E32" w14:textId="77777777" w:rsidR="001772AA" w:rsidRPr="0023761B" w:rsidRDefault="001772AA" w:rsidP="001772AA">
      <w:pPr>
        <w:spacing w:after="0" w:line="360" w:lineRule="auto"/>
        <w:ind w:firstLine="706"/>
        <w:jc w:val="both"/>
        <w:rPr>
          <w:rFonts w:ascii="Times New Roman" w:hAnsi="Times New Roman" w:cs="Times New Roman"/>
          <w:sz w:val="24"/>
          <w:lang w:val="en-GB"/>
        </w:rPr>
      </w:pPr>
    </w:p>
    <w:p w14:paraId="135FDF55" w14:textId="67868808" w:rsidR="00ED3081" w:rsidRPr="0023761B" w:rsidRDefault="00ED3081" w:rsidP="00ED3081">
      <w:pPr>
        <w:spacing w:after="0" w:line="360" w:lineRule="auto"/>
        <w:jc w:val="both"/>
        <w:rPr>
          <w:rFonts w:ascii="Times New Roman" w:hAnsi="Times New Roman" w:cs="Times New Roman"/>
          <w:sz w:val="24"/>
          <w:lang w:val="en-GB"/>
        </w:rPr>
      </w:pPr>
      <w:r w:rsidRPr="002F73AB">
        <w:rPr>
          <w:rFonts w:ascii="Times New Roman" w:hAnsi="Times New Roman" w:cs="Times New Roman"/>
          <w:b/>
          <w:sz w:val="24"/>
          <w:lang w:val="en-GB"/>
        </w:rPr>
        <w:t xml:space="preserve">Table </w:t>
      </w:r>
      <w:r w:rsidR="00ED7FCB" w:rsidRPr="002F73AB">
        <w:rPr>
          <w:rFonts w:ascii="Times New Roman" w:hAnsi="Times New Roman" w:cs="Times New Roman"/>
          <w:b/>
          <w:sz w:val="24"/>
          <w:lang w:val="en-GB"/>
        </w:rPr>
        <w:t>2</w:t>
      </w:r>
      <w:r w:rsidR="000D3611" w:rsidRPr="002F73AB">
        <w:rPr>
          <w:rFonts w:ascii="Times New Roman" w:hAnsi="Times New Roman" w:cs="Times New Roman"/>
          <w:b/>
          <w:sz w:val="24"/>
          <w:lang w:val="en-GB"/>
        </w:rPr>
        <w:t>.</w:t>
      </w:r>
      <w:r w:rsidR="000D3611" w:rsidRPr="0023761B">
        <w:rPr>
          <w:rFonts w:ascii="Times New Roman" w:hAnsi="Times New Roman" w:cs="Times New Roman"/>
          <w:sz w:val="24"/>
          <w:lang w:val="en-GB"/>
        </w:rPr>
        <w:t xml:space="preserve"> Concentrations of</w:t>
      </w:r>
      <w:r w:rsidRPr="0023761B">
        <w:rPr>
          <w:rFonts w:ascii="Times New Roman" w:hAnsi="Times New Roman" w:cs="Times New Roman"/>
          <w:sz w:val="24"/>
          <w:lang w:val="en-GB"/>
        </w:rPr>
        <w:t xml:space="preserve"> </w:t>
      </w:r>
      <w:r w:rsidR="00ED7FCB" w:rsidRPr="0023761B">
        <w:rPr>
          <w:rFonts w:ascii="Times New Roman" w:hAnsi="Times New Roman" w:cs="Times New Roman"/>
          <w:sz w:val="24"/>
          <w:lang w:val="en-GB"/>
        </w:rPr>
        <w:t xml:space="preserve">total </w:t>
      </w:r>
      <w:r w:rsidR="0011639D">
        <w:rPr>
          <w:rFonts w:ascii="Times New Roman" w:hAnsi="Times New Roman" w:cs="Times New Roman"/>
          <w:sz w:val="24"/>
          <w:lang w:val="en-GB"/>
        </w:rPr>
        <w:t>Fe</w:t>
      </w:r>
      <w:r w:rsidRPr="0023761B">
        <w:rPr>
          <w:rFonts w:ascii="Times New Roman" w:hAnsi="Times New Roman" w:cs="Times New Roman"/>
          <w:sz w:val="24"/>
          <w:lang w:val="en-GB"/>
        </w:rPr>
        <w:t xml:space="preserve"> in the Chelex-100 resin</w:t>
      </w:r>
      <w:r w:rsidR="000E26D5">
        <w:rPr>
          <w:rFonts w:ascii="Times New Roman" w:hAnsi="Times New Roman" w:cs="Times New Roman"/>
          <w:sz w:val="24"/>
          <w:lang w:val="en-GB"/>
        </w:rPr>
        <w:t>.</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18"/>
        <w:gridCol w:w="1814"/>
        <w:gridCol w:w="1814"/>
        <w:gridCol w:w="1809"/>
        <w:gridCol w:w="1817"/>
      </w:tblGrid>
      <w:tr w:rsidR="00264DCB" w14:paraId="5AACB9BC" w14:textId="77777777" w:rsidTr="005E0D08">
        <w:trPr>
          <w:jc w:val="center"/>
        </w:trPr>
        <w:tc>
          <w:tcPr>
            <w:tcW w:w="1869" w:type="dxa"/>
            <w:tcBorders>
              <w:top w:val="nil"/>
              <w:bottom w:val="nil"/>
              <w:right w:val="nil"/>
            </w:tcBorders>
            <w:vAlign w:val="center"/>
          </w:tcPr>
          <w:p w14:paraId="6CD00BBA" w14:textId="77777777" w:rsidR="00264DCB" w:rsidRDefault="00264DCB" w:rsidP="005E0D08">
            <w:pPr>
              <w:spacing w:line="360" w:lineRule="auto"/>
              <w:jc w:val="center"/>
            </w:pPr>
          </w:p>
        </w:tc>
        <w:tc>
          <w:tcPr>
            <w:tcW w:w="5607" w:type="dxa"/>
            <w:gridSpan w:val="3"/>
            <w:tcBorders>
              <w:top w:val="nil"/>
              <w:left w:val="nil"/>
              <w:bottom w:val="single" w:sz="4" w:space="0" w:color="auto"/>
              <w:right w:val="nil"/>
            </w:tcBorders>
            <w:vAlign w:val="center"/>
          </w:tcPr>
          <w:p w14:paraId="045EDDBA" w14:textId="77777777" w:rsidR="00264DCB" w:rsidRDefault="00264DCB" w:rsidP="005E0D08">
            <w:pPr>
              <w:spacing w:line="360" w:lineRule="auto"/>
              <w:jc w:val="center"/>
            </w:pPr>
            <w:r>
              <w:rPr>
                <w:rFonts w:ascii="Arial" w:eastAsia="Times New Roman" w:hAnsi="Arial" w:cs="Arial"/>
                <w:b/>
                <w:bCs/>
                <w:color w:val="000000"/>
                <w:sz w:val="16"/>
                <w:szCs w:val="16"/>
                <w:lang w:eastAsia="sl-SI"/>
              </w:rPr>
              <w:t>Horizontal position in the sample</w:t>
            </w:r>
            <w:r w:rsidRPr="003223CE">
              <w:rPr>
                <w:rFonts w:ascii="Arial" w:eastAsia="Times New Roman" w:hAnsi="Arial" w:cs="Arial"/>
                <w:b/>
                <w:bCs/>
                <w:color w:val="000000"/>
                <w:sz w:val="16"/>
                <w:szCs w:val="16"/>
                <w:lang w:eastAsia="sl-SI"/>
              </w:rPr>
              <w:t>, cm</w:t>
            </w:r>
          </w:p>
        </w:tc>
        <w:tc>
          <w:tcPr>
            <w:tcW w:w="1869" w:type="dxa"/>
            <w:tcBorders>
              <w:top w:val="nil"/>
              <w:left w:val="nil"/>
              <w:bottom w:val="nil"/>
            </w:tcBorders>
            <w:vAlign w:val="center"/>
          </w:tcPr>
          <w:p w14:paraId="466CE57D" w14:textId="77777777" w:rsidR="00264DCB" w:rsidRDefault="00264DCB" w:rsidP="005E0D08">
            <w:pPr>
              <w:spacing w:line="360" w:lineRule="auto"/>
              <w:jc w:val="center"/>
            </w:pPr>
          </w:p>
        </w:tc>
      </w:tr>
      <w:tr w:rsidR="00264DCB" w14:paraId="1C7D0AB4" w14:textId="77777777" w:rsidTr="005E0D08">
        <w:trPr>
          <w:jc w:val="center"/>
        </w:trPr>
        <w:tc>
          <w:tcPr>
            <w:tcW w:w="1869" w:type="dxa"/>
            <w:tcBorders>
              <w:top w:val="nil"/>
              <w:bottom w:val="single" w:sz="4" w:space="0" w:color="auto"/>
              <w:right w:val="nil"/>
            </w:tcBorders>
            <w:vAlign w:val="center"/>
          </w:tcPr>
          <w:p w14:paraId="2F5E4C85" w14:textId="77777777" w:rsidR="00264DCB" w:rsidRDefault="00264DCB" w:rsidP="005E0D08">
            <w:pPr>
              <w:spacing w:line="360" w:lineRule="auto"/>
              <w:jc w:val="center"/>
            </w:pPr>
          </w:p>
        </w:tc>
        <w:tc>
          <w:tcPr>
            <w:tcW w:w="1869" w:type="dxa"/>
            <w:tcBorders>
              <w:top w:val="single" w:sz="4" w:space="0" w:color="auto"/>
              <w:left w:val="nil"/>
              <w:bottom w:val="single" w:sz="4" w:space="0" w:color="auto"/>
              <w:right w:val="nil"/>
            </w:tcBorders>
            <w:vAlign w:val="center"/>
          </w:tcPr>
          <w:p w14:paraId="4FAA6162" w14:textId="77777777" w:rsidR="00264DCB" w:rsidRDefault="00264DCB" w:rsidP="005E0D08">
            <w:pPr>
              <w:spacing w:line="360" w:lineRule="auto"/>
              <w:jc w:val="center"/>
            </w:pPr>
            <w:r w:rsidRPr="003223CE">
              <w:rPr>
                <w:rFonts w:ascii="Arial" w:eastAsia="Times New Roman" w:hAnsi="Arial" w:cs="Arial"/>
                <w:color w:val="000000"/>
                <w:sz w:val="16"/>
                <w:szCs w:val="16"/>
                <w:lang w:eastAsia="sl-SI"/>
              </w:rPr>
              <w:t>0.6</w:t>
            </w:r>
          </w:p>
        </w:tc>
        <w:tc>
          <w:tcPr>
            <w:tcW w:w="1869" w:type="dxa"/>
            <w:tcBorders>
              <w:top w:val="single" w:sz="4" w:space="0" w:color="auto"/>
              <w:left w:val="nil"/>
              <w:bottom w:val="single" w:sz="4" w:space="0" w:color="auto"/>
              <w:right w:val="nil"/>
            </w:tcBorders>
            <w:vAlign w:val="center"/>
          </w:tcPr>
          <w:p w14:paraId="5666C8FD" w14:textId="77777777" w:rsidR="00264DCB" w:rsidRDefault="00264DCB" w:rsidP="005E0D08">
            <w:pPr>
              <w:spacing w:line="360" w:lineRule="auto"/>
              <w:jc w:val="center"/>
            </w:pPr>
            <w:r w:rsidRPr="003223CE">
              <w:rPr>
                <w:rFonts w:ascii="Arial" w:eastAsia="Times New Roman" w:hAnsi="Arial" w:cs="Arial"/>
                <w:color w:val="000000"/>
                <w:sz w:val="16"/>
                <w:szCs w:val="16"/>
                <w:lang w:eastAsia="sl-SI"/>
              </w:rPr>
              <w:t>1.2</w:t>
            </w:r>
          </w:p>
        </w:tc>
        <w:tc>
          <w:tcPr>
            <w:tcW w:w="1869" w:type="dxa"/>
            <w:tcBorders>
              <w:top w:val="single" w:sz="4" w:space="0" w:color="auto"/>
              <w:left w:val="nil"/>
              <w:bottom w:val="single" w:sz="4" w:space="0" w:color="auto"/>
              <w:right w:val="nil"/>
            </w:tcBorders>
            <w:vAlign w:val="center"/>
          </w:tcPr>
          <w:p w14:paraId="40396A53" w14:textId="77777777" w:rsidR="00264DCB" w:rsidRDefault="00264DCB" w:rsidP="005E0D08">
            <w:pPr>
              <w:spacing w:line="360" w:lineRule="auto"/>
              <w:jc w:val="center"/>
            </w:pPr>
            <w:r w:rsidRPr="003223CE">
              <w:rPr>
                <w:rFonts w:ascii="Arial" w:eastAsia="Times New Roman" w:hAnsi="Arial" w:cs="Arial"/>
                <w:color w:val="000000"/>
                <w:sz w:val="16"/>
                <w:szCs w:val="16"/>
                <w:lang w:eastAsia="sl-SI"/>
              </w:rPr>
              <w:t>1.8</w:t>
            </w:r>
          </w:p>
        </w:tc>
        <w:tc>
          <w:tcPr>
            <w:tcW w:w="1869" w:type="dxa"/>
            <w:tcBorders>
              <w:top w:val="nil"/>
              <w:left w:val="nil"/>
              <w:bottom w:val="single" w:sz="4" w:space="0" w:color="auto"/>
            </w:tcBorders>
            <w:vAlign w:val="center"/>
          </w:tcPr>
          <w:p w14:paraId="75B0D8E0" w14:textId="77777777" w:rsidR="00264DCB" w:rsidRDefault="00264DCB" w:rsidP="005E0D08">
            <w:pPr>
              <w:spacing w:line="360" w:lineRule="auto"/>
              <w:jc w:val="center"/>
            </w:pPr>
          </w:p>
        </w:tc>
      </w:tr>
      <w:tr w:rsidR="00264DCB" w14:paraId="77C8EB77" w14:textId="77777777" w:rsidTr="005E0D08">
        <w:trPr>
          <w:jc w:val="center"/>
        </w:trPr>
        <w:tc>
          <w:tcPr>
            <w:tcW w:w="1869" w:type="dxa"/>
            <w:tcBorders>
              <w:top w:val="single" w:sz="4" w:space="0" w:color="auto"/>
              <w:bottom w:val="single" w:sz="4" w:space="0" w:color="auto"/>
              <w:right w:val="nil"/>
            </w:tcBorders>
            <w:vAlign w:val="center"/>
          </w:tcPr>
          <w:p w14:paraId="041062A7" w14:textId="77777777" w:rsidR="00264DCB" w:rsidRDefault="00264DCB" w:rsidP="005E0D08">
            <w:pPr>
              <w:spacing w:line="360" w:lineRule="auto"/>
              <w:jc w:val="center"/>
            </w:pPr>
            <w:r>
              <w:rPr>
                <w:rFonts w:ascii="Arial" w:eastAsia="Times New Roman" w:hAnsi="Arial" w:cs="Arial"/>
                <w:b/>
                <w:bCs/>
                <w:color w:val="000000"/>
                <w:sz w:val="16"/>
                <w:szCs w:val="16"/>
                <w:lang w:eastAsia="sl-SI"/>
              </w:rPr>
              <w:t>Vertical position in the sample</w:t>
            </w:r>
            <w:r w:rsidRPr="003223CE">
              <w:rPr>
                <w:rFonts w:ascii="Arial" w:eastAsia="Times New Roman" w:hAnsi="Arial" w:cs="Arial"/>
                <w:b/>
                <w:bCs/>
                <w:color w:val="000000"/>
                <w:sz w:val="16"/>
                <w:szCs w:val="16"/>
                <w:lang w:eastAsia="sl-SI"/>
              </w:rPr>
              <w:t>, cm</w:t>
            </w:r>
          </w:p>
        </w:tc>
        <w:tc>
          <w:tcPr>
            <w:tcW w:w="5607" w:type="dxa"/>
            <w:gridSpan w:val="3"/>
            <w:tcBorders>
              <w:top w:val="single" w:sz="4" w:space="0" w:color="auto"/>
              <w:left w:val="nil"/>
              <w:bottom w:val="single" w:sz="4" w:space="0" w:color="auto"/>
              <w:right w:val="nil"/>
            </w:tcBorders>
            <w:vAlign w:val="center"/>
          </w:tcPr>
          <w:p w14:paraId="03A54A2F" w14:textId="271D34E6" w:rsidR="00264DCB" w:rsidRDefault="00264DCB" w:rsidP="00E23231">
            <w:pPr>
              <w:spacing w:line="360" w:lineRule="auto"/>
              <w:jc w:val="center"/>
            </w:pPr>
            <w:r w:rsidRPr="003223CE">
              <w:rPr>
                <w:rFonts w:ascii="Arial" w:eastAsia="Times New Roman" w:hAnsi="Arial" w:cs="Arial"/>
                <w:b/>
                <w:bCs/>
                <w:color w:val="000000"/>
                <w:sz w:val="16"/>
                <w:szCs w:val="16"/>
                <w:lang w:eastAsia="sl-SI"/>
              </w:rPr>
              <w:t xml:space="preserve">Molar concentration </w:t>
            </w:r>
            <w:r w:rsidR="00E23231">
              <w:rPr>
                <w:rFonts w:ascii="Arial" w:eastAsia="Times New Roman" w:hAnsi="Arial" w:cs="Arial"/>
                <w:b/>
                <w:bCs/>
                <w:color w:val="000000"/>
                <w:sz w:val="16"/>
                <w:szCs w:val="16"/>
                <w:lang w:eastAsia="sl-SI"/>
              </w:rPr>
              <w:t xml:space="preserve">total </w:t>
            </w:r>
            <w:r w:rsidRPr="003223CE">
              <w:rPr>
                <w:rFonts w:ascii="Arial" w:eastAsia="Times New Roman" w:hAnsi="Arial" w:cs="Arial"/>
                <w:b/>
                <w:bCs/>
                <w:color w:val="000000"/>
                <w:sz w:val="16"/>
                <w:szCs w:val="16"/>
                <w:lang w:eastAsia="sl-SI"/>
              </w:rPr>
              <w:t>Fe, μmolL</w:t>
            </w:r>
            <w:r w:rsidRPr="003223CE">
              <w:rPr>
                <w:rFonts w:ascii="Arial" w:eastAsia="Times New Roman" w:hAnsi="Arial" w:cs="Arial"/>
                <w:b/>
                <w:bCs/>
                <w:color w:val="000000"/>
                <w:sz w:val="16"/>
                <w:szCs w:val="16"/>
                <w:vertAlign w:val="superscript"/>
                <w:lang w:eastAsia="sl-SI"/>
              </w:rPr>
              <w:t>-1</w:t>
            </w:r>
          </w:p>
        </w:tc>
        <w:tc>
          <w:tcPr>
            <w:tcW w:w="1869" w:type="dxa"/>
            <w:tcBorders>
              <w:top w:val="single" w:sz="4" w:space="0" w:color="auto"/>
              <w:left w:val="nil"/>
              <w:bottom w:val="single" w:sz="4" w:space="0" w:color="auto"/>
            </w:tcBorders>
            <w:vAlign w:val="center"/>
          </w:tcPr>
          <w:p w14:paraId="771B9250" w14:textId="77777777" w:rsidR="00264DCB" w:rsidRDefault="00264DCB" w:rsidP="005E0D08">
            <w:pPr>
              <w:spacing w:line="360" w:lineRule="auto"/>
              <w:jc w:val="center"/>
            </w:pPr>
            <w:r w:rsidRPr="003223CE">
              <w:rPr>
                <w:rFonts w:ascii="Arial" w:eastAsia="Times New Roman" w:hAnsi="Arial" w:cs="Arial"/>
                <w:b/>
                <w:color w:val="000000"/>
                <w:sz w:val="16"/>
                <w:szCs w:val="16"/>
                <w:lang w:eastAsia="sl-SI"/>
              </w:rPr>
              <w:t xml:space="preserve">Average, </w:t>
            </w:r>
            <w:r w:rsidRPr="003223CE">
              <w:rPr>
                <w:rFonts w:ascii="Arial" w:eastAsia="Times New Roman" w:hAnsi="Arial" w:cs="Arial"/>
                <w:b/>
                <w:bCs/>
                <w:color w:val="000000"/>
                <w:sz w:val="16"/>
                <w:szCs w:val="16"/>
                <w:lang w:eastAsia="sl-SI"/>
              </w:rPr>
              <w:t>μmolL</w:t>
            </w:r>
            <w:r w:rsidRPr="003223CE">
              <w:rPr>
                <w:rFonts w:ascii="Arial" w:eastAsia="Times New Roman" w:hAnsi="Arial" w:cs="Arial"/>
                <w:b/>
                <w:bCs/>
                <w:color w:val="000000"/>
                <w:sz w:val="16"/>
                <w:szCs w:val="16"/>
                <w:vertAlign w:val="superscript"/>
                <w:lang w:eastAsia="sl-SI"/>
              </w:rPr>
              <w:t>-1</w:t>
            </w:r>
          </w:p>
        </w:tc>
      </w:tr>
      <w:tr w:rsidR="00264DCB" w14:paraId="558AAC27" w14:textId="77777777" w:rsidTr="005E0D08">
        <w:trPr>
          <w:jc w:val="center"/>
        </w:trPr>
        <w:tc>
          <w:tcPr>
            <w:tcW w:w="1869" w:type="dxa"/>
            <w:tcBorders>
              <w:top w:val="single" w:sz="4" w:space="0" w:color="auto"/>
              <w:bottom w:val="nil"/>
            </w:tcBorders>
            <w:vAlign w:val="center"/>
          </w:tcPr>
          <w:p w14:paraId="71FE1D5A" w14:textId="77777777" w:rsidR="00264DCB" w:rsidRDefault="00264DCB" w:rsidP="005E0D08">
            <w:pPr>
              <w:spacing w:line="360" w:lineRule="auto"/>
              <w:jc w:val="center"/>
            </w:pPr>
            <w:r>
              <w:rPr>
                <w:rFonts w:ascii="Arial" w:eastAsia="Times New Roman" w:hAnsi="Arial" w:cs="Arial"/>
                <w:bCs/>
                <w:iCs/>
                <w:color w:val="000000"/>
                <w:sz w:val="16"/>
                <w:szCs w:val="16"/>
                <w:lang w:eastAsia="sl-SI"/>
              </w:rPr>
              <w:t>0</w:t>
            </w:r>
          </w:p>
        </w:tc>
        <w:tc>
          <w:tcPr>
            <w:tcW w:w="1869" w:type="dxa"/>
            <w:tcBorders>
              <w:top w:val="single" w:sz="4" w:space="0" w:color="auto"/>
              <w:bottom w:val="nil"/>
              <w:right w:val="nil"/>
            </w:tcBorders>
            <w:vAlign w:val="center"/>
          </w:tcPr>
          <w:p w14:paraId="3CB8FFE7" w14:textId="77777777" w:rsidR="00264DCB" w:rsidRDefault="00264DCB" w:rsidP="005E0D08">
            <w:pPr>
              <w:spacing w:line="360" w:lineRule="auto"/>
              <w:jc w:val="center"/>
            </w:pPr>
            <w:r w:rsidRPr="00A819AA">
              <w:rPr>
                <w:rFonts w:ascii="Arial" w:hAnsi="Arial" w:cs="Arial"/>
                <w:color w:val="000000"/>
                <w:sz w:val="16"/>
                <w:szCs w:val="16"/>
              </w:rPr>
              <w:t>3.0</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0.4</w:t>
            </w:r>
          </w:p>
        </w:tc>
        <w:tc>
          <w:tcPr>
            <w:tcW w:w="1869" w:type="dxa"/>
            <w:tcBorders>
              <w:top w:val="single" w:sz="4" w:space="0" w:color="auto"/>
              <w:left w:val="nil"/>
              <w:bottom w:val="nil"/>
              <w:right w:val="nil"/>
            </w:tcBorders>
            <w:vAlign w:val="center"/>
          </w:tcPr>
          <w:p w14:paraId="203E24A6" w14:textId="77777777" w:rsidR="00264DCB" w:rsidRDefault="00264DCB" w:rsidP="005E0D08">
            <w:pPr>
              <w:spacing w:line="360" w:lineRule="auto"/>
              <w:jc w:val="center"/>
            </w:pPr>
            <w:r w:rsidRPr="00A819AA">
              <w:rPr>
                <w:rFonts w:ascii="Arial" w:hAnsi="Arial" w:cs="Arial"/>
                <w:color w:val="000000"/>
                <w:sz w:val="16"/>
                <w:szCs w:val="16"/>
              </w:rPr>
              <w:t>8.4</w:t>
            </w:r>
            <w:r w:rsidRPr="003223CE">
              <w:rPr>
                <w:rFonts w:ascii="Arial" w:eastAsia="Times New Roman" w:hAnsi="Arial" w:cs="Arial"/>
                <w:color w:val="000000"/>
                <w:sz w:val="16"/>
                <w:szCs w:val="16"/>
                <w:lang w:val="en-US"/>
              </w:rPr>
              <w:t>±0.3</w:t>
            </w:r>
          </w:p>
        </w:tc>
        <w:tc>
          <w:tcPr>
            <w:tcW w:w="1869" w:type="dxa"/>
            <w:tcBorders>
              <w:top w:val="single" w:sz="4" w:space="0" w:color="auto"/>
              <w:left w:val="nil"/>
              <w:bottom w:val="nil"/>
            </w:tcBorders>
            <w:vAlign w:val="center"/>
          </w:tcPr>
          <w:p w14:paraId="0B10C515" w14:textId="77777777" w:rsidR="00264DCB" w:rsidRDefault="00264DCB" w:rsidP="005E0D08">
            <w:pPr>
              <w:spacing w:line="360" w:lineRule="auto"/>
              <w:jc w:val="center"/>
            </w:pPr>
            <w:r w:rsidRPr="00A819AA">
              <w:rPr>
                <w:rFonts w:ascii="Arial" w:hAnsi="Arial" w:cs="Arial"/>
                <w:color w:val="000000"/>
                <w:sz w:val="16"/>
                <w:szCs w:val="16"/>
              </w:rPr>
              <w:t>2.3</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0.0</w:t>
            </w:r>
          </w:p>
        </w:tc>
        <w:tc>
          <w:tcPr>
            <w:tcW w:w="1869" w:type="dxa"/>
            <w:tcBorders>
              <w:top w:val="single" w:sz="4" w:space="0" w:color="auto"/>
              <w:bottom w:val="nil"/>
            </w:tcBorders>
            <w:vAlign w:val="center"/>
          </w:tcPr>
          <w:p w14:paraId="1D6562C4" w14:textId="77777777" w:rsidR="00264DCB" w:rsidRDefault="00264DCB" w:rsidP="005E0D08">
            <w:pPr>
              <w:spacing w:line="360" w:lineRule="auto"/>
              <w:jc w:val="center"/>
            </w:pPr>
            <w:r w:rsidRPr="00A819AA">
              <w:rPr>
                <w:rFonts w:ascii="Arial" w:hAnsi="Arial" w:cs="Arial"/>
                <w:color w:val="000000"/>
                <w:sz w:val="16"/>
                <w:szCs w:val="16"/>
              </w:rPr>
              <w:t>4.6</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0.2</w:t>
            </w:r>
          </w:p>
        </w:tc>
      </w:tr>
      <w:tr w:rsidR="00264DCB" w14:paraId="33800428" w14:textId="77777777" w:rsidTr="005E0D08">
        <w:trPr>
          <w:jc w:val="center"/>
        </w:trPr>
        <w:tc>
          <w:tcPr>
            <w:tcW w:w="1869" w:type="dxa"/>
            <w:tcBorders>
              <w:top w:val="nil"/>
              <w:bottom w:val="nil"/>
            </w:tcBorders>
            <w:vAlign w:val="center"/>
          </w:tcPr>
          <w:p w14:paraId="43FB41CA" w14:textId="77777777" w:rsidR="00264DCB" w:rsidRDefault="00264DCB" w:rsidP="005E0D08">
            <w:pPr>
              <w:spacing w:line="360" w:lineRule="auto"/>
              <w:jc w:val="center"/>
              <w:rPr>
                <w:rFonts w:ascii="Arial" w:eastAsia="Times New Roman" w:hAnsi="Arial" w:cs="Arial"/>
                <w:bCs/>
                <w:iCs/>
                <w:color w:val="000000"/>
                <w:sz w:val="16"/>
                <w:szCs w:val="16"/>
                <w:lang w:eastAsia="sl-SI"/>
              </w:rPr>
            </w:pPr>
            <w:r>
              <w:rPr>
                <w:rFonts w:ascii="Arial" w:eastAsia="Times New Roman" w:hAnsi="Arial" w:cs="Arial"/>
                <w:bCs/>
                <w:iCs/>
                <w:color w:val="000000"/>
                <w:sz w:val="16"/>
                <w:szCs w:val="16"/>
                <w:lang w:eastAsia="sl-SI"/>
              </w:rPr>
              <w:t>-2.5</w:t>
            </w:r>
          </w:p>
        </w:tc>
        <w:tc>
          <w:tcPr>
            <w:tcW w:w="1869" w:type="dxa"/>
            <w:tcBorders>
              <w:top w:val="nil"/>
              <w:bottom w:val="nil"/>
              <w:right w:val="nil"/>
            </w:tcBorders>
            <w:vAlign w:val="center"/>
          </w:tcPr>
          <w:p w14:paraId="1917B242" w14:textId="77777777" w:rsidR="00264DCB" w:rsidRPr="00A819AA" w:rsidRDefault="00264DCB" w:rsidP="005E0D08">
            <w:pPr>
              <w:spacing w:line="360" w:lineRule="auto"/>
              <w:jc w:val="center"/>
              <w:rPr>
                <w:rFonts w:ascii="Arial" w:hAnsi="Arial" w:cs="Arial"/>
                <w:color w:val="000000"/>
                <w:sz w:val="16"/>
                <w:szCs w:val="16"/>
              </w:rPr>
            </w:pPr>
            <w:r w:rsidRPr="00A819AA">
              <w:rPr>
                <w:rFonts w:ascii="Arial" w:hAnsi="Arial" w:cs="Arial"/>
                <w:color w:val="000000"/>
                <w:sz w:val="16"/>
                <w:szCs w:val="16"/>
              </w:rPr>
              <w:t>10.1</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0.0</w:t>
            </w:r>
          </w:p>
        </w:tc>
        <w:tc>
          <w:tcPr>
            <w:tcW w:w="1869" w:type="dxa"/>
            <w:tcBorders>
              <w:top w:val="nil"/>
              <w:left w:val="nil"/>
              <w:bottom w:val="nil"/>
              <w:right w:val="nil"/>
            </w:tcBorders>
            <w:vAlign w:val="center"/>
          </w:tcPr>
          <w:p w14:paraId="3D1E5994" w14:textId="77777777" w:rsidR="00264DCB" w:rsidRPr="00A819AA" w:rsidRDefault="00264DCB" w:rsidP="005E0D08">
            <w:pPr>
              <w:spacing w:line="360" w:lineRule="auto"/>
              <w:jc w:val="center"/>
              <w:rPr>
                <w:rFonts w:ascii="Arial" w:hAnsi="Arial" w:cs="Arial"/>
                <w:color w:val="000000"/>
                <w:sz w:val="16"/>
                <w:szCs w:val="16"/>
              </w:rPr>
            </w:pPr>
            <w:r w:rsidRPr="00A819AA">
              <w:rPr>
                <w:rFonts w:ascii="Arial" w:hAnsi="Arial" w:cs="Arial"/>
                <w:color w:val="000000"/>
                <w:sz w:val="16"/>
                <w:szCs w:val="16"/>
              </w:rPr>
              <w:t>10.8</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0.2</w:t>
            </w:r>
          </w:p>
        </w:tc>
        <w:tc>
          <w:tcPr>
            <w:tcW w:w="1869" w:type="dxa"/>
            <w:tcBorders>
              <w:top w:val="nil"/>
              <w:left w:val="nil"/>
              <w:bottom w:val="nil"/>
            </w:tcBorders>
            <w:vAlign w:val="center"/>
          </w:tcPr>
          <w:p w14:paraId="505F672B" w14:textId="77777777" w:rsidR="00264DCB" w:rsidRDefault="00264DCB" w:rsidP="005E0D08">
            <w:pPr>
              <w:spacing w:line="360" w:lineRule="auto"/>
              <w:jc w:val="center"/>
              <w:rPr>
                <w:rFonts w:ascii="Arial" w:hAnsi="Arial" w:cs="Arial"/>
                <w:color w:val="000000"/>
                <w:sz w:val="16"/>
                <w:szCs w:val="16"/>
              </w:rPr>
            </w:pPr>
            <w:r w:rsidRPr="00A819AA">
              <w:rPr>
                <w:rFonts w:ascii="Arial" w:hAnsi="Arial" w:cs="Arial"/>
                <w:color w:val="000000"/>
                <w:sz w:val="16"/>
                <w:szCs w:val="16"/>
              </w:rPr>
              <w:t>7.8</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0.1</w:t>
            </w:r>
          </w:p>
        </w:tc>
        <w:tc>
          <w:tcPr>
            <w:tcW w:w="1869" w:type="dxa"/>
            <w:tcBorders>
              <w:top w:val="nil"/>
              <w:bottom w:val="nil"/>
            </w:tcBorders>
            <w:vAlign w:val="center"/>
          </w:tcPr>
          <w:p w14:paraId="7705C5BE" w14:textId="77777777" w:rsidR="00264DCB" w:rsidRPr="00A819AA" w:rsidRDefault="00264DCB" w:rsidP="005E0D08">
            <w:pPr>
              <w:spacing w:line="360" w:lineRule="auto"/>
              <w:jc w:val="center"/>
              <w:rPr>
                <w:rFonts w:ascii="Arial" w:hAnsi="Arial" w:cs="Arial"/>
                <w:color w:val="000000"/>
                <w:sz w:val="16"/>
                <w:szCs w:val="16"/>
              </w:rPr>
            </w:pPr>
            <w:r w:rsidRPr="00A819AA">
              <w:rPr>
                <w:rFonts w:ascii="Arial" w:hAnsi="Arial" w:cs="Arial"/>
                <w:color w:val="000000"/>
                <w:sz w:val="16"/>
                <w:szCs w:val="16"/>
              </w:rPr>
              <w:t>9.6</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0.1</w:t>
            </w:r>
          </w:p>
        </w:tc>
      </w:tr>
      <w:tr w:rsidR="00264DCB" w14:paraId="6300E149" w14:textId="77777777" w:rsidTr="005E0D08">
        <w:trPr>
          <w:jc w:val="center"/>
        </w:trPr>
        <w:tc>
          <w:tcPr>
            <w:tcW w:w="1869" w:type="dxa"/>
            <w:tcBorders>
              <w:top w:val="nil"/>
              <w:bottom w:val="nil"/>
            </w:tcBorders>
            <w:vAlign w:val="center"/>
          </w:tcPr>
          <w:p w14:paraId="512C4F5E" w14:textId="77777777" w:rsidR="00264DCB" w:rsidRDefault="00264DCB" w:rsidP="005E0D08">
            <w:pPr>
              <w:spacing w:line="360" w:lineRule="auto"/>
              <w:jc w:val="center"/>
            </w:pPr>
            <w:r>
              <w:rPr>
                <w:rFonts w:ascii="Arial" w:eastAsia="Times New Roman" w:hAnsi="Arial" w:cs="Arial"/>
                <w:bCs/>
                <w:iCs/>
                <w:color w:val="000000"/>
                <w:sz w:val="16"/>
                <w:szCs w:val="16"/>
                <w:lang w:eastAsia="sl-SI"/>
              </w:rPr>
              <w:t>-5.0</w:t>
            </w:r>
          </w:p>
        </w:tc>
        <w:tc>
          <w:tcPr>
            <w:tcW w:w="1869" w:type="dxa"/>
            <w:tcBorders>
              <w:top w:val="nil"/>
              <w:bottom w:val="nil"/>
              <w:right w:val="nil"/>
            </w:tcBorders>
            <w:vAlign w:val="center"/>
          </w:tcPr>
          <w:p w14:paraId="2BEDA503" w14:textId="77777777" w:rsidR="00264DCB" w:rsidRDefault="00264DCB" w:rsidP="005E0D08">
            <w:pPr>
              <w:spacing w:line="360" w:lineRule="auto"/>
              <w:jc w:val="center"/>
            </w:pPr>
            <w:r w:rsidRPr="00A819AA">
              <w:rPr>
                <w:rFonts w:ascii="Arial" w:hAnsi="Arial" w:cs="Arial"/>
                <w:color w:val="000000"/>
                <w:sz w:val="16"/>
                <w:szCs w:val="16"/>
              </w:rPr>
              <w:t>9.8</w:t>
            </w:r>
            <w:r w:rsidRPr="003223CE">
              <w:rPr>
                <w:rFonts w:ascii="Arial" w:eastAsia="Times New Roman" w:hAnsi="Arial" w:cs="Arial"/>
                <w:color w:val="000000"/>
                <w:sz w:val="16"/>
                <w:szCs w:val="16"/>
                <w:lang w:val="en-US"/>
              </w:rPr>
              <w:t>±0.3</w:t>
            </w:r>
          </w:p>
        </w:tc>
        <w:tc>
          <w:tcPr>
            <w:tcW w:w="1869" w:type="dxa"/>
            <w:tcBorders>
              <w:top w:val="nil"/>
              <w:left w:val="nil"/>
              <w:bottom w:val="nil"/>
              <w:right w:val="nil"/>
            </w:tcBorders>
            <w:vAlign w:val="center"/>
          </w:tcPr>
          <w:p w14:paraId="56E03217" w14:textId="77777777" w:rsidR="00264DCB" w:rsidRDefault="00264DCB" w:rsidP="005E0D08">
            <w:pPr>
              <w:spacing w:line="360" w:lineRule="auto"/>
              <w:jc w:val="center"/>
            </w:pPr>
            <w:r w:rsidRPr="00A819AA">
              <w:rPr>
                <w:rFonts w:ascii="Arial" w:hAnsi="Arial" w:cs="Arial"/>
                <w:color w:val="000000"/>
                <w:sz w:val="16"/>
                <w:szCs w:val="16"/>
              </w:rPr>
              <w:t>8.3</w:t>
            </w:r>
            <w:r w:rsidRPr="003223CE">
              <w:rPr>
                <w:rFonts w:ascii="Arial" w:eastAsia="Times New Roman" w:hAnsi="Arial" w:cs="Arial"/>
                <w:color w:val="000000"/>
                <w:sz w:val="16"/>
                <w:szCs w:val="16"/>
                <w:lang w:val="en-US"/>
              </w:rPr>
              <w:t>±0.3</w:t>
            </w:r>
          </w:p>
        </w:tc>
        <w:tc>
          <w:tcPr>
            <w:tcW w:w="1869" w:type="dxa"/>
            <w:tcBorders>
              <w:top w:val="nil"/>
              <w:left w:val="nil"/>
              <w:bottom w:val="nil"/>
            </w:tcBorders>
            <w:vAlign w:val="center"/>
          </w:tcPr>
          <w:p w14:paraId="71EE7990" w14:textId="77777777" w:rsidR="00264DCB" w:rsidRDefault="00264DCB" w:rsidP="005E0D08">
            <w:pPr>
              <w:spacing w:line="360" w:lineRule="auto"/>
              <w:jc w:val="center"/>
            </w:pPr>
            <w:r w:rsidRPr="00A819AA">
              <w:rPr>
                <w:rFonts w:ascii="Arial" w:hAnsi="Arial" w:cs="Arial"/>
                <w:color w:val="000000"/>
                <w:sz w:val="16"/>
                <w:szCs w:val="16"/>
              </w:rPr>
              <w:t>8.4</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0.2</w:t>
            </w:r>
          </w:p>
        </w:tc>
        <w:tc>
          <w:tcPr>
            <w:tcW w:w="1869" w:type="dxa"/>
            <w:tcBorders>
              <w:top w:val="nil"/>
              <w:bottom w:val="nil"/>
            </w:tcBorders>
            <w:vAlign w:val="center"/>
          </w:tcPr>
          <w:p w14:paraId="64BA8804" w14:textId="77777777" w:rsidR="00264DCB" w:rsidRDefault="00264DCB" w:rsidP="005E0D08">
            <w:pPr>
              <w:spacing w:line="360" w:lineRule="auto"/>
              <w:jc w:val="center"/>
            </w:pPr>
            <w:r w:rsidRPr="00A819AA">
              <w:rPr>
                <w:rFonts w:ascii="Arial" w:hAnsi="Arial" w:cs="Arial"/>
                <w:color w:val="000000"/>
                <w:sz w:val="16"/>
                <w:szCs w:val="16"/>
              </w:rPr>
              <w:t>8.8</w:t>
            </w:r>
            <w:r w:rsidRPr="003223CE">
              <w:rPr>
                <w:rFonts w:ascii="Arial" w:eastAsia="Times New Roman" w:hAnsi="Arial" w:cs="Arial"/>
                <w:color w:val="000000"/>
                <w:sz w:val="16"/>
                <w:szCs w:val="16"/>
                <w:lang w:val="en-US"/>
              </w:rPr>
              <w:t>±0.3</w:t>
            </w:r>
          </w:p>
        </w:tc>
      </w:tr>
      <w:tr w:rsidR="00264DCB" w14:paraId="31886F14" w14:textId="77777777" w:rsidTr="005E0D08">
        <w:trPr>
          <w:jc w:val="center"/>
        </w:trPr>
        <w:tc>
          <w:tcPr>
            <w:tcW w:w="1869" w:type="dxa"/>
            <w:tcBorders>
              <w:top w:val="nil"/>
              <w:bottom w:val="single" w:sz="4" w:space="0" w:color="auto"/>
            </w:tcBorders>
            <w:vAlign w:val="center"/>
          </w:tcPr>
          <w:p w14:paraId="33CF9393" w14:textId="77777777" w:rsidR="00264DCB" w:rsidRDefault="00264DCB" w:rsidP="005E0D08">
            <w:pPr>
              <w:spacing w:line="360" w:lineRule="auto"/>
              <w:jc w:val="center"/>
            </w:pPr>
            <w:r>
              <w:rPr>
                <w:rFonts w:ascii="Arial" w:eastAsia="Times New Roman" w:hAnsi="Arial" w:cs="Arial"/>
                <w:bCs/>
                <w:iCs/>
                <w:color w:val="000000"/>
                <w:sz w:val="16"/>
                <w:szCs w:val="16"/>
                <w:lang w:eastAsia="sl-SI"/>
              </w:rPr>
              <w:t>-7.5</w:t>
            </w:r>
          </w:p>
        </w:tc>
        <w:tc>
          <w:tcPr>
            <w:tcW w:w="1869" w:type="dxa"/>
            <w:tcBorders>
              <w:top w:val="nil"/>
              <w:bottom w:val="single" w:sz="4" w:space="0" w:color="auto"/>
              <w:right w:val="nil"/>
            </w:tcBorders>
            <w:vAlign w:val="center"/>
          </w:tcPr>
          <w:p w14:paraId="3D5D3104" w14:textId="77777777" w:rsidR="00264DCB" w:rsidRDefault="00264DCB" w:rsidP="005E0D08">
            <w:pPr>
              <w:spacing w:line="360" w:lineRule="auto"/>
              <w:jc w:val="center"/>
            </w:pPr>
            <w:r w:rsidRPr="00A819AA">
              <w:rPr>
                <w:rFonts w:ascii="Arial" w:hAnsi="Arial" w:cs="Arial"/>
                <w:color w:val="000000"/>
                <w:sz w:val="16"/>
                <w:szCs w:val="16"/>
              </w:rPr>
              <w:t>8.5</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0.1</w:t>
            </w:r>
          </w:p>
        </w:tc>
        <w:tc>
          <w:tcPr>
            <w:tcW w:w="1869" w:type="dxa"/>
            <w:tcBorders>
              <w:top w:val="nil"/>
              <w:left w:val="nil"/>
              <w:bottom w:val="single" w:sz="4" w:space="0" w:color="auto"/>
              <w:right w:val="nil"/>
            </w:tcBorders>
            <w:vAlign w:val="center"/>
          </w:tcPr>
          <w:p w14:paraId="3B2E2C49" w14:textId="77777777" w:rsidR="00264DCB" w:rsidRDefault="00264DCB" w:rsidP="005E0D08">
            <w:pPr>
              <w:spacing w:line="360" w:lineRule="auto"/>
              <w:jc w:val="center"/>
            </w:pPr>
            <w:r w:rsidRPr="00A819AA">
              <w:rPr>
                <w:rFonts w:ascii="Arial" w:hAnsi="Arial" w:cs="Arial"/>
                <w:color w:val="000000"/>
                <w:sz w:val="16"/>
                <w:szCs w:val="16"/>
              </w:rPr>
              <w:t>6.9</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0.1</w:t>
            </w:r>
          </w:p>
        </w:tc>
        <w:tc>
          <w:tcPr>
            <w:tcW w:w="1869" w:type="dxa"/>
            <w:tcBorders>
              <w:top w:val="nil"/>
              <w:left w:val="nil"/>
              <w:bottom w:val="single" w:sz="4" w:space="0" w:color="auto"/>
            </w:tcBorders>
            <w:vAlign w:val="center"/>
          </w:tcPr>
          <w:p w14:paraId="7565D172" w14:textId="77777777" w:rsidR="00264DCB" w:rsidRDefault="00264DCB" w:rsidP="005E0D08">
            <w:pPr>
              <w:spacing w:line="360" w:lineRule="auto"/>
              <w:jc w:val="center"/>
            </w:pPr>
            <w:r w:rsidRPr="00A819AA">
              <w:rPr>
                <w:rFonts w:ascii="Arial" w:hAnsi="Arial" w:cs="Arial"/>
                <w:color w:val="000000"/>
                <w:sz w:val="16"/>
                <w:szCs w:val="16"/>
              </w:rPr>
              <w:t>9.7</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0.2</w:t>
            </w:r>
          </w:p>
        </w:tc>
        <w:tc>
          <w:tcPr>
            <w:tcW w:w="1869" w:type="dxa"/>
            <w:tcBorders>
              <w:top w:val="nil"/>
              <w:bottom w:val="single" w:sz="4" w:space="0" w:color="auto"/>
            </w:tcBorders>
            <w:vAlign w:val="center"/>
          </w:tcPr>
          <w:p w14:paraId="5E20F5F4" w14:textId="77777777" w:rsidR="00264DCB" w:rsidRDefault="00264DCB" w:rsidP="005E0D08">
            <w:pPr>
              <w:spacing w:line="360" w:lineRule="auto"/>
              <w:jc w:val="center"/>
            </w:pPr>
            <w:r w:rsidRPr="00A819AA">
              <w:rPr>
                <w:rFonts w:ascii="Arial" w:hAnsi="Arial" w:cs="Arial"/>
                <w:color w:val="000000"/>
                <w:sz w:val="16"/>
                <w:szCs w:val="16"/>
              </w:rPr>
              <w:t>8.3</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0.1</w:t>
            </w:r>
          </w:p>
        </w:tc>
      </w:tr>
      <w:tr w:rsidR="00264DCB" w14:paraId="48447EAC" w14:textId="77777777" w:rsidTr="005E0D08">
        <w:trPr>
          <w:jc w:val="center"/>
        </w:trPr>
        <w:tc>
          <w:tcPr>
            <w:tcW w:w="1869" w:type="dxa"/>
            <w:tcBorders>
              <w:top w:val="single" w:sz="4" w:space="0" w:color="auto"/>
            </w:tcBorders>
            <w:vAlign w:val="center"/>
          </w:tcPr>
          <w:p w14:paraId="5A1A1926" w14:textId="77777777" w:rsidR="00264DCB" w:rsidRDefault="00264DCB" w:rsidP="005E0D08">
            <w:pPr>
              <w:spacing w:line="360" w:lineRule="auto"/>
              <w:jc w:val="center"/>
              <w:rPr>
                <w:rFonts w:ascii="Arial" w:eastAsia="Times New Roman" w:hAnsi="Arial" w:cs="Arial"/>
                <w:bCs/>
                <w:iCs/>
                <w:color w:val="000000"/>
                <w:sz w:val="16"/>
                <w:szCs w:val="16"/>
                <w:lang w:eastAsia="sl-SI"/>
              </w:rPr>
            </w:pPr>
            <w:r w:rsidRPr="003223CE">
              <w:rPr>
                <w:rFonts w:ascii="Arial" w:eastAsia="Times New Roman" w:hAnsi="Arial" w:cs="Arial"/>
                <w:b/>
                <w:bCs/>
                <w:iCs/>
                <w:color w:val="000000"/>
                <w:sz w:val="16"/>
                <w:szCs w:val="16"/>
                <w:lang w:eastAsia="sl-SI"/>
              </w:rPr>
              <w:t xml:space="preserve">Average, </w:t>
            </w:r>
            <w:r w:rsidRPr="003223CE">
              <w:rPr>
                <w:rFonts w:ascii="Arial" w:eastAsia="Times New Roman" w:hAnsi="Arial" w:cs="Arial"/>
                <w:b/>
                <w:bCs/>
                <w:color w:val="000000"/>
                <w:sz w:val="16"/>
                <w:szCs w:val="16"/>
                <w:lang w:eastAsia="sl-SI"/>
              </w:rPr>
              <w:t>μmolL</w:t>
            </w:r>
            <w:r w:rsidRPr="003223CE">
              <w:rPr>
                <w:rFonts w:ascii="Arial" w:eastAsia="Times New Roman" w:hAnsi="Arial" w:cs="Arial"/>
                <w:b/>
                <w:bCs/>
                <w:color w:val="000000"/>
                <w:sz w:val="16"/>
                <w:szCs w:val="16"/>
                <w:vertAlign w:val="superscript"/>
                <w:lang w:eastAsia="sl-SI"/>
              </w:rPr>
              <w:t>-1</w:t>
            </w:r>
          </w:p>
        </w:tc>
        <w:tc>
          <w:tcPr>
            <w:tcW w:w="1869" w:type="dxa"/>
            <w:tcBorders>
              <w:top w:val="single" w:sz="4" w:space="0" w:color="auto"/>
              <w:bottom w:val="nil"/>
              <w:right w:val="nil"/>
            </w:tcBorders>
            <w:vAlign w:val="center"/>
          </w:tcPr>
          <w:p w14:paraId="36439A33" w14:textId="77777777" w:rsidR="00264DCB" w:rsidRDefault="00264DCB" w:rsidP="005E0D08">
            <w:pPr>
              <w:spacing w:line="360" w:lineRule="auto"/>
              <w:jc w:val="center"/>
            </w:pPr>
            <w:r>
              <w:rPr>
                <w:rFonts w:ascii="Arial" w:hAnsi="Arial" w:cs="Arial"/>
                <w:color w:val="000000"/>
                <w:sz w:val="16"/>
                <w:szCs w:val="16"/>
              </w:rPr>
              <w:t>7</w:t>
            </w:r>
            <w:r w:rsidRPr="00A819AA">
              <w:rPr>
                <w:rFonts w:ascii="Arial" w:hAnsi="Arial" w:cs="Arial"/>
                <w:color w:val="000000"/>
                <w:sz w:val="16"/>
                <w:szCs w:val="16"/>
              </w:rPr>
              <w:t>.</w:t>
            </w:r>
            <w:r>
              <w:rPr>
                <w:rFonts w:ascii="Arial" w:hAnsi="Arial" w:cs="Arial"/>
                <w:color w:val="000000"/>
                <w:sz w:val="16"/>
                <w:szCs w:val="16"/>
              </w:rPr>
              <w:t>9</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0.2</w:t>
            </w:r>
          </w:p>
        </w:tc>
        <w:tc>
          <w:tcPr>
            <w:tcW w:w="1869" w:type="dxa"/>
            <w:tcBorders>
              <w:top w:val="single" w:sz="4" w:space="0" w:color="auto"/>
              <w:left w:val="nil"/>
              <w:bottom w:val="nil"/>
              <w:right w:val="nil"/>
            </w:tcBorders>
            <w:vAlign w:val="center"/>
          </w:tcPr>
          <w:p w14:paraId="5A7F76BC" w14:textId="77777777" w:rsidR="00264DCB" w:rsidRDefault="00264DCB" w:rsidP="005E0D08">
            <w:pPr>
              <w:spacing w:line="360" w:lineRule="auto"/>
              <w:jc w:val="center"/>
            </w:pPr>
            <w:r>
              <w:rPr>
                <w:rFonts w:ascii="Arial" w:hAnsi="Arial" w:cs="Arial"/>
                <w:color w:val="000000"/>
                <w:sz w:val="16"/>
                <w:szCs w:val="16"/>
              </w:rPr>
              <w:t>8</w:t>
            </w:r>
            <w:r w:rsidRPr="00A819AA">
              <w:rPr>
                <w:rFonts w:ascii="Arial" w:hAnsi="Arial" w:cs="Arial"/>
                <w:color w:val="000000"/>
                <w:sz w:val="16"/>
                <w:szCs w:val="16"/>
              </w:rPr>
              <w:t>.</w:t>
            </w:r>
            <w:r>
              <w:rPr>
                <w:rFonts w:ascii="Arial" w:hAnsi="Arial" w:cs="Arial"/>
                <w:color w:val="000000"/>
                <w:sz w:val="16"/>
                <w:szCs w:val="16"/>
              </w:rPr>
              <w:t>6</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0.2</w:t>
            </w:r>
          </w:p>
        </w:tc>
        <w:tc>
          <w:tcPr>
            <w:tcW w:w="1869" w:type="dxa"/>
            <w:tcBorders>
              <w:top w:val="single" w:sz="4" w:space="0" w:color="auto"/>
              <w:left w:val="nil"/>
              <w:bottom w:val="nil"/>
            </w:tcBorders>
            <w:vAlign w:val="center"/>
          </w:tcPr>
          <w:p w14:paraId="66FAECD3" w14:textId="77777777" w:rsidR="00264DCB" w:rsidRDefault="00264DCB" w:rsidP="005E0D08">
            <w:pPr>
              <w:spacing w:line="360" w:lineRule="auto"/>
              <w:jc w:val="center"/>
            </w:pPr>
            <w:r>
              <w:rPr>
                <w:rFonts w:ascii="Arial" w:hAnsi="Arial" w:cs="Arial"/>
                <w:color w:val="000000"/>
                <w:sz w:val="16"/>
                <w:szCs w:val="16"/>
              </w:rPr>
              <w:t>7.0</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0.2</w:t>
            </w:r>
          </w:p>
        </w:tc>
        <w:tc>
          <w:tcPr>
            <w:tcW w:w="1869" w:type="dxa"/>
            <w:tcBorders>
              <w:top w:val="single" w:sz="4" w:space="0" w:color="auto"/>
            </w:tcBorders>
            <w:vAlign w:val="center"/>
          </w:tcPr>
          <w:p w14:paraId="435C5563" w14:textId="77777777" w:rsidR="00264DCB" w:rsidRDefault="00264DCB" w:rsidP="005E0D08">
            <w:pPr>
              <w:spacing w:line="360" w:lineRule="auto"/>
              <w:jc w:val="center"/>
            </w:pPr>
            <w:r>
              <w:rPr>
                <w:rFonts w:ascii="Arial" w:hAnsi="Arial" w:cs="Arial"/>
                <w:color w:val="000000"/>
                <w:sz w:val="16"/>
                <w:szCs w:val="16"/>
              </w:rPr>
              <w:t>7.8</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0.2</w:t>
            </w:r>
          </w:p>
        </w:tc>
      </w:tr>
    </w:tbl>
    <w:p w14:paraId="00223929" w14:textId="3E880EE9" w:rsidR="0011639D" w:rsidRPr="0023761B" w:rsidRDefault="0011639D" w:rsidP="008A47FA">
      <w:pPr>
        <w:spacing w:after="0" w:line="360" w:lineRule="auto"/>
        <w:rPr>
          <w:rFonts w:ascii="Times New Roman" w:hAnsi="Times New Roman" w:cs="Times New Roman"/>
          <w:sz w:val="24"/>
          <w:lang w:val="en-GB"/>
        </w:rPr>
      </w:pPr>
    </w:p>
    <w:p w14:paraId="7C74008B" w14:textId="49953E6F" w:rsidR="00A94F40" w:rsidRPr="0023761B" w:rsidRDefault="000A3A6A" w:rsidP="0011639D">
      <w:pPr>
        <w:spacing w:after="0" w:line="360" w:lineRule="auto"/>
        <w:ind w:firstLine="706"/>
        <w:jc w:val="both"/>
        <w:rPr>
          <w:rFonts w:ascii="Times New Roman" w:hAnsi="Times New Roman" w:cs="Times New Roman"/>
          <w:sz w:val="24"/>
          <w:lang w:val="en-GB"/>
        </w:rPr>
      </w:pPr>
      <w:r w:rsidRPr="0023761B">
        <w:rPr>
          <w:rFonts w:ascii="Times New Roman" w:hAnsi="Times New Roman" w:cs="Times New Roman"/>
          <w:sz w:val="24"/>
          <w:lang w:val="en-GB"/>
        </w:rPr>
        <w:t xml:space="preserve">The distribution of the total </w:t>
      </w:r>
      <w:r w:rsidR="007854A1" w:rsidRPr="0023761B">
        <w:rPr>
          <w:rFonts w:ascii="Times New Roman" w:hAnsi="Times New Roman" w:cs="Times New Roman"/>
          <w:sz w:val="24"/>
          <w:lang w:val="en-GB"/>
        </w:rPr>
        <w:t xml:space="preserve">dissolved Fe in the sediment of the Vrtojbica River is </w:t>
      </w:r>
      <w:r w:rsidR="00E44FC3">
        <w:rPr>
          <w:rFonts w:ascii="Times New Roman" w:hAnsi="Times New Roman" w:cs="Times New Roman"/>
          <w:sz w:val="24"/>
          <w:lang w:val="en-GB"/>
        </w:rPr>
        <w:t>quite</w:t>
      </w:r>
      <w:r w:rsidR="00E44FC3" w:rsidRPr="0023761B">
        <w:rPr>
          <w:rFonts w:ascii="Times New Roman" w:hAnsi="Times New Roman" w:cs="Times New Roman"/>
          <w:sz w:val="24"/>
          <w:lang w:val="en-GB"/>
        </w:rPr>
        <w:t xml:space="preserve"> </w:t>
      </w:r>
      <w:r w:rsidR="002353DF" w:rsidRPr="0023761B">
        <w:rPr>
          <w:rFonts w:ascii="Times New Roman" w:hAnsi="Times New Roman" w:cs="Times New Roman"/>
          <w:sz w:val="24"/>
          <w:lang w:val="en-GB"/>
        </w:rPr>
        <w:t>uniform</w:t>
      </w:r>
      <w:r w:rsidR="003A1D58" w:rsidRPr="0023761B">
        <w:rPr>
          <w:rFonts w:ascii="Times New Roman" w:hAnsi="Times New Roman" w:cs="Times New Roman"/>
          <w:sz w:val="24"/>
          <w:lang w:val="en-GB"/>
        </w:rPr>
        <w:t xml:space="preserve">. </w:t>
      </w:r>
      <w:r w:rsidR="001B2BDC" w:rsidRPr="0023761B">
        <w:rPr>
          <w:rFonts w:ascii="Times New Roman" w:hAnsi="Times New Roman" w:cs="Times New Roman"/>
          <w:sz w:val="24"/>
          <w:lang w:val="en-GB"/>
        </w:rPr>
        <w:t>This suggest</w:t>
      </w:r>
      <w:r w:rsidR="00525E15">
        <w:rPr>
          <w:rFonts w:ascii="Times New Roman" w:hAnsi="Times New Roman" w:cs="Times New Roman"/>
          <w:sz w:val="24"/>
          <w:lang w:val="en-GB"/>
        </w:rPr>
        <w:t>s</w:t>
      </w:r>
      <w:r w:rsidR="001B2BDC" w:rsidRPr="0023761B">
        <w:rPr>
          <w:rFonts w:ascii="Times New Roman" w:hAnsi="Times New Roman" w:cs="Times New Roman"/>
          <w:sz w:val="24"/>
          <w:lang w:val="en-GB"/>
        </w:rPr>
        <w:t xml:space="preserve"> stable conditions during the deployment, and also a stable pool of </w:t>
      </w:r>
      <w:r w:rsidR="00B60AA7" w:rsidRPr="0023761B">
        <w:rPr>
          <w:rFonts w:ascii="Times New Roman" w:hAnsi="Times New Roman" w:cs="Times New Roman"/>
          <w:sz w:val="24"/>
          <w:lang w:val="en-GB"/>
        </w:rPr>
        <w:t xml:space="preserve">labile, dissolved Fe species that was continuously present in the sediment during the time of the sampling. </w:t>
      </w:r>
      <w:r w:rsidR="003A1D58" w:rsidRPr="0023761B">
        <w:rPr>
          <w:rFonts w:ascii="Times New Roman" w:hAnsi="Times New Roman" w:cs="Times New Roman"/>
          <w:sz w:val="24"/>
          <w:lang w:val="en-GB"/>
        </w:rPr>
        <w:t xml:space="preserve">At the </w:t>
      </w:r>
      <w:r w:rsidR="0009343F" w:rsidRPr="0023761B">
        <w:rPr>
          <w:rFonts w:ascii="Times New Roman" w:hAnsi="Times New Roman" w:cs="Times New Roman"/>
          <w:sz w:val="24"/>
          <w:lang w:val="en-GB"/>
        </w:rPr>
        <w:t xml:space="preserve">SWI, </w:t>
      </w:r>
      <w:r w:rsidR="000A7754" w:rsidRPr="0023761B">
        <w:rPr>
          <w:rFonts w:ascii="Times New Roman" w:hAnsi="Times New Roman" w:cs="Times New Roman"/>
          <w:sz w:val="24"/>
          <w:lang w:val="en-GB"/>
        </w:rPr>
        <w:t xml:space="preserve">the </w:t>
      </w:r>
      <w:r w:rsidR="00EE5AF6" w:rsidRPr="0023761B">
        <w:rPr>
          <w:rFonts w:ascii="Times New Roman" w:hAnsi="Times New Roman" w:cs="Times New Roman"/>
          <w:sz w:val="24"/>
          <w:lang w:val="en-GB"/>
        </w:rPr>
        <w:t xml:space="preserve">concentration of total dissolved Fe species is lower than inside of the sediments, clearly </w:t>
      </w:r>
      <w:r w:rsidR="00446F2C" w:rsidRPr="0023761B">
        <w:rPr>
          <w:rFonts w:ascii="Times New Roman" w:hAnsi="Times New Roman" w:cs="Times New Roman"/>
          <w:sz w:val="24"/>
          <w:lang w:val="en-GB"/>
        </w:rPr>
        <w:t xml:space="preserve">indicating general loss to the water of both redox species. </w:t>
      </w:r>
      <w:r w:rsidR="00E44FC3">
        <w:rPr>
          <w:rFonts w:ascii="Times New Roman" w:hAnsi="Times New Roman" w:cs="Times New Roman"/>
          <w:sz w:val="24"/>
          <w:lang w:val="en-GB"/>
        </w:rPr>
        <w:t>The increase of dissolved species in the sediment interior is associated with dissolved Fe(III) increase (see 3.3).</w:t>
      </w:r>
    </w:p>
    <w:p w14:paraId="25729DCB" w14:textId="5D46A883" w:rsidR="00ED7FCB" w:rsidRPr="0023761B" w:rsidRDefault="00ED7FCB" w:rsidP="00ED7FCB">
      <w:pPr>
        <w:spacing w:after="0" w:line="360" w:lineRule="auto"/>
        <w:jc w:val="center"/>
        <w:rPr>
          <w:rFonts w:ascii="Times New Roman" w:hAnsi="Times New Roman" w:cs="Times New Roman"/>
          <w:sz w:val="24"/>
          <w:lang w:val="en-GB"/>
        </w:rPr>
      </w:pPr>
    </w:p>
    <w:p w14:paraId="11B7E274" w14:textId="53BA9106" w:rsidR="006203AE" w:rsidRPr="0023761B" w:rsidRDefault="002E2049" w:rsidP="000D3611">
      <w:pPr>
        <w:pStyle w:val="ListParagraph"/>
        <w:numPr>
          <w:ilvl w:val="1"/>
          <w:numId w:val="3"/>
        </w:numPr>
        <w:spacing w:after="0" w:line="360" w:lineRule="auto"/>
        <w:jc w:val="both"/>
        <w:rPr>
          <w:rFonts w:ascii="Times New Roman" w:hAnsi="Times New Roman" w:cs="Times New Roman"/>
          <w:b/>
          <w:sz w:val="24"/>
          <w:lang w:val="en-GB"/>
        </w:rPr>
      </w:pPr>
      <w:r w:rsidRPr="0023761B">
        <w:rPr>
          <w:rFonts w:ascii="Times New Roman" w:hAnsi="Times New Roman" w:cs="Times New Roman"/>
          <w:b/>
          <w:sz w:val="24"/>
          <w:lang w:val="en-GB"/>
        </w:rPr>
        <w:t xml:space="preserve"> </w:t>
      </w:r>
      <w:r w:rsidR="00B263CC" w:rsidRPr="0023761B">
        <w:rPr>
          <w:rFonts w:ascii="Times New Roman" w:hAnsi="Times New Roman" w:cs="Times New Roman"/>
          <w:b/>
          <w:sz w:val="24"/>
          <w:lang w:val="en-GB"/>
        </w:rPr>
        <w:t>Determination</w:t>
      </w:r>
      <w:r w:rsidR="00B263CC">
        <w:rPr>
          <w:rFonts w:ascii="Times New Roman" w:hAnsi="Times New Roman" w:cs="Times New Roman"/>
          <w:b/>
          <w:sz w:val="24"/>
          <w:lang w:val="en-GB"/>
        </w:rPr>
        <w:t xml:space="preserve"> of </w:t>
      </w:r>
      <w:r w:rsidRPr="0023761B">
        <w:rPr>
          <w:rFonts w:ascii="Times New Roman" w:hAnsi="Times New Roman" w:cs="Times New Roman"/>
          <w:b/>
          <w:sz w:val="24"/>
          <w:lang w:val="en-GB"/>
        </w:rPr>
        <w:t>Fe(III) content</w:t>
      </w:r>
    </w:p>
    <w:p w14:paraId="0920C198" w14:textId="562CCE27" w:rsidR="002E2049" w:rsidRPr="0023761B" w:rsidRDefault="00EB0836" w:rsidP="000D3611">
      <w:pPr>
        <w:spacing w:after="0" w:line="360" w:lineRule="auto"/>
        <w:ind w:firstLine="706"/>
        <w:jc w:val="both"/>
        <w:rPr>
          <w:rFonts w:ascii="Times New Roman" w:hAnsi="Times New Roman" w:cs="Times New Roman"/>
          <w:sz w:val="24"/>
          <w:lang w:val="en-GB"/>
        </w:rPr>
      </w:pPr>
      <w:r w:rsidRPr="0023761B">
        <w:rPr>
          <w:rFonts w:ascii="Times New Roman" w:hAnsi="Times New Roman" w:cs="Times New Roman"/>
          <w:sz w:val="24"/>
          <w:lang w:val="en-GB"/>
        </w:rPr>
        <w:t>O</w:t>
      </w:r>
      <w:r w:rsidR="002E2049" w:rsidRPr="0023761B">
        <w:rPr>
          <w:rFonts w:ascii="Times New Roman" w:hAnsi="Times New Roman" w:cs="Times New Roman"/>
          <w:sz w:val="24"/>
          <w:lang w:val="en-GB"/>
        </w:rPr>
        <w:t xml:space="preserve">ne of the </w:t>
      </w:r>
      <w:r w:rsidR="00445E07" w:rsidRPr="0023761B">
        <w:rPr>
          <w:rFonts w:ascii="Times New Roman" w:hAnsi="Times New Roman" w:cs="Times New Roman"/>
          <w:sz w:val="24"/>
          <w:lang w:val="en-GB"/>
        </w:rPr>
        <w:t>goal</w:t>
      </w:r>
      <w:r w:rsidR="00D11340" w:rsidRPr="0023761B">
        <w:rPr>
          <w:rFonts w:ascii="Times New Roman" w:hAnsi="Times New Roman" w:cs="Times New Roman"/>
          <w:sz w:val="24"/>
          <w:lang w:val="en-GB"/>
        </w:rPr>
        <w:t>s</w:t>
      </w:r>
      <w:r w:rsidR="00445E07" w:rsidRPr="0023761B">
        <w:rPr>
          <w:rFonts w:ascii="Times New Roman" w:hAnsi="Times New Roman" w:cs="Times New Roman"/>
          <w:sz w:val="24"/>
          <w:lang w:val="en-GB"/>
        </w:rPr>
        <w:t xml:space="preserve"> of the study </w:t>
      </w:r>
      <w:r w:rsidRPr="0023761B">
        <w:rPr>
          <w:rFonts w:ascii="Times New Roman" w:hAnsi="Times New Roman" w:cs="Times New Roman"/>
          <w:sz w:val="24"/>
          <w:lang w:val="en-GB"/>
        </w:rPr>
        <w:t xml:space="preserve">was </w:t>
      </w:r>
      <w:r w:rsidR="002E2049" w:rsidRPr="0023761B">
        <w:rPr>
          <w:rFonts w:ascii="Times New Roman" w:hAnsi="Times New Roman" w:cs="Times New Roman"/>
          <w:sz w:val="24"/>
          <w:lang w:val="en-GB"/>
        </w:rPr>
        <w:t>t</w:t>
      </w:r>
      <w:r w:rsidR="00445E07" w:rsidRPr="0023761B">
        <w:rPr>
          <w:rFonts w:ascii="Times New Roman" w:hAnsi="Times New Roman" w:cs="Times New Roman"/>
          <w:sz w:val="24"/>
          <w:lang w:val="en-GB"/>
        </w:rPr>
        <w:t>o</w:t>
      </w:r>
      <w:r w:rsidR="002E2049" w:rsidRPr="0023761B">
        <w:rPr>
          <w:rFonts w:ascii="Times New Roman" w:hAnsi="Times New Roman" w:cs="Times New Roman"/>
          <w:sz w:val="24"/>
          <w:lang w:val="en-GB"/>
        </w:rPr>
        <w:t xml:space="preserve"> </w:t>
      </w:r>
      <w:r w:rsidR="00445E07" w:rsidRPr="0023761B">
        <w:rPr>
          <w:rFonts w:ascii="Times New Roman" w:hAnsi="Times New Roman" w:cs="Times New Roman"/>
          <w:sz w:val="24"/>
          <w:lang w:val="en-GB"/>
        </w:rPr>
        <w:t>determine</w:t>
      </w:r>
      <w:r w:rsidR="00B4512A" w:rsidRPr="0023761B">
        <w:rPr>
          <w:rFonts w:ascii="Times New Roman" w:hAnsi="Times New Roman" w:cs="Times New Roman"/>
          <w:sz w:val="24"/>
          <w:lang w:val="en-GB"/>
        </w:rPr>
        <w:t xml:space="preserve"> </w:t>
      </w:r>
      <w:r w:rsidR="00445E07" w:rsidRPr="0023761B">
        <w:rPr>
          <w:rFonts w:ascii="Times New Roman" w:hAnsi="Times New Roman" w:cs="Times New Roman"/>
          <w:sz w:val="24"/>
          <w:lang w:val="en-GB"/>
        </w:rPr>
        <w:t xml:space="preserve">the concentration </w:t>
      </w:r>
      <w:r w:rsidR="002E2049" w:rsidRPr="0023761B">
        <w:rPr>
          <w:rFonts w:ascii="Times New Roman" w:hAnsi="Times New Roman" w:cs="Times New Roman"/>
          <w:sz w:val="24"/>
          <w:lang w:val="en-GB"/>
        </w:rPr>
        <w:t>of Fe(III) ions</w:t>
      </w:r>
      <w:r w:rsidRPr="0023761B">
        <w:rPr>
          <w:rFonts w:ascii="Times New Roman" w:hAnsi="Times New Roman" w:cs="Times New Roman"/>
          <w:sz w:val="24"/>
          <w:lang w:val="en-GB"/>
        </w:rPr>
        <w:t xml:space="preserve"> </w:t>
      </w:r>
      <w:r w:rsidR="00445E07" w:rsidRPr="0023761B">
        <w:rPr>
          <w:rFonts w:ascii="Times New Roman" w:hAnsi="Times New Roman" w:cs="Times New Roman"/>
          <w:sz w:val="24"/>
          <w:lang w:val="en-GB"/>
        </w:rPr>
        <w:t xml:space="preserve">in </w:t>
      </w:r>
      <w:r w:rsidR="00D11340" w:rsidRPr="0023761B">
        <w:rPr>
          <w:rFonts w:ascii="Times New Roman" w:hAnsi="Times New Roman" w:cs="Times New Roman"/>
          <w:sz w:val="24"/>
          <w:lang w:val="en-GB"/>
        </w:rPr>
        <w:t xml:space="preserve">the </w:t>
      </w:r>
      <w:r w:rsidR="00445E07" w:rsidRPr="0023761B">
        <w:rPr>
          <w:rFonts w:ascii="Times New Roman" w:hAnsi="Times New Roman" w:cs="Times New Roman"/>
          <w:sz w:val="24"/>
          <w:lang w:val="en-GB"/>
        </w:rPr>
        <w:t>sediment since it is</w:t>
      </w:r>
      <w:r w:rsidRPr="0023761B">
        <w:rPr>
          <w:rFonts w:ascii="Times New Roman" w:hAnsi="Times New Roman" w:cs="Times New Roman"/>
          <w:sz w:val="24"/>
          <w:lang w:val="en-GB"/>
        </w:rPr>
        <w:t xml:space="preserve"> one of the species in which iron as essential met</w:t>
      </w:r>
      <w:r w:rsidR="00390A0A" w:rsidRPr="0023761B">
        <w:rPr>
          <w:rFonts w:ascii="Times New Roman" w:hAnsi="Times New Roman" w:cs="Times New Roman"/>
          <w:sz w:val="24"/>
          <w:lang w:val="en-GB"/>
        </w:rPr>
        <w:t>al appear</w:t>
      </w:r>
      <w:r w:rsidR="00D11340" w:rsidRPr="0023761B">
        <w:rPr>
          <w:rFonts w:ascii="Times New Roman" w:hAnsi="Times New Roman" w:cs="Times New Roman"/>
          <w:sz w:val="24"/>
          <w:lang w:val="en-GB"/>
        </w:rPr>
        <w:t>s</w:t>
      </w:r>
      <w:r w:rsidR="00390A0A" w:rsidRPr="0023761B">
        <w:rPr>
          <w:rFonts w:ascii="Times New Roman" w:hAnsi="Times New Roman" w:cs="Times New Roman"/>
          <w:sz w:val="24"/>
          <w:lang w:val="en-GB"/>
        </w:rPr>
        <w:t xml:space="preserve"> in </w:t>
      </w:r>
      <w:r w:rsidR="00D11340" w:rsidRPr="0023761B">
        <w:rPr>
          <w:rFonts w:ascii="Times New Roman" w:hAnsi="Times New Roman" w:cs="Times New Roman"/>
          <w:sz w:val="24"/>
          <w:lang w:val="en-GB"/>
        </w:rPr>
        <w:t xml:space="preserve">the </w:t>
      </w:r>
      <w:r w:rsidR="00390A0A" w:rsidRPr="0023761B">
        <w:rPr>
          <w:rFonts w:ascii="Times New Roman" w:hAnsi="Times New Roman" w:cs="Times New Roman"/>
          <w:sz w:val="24"/>
          <w:lang w:val="en-GB"/>
        </w:rPr>
        <w:t xml:space="preserve">nature. </w:t>
      </w:r>
      <w:r w:rsidR="002A2C45" w:rsidRPr="0023761B">
        <w:rPr>
          <w:rFonts w:ascii="Times New Roman" w:hAnsi="Times New Roman" w:cs="Times New Roman"/>
          <w:sz w:val="24"/>
          <w:lang w:val="en-GB"/>
        </w:rPr>
        <w:t>N</w:t>
      </w:r>
      <w:r w:rsidRPr="0023761B">
        <w:rPr>
          <w:rFonts w:ascii="Times New Roman" w:hAnsi="Times New Roman" w:cs="Times New Roman"/>
          <w:sz w:val="24"/>
          <w:lang w:val="en-GB"/>
        </w:rPr>
        <w:t xml:space="preserve">umerous factors contribute to </w:t>
      </w:r>
      <w:r w:rsidR="002E2049" w:rsidRPr="0023761B">
        <w:rPr>
          <w:rFonts w:ascii="Times New Roman" w:hAnsi="Times New Roman" w:cs="Times New Roman"/>
          <w:sz w:val="24"/>
          <w:lang w:val="en-GB"/>
        </w:rPr>
        <w:t xml:space="preserve">the </w:t>
      </w:r>
      <w:r w:rsidR="00D11340" w:rsidRPr="0023761B">
        <w:rPr>
          <w:rFonts w:ascii="Times New Roman" w:hAnsi="Times New Roman" w:cs="Times New Roman"/>
          <w:sz w:val="24"/>
          <w:lang w:val="en-GB"/>
        </w:rPr>
        <w:t xml:space="preserve">environmental </w:t>
      </w:r>
      <w:r w:rsidR="002E2049" w:rsidRPr="0023761B">
        <w:rPr>
          <w:rFonts w:ascii="Times New Roman" w:hAnsi="Times New Roman" w:cs="Times New Roman"/>
          <w:sz w:val="24"/>
          <w:lang w:val="en-GB"/>
        </w:rPr>
        <w:t>ratio</w:t>
      </w:r>
      <w:r w:rsidR="00D11340" w:rsidRPr="0023761B">
        <w:rPr>
          <w:rFonts w:ascii="Times New Roman" w:hAnsi="Times New Roman" w:cs="Times New Roman"/>
          <w:sz w:val="24"/>
          <w:lang w:val="en-GB"/>
        </w:rPr>
        <w:t>s</w:t>
      </w:r>
      <w:r w:rsidR="002E2049" w:rsidRPr="0023761B">
        <w:rPr>
          <w:rFonts w:ascii="Times New Roman" w:hAnsi="Times New Roman" w:cs="Times New Roman"/>
          <w:sz w:val="24"/>
          <w:lang w:val="en-GB"/>
        </w:rPr>
        <w:t xml:space="preserve"> of Fe(II) and Fe(III), e.g.</w:t>
      </w:r>
      <w:r w:rsidRPr="0023761B">
        <w:rPr>
          <w:rFonts w:ascii="Times New Roman" w:hAnsi="Times New Roman" w:cs="Times New Roman"/>
          <w:sz w:val="24"/>
          <w:lang w:val="en-GB"/>
        </w:rPr>
        <w:t xml:space="preserve"> pH, temperature and </w:t>
      </w:r>
      <w:r w:rsidR="00B60AA7" w:rsidRPr="0023761B">
        <w:rPr>
          <w:rFonts w:ascii="Times New Roman" w:hAnsi="Times New Roman" w:cs="Times New Roman"/>
          <w:sz w:val="24"/>
          <w:lang w:val="en-GB"/>
        </w:rPr>
        <w:t>reductive</w:t>
      </w:r>
      <w:r w:rsidRPr="0023761B">
        <w:rPr>
          <w:rFonts w:ascii="Times New Roman" w:hAnsi="Times New Roman" w:cs="Times New Roman"/>
          <w:sz w:val="24"/>
          <w:lang w:val="en-GB"/>
        </w:rPr>
        <w:t>-oxidative environment</w:t>
      </w:r>
      <w:r w:rsidR="00D11340" w:rsidRPr="0023761B">
        <w:rPr>
          <w:rFonts w:ascii="Times New Roman" w:hAnsi="Times New Roman" w:cs="Times New Roman"/>
          <w:sz w:val="24"/>
          <w:lang w:val="en-GB"/>
        </w:rPr>
        <w:t>al</w:t>
      </w:r>
      <w:r w:rsidRPr="0023761B">
        <w:rPr>
          <w:rFonts w:ascii="Times New Roman" w:hAnsi="Times New Roman" w:cs="Times New Roman"/>
          <w:sz w:val="24"/>
          <w:lang w:val="en-GB"/>
        </w:rPr>
        <w:t xml:space="preserve"> </w:t>
      </w:r>
      <w:r w:rsidR="00B60AA7" w:rsidRPr="0023761B">
        <w:rPr>
          <w:rFonts w:ascii="Times New Roman" w:hAnsi="Times New Roman" w:cs="Times New Roman"/>
          <w:sz w:val="24"/>
          <w:lang w:val="en-GB"/>
        </w:rPr>
        <w:t>conditions</w:t>
      </w:r>
      <w:r w:rsidRPr="0023761B">
        <w:rPr>
          <w:rFonts w:ascii="Times New Roman" w:hAnsi="Times New Roman" w:cs="Times New Roman"/>
          <w:sz w:val="24"/>
          <w:lang w:val="en-GB"/>
        </w:rPr>
        <w:t xml:space="preserve">, presence of sulphide ions, ammonia and oxygen. </w:t>
      </w:r>
      <w:r w:rsidR="002A2C45" w:rsidRPr="0023761B">
        <w:rPr>
          <w:rFonts w:ascii="Times New Roman" w:hAnsi="Times New Roman" w:cs="Times New Roman"/>
          <w:sz w:val="24"/>
          <w:lang w:val="en-GB"/>
        </w:rPr>
        <w:t>Furthermore</w:t>
      </w:r>
      <w:r w:rsidRPr="0023761B">
        <w:rPr>
          <w:rFonts w:ascii="Times New Roman" w:hAnsi="Times New Roman" w:cs="Times New Roman"/>
          <w:sz w:val="24"/>
          <w:lang w:val="en-GB"/>
        </w:rPr>
        <w:t xml:space="preserve">, </w:t>
      </w:r>
      <w:r w:rsidR="002A2C45" w:rsidRPr="0023761B">
        <w:rPr>
          <w:rFonts w:ascii="Times New Roman" w:hAnsi="Times New Roman" w:cs="Times New Roman"/>
          <w:sz w:val="24"/>
          <w:lang w:val="en-GB"/>
        </w:rPr>
        <w:t xml:space="preserve">the </w:t>
      </w:r>
      <w:r w:rsidRPr="0023761B">
        <w:rPr>
          <w:rFonts w:ascii="Times New Roman" w:hAnsi="Times New Roman" w:cs="Times New Roman"/>
          <w:sz w:val="24"/>
          <w:lang w:val="en-GB"/>
        </w:rPr>
        <w:t xml:space="preserve">ratio is also dependant </w:t>
      </w:r>
      <w:r w:rsidR="002A2C45" w:rsidRPr="0023761B">
        <w:rPr>
          <w:rFonts w:ascii="Times New Roman" w:hAnsi="Times New Roman" w:cs="Times New Roman"/>
          <w:sz w:val="24"/>
          <w:lang w:val="en-GB"/>
        </w:rPr>
        <w:t xml:space="preserve">on </w:t>
      </w:r>
      <w:r w:rsidRPr="0023761B">
        <w:rPr>
          <w:rFonts w:ascii="Times New Roman" w:hAnsi="Times New Roman" w:cs="Times New Roman"/>
          <w:sz w:val="24"/>
          <w:lang w:val="en-GB"/>
        </w:rPr>
        <w:t>geological features of the river.</w:t>
      </w:r>
    </w:p>
    <w:p w14:paraId="35DAAD07" w14:textId="34300848" w:rsidR="006203AE" w:rsidRPr="0023761B" w:rsidRDefault="00EB0836" w:rsidP="000D3611">
      <w:pPr>
        <w:spacing w:after="0" w:line="360" w:lineRule="auto"/>
        <w:ind w:firstLine="706"/>
        <w:jc w:val="both"/>
        <w:rPr>
          <w:rFonts w:ascii="Times New Roman" w:hAnsi="Times New Roman" w:cs="Times New Roman"/>
          <w:sz w:val="24"/>
          <w:lang w:val="en-GB"/>
        </w:rPr>
      </w:pPr>
      <w:r w:rsidRPr="0023761B">
        <w:rPr>
          <w:rFonts w:ascii="Times New Roman" w:hAnsi="Times New Roman" w:cs="Times New Roman"/>
          <w:sz w:val="24"/>
          <w:lang w:val="en-GB"/>
        </w:rPr>
        <w:t xml:space="preserve"> </w:t>
      </w:r>
      <w:r w:rsidR="002C312E" w:rsidRPr="0023761B">
        <w:rPr>
          <w:rFonts w:ascii="Times New Roman" w:hAnsi="Times New Roman" w:cs="Times New Roman"/>
          <w:sz w:val="24"/>
          <w:lang w:val="en-GB"/>
        </w:rPr>
        <w:t xml:space="preserve">The content of Fe(III) was calculated as a difference between the </w:t>
      </w:r>
      <w:r w:rsidR="002E2049" w:rsidRPr="0023761B">
        <w:rPr>
          <w:rFonts w:ascii="Times New Roman" w:hAnsi="Times New Roman" w:cs="Times New Roman"/>
          <w:sz w:val="24"/>
          <w:lang w:val="en-GB"/>
        </w:rPr>
        <w:t xml:space="preserve">total </w:t>
      </w:r>
      <w:r w:rsidR="00D81A93">
        <w:rPr>
          <w:rFonts w:ascii="Times New Roman" w:hAnsi="Times New Roman" w:cs="Times New Roman"/>
          <w:sz w:val="24"/>
          <w:lang w:val="en-GB"/>
        </w:rPr>
        <w:t>Fe</w:t>
      </w:r>
      <w:r w:rsidR="002E2049" w:rsidRPr="0023761B">
        <w:rPr>
          <w:rFonts w:ascii="Times New Roman" w:hAnsi="Times New Roman" w:cs="Times New Roman"/>
          <w:sz w:val="24"/>
          <w:lang w:val="en-GB"/>
        </w:rPr>
        <w:t xml:space="preserve"> content</w:t>
      </w:r>
      <w:r w:rsidR="00F0114E">
        <w:rPr>
          <w:rFonts w:ascii="Times New Roman" w:hAnsi="Times New Roman" w:cs="Times New Roman"/>
          <w:sz w:val="24"/>
          <w:lang w:val="en-GB"/>
        </w:rPr>
        <w:t xml:space="preserve"> (Table 2)</w:t>
      </w:r>
      <w:r w:rsidR="002E2049" w:rsidRPr="0023761B">
        <w:rPr>
          <w:rFonts w:ascii="Times New Roman" w:hAnsi="Times New Roman" w:cs="Times New Roman"/>
          <w:sz w:val="24"/>
          <w:lang w:val="en-GB"/>
        </w:rPr>
        <w:t xml:space="preserve"> and </w:t>
      </w:r>
      <w:r w:rsidR="00C848ED" w:rsidRPr="0023761B">
        <w:rPr>
          <w:rFonts w:ascii="Times New Roman" w:hAnsi="Times New Roman" w:cs="Times New Roman"/>
          <w:sz w:val="24"/>
          <w:lang w:val="en-GB"/>
        </w:rPr>
        <w:t>Fe (II)</w:t>
      </w:r>
      <w:r w:rsidR="00F0114E">
        <w:rPr>
          <w:rFonts w:ascii="Times New Roman" w:hAnsi="Times New Roman" w:cs="Times New Roman"/>
          <w:sz w:val="24"/>
          <w:lang w:val="en-GB"/>
        </w:rPr>
        <w:t xml:space="preserve"> (Table 1)</w:t>
      </w:r>
      <w:r w:rsidR="002E2049" w:rsidRPr="0023761B">
        <w:rPr>
          <w:rFonts w:ascii="Times New Roman" w:hAnsi="Times New Roman" w:cs="Times New Roman"/>
          <w:sz w:val="24"/>
          <w:lang w:val="en-GB"/>
        </w:rPr>
        <w:t>.</w:t>
      </w:r>
      <w:r w:rsidR="00C848ED" w:rsidRPr="0023761B">
        <w:rPr>
          <w:rFonts w:ascii="Times New Roman" w:hAnsi="Times New Roman" w:cs="Times New Roman"/>
          <w:sz w:val="24"/>
          <w:lang w:val="en-GB"/>
        </w:rPr>
        <w:t xml:space="preserve"> The </w:t>
      </w:r>
      <w:r w:rsidR="002C312E" w:rsidRPr="0023761B">
        <w:rPr>
          <w:rFonts w:ascii="Times New Roman" w:hAnsi="Times New Roman" w:cs="Times New Roman"/>
          <w:sz w:val="24"/>
          <w:lang w:val="en-GB"/>
        </w:rPr>
        <w:t xml:space="preserve">results </w:t>
      </w:r>
      <w:r w:rsidR="00C848ED" w:rsidRPr="0023761B">
        <w:rPr>
          <w:rFonts w:ascii="Times New Roman" w:hAnsi="Times New Roman" w:cs="Times New Roman"/>
          <w:sz w:val="24"/>
          <w:lang w:val="en-GB"/>
        </w:rPr>
        <w:t>are given in the Table 3</w:t>
      </w:r>
      <w:r w:rsidR="002C312E" w:rsidRPr="0023761B">
        <w:rPr>
          <w:rFonts w:ascii="Times New Roman" w:hAnsi="Times New Roman" w:cs="Times New Roman"/>
          <w:sz w:val="24"/>
          <w:lang w:val="en-GB"/>
        </w:rPr>
        <w:t xml:space="preserve"> and presented in </w:t>
      </w:r>
      <w:r w:rsidR="0011639D">
        <w:rPr>
          <w:rFonts w:ascii="Times New Roman" w:hAnsi="Times New Roman" w:cs="Times New Roman"/>
          <w:sz w:val="24"/>
          <w:lang w:val="en-GB"/>
        </w:rPr>
        <w:t xml:space="preserve">the </w:t>
      </w:r>
      <w:r w:rsidR="002C312E" w:rsidRPr="0023761B">
        <w:rPr>
          <w:rFonts w:ascii="Times New Roman" w:hAnsi="Times New Roman" w:cs="Times New Roman"/>
          <w:sz w:val="24"/>
          <w:lang w:val="en-GB"/>
        </w:rPr>
        <w:t>Fig</w:t>
      </w:r>
      <w:r w:rsidR="00D76735">
        <w:rPr>
          <w:rFonts w:ascii="Times New Roman" w:hAnsi="Times New Roman" w:cs="Times New Roman"/>
          <w:sz w:val="24"/>
          <w:lang w:val="en-GB"/>
        </w:rPr>
        <w:t>ure 6c</w:t>
      </w:r>
      <w:r w:rsidR="00C848ED" w:rsidRPr="0023761B">
        <w:rPr>
          <w:rFonts w:ascii="Times New Roman" w:hAnsi="Times New Roman" w:cs="Times New Roman"/>
          <w:sz w:val="24"/>
          <w:lang w:val="en-GB"/>
        </w:rPr>
        <w:t>.</w:t>
      </w:r>
    </w:p>
    <w:p w14:paraId="547B7125" w14:textId="3EAA286F" w:rsidR="00ED7FCB" w:rsidRPr="0023761B" w:rsidRDefault="00ED7FCB" w:rsidP="00ED3081">
      <w:pPr>
        <w:spacing w:after="0" w:line="360" w:lineRule="auto"/>
        <w:jc w:val="both"/>
        <w:rPr>
          <w:rFonts w:ascii="Times New Roman" w:hAnsi="Times New Roman" w:cs="Times New Roman"/>
          <w:sz w:val="24"/>
          <w:lang w:val="en-GB"/>
        </w:rPr>
      </w:pPr>
    </w:p>
    <w:p w14:paraId="450701B8" w14:textId="27FD8D0D" w:rsidR="00ED3081" w:rsidRPr="0023761B" w:rsidRDefault="00ED3081" w:rsidP="00ED3081">
      <w:pPr>
        <w:spacing w:after="0" w:line="360" w:lineRule="auto"/>
        <w:jc w:val="both"/>
        <w:rPr>
          <w:rFonts w:ascii="Times New Roman" w:hAnsi="Times New Roman" w:cs="Times New Roman"/>
          <w:sz w:val="24"/>
          <w:lang w:val="en-GB"/>
        </w:rPr>
      </w:pPr>
      <w:r w:rsidRPr="002F73AB">
        <w:rPr>
          <w:rFonts w:ascii="Times New Roman" w:hAnsi="Times New Roman" w:cs="Times New Roman"/>
          <w:b/>
          <w:sz w:val="24"/>
          <w:lang w:val="en-GB"/>
        </w:rPr>
        <w:t>Table 3.</w:t>
      </w:r>
      <w:r w:rsidRPr="0023761B">
        <w:rPr>
          <w:rFonts w:ascii="Times New Roman" w:hAnsi="Times New Roman" w:cs="Times New Roman"/>
          <w:sz w:val="24"/>
          <w:lang w:val="en-GB"/>
        </w:rPr>
        <w:t xml:space="preserve"> Concentrations of the Fe</w:t>
      </w:r>
      <w:r w:rsidR="00ED7FCB" w:rsidRPr="0023761B">
        <w:rPr>
          <w:rFonts w:ascii="Times New Roman" w:hAnsi="Times New Roman" w:cs="Times New Roman"/>
          <w:sz w:val="24"/>
          <w:lang w:val="en-GB"/>
        </w:rPr>
        <w:t xml:space="preserve"> (III)</w:t>
      </w:r>
      <w:r w:rsidRPr="0023761B">
        <w:rPr>
          <w:rFonts w:ascii="Times New Roman" w:hAnsi="Times New Roman" w:cs="Times New Roman"/>
          <w:sz w:val="24"/>
          <w:lang w:val="en-GB"/>
        </w:rPr>
        <w:t xml:space="preserve"> ions in the Chelex-100 resin</w:t>
      </w:r>
      <w:r w:rsidR="000E26D5">
        <w:rPr>
          <w:rFonts w:ascii="Times New Roman" w:hAnsi="Times New Roman" w:cs="Times New Roman"/>
          <w:sz w:val="24"/>
          <w:lang w:val="en-GB"/>
        </w:rPr>
        <w:t>.</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19"/>
        <w:gridCol w:w="1810"/>
        <w:gridCol w:w="1815"/>
        <w:gridCol w:w="1810"/>
        <w:gridCol w:w="1818"/>
      </w:tblGrid>
      <w:tr w:rsidR="00264DCB" w14:paraId="03287C8B" w14:textId="77777777" w:rsidTr="005E0D08">
        <w:trPr>
          <w:jc w:val="center"/>
        </w:trPr>
        <w:tc>
          <w:tcPr>
            <w:tcW w:w="1869" w:type="dxa"/>
            <w:tcBorders>
              <w:top w:val="nil"/>
              <w:bottom w:val="nil"/>
              <w:right w:val="nil"/>
            </w:tcBorders>
            <w:vAlign w:val="center"/>
          </w:tcPr>
          <w:p w14:paraId="40F8B209" w14:textId="77777777" w:rsidR="00264DCB" w:rsidRDefault="00264DCB" w:rsidP="005E0D08">
            <w:pPr>
              <w:spacing w:line="360" w:lineRule="auto"/>
              <w:jc w:val="center"/>
            </w:pPr>
          </w:p>
        </w:tc>
        <w:tc>
          <w:tcPr>
            <w:tcW w:w="5607" w:type="dxa"/>
            <w:gridSpan w:val="3"/>
            <w:tcBorders>
              <w:top w:val="nil"/>
              <w:left w:val="nil"/>
              <w:bottom w:val="single" w:sz="4" w:space="0" w:color="auto"/>
              <w:right w:val="nil"/>
            </w:tcBorders>
            <w:vAlign w:val="center"/>
          </w:tcPr>
          <w:p w14:paraId="1FD2EBB9" w14:textId="77777777" w:rsidR="00264DCB" w:rsidRDefault="00264DCB" w:rsidP="005E0D08">
            <w:pPr>
              <w:spacing w:line="360" w:lineRule="auto"/>
              <w:jc w:val="center"/>
            </w:pPr>
            <w:r>
              <w:rPr>
                <w:rFonts w:ascii="Arial" w:eastAsia="Times New Roman" w:hAnsi="Arial" w:cs="Arial"/>
                <w:b/>
                <w:bCs/>
                <w:color w:val="000000"/>
                <w:sz w:val="16"/>
                <w:szCs w:val="16"/>
                <w:lang w:eastAsia="sl-SI"/>
              </w:rPr>
              <w:t>Horizontal position in the sample</w:t>
            </w:r>
            <w:r w:rsidRPr="003223CE">
              <w:rPr>
                <w:rFonts w:ascii="Arial" w:eastAsia="Times New Roman" w:hAnsi="Arial" w:cs="Arial"/>
                <w:b/>
                <w:bCs/>
                <w:color w:val="000000"/>
                <w:sz w:val="16"/>
                <w:szCs w:val="16"/>
                <w:lang w:eastAsia="sl-SI"/>
              </w:rPr>
              <w:t>, cm</w:t>
            </w:r>
          </w:p>
        </w:tc>
        <w:tc>
          <w:tcPr>
            <w:tcW w:w="1869" w:type="dxa"/>
            <w:tcBorders>
              <w:top w:val="nil"/>
              <w:left w:val="nil"/>
              <w:bottom w:val="nil"/>
            </w:tcBorders>
            <w:vAlign w:val="center"/>
          </w:tcPr>
          <w:p w14:paraId="79A9D39F" w14:textId="77777777" w:rsidR="00264DCB" w:rsidRDefault="00264DCB" w:rsidP="005E0D08">
            <w:pPr>
              <w:spacing w:line="360" w:lineRule="auto"/>
              <w:jc w:val="center"/>
            </w:pPr>
          </w:p>
        </w:tc>
      </w:tr>
      <w:tr w:rsidR="00264DCB" w14:paraId="223AABDD" w14:textId="77777777" w:rsidTr="005E0D08">
        <w:trPr>
          <w:jc w:val="center"/>
        </w:trPr>
        <w:tc>
          <w:tcPr>
            <w:tcW w:w="1869" w:type="dxa"/>
            <w:tcBorders>
              <w:top w:val="nil"/>
              <w:bottom w:val="single" w:sz="4" w:space="0" w:color="auto"/>
              <w:right w:val="nil"/>
            </w:tcBorders>
            <w:vAlign w:val="center"/>
          </w:tcPr>
          <w:p w14:paraId="433E84B0" w14:textId="77777777" w:rsidR="00264DCB" w:rsidRDefault="00264DCB" w:rsidP="005E0D08">
            <w:pPr>
              <w:spacing w:line="360" w:lineRule="auto"/>
              <w:jc w:val="center"/>
            </w:pPr>
          </w:p>
        </w:tc>
        <w:tc>
          <w:tcPr>
            <w:tcW w:w="1869" w:type="dxa"/>
            <w:tcBorders>
              <w:top w:val="single" w:sz="4" w:space="0" w:color="auto"/>
              <w:left w:val="nil"/>
              <w:bottom w:val="single" w:sz="4" w:space="0" w:color="auto"/>
              <w:right w:val="nil"/>
            </w:tcBorders>
            <w:vAlign w:val="center"/>
          </w:tcPr>
          <w:p w14:paraId="50752383" w14:textId="77777777" w:rsidR="00264DCB" w:rsidRDefault="00264DCB" w:rsidP="005E0D08">
            <w:pPr>
              <w:spacing w:line="360" w:lineRule="auto"/>
              <w:jc w:val="center"/>
            </w:pPr>
            <w:r w:rsidRPr="003223CE">
              <w:rPr>
                <w:rFonts w:ascii="Arial" w:eastAsia="Times New Roman" w:hAnsi="Arial" w:cs="Arial"/>
                <w:color w:val="000000"/>
                <w:sz w:val="16"/>
                <w:szCs w:val="16"/>
                <w:lang w:eastAsia="sl-SI"/>
              </w:rPr>
              <w:t>0.6</w:t>
            </w:r>
          </w:p>
        </w:tc>
        <w:tc>
          <w:tcPr>
            <w:tcW w:w="1869" w:type="dxa"/>
            <w:tcBorders>
              <w:top w:val="single" w:sz="4" w:space="0" w:color="auto"/>
              <w:left w:val="nil"/>
              <w:bottom w:val="single" w:sz="4" w:space="0" w:color="auto"/>
              <w:right w:val="nil"/>
            </w:tcBorders>
            <w:vAlign w:val="center"/>
          </w:tcPr>
          <w:p w14:paraId="38E045B0" w14:textId="77777777" w:rsidR="00264DCB" w:rsidRDefault="00264DCB" w:rsidP="005E0D08">
            <w:pPr>
              <w:spacing w:line="360" w:lineRule="auto"/>
              <w:jc w:val="center"/>
            </w:pPr>
            <w:r w:rsidRPr="003223CE">
              <w:rPr>
                <w:rFonts w:ascii="Arial" w:eastAsia="Times New Roman" w:hAnsi="Arial" w:cs="Arial"/>
                <w:color w:val="000000"/>
                <w:sz w:val="16"/>
                <w:szCs w:val="16"/>
                <w:lang w:eastAsia="sl-SI"/>
              </w:rPr>
              <w:t>1.2</w:t>
            </w:r>
          </w:p>
        </w:tc>
        <w:tc>
          <w:tcPr>
            <w:tcW w:w="1869" w:type="dxa"/>
            <w:tcBorders>
              <w:top w:val="single" w:sz="4" w:space="0" w:color="auto"/>
              <w:left w:val="nil"/>
              <w:bottom w:val="single" w:sz="4" w:space="0" w:color="auto"/>
              <w:right w:val="nil"/>
            </w:tcBorders>
            <w:vAlign w:val="center"/>
          </w:tcPr>
          <w:p w14:paraId="0EDE3666" w14:textId="77777777" w:rsidR="00264DCB" w:rsidRDefault="00264DCB" w:rsidP="005E0D08">
            <w:pPr>
              <w:spacing w:line="360" w:lineRule="auto"/>
              <w:jc w:val="center"/>
            </w:pPr>
            <w:r w:rsidRPr="003223CE">
              <w:rPr>
                <w:rFonts w:ascii="Arial" w:eastAsia="Times New Roman" w:hAnsi="Arial" w:cs="Arial"/>
                <w:color w:val="000000"/>
                <w:sz w:val="16"/>
                <w:szCs w:val="16"/>
                <w:lang w:eastAsia="sl-SI"/>
              </w:rPr>
              <w:t>1.8</w:t>
            </w:r>
          </w:p>
        </w:tc>
        <w:tc>
          <w:tcPr>
            <w:tcW w:w="1869" w:type="dxa"/>
            <w:tcBorders>
              <w:top w:val="nil"/>
              <w:left w:val="nil"/>
              <w:bottom w:val="single" w:sz="4" w:space="0" w:color="auto"/>
            </w:tcBorders>
            <w:vAlign w:val="center"/>
          </w:tcPr>
          <w:p w14:paraId="7DD9A923" w14:textId="77777777" w:rsidR="00264DCB" w:rsidRDefault="00264DCB" w:rsidP="005E0D08">
            <w:pPr>
              <w:spacing w:line="360" w:lineRule="auto"/>
              <w:jc w:val="center"/>
            </w:pPr>
          </w:p>
        </w:tc>
      </w:tr>
      <w:tr w:rsidR="00264DCB" w14:paraId="66ED2BDE" w14:textId="77777777" w:rsidTr="005E0D08">
        <w:trPr>
          <w:jc w:val="center"/>
        </w:trPr>
        <w:tc>
          <w:tcPr>
            <w:tcW w:w="1869" w:type="dxa"/>
            <w:tcBorders>
              <w:top w:val="single" w:sz="4" w:space="0" w:color="auto"/>
              <w:bottom w:val="single" w:sz="4" w:space="0" w:color="auto"/>
              <w:right w:val="nil"/>
            </w:tcBorders>
            <w:vAlign w:val="center"/>
          </w:tcPr>
          <w:p w14:paraId="3FDFF269" w14:textId="77777777" w:rsidR="00264DCB" w:rsidRDefault="00264DCB" w:rsidP="005E0D08">
            <w:pPr>
              <w:spacing w:line="360" w:lineRule="auto"/>
              <w:jc w:val="center"/>
            </w:pPr>
            <w:r>
              <w:rPr>
                <w:rFonts w:ascii="Arial" w:eastAsia="Times New Roman" w:hAnsi="Arial" w:cs="Arial"/>
                <w:b/>
                <w:bCs/>
                <w:color w:val="000000"/>
                <w:sz w:val="16"/>
                <w:szCs w:val="16"/>
                <w:lang w:eastAsia="sl-SI"/>
              </w:rPr>
              <w:t>Vertical position in the sample</w:t>
            </w:r>
            <w:r w:rsidRPr="003223CE">
              <w:rPr>
                <w:rFonts w:ascii="Arial" w:eastAsia="Times New Roman" w:hAnsi="Arial" w:cs="Arial"/>
                <w:b/>
                <w:bCs/>
                <w:color w:val="000000"/>
                <w:sz w:val="16"/>
                <w:szCs w:val="16"/>
                <w:lang w:eastAsia="sl-SI"/>
              </w:rPr>
              <w:t>, cm</w:t>
            </w:r>
          </w:p>
        </w:tc>
        <w:tc>
          <w:tcPr>
            <w:tcW w:w="5607" w:type="dxa"/>
            <w:gridSpan w:val="3"/>
            <w:tcBorders>
              <w:top w:val="single" w:sz="4" w:space="0" w:color="auto"/>
              <w:left w:val="nil"/>
              <w:bottom w:val="single" w:sz="4" w:space="0" w:color="auto"/>
              <w:right w:val="nil"/>
            </w:tcBorders>
            <w:vAlign w:val="center"/>
          </w:tcPr>
          <w:p w14:paraId="0D6377AC" w14:textId="4EFE535B" w:rsidR="00264DCB" w:rsidRDefault="00264DCB" w:rsidP="005E0D08">
            <w:pPr>
              <w:spacing w:line="360" w:lineRule="auto"/>
              <w:jc w:val="center"/>
            </w:pPr>
            <w:r w:rsidRPr="003223CE">
              <w:rPr>
                <w:rFonts w:ascii="Arial" w:eastAsia="Times New Roman" w:hAnsi="Arial" w:cs="Arial"/>
                <w:b/>
                <w:bCs/>
                <w:color w:val="000000"/>
                <w:sz w:val="16"/>
                <w:szCs w:val="16"/>
                <w:lang w:eastAsia="sl-SI"/>
              </w:rPr>
              <w:t>Molar concentration Fe(I</w:t>
            </w:r>
            <w:r w:rsidR="005934C7">
              <w:rPr>
                <w:rFonts w:ascii="Arial" w:eastAsia="Times New Roman" w:hAnsi="Arial" w:cs="Arial"/>
                <w:b/>
                <w:bCs/>
                <w:color w:val="000000"/>
                <w:sz w:val="16"/>
                <w:szCs w:val="16"/>
                <w:lang w:eastAsia="sl-SI"/>
              </w:rPr>
              <w:t>I</w:t>
            </w:r>
            <w:r w:rsidRPr="003223CE">
              <w:rPr>
                <w:rFonts w:ascii="Arial" w:eastAsia="Times New Roman" w:hAnsi="Arial" w:cs="Arial"/>
                <w:b/>
                <w:bCs/>
                <w:color w:val="000000"/>
                <w:sz w:val="16"/>
                <w:szCs w:val="16"/>
                <w:lang w:eastAsia="sl-SI"/>
              </w:rPr>
              <w:t>I), μmolL</w:t>
            </w:r>
            <w:r w:rsidRPr="003223CE">
              <w:rPr>
                <w:rFonts w:ascii="Arial" w:eastAsia="Times New Roman" w:hAnsi="Arial" w:cs="Arial"/>
                <w:b/>
                <w:bCs/>
                <w:color w:val="000000"/>
                <w:sz w:val="16"/>
                <w:szCs w:val="16"/>
                <w:vertAlign w:val="superscript"/>
                <w:lang w:eastAsia="sl-SI"/>
              </w:rPr>
              <w:t>-1</w:t>
            </w:r>
          </w:p>
        </w:tc>
        <w:tc>
          <w:tcPr>
            <w:tcW w:w="1869" w:type="dxa"/>
            <w:tcBorders>
              <w:top w:val="single" w:sz="4" w:space="0" w:color="auto"/>
              <w:left w:val="nil"/>
              <w:bottom w:val="single" w:sz="4" w:space="0" w:color="auto"/>
            </w:tcBorders>
            <w:vAlign w:val="center"/>
          </w:tcPr>
          <w:p w14:paraId="3BF2A693" w14:textId="77777777" w:rsidR="00264DCB" w:rsidRDefault="00264DCB" w:rsidP="005E0D08">
            <w:pPr>
              <w:spacing w:line="360" w:lineRule="auto"/>
              <w:jc w:val="center"/>
            </w:pPr>
            <w:r w:rsidRPr="003223CE">
              <w:rPr>
                <w:rFonts w:ascii="Arial" w:eastAsia="Times New Roman" w:hAnsi="Arial" w:cs="Arial"/>
                <w:b/>
                <w:color w:val="000000"/>
                <w:sz w:val="16"/>
                <w:szCs w:val="16"/>
                <w:lang w:eastAsia="sl-SI"/>
              </w:rPr>
              <w:t xml:space="preserve">Average, </w:t>
            </w:r>
            <w:r w:rsidRPr="003223CE">
              <w:rPr>
                <w:rFonts w:ascii="Arial" w:eastAsia="Times New Roman" w:hAnsi="Arial" w:cs="Arial"/>
                <w:b/>
                <w:bCs/>
                <w:color w:val="000000"/>
                <w:sz w:val="16"/>
                <w:szCs w:val="16"/>
                <w:lang w:eastAsia="sl-SI"/>
              </w:rPr>
              <w:t>μmolL</w:t>
            </w:r>
            <w:r w:rsidRPr="003223CE">
              <w:rPr>
                <w:rFonts w:ascii="Arial" w:eastAsia="Times New Roman" w:hAnsi="Arial" w:cs="Arial"/>
                <w:b/>
                <w:bCs/>
                <w:color w:val="000000"/>
                <w:sz w:val="16"/>
                <w:szCs w:val="16"/>
                <w:vertAlign w:val="superscript"/>
                <w:lang w:eastAsia="sl-SI"/>
              </w:rPr>
              <w:t>-1</w:t>
            </w:r>
          </w:p>
        </w:tc>
      </w:tr>
      <w:tr w:rsidR="00264DCB" w14:paraId="3FEF3E5A" w14:textId="77777777" w:rsidTr="005E0D08">
        <w:trPr>
          <w:jc w:val="center"/>
        </w:trPr>
        <w:tc>
          <w:tcPr>
            <w:tcW w:w="1869" w:type="dxa"/>
            <w:tcBorders>
              <w:top w:val="single" w:sz="4" w:space="0" w:color="auto"/>
              <w:bottom w:val="nil"/>
            </w:tcBorders>
            <w:vAlign w:val="center"/>
          </w:tcPr>
          <w:p w14:paraId="33B8D504" w14:textId="77777777" w:rsidR="00264DCB" w:rsidRDefault="00264DCB" w:rsidP="005E0D08">
            <w:pPr>
              <w:spacing w:line="360" w:lineRule="auto"/>
              <w:jc w:val="center"/>
            </w:pPr>
            <w:r>
              <w:rPr>
                <w:rFonts w:ascii="Arial" w:eastAsia="Times New Roman" w:hAnsi="Arial" w:cs="Arial"/>
                <w:bCs/>
                <w:iCs/>
                <w:color w:val="000000"/>
                <w:sz w:val="16"/>
                <w:szCs w:val="16"/>
                <w:lang w:eastAsia="sl-SI"/>
              </w:rPr>
              <w:t>0</w:t>
            </w:r>
          </w:p>
        </w:tc>
        <w:tc>
          <w:tcPr>
            <w:tcW w:w="1869" w:type="dxa"/>
            <w:tcBorders>
              <w:top w:val="single" w:sz="4" w:space="0" w:color="auto"/>
              <w:bottom w:val="nil"/>
              <w:right w:val="nil"/>
            </w:tcBorders>
            <w:vAlign w:val="center"/>
          </w:tcPr>
          <w:p w14:paraId="54D0CD79" w14:textId="77777777" w:rsidR="00264DCB" w:rsidRDefault="00264DCB" w:rsidP="005E0D08">
            <w:pPr>
              <w:spacing w:line="360" w:lineRule="auto"/>
              <w:jc w:val="center"/>
            </w:pPr>
            <w:r w:rsidRPr="00A819AA">
              <w:rPr>
                <w:rFonts w:ascii="Arial" w:hAnsi="Arial" w:cs="Arial"/>
                <w:color w:val="000000"/>
                <w:sz w:val="16"/>
                <w:szCs w:val="16"/>
              </w:rPr>
              <w:t>1.0</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0.3</w:t>
            </w:r>
          </w:p>
        </w:tc>
        <w:tc>
          <w:tcPr>
            <w:tcW w:w="1869" w:type="dxa"/>
            <w:tcBorders>
              <w:top w:val="single" w:sz="4" w:space="0" w:color="auto"/>
              <w:left w:val="nil"/>
              <w:bottom w:val="nil"/>
              <w:right w:val="nil"/>
            </w:tcBorders>
            <w:vAlign w:val="center"/>
          </w:tcPr>
          <w:p w14:paraId="69677EAF" w14:textId="77777777" w:rsidR="00264DCB" w:rsidRDefault="00264DCB" w:rsidP="005E0D08">
            <w:pPr>
              <w:spacing w:line="360" w:lineRule="auto"/>
              <w:jc w:val="center"/>
            </w:pPr>
            <w:r w:rsidRPr="00A819AA">
              <w:rPr>
                <w:rFonts w:ascii="Arial" w:hAnsi="Arial" w:cs="Arial"/>
                <w:color w:val="000000"/>
                <w:sz w:val="16"/>
                <w:szCs w:val="16"/>
              </w:rPr>
              <w:t>6.5</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0.3</w:t>
            </w:r>
          </w:p>
        </w:tc>
        <w:tc>
          <w:tcPr>
            <w:tcW w:w="1869" w:type="dxa"/>
            <w:tcBorders>
              <w:top w:val="single" w:sz="4" w:space="0" w:color="auto"/>
              <w:left w:val="nil"/>
              <w:bottom w:val="nil"/>
            </w:tcBorders>
            <w:vAlign w:val="center"/>
          </w:tcPr>
          <w:p w14:paraId="4273F6B6" w14:textId="77777777" w:rsidR="00264DCB" w:rsidRDefault="00264DCB" w:rsidP="005E0D08">
            <w:pPr>
              <w:spacing w:line="360" w:lineRule="auto"/>
              <w:jc w:val="center"/>
            </w:pPr>
            <w:r w:rsidRPr="00A819AA">
              <w:rPr>
                <w:rFonts w:ascii="Arial" w:hAnsi="Arial" w:cs="Arial"/>
                <w:color w:val="000000"/>
                <w:sz w:val="16"/>
                <w:szCs w:val="16"/>
              </w:rPr>
              <w:t>0.4</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0.2</w:t>
            </w:r>
          </w:p>
        </w:tc>
        <w:tc>
          <w:tcPr>
            <w:tcW w:w="1869" w:type="dxa"/>
            <w:tcBorders>
              <w:top w:val="single" w:sz="4" w:space="0" w:color="auto"/>
              <w:bottom w:val="nil"/>
            </w:tcBorders>
            <w:vAlign w:val="center"/>
          </w:tcPr>
          <w:p w14:paraId="75CC769C" w14:textId="77777777" w:rsidR="00264DCB" w:rsidRDefault="00264DCB" w:rsidP="005E0D08">
            <w:pPr>
              <w:spacing w:line="360" w:lineRule="auto"/>
              <w:jc w:val="center"/>
            </w:pPr>
            <w:r w:rsidRPr="00A819AA">
              <w:rPr>
                <w:rFonts w:ascii="Arial" w:hAnsi="Arial" w:cs="Arial"/>
                <w:color w:val="000000"/>
                <w:sz w:val="16"/>
                <w:szCs w:val="16"/>
              </w:rPr>
              <w:t>2.6</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0.3</w:t>
            </w:r>
          </w:p>
        </w:tc>
      </w:tr>
      <w:tr w:rsidR="00264DCB" w14:paraId="085B54EF" w14:textId="77777777" w:rsidTr="005E0D08">
        <w:trPr>
          <w:jc w:val="center"/>
        </w:trPr>
        <w:tc>
          <w:tcPr>
            <w:tcW w:w="1869" w:type="dxa"/>
            <w:tcBorders>
              <w:top w:val="nil"/>
              <w:bottom w:val="nil"/>
            </w:tcBorders>
            <w:vAlign w:val="center"/>
          </w:tcPr>
          <w:p w14:paraId="5837C9F3" w14:textId="77777777" w:rsidR="00264DCB" w:rsidRDefault="00264DCB" w:rsidP="005E0D08">
            <w:pPr>
              <w:spacing w:line="360" w:lineRule="auto"/>
              <w:jc w:val="center"/>
            </w:pPr>
            <w:r>
              <w:rPr>
                <w:rFonts w:ascii="Arial" w:eastAsia="Times New Roman" w:hAnsi="Arial" w:cs="Arial"/>
                <w:bCs/>
                <w:iCs/>
                <w:color w:val="000000"/>
                <w:sz w:val="16"/>
                <w:szCs w:val="16"/>
                <w:lang w:eastAsia="sl-SI"/>
              </w:rPr>
              <w:t>-2.5</w:t>
            </w:r>
          </w:p>
        </w:tc>
        <w:tc>
          <w:tcPr>
            <w:tcW w:w="1869" w:type="dxa"/>
            <w:tcBorders>
              <w:top w:val="nil"/>
              <w:bottom w:val="nil"/>
              <w:right w:val="nil"/>
            </w:tcBorders>
            <w:vAlign w:val="center"/>
          </w:tcPr>
          <w:p w14:paraId="6F4B6583" w14:textId="77777777" w:rsidR="00264DCB" w:rsidRDefault="00264DCB" w:rsidP="005E0D08">
            <w:pPr>
              <w:spacing w:line="360" w:lineRule="auto"/>
              <w:jc w:val="center"/>
            </w:pPr>
            <w:r w:rsidRPr="00A819AA">
              <w:rPr>
                <w:rFonts w:ascii="Arial" w:hAnsi="Arial" w:cs="Arial"/>
                <w:color w:val="000000"/>
                <w:sz w:val="16"/>
                <w:szCs w:val="16"/>
              </w:rPr>
              <w:t>7.8</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0.1</w:t>
            </w:r>
          </w:p>
        </w:tc>
        <w:tc>
          <w:tcPr>
            <w:tcW w:w="1869" w:type="dxa"/>
            <w:tcBorders>
              <w:top w:val="nil"/>
              <w:left w:val="nil"/>
              <w:bottom w:val="nil"/>
              <w:right w:val="nil"/>
            </w:tcBorders>
            <w:vAlign w:val="center"/>
          </w:tcPr>
          <w:p w14:paraId="3A82448E" w14:textId="77777777" w:rsidR="00264DCB" w:rsidRDefault="00264DCB" w:rsidP="005E0D08">
            <w:pPr>
              <w:spacing w:line="360" w:lineRule="auto"/>
              <w:jc w:val="center"/>
            </w:pPr>
            <w:r w:rsidRPr="00A819AA">
              <w:rPr>
                <w:rFonts w:ascii="Arial" w:hAnsi="Arial" w:cs="Arial"/>
                <w:color w:val="000000"/>
                <w:sz w:val="16"/>
                <w:szCs w:val="16"/>
              </w:rPr>
              <w:t>10.</w:t>
            </w:r>
            <w:r>
              <w:rPr>
                <w:rFonts w:ascii="Arial" w:hAnsi="Arial" w:cs="Arial"/>
                <w:color w:val="000000"/>
                <w:sz w:val="16"/>
                <w:szCs w:val="16"/>
              </w:rPr>
              <w:t>8</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0.3</w:t>
            </w:r>
          </w:p>
        </w:tc>
        <w:tc>
          <w:tcPr>
            <w:tcW w:w="1869" w:type="dxa"/>
            <w:tcBorders>
              <w:top w:val="nil"/>
              <w:left w:val="nil"/>
              <w:bottom w:val="nil"/>
            </w:tcBorders>
            <w:vAlign w:val="center"/>
          </w:tcPr>
          <w:p w14:paraId="328CE011" w14:textId="77777777" w:rsidR="00264DCB" w:rsidRDefault="00264DCB" w:rsidP="005E0D08">
            <w:pPr>
              <w:spacing w:line="360" w:lineRule="auto"/>
              <w:jc w:val="center"/>
            </w:pPr>
            <w:r>
              <w:rPr>
                <w:rFonts w:ascii="Arial" w:hAnsi="Arial" w:cs="Arial"/>
                <w:color w:val="000000"/>
                <w:sz w:val="16"/>
                <w:szCs w:val="16"/>
              </w:rPr>
              <w:t>7</w:t>
            </w:r>
            <w:r w:rsidRPr="00A819AA">
              <w:rPr>
                <w:rFonts w:ascii="Arial" w:hAnsi="Arial" w:cs="Arial"/>
                <w:color w:val="000000"/>
                <w:sz w:val="16"/>
                <w:szCs w:val="16"/>
              </w:rPr>
              <w:t>.</w:t>
            </w:r>
            <w:r>
              <w:rPr>
                <w:rFonts w:ascii="Arial" w:hAnsi="Arial" w:cs="Arial"/>
                <w:color w:val="000000"/>
                <w:sz w:val="16"/>
                <w:szCs w:val="16"/>
              </w:rPr>
              <w:t>8</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0.2</w:t>
            </w:r>
          </w:p>
        </w:tc>
        <w:tc>
          <w:tcPr>
            <w:tcW w:w="1869" w:type="dxa"/>
            <w:tcBorders>
              <w:top w:val="nil"/>
              <w:bottom w:val="nil"/>
            </w:tcBorders>
            <w:vAlign w:val="center"/>
          </w:tcPr>
          <w:p w14:paraId="617CB5E7" w14:textId="77777777" w:rsidR="00264DCB" w:rsidRDefault="00264DCB" w:rsidP="005E0D08">
            <w:pPr>
              <w:spacing w:line="360" w:lineRule="auto"/>
              <w:jc w:val="center"/>
            </w:pPr>
            <w:r w:rsidRPr="00A819AA">
              <w:rPr>
                <w:rFonts w:ascii="Arial" w:hAnsi="Arial" w:cs="Arial"/>
                <w:color w:val="000000"/>
                <w:sz w:val="16"/>
                <w:szCs w:val="16"/>
              </w:rPr>
              <w:t>8.</w:t>
            </w:r>
            <w:r>
              <w:rPr>
                <w:rFonts w:ascii="Arial" w:hAnsi="Arial" w:cs="Arial"/>
                <w:color w:val="000000"/>
                <w:sz w:val="16"/>
                <w:szCs w:val="16"/>
              </w:rPr>
              <w:t>8</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0.2</w:t>
            </w:r>
          </w:p>
        </w:tc>
      </w:tr>
      <w:tr w:rsidR="00264DCB" w14:paraId="76204D22" w14:textId="77777777" w:rsidTr="005E0D08">
        <w:trPr>
          <w:jc w:val="center"/>
        </w:trPr>
        <w:tc>
          <w:tcPr>
            <w:tcW w:w="1869" w:type="dxa"/>
            <w:tcBorders>
              <w:top w:val="nil"/>
              <w:bottom w:val="single" w:sz="4" w:space="0" w:color="auto"/>
            </w:tcBorders>
            <w:vAlign w:val="center"/>
          </w:tcPr>
          <w:p w14:paraId="32D60B86" w14:textId="77777777" w:rsidR="00264DCB" w:rsidRDefault="00264DCB" w:rsidP="005E0D08">
            <w:pPr>
              <w:spacing w:line="360" w:lineRule="auto"/>
              <w:jc w:val="center"/>
            </w:pPr>
            <w:r>
              <w:rPr>
                <w:rFonts w:ascii="Arial" w:eastAsia="Times New Roman" w:hAnsi="Arial" w:cs="Arial"/>
                <w:bCs/>
                <w:iCs/>
                <w:color w:val="000000"/>
                <w:sz w:val="16"/>
                <w:szCs w:val="16"/>
                <w:lang w:eastAsia="sl-SI"/>
              </w:rPr>
              <w:t>-5.0</w:t>
            </w:r>
          </w:p>
        </w:tc>
        <w:tc>
          <w:tcPr>
            <w:tcW w:w="1869" w:type="dxa"/>
            <w:tcBorders>
              <w:top w:val="nil"/>
              <w:bottom w:val="single" w:sz="4" w:space="0" w:color="auto"/>
              <w:right w:val="nil"/>
            </w:tcBorders>
            <w:vAlign w:val="center"/>
          </w:tcPr>
          <w:p w14:paraId="5884DE15" w14:textId="77777777" w:rsidR="00264DCB" w:rsidRDefault="00264DCB" w:rsidP="005E0D08">
            <w:pPr>
              <w:spacing w:line="360" w:lineRule="auto"/>
              <w:jc w:val="center"/>
            </w:pPr>
            <w:r w:rsidRPr="00A819AA">
              <w:rPr>
                <w:rFonts w:ascii="Arial" w:hAnsi="Arial" w:cs="Arial"/>
                <w:color w:val="000000"/>
                <w:sz w:val="16"/>
                <w:szCs w:val="16"/>
              </w:rPr>
              <w:t>7.3</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0.4</w:t>
            </w:r>
          </w:p>
        </w:tc>
        <w:tc>
          <w:tcPr>
            <w:tcW w:w="1869" w:type="dxa"/>
            <w:tcBorders>
              <w:top w:val="nil"/>
              <w:left w:val="nil"/>
              <w:bottom w:val="single" w:sz="4" w:space="0" w:color="auto"/>
              <w:right w:val="nil"/>
            </w:tcBorders>
            <w:vAlign w:val="center"/>
          </w:tcPr>
          <w:p w14:paraId="7C48B3A0" w14:textId="77777777" w:rsidR="00264DCB" w:rsidRDefault="00264DCB" w:rsidP="005E0D08">
            <w:pPr>
              <w:spacing w:line="360" w:lineRule="auto"/>
              <w:jc w:val="center"/>
            </w:pPr>
            <w:r w:rsidRPr="00A819AA">
              <w:rPr>
                <w:rFonts w:ascii="Arial" w:hAnsi="Arial" w:cs="Arial"/>
                <w:color w:val="000000"/>
                <w:sz w:val="16"/>
                <w:szCs w:val="16"/>
              </w:rPr>
              <w:t>6.9</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0.4</w:t>
            </w:r>
          </w:p>
        </w:tc>
        <w:tc>
          <w:tcPr>
            <w:tcW w:w="1869" w:type="dxa"/>
            <w:tcBorders>
              <w:top w:val="nil"/>
              <w:left w:val="nil"/>
              <w:bottom w:val="single" w:sz="4" w:space="0" w:color="auto"/>
            </w:tcBorders>
            <w:vAlign w:val="center"/>
          </w:tcPr>
          <w:p w14:paraId="0C2005D4" w14:textId="77777777" w:rsidR="00264DCB" w:rsidRDefault="00264DCB" w:rsidP="005E0D08">
            <w:pPr>
              <w:spacing w:line="360" w:lineRule="auto"/>
              <w:jc w:val="center"/>
            </w:pPr>
            <w:r>
              <w:rPr>
                <w:rFonts w:ascii="Arial" w:hAnsi="Arial" w:cs="Arial"/>
                <w:color w:val="000000"/>
                <w:sz w:val="16"/>
                <w:szCs w:val="16"/>
              </w:rPr>
              <w:t>8.4</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0.2</w:t>
            </w:r>
          </w:p>
        </w:tc>
        <w:tc>
          <w:tcPr>
            <w:tcW w:w="1869" w:type="dxa"/>
            <w:tcBorders>
              <w:top w:val="nil"/>
              <w:bottom w:val="single" w:sz="4" w:space="0" w:color="auto"/>
            </w:tcBorders>
            <w:vAlign w:val="center"/>
          </w:tcPr>
          <w:p w14:paraId="438C3D81" w14:textId="77777777" w:rsidR="00264DCB" w:rsidRDefault="00264DCB" w:rsidP="005E0D08">
            <w:pPr>
              <w:spacing w:line="360" w:lineRule="auto"/>
              <w:jc w:val="center"/>
            </w:pPr>
            <w:r w:rsidRPr="00A819AA">
              <w:rPr>
                <w:rFonts w:ascii="Arial" w:hAnsi="Arial" w:cs="Arial"/>
                <w:color w:val="000000"/>
                <w:sz w:val="16"/>
                <w:szCs w:val="16"/>
              </w:rPr>
              <w:t>7.</w:t>
            </w:r>
            <w:r>
              <w:rPr>
                <w:rFonts w:ascii="Arial" w:hAnsi="Arial" w:cs="Arial"/>
                <w:color w:val="000000"/>
                <w:sz w:val="16"/>
                <w:szCs w:val="16"/>
              </w:rPr>
              <w:t>5</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0.3</w:t>
            </w:r>
          </w:p>
        </w:tc>
      </w:tr>
      <w:tr w:rsidR="00264DCB" w14:paraId="38F4DA6A" w14:textId="77777777" w:rsidTr="005E0D08">
        <w:trPr>
          <w:jc w:val="center"/>
        </w:trPr>
        <w:tc>
          <w:tcPr>
            <w:tcW w:w="1869" w:type="dxa"/>
            <w:tcBorders>
              <w:top w:val="single" w:sz="4" w:space="0" w:color="auto"/>
            </w:tcBorders>
            <w:vAlign w:val="center"/>
          </w:tcPr>
          <w:p w14:paraId="503C184C" w14:textId="77777777" w:rsidR="00264DCB" w:rsidRDefault="00264DCB" w:rsidP="005E0D08">
            <w:pPr>
              <w:spacing w:line="360" w:lineRule="auto"/>
              <w:jc w:val="center"/>
              <w:rPr>
                <w:rFonts w:ascii="Arial" w:eastAsia="Times New Roman" w:hAnsi="Arial" w:cs="Arial"/>
                <w:bCs/>
                <w:iCs/>
                <w:color w:val="000000"/>
                <w:sz w:val="16"/>
                <w:szCs w:val="16"/>
                <w:lang w:eastAsia="sl-SI"/>
              </w:rPr>
            </w:pPr>
            <w:r w:rsidRPr="003223CE">
              <w:rPr>
                <w:rFonts w:ascii="Arial" w:eastAsia="Times New Roman" w:hAnsi="Arial" w:cs="Arial"/>
                <w:b/>
                <w:bCs/>
                <w:iCs/>
                <w:color w:val="000000"/>
                <w:sz w:val="16"/>
                <w:szCs w:val="16"/>
                <w:lang w:eastAsia="sl-SI"/>
              </w:rPr>
              <w:t xml:space="preserve">Average, </w:t>
            </w:r>
            <w:r w:rsidRPr="003223CE">
              <w:rPr>
                <w:rFonts w:ascii="Arial" w:eastAsia="Times New Roman" w:hAnsi="Arial" w:cs="Arial"/>
                <w:b/>
                <w:bCs/>
                <w:color w:val="000000"/>
                <w:sz w:val="16"/>
                <w:szCs w:val="16"/>
                <w:lang w:eastAsia="sl-SI"/>
              </w:rPr>
              <w:t>μmolL</w:t>
            </w:r>
            <w:r w:rsidRPr="003223CE">
              <w:rPr>
                <w:rFonts w:ascii="Arial" w:eastAsia="Times New Roman" w:hAnsi="Arial" w:cs="Arial"/>
                <w:b/>
                <w:bCs/>
                <w:color w:val="000000"/>
                <w:sz w:val="16"/>
                <w:szCs w:val="16"/>
                <w:vertAlign w:val="superscript"/>
                <w:lang w:eastAsia="sl-SI"/>
              </w:rPr>
              <w:t>-1</w:t>
            </w:r>
          </w:p>
        </w:tc>
        <w:tc>
          <w:tcPr>
            <w:tcW w:w="1869" w:type="dxa"/>
            <w:tcBorders>
              <w:top w:val="single" w:sz="4" w:space="0" w:color="auto"/>
              <w:bottom w:val="nil"/>
              <w:right w:val="nil"/>
            </w:tcBorders>
            <w:vAlign w:val="center"/>
          </w:tcPr>
          <w:p w14:paraId="2C7CFAB2" w14:textId="77777777" w:rsidR="00264DCB" w:rsidRDefault="00264DCB" w:rsidP="005E0D08">
            <w:pPr>
              <w:spacing w:line="360" w:lineRule="auto"/>
              <w:jc w:val="center"/>
            </w:pPr>
            <w:r>
              <w:rPr>
                <w:rFonts w:ascii="Arial" w:hAnsi="Arial" w:cs="Arial"/>
                <w:color w:val="000000"/>
                <w:sz w:val="16"/>
                <w:szCs w:val="16"/>
              </w:rPr>
              <w:t>5</w:t>
            </w:r>
            <w:r w:rsidRPr="00A819AA">
              <w:rPr>
                <w:rFonts w:ascii="Arial" w:hAnsi="Arial" w:cs="Arial"/>
                <w:color w:val="000000"/>
                <w:sz w:val="16"/>
                <w:szCs w:val="16"/>
              </w:rPr>
              <w:t>.</w:t>
            </w:r>
            <w:r>
              <w:rPr>
                <w:rFonts w:ascii="Arial" w:hAnsi="Arial" w:cs="Arial"/>
                <w:color w:val="000000"/>
                <w:sz w:val="16"/>
                <w:szCs w:val="16"/>
              </w:rPr>
              <w:t>3</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0.3</w:t>
            </w:r>
          </w:p>
        </w:tc>
        <w:tc>
          <w:tcPr>
            <w:tcW w:w="1869" w:type="dxa"/>
            <w:tcBorders>
              <w:top w:val="single" w:sz="4" w:space="0" w:color="auto"/>
              <w:left w:val="nil"/>
              <w:bottom w:val="nil"/>
              <w:right w:val="nil"/>
            </w:tcBorders>
            <w:vAlign w:val="center"/>
          </w:tcPr>
          <w:p w14:paraId="51AA4565" w14:textId="77777777" w:rsidR="00264DCB" w:rsidRDefault="00264DCB" w:rsidP="005E0D08">
            <w:pPr>
              <w:spacing w:line="360" w:lineRule="auto"/>
              <w:jc w:val="center"/>
            </w:pPr>
            <w:r>
              <w:rPr>
                <w:rFonts w:ascii="Arial" w:hAnsi="Arial" w:cs="Arial"/>
                <w:color w:val="000000"/>
                <w:sz w:val="16"/>
                <w:szCs w:val="16"/>
              </w:rPr>
              <w:t>8.1</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0.3</w:t>
            </w:r>
          </w:p>
        </w:tc>
        <w:tc>
          <w:tcPr>
            <w:tcW w:w="1869" w:type="dxa"/>
            <w:tcBorders>
              <w:top w:val="single" w:sz="4" w:space="0" w:color="auto"/>
              <w:left w:val="nil"/>
              <w:bottom w:val="nil"/>
            </w:tcBorders>
            <w:vAlign w:val="center"/>
          </w:tcPr>
          <w:p w14:paraId="0C351F84" w14:textId="77777777" w:rsidR="00264DCB" w:rsidRDefault="00264DCB" w:rsidP="005E0D08">
            <w:pPr>
              <w:spacing w:line="360" w:lineRule="auto"/>
              <w:jc w:val="center"/>
            </w:pPr>
            <w:r>
              <w:rPr>
                <w:rFonts w:ascii="Arial" w:hAnsi="Arial" w:cs="Arial"/>
                <w:color w:val="000000"/>
                <w:sz w:val="16"/>
                <w:szCs w:val="16"/>
              </w:rPr>
              <w:t>5</w:t>
            </w:r>
            <w:r w:rsidRPr="00A819AA">
              <w:rPr>
                <w:rFonts w:ascii="Arial" w:hAnsi="Arial" w:cs="Arial"/>
                <w:color w:val="000000"/>
                <w:sz w:val="16"/>
                <w:szCs w:val="16"/>
              </w:rPr>
              <w:t>.</w:t>
            </w:r>
            <w:r>
              <w:rPr>
                <w:rFonts w:ascii="Arial" w:hAnsi="Arial" w:cs="Arial"/>
                <w:color w:val="000000"/>
                <w:sz w:val="16"/>
                <w:szCs w:val="16"/>
              </w:rPr>
              <w:t>5</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0.2</w:t>
            </w:r>
          </w:p>
        </w:tc>
        <w:tc>
          <w:tcPr>
            <w:tcW w:w="1869" w:type="dxa"/>
            <w:tcBorders>
              <w:top w:val="single" w:sz="4" w:space="0" w:color="auto"/>
            </w:tcBorders>
            <w:vAlign w:val="center"/>
          </w:tcPr>
          <w:p w14:paraId="6D06CD0A" w14:textId="77777777" w:rsidR="00264DCB" w:rsidRDefault="00264DCB" w:rsidP="005E0D08">
            <w:pPr>
              <w:spacing w:line="360" w:lineRule="auto"/>
              <w:jc w:val="center"/>
            </w:pPr>
            <w:r>
              <w:rPr>
                <w:rFonts w:ascii="Arial" w:hAnsi="Arial" w:cs="Arial"/>
                <w:color w:val="000000"/>
                <w:sz w:val="16"/>
                <w:szCs w:val="16"/>
              </w:rPr>
              <w:t>6.3</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0.3</w:t>
            </w:r>
          </w:p>
        </w:tc>
      </w:tr>
    </w:tbl>
    <w:p w14:paraId="25ED3248" w14:textId="2F71A1AE" w:rsidR="00B31CC2" w:rsidRDefault="00B31CC2" w:rsidP="009F5CAF">
      <w:pPr>
        <w:spacing w:after="0" w:line="360" w:lineRule="auto"/>
        <w:jc w:val="both"/>
        <w:rPr>
          <w:rFonts w:ascii="Times New Roman" w:hAnsi="Times New Roman" w:cs="Times New Roman"/>
          <w:sz w:val="24"/>
          <w:lang w:val="en-GB"/>
        </w:rPr>
      </w:pPr>
    </w:p>
    <w:p w14:paraId="21BBC4A9" w14:textId="0370B3C9" w:rsidR="00F0114E" w:rsidRDefault="00F0114E" w:rsidP="00F0114E">
      <w:pPr>
        <w:spacing w:after="0" w:line="360" w:lineRule="auto"/>
        <w:ind w:firstLine="706"/>
        <w:jc w:val="both"/>
        <w:rPr>
          <w:rFonts w:ascii="Times New Roman" w:hAnsi="Times New Roman" w:cs="Times New Roman"/>
          <w:sz w:val="24"/>
          <w:lang w:val="en-GB"/>
        </w:rPr>
      </w:pPr>
      <w:r>
        <w:rPr>
          <w:rFonts w:ascii="Times New Roman" w:hAnsi="Times New Roman" w:cs="Times New Roman"/>
          <w:sz w:val="24"/>
          <w:lang w:val="en-GB"/>
        </w:rPr>
        <w:t>Generally, the distribution of the Fe(III) in the sediment follows the distribution of total dissolved Fe. T</w:t>
      </w:r>
      <w:r w:rsidRPr="0023761B">
        <w:rPr>
          <w:rFonts w:ascii="Times New Roman" w:hAnsi="Times New Roman" w:cs="Times New Roman"/>
          <w:sz w:val="24"/>
          <w:lang w:val="en-GB"/>
        </w:rPr>
        <w:t>here</w:t>
      </w:r>
      <w:r w:rsidR="00B31CC2" w:rsidRPr="0023761B">
        <w:rPr>
          <w:rFonts w:ascii="Times New Roman" w:hAnsi="Times New Roman" w:cs="Times New Roman"/>
          <w:sz w:val="24"/>
          <w:lang w:val="en-GB"/>
        </w:rPr>
        <w:t xml:space="preserve"> is a</w:t>
      </w:r>
      <w:r w:rsidR="00B31CC2">
        <w:rPr>
          <w:rFonts w:ascii="Times New Roman" w:hAnsi="Times New Roman" w:cs="Times New Roman"/>
          <w:sz w:val="24"/>
          <w:lang w:val="en-GB"/>
        </w:rPr>
        <w:t>n</w:t>
      </w:r>
      <w:r w:rsidR="00B31CC2" w:rsidRPr="0023761B">
        <w:rPr>
          <w:rFonts w:ascii="Times New Roman" w:hAnsi="Times New Roman" w:cs="Times New Roman"/>
          <w:sz w:val="24"/>
          <w:lang w:val="en-GB"/>
        </w:rPr>
        <w:t xml:space="preserve"> </w:t>
      </w:r>
      <w:r w:rsidR="00B31CC2">
        <w:rPr>
          <w:rFonts w:ascii="Times New Roman" w:hAnsi="Times New Roman" w:cs="Times New Roman"/>
          <w:sz w:val="24"/>
          <w:lang w:val="en-GB"/>
        </w:rPr>
        <w:t>increase</w:t>
      </w:r>
      <w:r w:rsidR="00B31CC2" w:rsidRPr="0023761B">
        <w:rPr>
          <w:rFonts w:ascii="Times New Roman" w:hAnsi="Times New Roman" w:cs="Times New Roman"/>
          <w:sz w:val="24"/>
          <w:lang w:val="en-GB"/>
        </w:rPr>
        <w:t xml:space="preserve"> of Fe(III) below the SWI at the depth of approximately 2.5</w:t>
      </w:r>
      <w:r w:rsidR="00E44FC3">
        <w:rPr>
          <w:rFonts w:ascii="Times New Roman" w:hAnsi="Times New Roman" w:cs="Times New Roman"/>
          <w:sz w:val="24"/>
          <w:lang w:val="en-GB"/>
        </w:rPr>
        <w:t xml:space="preserve"> – 5</w:t>
      </w:r>
      <w:r w:rsidR="00B31CC2" w:rsidRPr="0023761B">
        <w:rPr>
          <w:rFonts w:ascii="Times New Roman" w:hAnsi="Times New Roman" w:cs="Times New Roman"/>
          <w:sz w:val="24"/>
          <w:lang w:val="en-GB"/>
        </w:rPr>
        <w:t xml:space="preserve"> cm in the centre of the gel. This might indicate a</w:t>
      </w:r>
      <w:r w:rsidR="00B31CC2">
        <w:rPr>
          <w:rFonts w:ascii="Times New Roman" w:hAnsi="Times New Roman" w:cs="Times New Roman"/>
          <w:sz w:val="24"/>
          <w:lang w:val="en-GB"/>
        </w:rPr>
        <w:t xml:space="preserve"> geological</w:t>
      </w:r>
      <w:r w:rsidR="00B31CC2" w:rsidRPr="0023761B">
        <w:rPr>
          <w:rFonts w:ascii="Times New Roman" w:hAnsi="Times New Roman" w:cs="Times New Roman"/>
          <w:sz w:val="24"/>
          <w:lang w:val="en-GB"/>
        </w:rPr>
        <w:t xml:space="preserve"> source </w:t>
      </w:r>
      <w:r w:rsidR="00B31CC2">
        <w:rPr>
          <w:rFonts w:ascii="Times New Roman" w:hAnsi="Times New Roman" w:cs="Times New Roman"/>
          <w:sz w:val="24"/>
          <w:lang w:val="en-GB"/>
        </w:rPr>
        <w:t>dissolving and releasing Fe(III) into the pore waters, or a local oxidation hotspot that would oxidize any Fe(II)</w:t>
      </w:r>
      <w:r w:rsidR="00E44FC3">
        <w:rPr>
          <w:rFonts w:ascii="Times New Roman" w:hAnsi="Times New Roman" w:cs="Times New Roman"/>
          <w:sz w:val="24"/>
          <w:lang w:val="en-GB"/>
        </w:rPr>
        <w:t xml:space="preserve"> to Fe(III)</w:t>
      </w:r>
      <w:r w:rsidR="00B31CC2">
        <w:rPr>
          <w:rFonts w:ascii="Times New Roman" w:hAnsi="Times New Roman" w:cs="Times New Roman"/>
          <w:sz w:val="24"/>
          <w:lang w:val="en-GB"/>
        </w:rPr>
        <w:t xml:space="preserve">. </w:t>
      </w:r>
      <w:r>
        <w:rPr>
          <w:rFonts w:ascii="Times New Roman" w:hAnsi="Times New Roman" w:cs="Times New Roman"/>
          <w:sz w:val="24"/>
          <w:lang w:val="en-GB"/>
        </w:rPr>
        <w:t xml:space="preserve">The oxidation source might be geochemical or microbial. Very likely this feature indicates sediment heterogeneity, which we were able to observe as a result of the newly developed method. </w:t>
      </w:r>
    </w:p>
    <w:p w14:paraId="3B7442E3" w14:textId="6E6DDDD2" w:rsidR="00F0114E" w:rsidRDefault="00F0114E" w:rsidP="00F0114E">
      <w:pPr>
        <w:spacing w:after="0" w:line="360" w:lineRule="auto"/>
        <w:ind w:firstLine="706"/>
        <w:jc w:val="both"/>
        <w:rPr>
          <w:rFonts w:ascii="Times New Roman" w:hAnsi="Times New Roman" w:cs="Times New Roman"/>
          <w:sz w:val="24"/>
          <w:lang w:val="en-GB"/>
        </w:rPr>
      </w:pPr>
      <w:r>
        <w:rPr>
          <w:rFonts w:ascii="Times New Roman" w:hAnsi="Times New Roman" w:cs="Times New Roman"/>
          <w:sz w:val="24"/>
          <w:lang w:val="en-GB"/>
        </w:rPr>
        <w:t xml:space="preserve">The coupling of DGT and BDS methods enables the determination of the distribution of Fe redox species in two dimensions. While Fe(III) is present over all investigated area and occurs simultaneously with Fe(II), Fe(III) is exclusively present on the right side of the gel. Combined with the Fe(II) results, this part of the sediment appears to be fully oxygenated and/or excludes formation of Fe(II), at least during the sampling period. As the DGT technique reports time-average values, this indicates very stable conditions in the time of the sampling. </w:t>
      </w:r>
    </w:p>
    <w:p w14:paraId="7636E0D8" w14:textId="27A2B45F" w:rsidR="00F0114E" w:rsidRDefault="00F0114E" w:rsidP="00F0114E">
      <w:pPr>
        <w:spacing w:after="0" w:line="360" w:lineRule="auto"/>
        <w:ind w:firstLine="706"/>
        <w:jc w:val="both"/>
        <w:rPr>
          <w:rFonts w:ascii="Times New Roman" w:hAnsi="Times New Roman" w:cs="Times New Roman"/>
          <w:sz w:val="24"/>
          <w:lang w:val="en-GB"/>
        </w:rPr>
      </w:pPr>
      <w:r>
        <w:rPr>
          <w:rFonts w:ascii="Times New Roman" w:hAnsi="Times New Roman" w:cs="Times New Roman"/>
          <w:sz w:val="24"/>
          <w:lang w:val="en-GB"/>
        </w:rPr>
        <w:t xml:space="preserve">The DGT-BDS method does not require intensive manipulation after the sampling, which renders the possibility of transport or storage artefacts that could influence Fe speciation less likely and increases the reliability of the obtained results. Therefore, the observed patterns of Fe redox species likely accurately represent the sedimentary conditions. </w:t>
      </w:r>
      <w:r>
        <w:rPr>
          <w:rFonts w:ascii="Times New Roman" w:hAnsi="Times New Roman" w:cs="Times New Roman"/>
          <w:sz w:val="24"/>
          <w:lang w:val="en-US"/>
        </w:rPr>
        <w:t>T</w:t>
      </w:r>
      <w:r w:rsidRPr="00B31CC2">
        <w:rPr>
          <w:rFonts w:ascii="Times New Roman" w:hAnsi="Times New Roman" w:cs="Times New Roman"/>
          <w:sz w:val="24"/>
          <w:lang w:val="en-GB"/>
        </w:rPr>
        <w:t xml:space="preserve">o </w:t>
      </w:r>
      <w:r>
        <w:rPr>
          <w:rFonts w:ascii="Times New Roman" w:hAnsi="Times New Roman" w:cs="Times New Roman"/>
          <w:sz w:val="24"/>
          <w:lang w:val="en-GB"/>
        </w:rPr>
        <w:t>summarize the data obtained in F</w:t>
      </w:r>
      <w:r w:rsidRPr="00B31CC2">
        <w:rPr>
          <w:rFonts w:ascii="Times New Roman" w:hAnsi="Times New Roman" w:cs="Times New Roman"/>
          <w:sz w:val="24"/>
          <w:lang w:val="en-GB"/>
        </w:rPr>
        <w:t xml:space="preserve">igure </w:t>
      </w:r>
      <w:r>
        <w:rPr>
          <w:rFonts w:ascii="Times New Roman" w:hAnsi="Times New Roman" w:cs="Times New Roman"/>
          <w:sz w:val="24"/>
          <w:lang w:val="en-GB"/>
        </w:rPr>
        <w:t>6</w:t>
      </w:r>
      <w:r w:rsidRPr="00B31CC2">
        <w:rPr>
          <w:rFonts w:ascii="Times New Roman" w:hAnsi="Times New Roman" w:cs="Times New Roman"/>
          <w:sz w:val="24"/>
          <w:lang w:val="en-GB"/>
        </w:rPr>
        <w:t xml:space="preserve"> presents the Fe</w:t>
      </w:r>
      <w:r>
        <w:rPr>
          <w:rFonts w:ascii="Times New Roman" w:hAnsi="Times New Roman" w:cs="Times New Roman"/>
          <w:sz w:val="24"/>
          <w:lang w:val="en-GB"/>
        </w:rPr>
        <w:t xml:space="preserve"> (II), total Fe and Fe (III)</w:t>
      </w:r>
      <w:r w:rsidRPr="00B31CC2">
        <w:rPr>
          <w:rFonts w:ascii="Times New Roman" w:hAnsi="Times New Roman" w:cs="Times New Roman"/>
          <w:sz w:val="24"/>
          <w:lang w:val="en-GB"/>
        </w:rPr>
        <w:t xml:space="preserve"> distribution </w:t>
      </w:r>
      <w:r>
        <w:rPr>
          <w:rFonts w:ascii="Times New Roman" w:hAnsi="Times New Roman" w:cs="Times New Roman"/>
          <w:sz w:val="24"/>
          <w:lang w:val="en-GB"/>
        </w:rPr>
        <w:t xml:space="preserve">in the Chelex-100 resin, </w:t>
      </w:r>
      <w:r w:rsidRPr="001F6394">
        <w:rPr>
          <w:rFonts w:ascii="Times New Roman" w:hAnsi="Times New Roman" w:cs="Times New Roman"/>
          <w:sz w:val="24"/>
          <w:lang w:val="en-GB"/>
        </w:rPr>
        <w:t>respectively</w:t>
      </w:r>
      <w:r>
        <w:rPr>
          <w:rFonts w:ascii="Times New Roman" w:hAnsi="Times New Roman" w:cs="Times New Roman"/>
          <w:sz w:val="24"/>
          <w:lang w:val="en-GB"/>
        </w:rPr>
        <w:t>.</w:t>
      </w:r>
    </w:p>
    <w:p w14:paraId="325CAB44" w14:textId="7AC75781" w:rsidR="00F0114E" w:rsidRDefault="00F0114E" w:rsidP="00F0114E">
      <w:pPr>
        <w:spacing w:after="0" w:line="360" w:lineRule="auto"/>
        <w:ind w:firstLine="706"/>
        <w:jc w:val="both"/>
        <w:rPr>
          <w:rFonts w:ascii="Times New Roman" w:hAnsi="Times New Roman" w:cs="Times New Roman"/>
          <w:sz w:val="24"/>
          <w:lang w:val="en-GB"/>
        </w:rPr>
      </w:pPr>
      <w:r>
        <w:rPr>
          <w:rFonts w:ascii="Times New Roman" w:hAnsi="Times New Roman" w:cs="Times New Roman"/>
          <w:sz w:val="24"/>
          <w:lang w:val="en-GB"/>
        </w:rPr>
        <w:t xml:space="preserve"> Although our preliminary results are not accompanied with a suite of other geochemical parameters, they clearly demonstrate the potential and applicability of the newly developed method to be used for two-dimensional imaging of dissolved, bioavailable Fe redox species in natural environments. </w:t>
      </w:r>
    </w:p>
    <w:p w14:paraId="32BDF002" w14:textId="363170A9" w:rsidR="003A7FDA" w:rsidRDefault="003A7FDA" w:rsidP="00F0114E">
      <w:pPr>
        <w:spacing w:after="0" w:line="360" w:lineRule="auto"/>
        <w:ind w:firstLine="706"/>
        <w:jc w:val="both"/>
        <w:rPr>
          <w:rFonts w:ascii="Times New Roman" w:hAnsi="Times New Roman" w:cs="Times New Roman"/>
          <w:sz w:val="24"/>
          <w:lang w:val="en-GB"/>
        </w:rPr>
      </w:pPr>
    </w:p>
    <w:p w14:paraId="05037482" w14:textId="482C97BD" w:rsidR="00B31CC2" w:rsidRDefault="003A7FDA" w:rsidP="00B4512A">
      <w:pPr>
        <w:spacing w:after="0" w:line="360" w:lineRule="auto"/>
        <w:rPr>
          <w:rFonts w:ascii="Times New Roman" w:hAnsi="Times New Roman" w:cs="Times New Roman"/>
          <w:sz w:val="24"/>
          <w:lang w:val="en-GB"/>
        </w:rPr>
      </w:pPr>
      <w:r>
        <w:rPr>
          <w:noProof/>
          <w:lang w:val="en-US"/>
        </w:rPr>
        <mc:AlternateContent>
          <mc:Choice Requires="wpg">
            <w:drawing>
              <wp:inline distT="0" distB="0" distL="0" distR="0" wp14:anchorId="199E268E" wp14:editId="6F8117B2">
                <wp:extent cx="6120000" cy="2716530"/>
                <wp:effectExtent l="0" t="0" r="0" b="7620"/>
                <wp:docPr id="10" name="Group 4"/>
                <wp:cNvGraphicFramePr/>
                <a:graphic xmlns:a="http://schemas.openxmlformats.org/drawingml/2006/main">
                  <a:graphicData uri="http://schemas.microsoft.com/office/word/2010/wordprocessingGroup">
                    <wpg:wgp>
                      <wpg:cNvGrpSpPr/>
                      <wpg:grpSpPr>
                        <a:xfrm>
                          <a:off x="0" y="0"/>
                          <a:ext cx="6120000" cy="2716530"/>
                          <a:chOff x="0" y="0"/>
                          <a:chExt cx="8636910" cy="3118104"/>
                        </a:xfrm>
                      </wpg:grpSpPr>
                      <wpg:graphicFrame>
                        <wpg:cNvPr id="11" name="Chart 11"/>
                        <wpg:cNvFrPr>
                          <a:graphicFrameLocks/>
                        </wpg:cNvFrPr>
                        <wpg:xfrm>
                          <a:off x="0" y="0"/>
                          <a:ext cx="2880000" cy="3117533"/>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12" name="Chart 12"/>
                        <wpg:cNvFrPr>
                          <a:graphicFrameLocks/>
                        </wpg:cNvFrPr>
                        <wpg:xfrm>
                          <a:off x="2868930" y="0"/>
                          <a:ext cx="2880000" cy="3118104"/>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13" name="Chart 13"/>
                        <wpg:cNvFrPr>
                          <a:graphicFrameLocks/>
                        </wpg:cNvFrPr>
                        <wpg:xfrm>
                          <a:off x="5756910" y="0"/>
                          <a:ext cx="2880000" cy="3118104"/>
                        </wpg:xfrm>
                        <a:graphic>
                          <a:graphicData uri="http://schemas.openxmlformats.org/drawingml/2006/chart">
                            <c:chart xmlns:c="http://schemas.openxmlformats.org/drawingml/2006/chart" xmlns:r="http://schemas.openxmlformats.org/officeDocument/2006/relationships" r:id="rId16"/>
                          </a:graphicData>
                        </a:graphic>
                      </wpg:graphicFrame>
                    </wpg:wgp>
                  </a:graphicData>
                </a:graphic>
              </wp:inline>
            </w:drawing>
          </mc:Choice>
          <mc:Fallback>
            <w:pict>
              <v:group w14:anchorId="13410068" id="Group 4" o:spid="_x0000_s1026" style="width:481.9pt;height:213.9pt;mso-position-horizontal-relative:char;mso-position-vertical-relative:line" coordsize="86369,31181" o:gfxdata="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1" o:spid="_x0000_s1027" type="#_x0000_t75" style="position:absolute;width:28820;height:312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">
                  <v:imagedata r:id="rId17" o:title=""/>
                  <o:lock v:ext="edit" aspectratio="f"/>
                </v:shape>
                <v:shape id="Chart 12" o:spid="_x0000_s1028" type="#_x0000_t75" style="position:absolute;left:28648;width:28820;height:312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">
                  <v:imagedata r:id="rId18" o:title=""/>
                  <o:lock v:ext="edit" aspectratio="f"/>
                </v:shape>
                <v:shape id="Chart 13" o:spid="_x0000_s1029" type="#_x0000_t75" style="position:absolute;left:57554;width:28820;height:312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">
                  <v:imagedata r:id="rId19" o:title=""/>
                  <o:lock v:ext="edit" aspectratio="f"/>
                </v:shape>
                <w10:anchorlock/>
              </v:group>
            </w:pict>
          </mc:Fallback>
        </mc:AlternateContent>
      </w:r>
    </w:p>
    <w:p w14:paraId="25176AEF" w14:textId="3209D4D2" w:rsidR="00715244" w:rsidRDefault="00D76735" w:rsidP="00715244">
      <w:pPr>
        <w:spacing w:after="0" w:line="360" w:lineRule="auto"/>
        <w:rPr>
          <w:rFonts w:ascii="Times New Roman" w:hAnsi="Times New Roman" w:cs="Times New Roman"/>
          <w:sz w:val="24"/>
          <w:lang w:val="en-GB"/>
        </w:rPr>
      </w:pPr>
      <w:r w:rsidRPr="002F73AB">
        <w:rPr>
          <w:rFonts w:ascii="Times New Roman" w:hAnsi="Times New Roman" w:cs="Times New Roman"/>
          <w:b/>
          <w:sz w:val="24"/>
          <w:lang w:val="en-GB"/>
        </w:rPr>
        <w:t>Fig.6</w:t>
      </w:r>
      <w:r w:rsidR="00715244" w:rsidRPr="002F73AB">
        <w:rPr>
          <w:rFonts w:ascii="Times New Roman" w:hAnsi="Times New Roman" w:cs="Times New Roman"/>
          <w:b/>
          <w:sz w:val="24"/>
          <w:lang w:val="en-GB"/>
        </w:rPr>
        <w:t>.</w:t>
      </w:r>
      <w:r w:rsidR="00715244" w:rsidRPr="0023761B">
        <w:rPr>
          <w:rFonts w:ascii="Times New Roman" w:hAnsi="Times New Roman" w:cs="Times New Roman"/>
          <w:sz w:val="24"/>
          <w:lang w:val="en-GB"/>
        </w:rPr>
        <w:t xml:space="preserve"> </w:t>
      </w:r>
      <w:r w:rsidR="00715244">
        <w:rPr>
          <w:rFonts w:ascii="Times New Roman" w:hAnsi="Times New Roman" w:cs="Times New Roman"/>
          <w:sz w:val="24"/>
          <w:lang w:val="en-GB"/>
        </w:rPr>
        <w:t>G</w:t>
      </w:r>
      <w:r w:rsidR="00715244" w:rsidRPr="0023761B">
        <w:rPr>
          <w:rFonts w:ascii="Times New Roman" w:hAnsi="Times New Roman" w:cs="Times New Roman"/>
          <w:sz w:val="24"/>
          <w:lang w:val="en-GB"/>
        </w:rPr>
        <w:t xml:space="preserve">raphical presentation of </w:t>
      </w:r>
      <w:r w:rsidR="00715244" w:rsidRPr="001E190F">
        <w:rPr>
          <w:rFonts w:ascii="Times New Roman" w:hAnsi="Times New Roman" w:cs="Times New Roman"/>
          <w:sz w:val="24"/>
          <w:szCs w:val="24"/>
          <w:lang w:val="en-GB"/>
        </w:rPr>
        <w:t xml:space="preserve">Fe </w:t>
      </w:r>
      <w:r w:rsidR="00715244" w:rsidRPr="001E190F">
        <w:rPr>
          <w:rFonts w:ascii="Times New Roman" w:hAnsi="Times New Roman" w:cs="Times New Roman"/>
          <w:sz w:val="24"/>
          <w:szCs w:val="24"/>
        </w:rPr>
        <w:t>redox species</w:t>
      </w:r>
      <w:r w:rsidR="00715244">
        <w:t xml:space="preserve"> </w:t>
      </w:r>
      <w:r w:rsidR="00715244" w:rsidRPr="0023761B">
        <w:rPr>
          <w:rFonts w:ascii="Times New Roman" w:hAnsi="Times New Roman" w:cs="Times New Roman"/>
          <w:sz w:val="24"/>
          <w:lang w:val="en-GB"/>
        </w:rPr>
        <w:t>distribution in the Chelex-100 resin</w:t>
      </w:r>
      <w:r w:rsidR="00715244">
        <w:rPr>
          <w:rFonts w:ascii="Times New Roman" w:hAnsi="Times New Roman" w:cs="Times New Roman"/>
          <w:sz w:val="24"/>
          <w:lang w:val="en-GB"/>
        </w:rPr>
        <w:t>.</w:t>
      </w:r>
    </w:p>
    <w:p w14:paraId="68446D4F" w14:textId="09BA587D" w:rsidR="00715244" w:rsidRDefault="00715244" w:rsidP="00B4512A">
      <w:pPr>
        <w:spacing w:after="0" w:line="360" w:lineRule="auto"/>
        <w:rPr>
          <w:rFonts w:ascii="Times New Roman" w:hAnsi="Times New Roman" w:cs="Times New Roman"/>
          <w:sz w:val="24"/>
          <w:lang w:val="en-GB"/>
        </w:rPr>
      </w:pPr>
    </w:p>
    <w:p w14:paraId="4CE174AC" w14:textId="384EDFE5" w:rsidR="00B263CC" w:rsidRPr="00B263CC" w:rsidRDefault="00B263CC" w:rsidP="00B263CC">
      <w:pPr>
        <w:pStyle w:val="ListParagraph"/>
        <w:numPr>
          <w:ilvl w:val="1"/>
          <w:numId w:val="3"/>
        </w:numPr>
        <w:spacing w:after="0" w:line="360" w:lineRule="auto"/>
        <w:rPr>
          <w:rFonts w:ascii="Times New Roman" w:hAnsi="Times New Roman" w:cs="Times New Roman"/>
          <w:b/>
          <w:sz w:val="24"/>
          <w:lang w:val="en-GB"/>
        </w:rPr>
      </w:pPr>
      <w:r w:rsidRPr="00B263CC">
        <w:rPr>
          <w:rFonts w:ascii="Times New Roman" w:hAnsi="Times New Roman" w:cs="Times New Roman"/>
          <w:b/>
          <w:sz w:val="24"/>
          <w:lang w:val="en-GB"/>
        </w:rPr>
        <w:t xml:space="preserve">  Concentrations of the </w:t>
      </w:r>
      <w:r w:rsidRPr="00B263CC">
        <w:rPr>
          <w:rFonts w:ascii="Times New Roman" w:hAnsi="Times New Roman" w:cs="Times New Roman"/>
          <w:b/>
          <w:sz w:val="24"/>
          <w:szCs w:val="24"/>
          <w:lang w:val="en-GB"/>
        </w:rPr>
        <w:t xml:space="preserve">Fe </w:t>
      </w:r>
      <w:r w:rsidRPr="00B263CC">
        <w:rPr>
          <w:rFonts w:ascii="Times New Roman" w:hAnsi="Times New Roman" w:cs="Times New Roman"/>
          <w:b/>
          <w:sz w:val="24"/>
          <w:szCs w:val="24"/>
        </w:rPr>
        <w:t>redox species</w:t>
      </w:r>
      <w:r w:rsidRPr="00B263CC">
        <w:rPr>
          <w:b/>
        </w:rPr>
        <w:t xml:space="preserve"> </w:t>
      </w:r>
      <w:r w:rsidRPr="00B263CC">
        <w:rPr>
          <w:rFonts w:ascii="Times New Roman" w:hAnsi="Times New Roman" w:cs="Times New Roman"/>
          <w:b/>
          <w:sz w:val="24"/>
          <w:lang w:val="en-GB"/>
        </w:rPr>
        <w:t xml:space="preserve">in the </w:t>
      </w:r>
      <w:r>
        <w:rPr>
          <w:rFonts w:ascii="Times New Roman" w:hAnsi="Times New Roman" w:cs="Times New Roman"/>
          <w:b/>
          <w:sz w:val="24"/>
          <w:lang w:val="en-US"/>
        </w:rPr>
        <w:t>river</w:t>
      </w:r>
      <w:r w:rsidRPr="00B263CC">
        <w:rPr>
          <w:rFonts w:ascii="Times New Roman" w:hAnsi="Times New Roman" w:cs="Times New Roman"/>
          <w:b/>
          <w:sz w:val="24"/>
          <w:lang w:val="en-GB"/>
        </w:rPr>
        <w:t xml:space="preserve"> sediment</w:t>
      </w:r>
    </w:p>
    <w:p w14:paraId="1E58B153" w14:textId="3D369101" w:rsidR="00F0114E" w:rsidRPr="00F0114E" w:rsidRDefault="00F0114E" w:rsidP="00F0114E">
      <w:pPr>
        <w:spacing w:after="0" w:line="360" w:lineRule="auto"/>
        <w:ind w:firstLine="706"/>
        <w:jc w:val="both"/>
        <w:rPr>
          <w:rFonts w:ascii="Times New Roman" w:hAnsi="Times New Roman" w:cs="Times New Roman"/>
          <w:sz w:val="24"/>
          <w:lang w:val="en-US"/>
        </w:rPr>
      </w:pPr>
      <w:r w:rsidRPr="00F0114E">
        <w:rPr>
          <w:rFonts w:ascii="Times New Roman" w:hAnsi="Times New Roman" w:cs="Times New Roman"/>
          <w:sz w:val="24"/>
          <w:lang w:val="en-GB"/>
        </w:rPr>
        <w:t>Using the equation</w:t>
      </w:r>
      <w:r w:rsidRPr="00F0114E">
        <w:rPr>
          <w:rFonts w:ascii="Times New Roman" w:hAnsi="Times New Roman" w:cs="Times New Roman"/>
          <w:sz w:val="24"/>
          <w:lang w:val="en-US"/>
        </w:rPr>
        <w:t xml:space="preserve"> (1)</w:t>
      </w:r>
      <w:r w:rsidRPr="00F0114E">
        <w:rPr>
          <w:rFonts w:ascii="Times New Roman" w:hAnsi="Times New Roman" w:cs="Times New Roman"/>
          <w:sz w:val="24"/>
          <w:lang w:val="en-GB"/>
        </w:rPr>
        <w:t xml:space="preserve"> we calculated the concentration of Fe species in the sediment pore waters </w:t>
      </w:r>
      <w:r w:rsidRPr="00F0114E">
        <w:rPr>
          <w:rFonts w:ascii="Times New Roman" w:hAnsi="Times New Roman" w:cs="Times New Roman"/>
          <w:sz w:val="24"/>
          <w:lang w:val="en-US"/>
        </w:rPr>
        <w:t>(Table 4).</w:t>
      </w:r>
    </w:p>
    <w:p w14:paraId="4B979019" w14:textId="77777777" w:rsidR="00F0114E" w:rsidRPr="00F0114E" w:rsidRDefault="00F0114E" w:rsidP="00F0114E">
      <w:pPr>
        <w:pStyle w:val="ListParagraph"/>
        <w:spacing w:after="0" w:line="360" w:lineRule="auto"/>
        <w:ind w:left="360"/>
        <w:rPr>
          <w:rFonts w:ascii="Times New Roman" w:hAnsi="Times New Roman" w:cs="Times New Roman"/>
          <w:sz w:val="24"/>
          <w:lang w:val="en-GB"/>
        </w:rPr>
      </w:pPr>
    </w:p>
    <w:p w14:paraId="107FEBD9" w14:textId="48CB90F3" w:rsidR="00F0114E" w:rsidRPr="00F0114E" w:rsidRDefault="00F0114E" w:rsidP="00F0114E">
      <w:pPr>
        <w:spacing w:after="0" w:line="360" w:lineRule="auto"/>
        <w:jc w:val="both"/>
        <w:rPr>
          <w:rFonts w:ascii="Times New Roman" w:hAnsi="Times New Roman" w:cs="Times New Roman"/>
          <w:sz w:val="24"/>
          <w:lang w:val="en-GB"/>
        </w:rPr>
      </w:pPr>
      <w:r w:rsidRPr="002F73AB">
        <w:rPr>
          <w:rFonts w:ascii="Times New Roman" w:hAnsi="Times New Roman" w:cs="Times New Roman"/>
          <w:b/>
          <w:sz w:val="24"/>
          <w:lang w:val="en-GB"/>
        </w:rPr>
        <w:t>Table 4.</w:t>
      </w:r>
      <w:r w:rsidRPr="00F0114E">
        <w:rPr>
          <w:rFonts w:ascii="Times New Roman" w:hAnsi="Times New Roman" w:cs="Times New Roman"/>
          <w:sz w:val="24"/>
          <w:lang w:val="en-GB"/>
        </w:rPr>
        <w:t xml:space="preserve"> Concentrations of the </w:t>
      </w:r>
      <w:r w:rsidRPr="00F0114E">
        <w:rPr>
          <w:rFonts w:ascii="Times New Roman" w:hAnsi="Times New Roman" w:cs="Times New Roman"/>
          <w:sz w:val="24"/>
          <w:szCs w:val="24"/>
          <w:lang w:val="en-GB"/>
        </w:rPr>
        <w:t xml:space="preserve">Fe </w:t>
      </w:r>
      <w:r w:rsidRPr="00F0114E">
        <w:rPr>
          <w:rFonts w:ascii="Times New Roman" w:hAnsi="Times New Roman" w:cs="Times New Roman"/>
          <w:sz w:val="24"/>
          <w:szCs w:val="24"/>
        </w:rPr>
        <w:t>redox species</w:t>
      </w:r>
      <w:r>
        <w:t xml:space="preserve"> </w:t>
      </w:r>
      <w:r w:rsidRPr="00F0114E">
        <w:rPr>
          <w:rFonts w:ascii="Times New Roman" w:hAnsi="Times New Roman" w:cs="Times New Roman"/>
          <w:sz w:val="24"/>
          <w:lang w:val="en-GB"/>
        </w:rPr>
        <w:t>in the Vrtojbica sediment.</w:t>
      </w:r>
    </w:p>
    <w:tbl>
      <w:tblPr>
        <w:tblW w:w="9223" w:type="dxa"/>
        <w:jc w:val="center"/>
        <w:tblLayout w:type="fixed"/>
        <w:tblCellMar>
          <w:left w:w="70" w:type="dxa"/>
          <w:right w:w="70" w:type="dxa"/>
        </w:tblCellMar>
        <w:tblLook w:val="04A0" w:firstRow="1" w:lastRow="0" w:firstColumn="1" w:lastColumn="0" w:noHBand="0" w:noVBand="1"/>
      </w:tblPr>
      <w:tblGrid>
        <w:gridCol w:w="2056"/>
        <w:gridCol w:w="1598"/>
        <w:gridCol w:w="1594"/>
        <w:gridCol w:w="1593"/>
        <w:gridCol w:w="2382"/>
      </w:tblGrid>
      <w:tr w:rsidR="001E190F" w:rsidRPr="00E019A6" w14:paraId="597FD688" w14:textId="77777777" w:rsidTr="00840939">
        <w:trPr>
          <w:trHeight w:val="20"/>
          <w:jc w:val="center"/>
        </w:trPr>
        <w:tc>
          <w:tcPr>
            <w:tcW w:w="2056" w:type="dxa"/>
            <w:shd w:val="clear" w:color="auto" w:fill="auto"/>
            <w:vAlign w:val="center"/>
          </w:tcPr>
          <w:p w14:paraId="06C9FE72" w14:textId="77777777" w:rsidR="001E190F" w:rsidRPr="00F0114E" w:rsidRDefault="001E190F" w:rsidP="00840939">
            <w:pPr>
              <w:spacing w:after="0" w:line="360" w:lineRule="auto"/>
              <w:jc w:val="center"/>
              <w:rPr>
                <w:rFonts w:ascii="Arial" w:eastAsia="Times New Roman" w:hAnsi="Arial" w:cs="Arial"/>
                <w:bCs/>
                <w:color w:val="000000"/>
                <w:sz w:val="16"/>
                <w:szCs w:val="16"/>
                <w:lang w:val="en-GB" w:eastAsia="sl-SI"/>
              </w:rPr>
            </w:pPr>
          </w:p>
        </w:tc>
        <w:tc>
          <w:tcPr>
            <w:tcW w:w="4785" w:type="dxa"/>
            <w:gridSpan w:val="3"/>
            <w:tcBorders>
              <w:bottom w:val="single" w:sz="4" w:space="0" w:color="auto"/>
            </w:tcBorders>
            <w:shd w:val="clear" w:color="auto" w:fill="auto"/>
            <w:noWrap/>
            <w:vAlign w:val="center"/>
          </w:tcPr>
          <w:p w14:paraId="0E331291" w14:textId="77777777" w:rsidR="001E190F" w:rsidRPr="00E019A6" w:rsidRDefault="001E190F" w:rsidP="00840939">
            <w:pPr>
              <w:spacing w:after="0" w:line="360" w:lineRule="auto"/>
              <w:jc w:val="center"/>
              <w:rPr>
                <w:rFonts w:ascii="Arial" w:eastAsia="Times New Roman" w:hAnsi="Arial" w:cs="Arial"/>
                <w:b/>
                <w:color w:val="000000"/>
                <w:sz w:val="16"/>
                <w:szCs w:val="16"/>
                <w:lang w:eastAsia="sl-SI"/>
              </w:rPr>
            </w:pPr>
            <w:r w:rsidRPr="00E019A6">
              <w:rPr>
                <w:rFonts w:ascii="Arial" w:eastAsia="Times New Roman" w:hAnsi="Arial" w:cs="Arial"/>
                <w:b/>
                <w:bCs/>
                <w:color w:val="000000"/>
                <w:sz w:val="16"/>
                <w:szCs w:val="16"/>
                <w:lang w:eastAsia="sl-SI"/>
              </w:rPr>
              <w:t>Horizontal position in the sample, cm</w:t>
            </w:r>
          </w:p>
        </w:tc>
        <w:tc>
          <w:tcPr>
            <w:tcW w:w="2382" w:type="dxa"/>
            <w:vAlign w:val="center"/>
          </w:tcPr>
          <w:p w14:paraId="585BEC29" w14:textId="77777777" w:rsidR="001E190F" w:rsidRPr="00E019A6" w:rsidRDefault="001E190F" w:rsidP="00840939">
            <w:pPr>
              <w:spacing w:after="0" w:line="360" w:lineRule="auto"/>
              <w:jc w:val="center"/>
              <w:rPr>
                <w:rFonts w:ascii="Arial" w:eastAsia="Times New Roman" w:hAnsi="Arial" w:cs="Arial"/>
                <w:color w:val="000000"/>
                <w:sz w:val="16"/>
                <w:szCs w:val="16"/>
                <w:lang w:eastAsia="sl-SI"/>
              </w:rPr>
            </w:pPr>
          </w:p>
        </w:tc>
      </w:tr>
      <w:tr w:rsidR="001E190F" w:rsidRPr="00E019A6" w14:paraId="63C37DE8" w14:textId="77777777" w:rsidTr="00840939">
        <w:trPr>
          <w:trHeight w:val="20"/>
          <w:jc w:val="center"/>
        </w:trPr>
        <w:tc>
          <w:tcPr>
            <w:tcW w:w="2056" w:type="dxa"/>
            <w:tcBorders>
              <w:bottom w:val="single" w:sz="4" w:space="0" w:color="auto"/>
            </w:tcBorders>
            <w:shd w:val="clear" w:color="auto" w:fill="auto"/>
            <w:vAlign w:val="center"/>
          </w:tcPr>
          <w:p w14:paraId="1855FFFE"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sl-SI"/>
              </w:rPr>
            </w:pPr>
          </w:p>
        </w:tc>
        <w:tc>
          <w:tcPr>
            <w:tcW w:w="1598" w:type="dxa"/>
            <w:tcBorders>
              <w:top w:val="single" w:sz="4" w:space="0" w:color="auto"/>
              <w:bottom w:val="single" w:sz="4" w:space="0" w:color="auto"/>
            </w:tcBorders>
            <w:shd w:val="clear" w:color="auto" w:fill="auto"/>
            <w:noWrap/>
            <w:vAlign w:val="center"/>
          </w:tcPr>
          <w:p w14:paraId="364A6BEC" w14:textId="77777777" w:rsidR="001E190F" w:rsidRPr="00E019A6" w:rsidRDefault="001E190F" w:rsidP="00840939">
            <w:pPr>
              <w:spacing w:after="0" w:line="360" w:lineRule="auto"/>
              <w:jc w:val="center"/>
              <w:rPr>
                <w:rFonts w:ascii="Arial" w:eastAsia="Times New Roman" w:hAnsi="Arial" w:cs="Arial"/>
                <w:color w:val="000000"/>
                <w:sz w:val="16"/>
                <w:szCs w:val="16"/>
                <w:lang w:eastAsia="sl-SI"/>
              </w:rPr>
            </w:pPr>
            <w:r w:rsidRPr="00E019A6">
              <w:rPr>
                <w:rFonts w:ascii="Arial" w:eastAsia="Times New Roman" w:hAnsi="Arial" w:cs="Arial"/>
                <w:color w:val="000000"/>
                <w:sz w:val="16"/>
                <w:szCs w:val="16"/>
                <w:lang w:eastAsia="sl-SI"/>
              </w:rPr>
              <w:t>0.6</w:t>
            </w:r>
          </w:p>
        </w:tc>
        <w:tc>
          <w:tcPr>
            <w:tcW w:w="1594" w:type="dxa"/>
            <w:tcBorders>
              <w:top w:val="single" w:sz="4" w:space="0" w:color="auto"/>
              <w:bottom w:val="single" w:sz="4" w:space="0" w:color="auto"/>
            </w:tcBorders>
            <w:shd w:val="clear" w:color="auto" w:fill="auto"/>
            <w:vAlign w:val="center"/>
          </w:tcPr>
          <w:p w14:paraId="601AFC7F" w14:textId="77777777" w:rsidR="001E190F" w:rsidRPr="00E019A6" w:rsidRDefault="001E190F" w:rsidP="00840939">
            <w:pPr>
              <w:spacing w:after="0" w:line="360" w:lineRule="auto"/>
              <w:jc w:val="center"/>
              <w:rPr>
                <w:rFonts w:ascii="Arial" w:eastAsia="Times New Roman" w:hAnsi="Arial" w:cs="Arial"/>
                <w:color w:val="000000"/>
                <w:sz w:val="16"/>
                <w:szCs w:val="16"/>
                <w:lang w:eastAsia="sl-SI"/>
              </w:rPr>
            </w:pPr>
            <w:r w:rsidRPr="00E019A6">
              <w:rPr>
                <w:rFonts w:ascii="Arial" w:eastAsia="Times New Roman" w:hAnsi="Arial" w:cs="Arial"/>
                <w:color w:val="000000"/>
                <w:sz w:val="16"/>
                <w:szCs w:val="16"/>
                <w:lang w:eastAsia="sl-SI"/>
              </w:rPr>
              <w:t>1.2</w:t>
            </w:r>
          </w:p>
        </w:tc>
        <w:tc>
          <w:tcPr>
            <w:tcW w:w="1593" w:type="dxa"/>
            <w:tcBorders>
              <w:top w:val="single" w:sz="4" w:space="0" w:color="auto"/>
              <w:bottom w:val="single" w:sz="4" w:space="0" w:color="auto"/>
            </w:tcBorders>
            <w:shd w:val="clear" w:color="auto" w:fill="auto"/>
            <w:vAlign w:val="center"/>
          </w:tcPr>
          <w:p w14:paraId="06558415" w14:textId="77777777" w:rsidR="001E190F" w:rsidRPr="00E019A6" w:rsidRDefault="001E190F" w:rsidP="00840939">
            <w:pPr>
              <w:spacing w:after="0" w:line="360" w:lineRule="auto"/>
              <w:jc w:val="center"/>
              <w:rPr>
                <w:rFonts w:ascii="Arial" w:eastAsia="Times New Roman" w:hAnsi="Arial" w:cs="Arial"/>
                <w:color w:val="000000"/>
                <w:sz w:val="16"/>
                <w:szCs w:val="16"/>
                <w:lang w:eastAsia="sl-SI"/>
              </w:rPr>
            </w:pPr>
            <w:r w:rsidRPr="00E019A6">
              <w:rPr>
                <w:rFonts w:ascii="Arial" w:eastAsia="Times New Roman" w:hAnsi="Arial" w:cs="Arial"/>
                <w:color w:val="000000"/>
                <w:sz w:val="16"/>
                <w:szCs w:val="16"/>
                <w:lang w:eastAsia="sl-SI"/>
              </w:rPr>
              <w:t>1.8</w:t>
            </w:r>
          </w:p>
        </w:tc>
        <w:tc>
          <w:tcPr>
            <w:tcW w:w="2382" w:type="dxa"/>
            <w:tcBorders>
              <w:left w:val="nil"/>
            </w:tcBorders>
            <w:vAlign w:val="center"/>
          </w:tcPr>
          <w:p w14:paraId="19B8DB58" w14:textId="77777777" w:rsidR="001E190F" w:rsidRPr="00E019A6" w:rsidRDefault="001E190F" w:rsidP="00840939">
            <w:pPr>
              <w:spacing w:after="0" w:line="360" w:lineRule="auto"/>
              <w:jc w:val="center"/>
              <w:rPr>
                <w:rFonts w:ascii="Arial" w:eastAsia="Times New Roman" w:hAnsi="Arial" w:cs="Arial"/>
                <w:color w:val="000000"/>
                <w:sz w:val="16"/>
                <w:szCs w:val="16"/>
                <w:lang w:eastAsia="sl-SI"/>
              </w:rPr>
            </w:pPr>
          </w:p>
        </w:tc>
      </w:tr>
      <w:tr w:rsidR="001E190F" w:rsidRPr="00E019A6" w14:paraId="6351534C" w14:textId="77777777" w:rsidTr="00840939">
        <w:trPr>
          <w:trHeight w:val="20"/>
          <w:jc w:val="center"/>
        </w:trPr>
        <w:tc>
          <w:tcPr>
            <w:tcW w:w="2056" w:type="dxa"/>
            <w:tcBorders>
              <w:top w:val="single" w:sz="4" w:space="0" w:color="auto"/>
              <w:bottom w:val="single" w:sz="4" w:space="0" w:color="auto"/>
              <w:right w:val="single" w:sz="4" w:space="0" w:color="auto"/>
            </w:tcBorders>
            <w:shd w:val="clear" w:color="auto" w:fill="auto"/>
            <w:vAlign w:val="center"/>
            <w:hideMark/>
          </w:tcPr>
          <w:p w14:paraId="5DC21D4C" w14:textId="77777777" w:rsidR="001E190F" w:rsidRPr="00E019A6" w:rsidRDefault="001E190F" w:rsidP="00840939">
            <w:pPr>
              <w:spacing w:after="0" w:line="360" w:lineRule="auto"/>
              <w:jc w:val="center"/>
              <w:rPr>
                <w:rFonts w:ascii="Arial" w:eastAsia="Times New Roman" w:hAnsi="Arial" w:cs="Arial"/>
                <w:b/>
                <w:bCs/>
                <w:color w:val="000000"/>
                <w:sz w:val="16"/>
                <w:szCs w:val="16"/>
                <w:lang w:eastAsia="sl-SI"/>
              </w:rPr>
            </w:pPr>
            <w:r w:rsidRPr="00E019A6">
              <w:rPr>
                <w:rFonts w:ascii="Arial" w:eastAsia="Times New Roman" w:hAnsi="Arial" w:cs="Arial"/>
                <w:b/>
                <w:bCs/>
                <w:color w:val="000000"/>
                <w:sz w:val="16"/>
                <w:szCs w:val="16"/>
                <w:lang w:eastAsia="sl-SI"/>
              </w:rPr>
              <w:t>Vertical position in the sample, cm</w:t>
            </w:r>
          </w:p>
        </w:tc>
        <w:tc>
          <w:tcPr>
            <w:tcW w:w="47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ADBA6" w14:textId="77777777" w:rsidR="001E190F" w:rsidRPr="00E019A6" w:rsidRDefault="001E190F" w:rsidP="00840939">
            <w:pPr>
              <w:spacing w:after="0" w:line="360" w:lineRule="auto"/>
              <w:jc w:val="center"/>
              <w:rPr>
                <w:rFonts w:ascii="Arial" w:eastAsia="Times New Roman" w:hAnsi="Arial" w:cs="Arial"/>
                <w:b/>
                <w:bCs/>
                <w:color w:val="000000"/>
                <w:sz w:val="16"/>
                <w:szCs w:val="16"/>
                <w:lang w:eastAsia="sl-SI"/>
              </w:rPr>
            </w:pPr>
            <w:r w:rsidRPr="00E019A6">
              <w:rPr>
                <w:rFonts w:ascii="Arial" w:eastAsia="Times New Roman" w:hAnsi="Arial" w:cs="Arial"/>
                <w:b/>
                <w:bCs/>
                <w:color w:val="000000"/>
                <w:sz w:val="16"/>
                <w:szCs w:val="16"/>
                <w:lang w:eastAsia="sl-SI"/>
              </w:rPr>
              <w:t>Fe(II) in pore waters, µg/L</w:t>
            </w:r>
          </w:p>
        </w:tc>
        <w:tc>
          <w:tcPr>
            <w:tcW w:w="2382" w:type="dxa"/>
            <w:tcBorders>
              <w:top w:val="single" w:sz="4" w:space="0" w:color="auto"/>
              <w:left w:val="single" w:sz="4" w:space="0" w:color="auto"/>
              <w:bottom w:val="single" w:sz="4" w:space="0" w:color="auto"/>
            </w:tcBorders>
            <w:vAlign w:val="center"/>
          </w:tcPr>
          <w:p w14:paraId="1EF976DA" w14:textId="77777777" w:rsidR="001E190F" w:rsidRPr="00E019A6" w:rsidRDefault="001E190F" w:rsidP="00840939">
            <w:pPr>
              <w:spacing w:after="0" w:line="360" w:lineRule="auto"/>
              <w:jc w:val="center"/>
              <w:rPr>
                <w:rFonts w:ascii="Arial" w:eastAsia="Times New Roman" w:hAnsi="Arial" w:cs="Arial"/>
                <w:b/>
                <w:color w:val="000000"/>
                <w:sz w:val="16"/>
                <w:szCs w:val="16"/>
                <w:lang w:eastAsia="sl-SI"/>
              </w:rPr>
            </w:pPr>
            <w:r w:rsidRPr="00E019A6">
              <w:rPr>
                <w:rFonts w:ascii="Arial" w:eastAsia="Times New Roman" w:hAnsi="Arial" w:cs="Arial"/>
                <w:b/>
                <w:color w:val="000000"/>
                <w:sz w:val="16"/>
                <w:szCs w:val="16"/>
                <w:lang w:eastAsia="sl-SI"/>
              </w:rPr>
              <w:t>Average</w:t>
            </w:r>
            <w:r w:rsidRPr="00E019A6">
              <w:rPr>
                <w:rFonts w:ascii="Arial" w:eastAsia="Times New Roman" w:hAnsi="Arial" w:cs="Arial"/>
                <w:b/>
                <w:bCs/>
                <w:color w:val="000000"/>
                <w:sz w:val="16"/>
                <w:szCs w:val="16"/>
                <w:lang w:eastAsia="sl-SI"/>
              </w:rPr>
              <w:t>, µg/L</w:t>
            </w:r>
          </w:p>
        </w:tc>
      </w:tr>
      <w:tr w:rsidR="001E190F" w:rsidRPr="00E019A6" w14:paraId="2B56DBFD" w14:textId="77777777" w:rsidTr="00840939">
        <w:trPr>
          <w:trHeight w:val="20"/>
          <w:jc w:val="center"/>
        </w:trPr>
        <w:tc>
          <w:tcPr>
            <w:tcW w:w="2056" w:type="dxa"/>
            <w:tcBorders>
              <w:right w:val="single" w:sz="4" w:space="0" w:color="auto"/>
            </w:tcBorders>
            <w:shd w:val="clear" w:color="auto" w:fill="auto"/>
            <w:vAlign w:val="center"/>
            <w:hideMark/>
          </w:tcPr>
          <w:p w14:paraId="41F57D1A" w14:textId="77777777" w:rsidR="001E190F" w:rsidRPr="00E019A6" w:rsidRDefault="001E190F" w:rsidP="00840939">
            <w:pPr>
              <w:spacing w:after="0" w:line="360" w:lineRule="auto"/>
              <w:jc w:val="center"/>
              <w:rPr>
                <w:rFonts w:ascii="Arial" w:eastAsia="Times New Roman" w:hAnsi="Arial" w:cs="Arial"/>
                <w:bCs/>
                <w:iCs/>
                <w:color w:val="000000"/>
                <w:sz w:val="16"/>
                <w:szCs w:val="16"/>
                <w:lang w:eastAsia="sl-SI"/>
              </w:rPr>
            </w:pPr>
            <w:r w:rsidRPr="00E019A6">
              <w:rPr>
                <w:rFonts w:ascii="Arial" w:eastAsia="Times New Roman" w:hAnsi="Arial" w:cs="Arial"/>
                <w:bCs/>
                <w:iCs/>
                <w:color w:val="000000"/>
                <w:sz w:val="16"/>
                <w:szCs w:val="16"/>
                <w:lang w:eastAsia="sl-SI"/>
              </w:rPr>
              <w:t>0</w:t>
            </w:r>
          </w:p>
        </w:tc>
        <w:tc>
          <w:tcPr>
            <w:tcW w:w="1598" w:type="dxa"/>
            <w:tcBorders>
              <w:top w:val="nil"/>
              <w:left w:val="single" w:sz="4" w:space="0" w:color="auto"/>
              <w:bottom w:val="nil"/>
            </w:tcBorders>
            <w:shd w:val="clear" w:color="auto" w:fill="auto"/>
            <w:noWrap/>
            <w:vAlign w:val="center"/>
            <w:hideMark/>
          </w:tcPr>
          <w:p w14:paraId="01CD16E8" w14:textId="77777777" w:rsidR="001E190F" w:rsidRPr="00E019A6" w:rsidRDefault="001E190F" w:rsidP="00840939">
            <w:pPr>
              <w:spacing w:after="0" w:line="360" w:lineRule="auto"/>
              <w:jc w:val="center"/>
              <w:rPr>
                <w:rFonts w:ascii="Arial" w:hAnsi="Arial" w:cs="Arial"/>
                <w:color w:val="000000"/>
                <w:sz w:val="16"/>
                <w:szCs w:val="16"/>
                <w:lang w:val="en-US"/>
              </w:rPr>
            </w:pPr>
            <w:r>
              <w:rPr>
                <w:rFonts w:ascii="Arial" w:eastAsia="Times New Roman" w:hAnsi="Arial" w:cs="Arial"/>
                <w:bCs/>
                <w:color w:val="000000"/>
                <w:sz w:val="16"/>
                <w:szCs w:val="16"/>
                <w:lang w:eastAsia="en-GB"/>
              </w:rPr>
              <w:t>13.2</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1.3</w:t>
            </w:r>
          </w:p>
        </w:tc>
        <w:tc>
          <w:tcPr>
            <w:tcW w:w="1594" w:type="dxa"/>
            <w:tcBorders>
              <w:top w:val="nil"/>
              <w:left w:val="nil"/>
              <w:bottom w:val="nil"/>
            </w:tcBorders>
            <w:shd w:val="clear" w:color="auto" w:fill="auto"/>
            <w:noWrap/>
            <w:vAlign w:val="center"/>
            <w:hideMark/>
          </w:tcPr>
          <w:p w14:paraId="33F46832" w14:textId="77777777" w:rsidR="001E190F" w:rsidRPr="00E019A6" w:rsidRDefault="001E190F" w:rsidP="00840939">
            <w:pPr>
              <w:spacing w:after="0" w:line="360" w:lineRule="auto"/>
              <w:jc w:val="center"/>
              <w:rPr>
                <w:rFonts w:ascii="Arial" w:hAnsi="Arial" w:cs="Arial"/>
                <w:color w:val="000000"/>
                <w:sz w:val="16"/>
                <w:szCs w:val="16"/>
              </w:rPr>
            </w:pPr>
            <w:r>
              <w:rPr>
                <w:rFonts w:ascii="Arial" w:eastAsia="Times New Roman" w:hAnsi="Arial" w:cs="Arial"/>
                <w:bCs/>
                <w:color w:val="000000"/>
                <w:sz w:val="16"/>
                <w:szCs w:val="16"/>
                <w:lang w:eastAsia="en-GB"/>
              </w:rPr>
              <w:t>12.0</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2.5</w:t>
            </w:r>
          </w:p>
        </w:tc>
        <w:tc>
          <w:tcPr>
            <w:tcW w:w="1593" w:type="dxa"/>
            <w:tcBorders>
              <w:top w:val="nil"/>
              <w:bottom w:val="nil"/>
              <w:right w:val="single" w:sz="4" w:space="0" w:color="auto"/>
            </w:tcBorders>
            <w:shd w:val="clear" w:color="auto" w:fill="auto"/>
            <w:noWrap/>
            <w:vAlign w:val="center"/>
            <w:hideMark/>
          </w:tcPr>
          <w:p w14:paraId="424E1C8F" w14:textId="77777777" w:rsidR="001E190F" w:rsidRPr="00E019A6" w:rsidRDefault="001E190F" w:rsidP="00840939">
            <w:pPr>
              <w:spacing w:after="0" w:line="360" w:lineRule="auto"/>
              <w:jc w:val="center"/>
              <w:rPr>
                <w:rFonts w:ascii="Arial" w:hAnsi="Arial" w:cs="Arial"/>
                <w:color w:val="000000"/>
                <w:sz w:val="16"/>
                <w:szCs w:val="16"/>
              </w:rPr>
            </w:pPr>
            <w:r>
              <w:rPr>
                <w:rFonts w:ascii="Arial" w:eastAsia="Times New Roman" w:hAnsi="Arial" w:cs="Arial"/>
                <w:bCs/>
                <w:color w:val="000000"/>
                <w:sz w:val="16"/>
                <w:szCs w:val="16"/>
                <w:lang w:eastAsia="en-GB"/>
              </w:rPr>
              <w:t>12.0</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2.5</w:t>
            </w:r>
          </w:p>
        </w:tc>
        <w:tc>
          <w:tcPr>
            <w:tcW w:w="2382" w:type="dxa"/>
            <w:tcBorders>
              <w:top w:val="nil"/>
              <w:left w:val="single" w:sz="4" w:space="0" w:color="auto"/>
              <w:bottom w:val="nil"/>
            </w:tcBorders>
            <w:shd w:val="clear" w:color="auto" w:fill="auto"/>
            <w:vAlign w:val="center"/>
          </w:tcPr>
          <w:p w14:paraId="49AA74FD" w14:textId="77777777" w:rsidR="001E190F" w:rsidRPr="00E019A6" w:rsidRDefault="001E190F" w:rsidP="00840939">
            <w:pPr>
              <w:spacing w:after="0" w:line="360" w:lineRule="auto"/>
              <w:jc w:val="center"/>
              <w:rPr>
                <w:rFonts w:ascii="Arial" w:hAnsi="Arial" w:cs="Arial"/>
                <w:color w:val="000000"/>
                <w:sz w:val="16"/>
                <w:szCs w:val="16"/>
              </w:rPr>
            </w:pPr>
            <w:r>
              <w:rPr>
                <w:rFonts w:ascii="Arial" w:hAnsi="Arial" w:cs="Arial"/>
                <w:color w:val="000000"/>
                <w:sz w:val="16"/>
                <w:szCs w:val="16"/>
              </w:rPr>
              <w:t>12.4</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2.1</w:t>
            </w:r>
          </w:p>
        </w:tc>
      </w:tr>
      <w:tr w:rsidR="001E190F" w:rsidRPr="00E019A6" w14:paraId="6EA1D1BE" w14:textId="77777777" w:rsidTr="00840939">
        <w:trPr>
          <w:trHeight w:val="20"/>
          <w:jc w:val="center"/>
        </w:trPr>
        <w:tc>
          <w:tcPr>
            <w:tcW w:w="2056" w:type="dxa"/>
            <w:tcBorders>
              <w:right w:val="single" w:sz="4" w:space="0" w:color="auto"/>
            </w:tcBorders>
            <w:shd w:val="clear" w:color="auto" w:fill="auto"/>
            <w:vAlign w:val="center"/>
            <w:hideMark/>
          </w:tcPr>
          <w:p w14:paraId="3E4236BA" w14:textId="77777777" w:rsidR="001E190F" w:rsidRPr="00E019A6" w:rsidRDefault="001E190F" w:rsidP="00840939">
            <w:pPr>
              <w:spacing w:after="0" w:line="360" w:lineRule="auto"/>
              <w:jc w:val="center"/>
              <w:rPr>
                <w:rFonts w:ascii="Arial" w:eastAsia="Times New Roman" w:hAnsi="Arial" w:cs="Arial"/>
                <w:bCs/>
                <w:iCs/>
                <w:color w:val="000000"/>
                <w:sz w:val="16"/>
                <w:szCs w:val="16"/>
                <w:lang w:eastAsia="sl-SI"/>
              </w:rPr>
            </w:pPr>
            <w:r w:rsidRPr="00E019A6">
              <w:rPr>
                <w:rFonts w:ascii="Arial" w:eastAsia="Times New Roman" w:hAnsi="Arial" w:cs="Arial"/>
                <w:bCs/>
                <w:iCs/>
                <w:color w:val="000000"/>
                <w:sz w:val="16"/>
                <w:szCs w:val="16"/>
                <w:lang w:eastAsia="sl-SI"/>
              </w:rPr>
              <w:t>-2.5</w:t>
            </w:r>
          </w:p>
        </w:tc>
        <w:tc>
          <w:tcPr>
            <w:tcW w:w="1598" w:type="dxa"/>
            <w:tcBorders>
              <w:top w:val="nil"/>
              <w:left w:val="single" w:sz="4" w:space="0" w:color="auto"/>
              <w:bottom w:val="nil"/>
            </w:tcBorders>
            <w:shd w:val="clear" w:color="auto" w:fill="auto"/>
            <w:noWrap/>
            <w:vAlign w:val="center"/>
            <w:hideMark/>
          </w:tcPr>
          <w:p w14:paraId="0D3A51CB" w14:textId="77777777" w:rsidR="001E190F" w:rsidRPr="00E019A6" w:rsidRDefault="001E190F" w:rsidP="00840939">
            <w:pPr>
              <w:spacing w:after="0" w:line="360" w:lineRule="auto"/>
              <w:jc w:val="center"/>
              <w:rPr>
                <w:rFonts w:ascii="Arial" w:hAnsi="Arial" w:cs="Arial"/>
                <w:color w:val="000000"/>
                <w:sz w:val="16"/>
                <w:szCs w:val="16"/>
              </w:rPr>
            </w:pPr>
            <w:r>
              <w:rPr>
                <w:rFonts w:ascii="Arial" w:eastAsia="Times New Roman" w:hAnsi="Arial" w:cs="Arial"/>
                <w:bCs/>
                <w:color w:val="000000"/>
                <w:sz w:val="16"/>
                <w:szCs w:val="16"/>
                <w:lang w:eastAsia="en-GB"/>
              </w:rPr>
              <w:t>14.5</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1.3</w:t>
            </w:r>
          </w:p>
        </w:tc>
        <w:tc>
          <w:tcPr>
            <w:tcW w:w="1594" w:type="dxa"/>
            <w:tcBorders>
              <w:top w:val="nil"/>
              <w:left w:val="nil"/>
              <w:bottom w:val="nil"/>
            </w:tcBorders>
            <w:shd w:val="clear" w:color="auto" w:fill="auto"/>
            <w:noWrap/>
            <w:vAlign w:val="center"/>
            <w:hideMark/>
          </w:tcPr>
          <w:p w14:paraId="11609285" w14:textId="77777777" w:rsidR="001E190F" w:rsidRPr="00E019A6" w:rsidRDefault="001E190F" w:rsidP="00840939">
            <w:pPr>
              <w:spacing w:after="0" w:line="360" w:lineRule="auto"/>
              <w:jc w:val="center"/>
              <w:rPr>
                <w:rFonts w:ascii="Arial" w:hAnsi="Arial" w:cs="Arial"/>
                <w:color w:val="000000"/>
                <w:sz w:val="16"/>
                <w:szCs w:val="16"/>
              </w:rPr>
            </w:pPr>
          </w:p>
        </w:tc>
        <w:tc>
          <w:tcPr>
            <w:tcW w:w="1593" w:type="dxa"/>
            <w:tcBorders>
              <w:top w:val="nil"/>
              <w:bottom w:val="nil"/>
              <w:right w:val="single" w:sz="4" w:space="0" w:color="auto"/>
            </w:tcBorders>
            <w:shd w:val="clear" w:color="auto" w:fill="auto"/>
            <w:noWrap/>
            <w:vAlign w:val="center"/>
            <w:hideMark/>
          </w:tcPr>
          <w:p w14:paraId="40E1AD84" w14:textId="77777777" w:rsidR="001E190F" w:rsidRPr="00E019A6" w:rsidRDefault="001E190F" w:rsidP="00840939">
            <w:pPr>
              <w:spacing w:after="0" w:line="360" w:lineRule="auto"/>
              <w:jc w:val="center"/>
              <w:rPr>
                <w:rFonts w:ascii="Arial" w:hAnsi="Arial" w:cs="Arial"/>
                <w:color w:val="000000"/>
                <w:sz w:val="16"/>
                <w:szCs w:val="16"/>
              </w:rPr>
            </w:pPr>
          </w:p>
        </w:tc>
        <w:tc>
          <w:tcPr>
            <w:tcW w:w="2382" w:type="dxa"/>
            <w:tcBorders>
              <w:top w:val="nil"/>
              <w:left w:val="single" w:sz="4" w:space="0" w:color="auto"/>
              <w:bottom w:val="nil"/>
            </w:tcBorders>
            <w:shd w:val="clear" w:color="auto" w:fill="auto"/>
            <w:vAlign w:val="center"/>
          </w:tcPr>
          <w:p w14:paraId="2CCA7972" w14:textId="77777777" w:rsidR="001E190F" w:rsidRPr="00E019A6" w:rsidRDefault="001E190F" w:rsidP="00840939">
            <w:pPr>
              <w:spacing w:after="0" w:line="360" w:lineRule="auto"/>
              <w:jc w:val="center"/>
              <w:rPr>
                <w:rFonts w:ascii="Arial" w:hAnsi="Arial" w:cs="Arial"/>
                <w:color w:val="000000"/>
                <w:sz w:val="16"/>
                <w:szCs w:val="16"/>
              </w:rPr>
            </w:pPr>
            <w:r>
              <w:rPr>
                <w:rFonts w:ascii="Arial" w:hAnsi="Arial" w:cs="Arial"/>
                <w:color w:val="000000"/>
                <w:sz w:val="16"/>
                <w:szCs w:val="16"/>
              </w:rPr>
              <w:t>14.5</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1.3</w:t>
            </w:r>
          </w:p>
        </w:tc>
      </w:tr>
      <w:tr w:rsidR="001E190F" w:rsidRPr="00E019A6" w14:paraId="2A7A73AF" w14:textId="77777777" w:rsidTr="00840939">
        <w:trPr>
          <w:trHeight w:val="20"/>
          <w:jc w:val="center"/>
        </w:trPr>
        <w:tc>
          <w:tcPr>
            <w:tcW w:w="2056" w:type="dxa"/>
            <w:tcBorders>
              <w:bottom w:val="single" w:sz="4" w:space="0" w:color="auto"/>
              <w:right w:val="single" w:sz="4" w:space="0" w:color="auto"/>
            </w:tcBorders>
            <w:shd w:val="clear" w:color="auto" w:fill="auto"/>
            <w:vAlign w:val="center"/>
            <w:hideMark/>
          </w:tcPr>
          <w:p w14:paraId="50F8633A" w14:textId="77777777" w:rsidR="001E190F" w:rsidRPr="00E019A6" w:rsidRDefault="001E190F" w:rsidP="00840939">
            <w:pPr>
              <w:spacing w:after="0" w:line="360" w:lineRule="auto"/>
              <w:jc w:val="center"/>
              <w:rPr>
                <w:rFonts w:ascii="Arial" w:eastAsia="Times New Roman" w:hAnsi="Arial" w:cs="Arial"/>
                <w:bCs/>
                <w:iCs/>
                <w:color w:val="000000"/>
                <w:sz w:val="16"/>
                <w:szCs w:val="16"/>
                <w:lang w:eastAsia="sl-SI"/>
              </w:rPr>
            </w:pPr>
            <w:r w:rsidRPr="00E019A6">
              <w:rPr>
                <w:rFonts w:ascii="Arial" w:eastAsia="Times New Roman" w:hAnsi="Arial" w:cs="Arial"/>
                <w:bCs/>
                <w:iCs/>
                <w:color w:val="000000"/>
                <w:sz w:val="16"/>
                <w:szCs w:val="16"/>
                <w:lang w:eastAsia="sl-SI"/>
              </w:rPr>
              <w:t>-5.0</w:t>
            </w:r>
          </w:p>
        </w:tc>
        <w:tc>
          <w:tcPr>
            <w:tcW w:w="1598" w:type="dxa"/>
            <w:tcBorders>
              <w:top w:val="nil"/>
              <w:left w:val="single" w:sz="4" w:space="0" w:color="auto"/>
              <w:bottom w:val="single" w:sz="4" w:space="0" w:color="auto"/>
            </w:tcBorders>
            <w:shd w:val="clear" w:color="auto" w:fill="auto"/>
            <w:noWrap/>
            <w:vAlign w:val="center"/>
            <w:hideMark/>
          </w:tcPr>
          <w:p w14:paraId="640395FD" w14:textId="77777777" w:rsidR="001E190F" w:rsidRPr="00E019A6" w:rsidRDefault="001E190F" w:rsidP="00840939">
            <w:pPr>
              <w:spacing w:after="0" w:line="360" w:lineRule="auto"/>
              <w:jc w:val="center"/>
              <w:rPr>
                <w:rFonts w:ascii="Arial" w:hAnsi="Arial" w:cs="Arial"/>
                <w:color w:val="000000"/>
                <w:sz w:val="16"/>
                <w:szCs w:val="16"/>
                <w:highlight w:val="yellow"/>
              </w:rPr>
            </w:pPr>
            <w:r>
              <w:rPr>
                <w:rFonts w:ascii="Arial" w:eastAsia="Times New Roman" w:hAnsi="Arial" w:cs="Arial"/>
                <w:bCs/>
                <w:color w:val="000000"/>
                <w:sz w:val="16"/>
                <w:szCs w:val="16"/>
                <w:lang w:eastAsia="en-GB"/>
              </w:rPr>
              <w:t>15.7</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2.5</w:t>
            </w:r>
          </w:p>
        </w:tc>
        <w:tc>
          <w:tcPr>
            <w:tcW w:w="1594" w:type="dxa"/>
            <w:tcBorders>
              <w:top w:val="nil"/>
              <w:left w:val="nil"/>
              <w:bottom w:val="single" w:sz="4" w:space="0" w:color="auto"/>
            </w:tcBorders>
            <w:shd w:val="clear" w:color="auto" w:fill="auto"/>
            <w:noWrap/>
            <w:vAlign w:val="center"/>
            <w:hideMark/>
          </w:tcPr>
          <w:p w14:paraId="789DF6A7" w14:textId="77777777" w:rsidR="001E190F" w:rsidRPr="00E019A6" w:rsidRDefault="001E190F" w:rsidP="00840939">
            <w:pPr>
              <w:spacing w:after="0" w:line="360" w:lineRule="auto"/>
              <w:jc w:val="center"/>
              <w:rPr>
                <w:rFonts w:ascii="Arial" w:hAnsi="Arial" w:cs="Arial"/>
                <w:color w:val="000000"/>
                <w:sz w:val="16"/>
                <w:szCs w:val="16"/>
                <w:highlight w:val="yellow"/>
              </w:rPr>
            </w:pPr>
            <w:r>
              <w:rPr>
                <w:rFonts w:ascii="Arial" w:eastAsia="Times New Roman" w:hAnsi="Arial" w:cs="Arial"/>
                <w:bCs/>
                <w:color w:val="000000"/>
                <w:sz w:val="16"/>
                <w:szCs w:val="16"/>
                <w:lang w:eastAsia="en-GB"/>
              </w:rPr>
              <w:t>9.4</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2.5</w:t>
            </w:r>
          </w:p>
        </w:tc>
        <w:tc>
          <w:tcPr>
            <w:tcW w:w="1593" w:type="dxa"/>
            <w:tcBorders>
              <w:top w:val="nil"/>
              <w:bottom w:val="single" w:sz="4" w:space="0" w:color="auto"/>
              <w:right w:val="single" w:sz="4" w:space="0" w:color="auto"/>
            </w:tcBorders>
            <w:shd w:val="clear" w:color="auto" w:fill="auto"/>
            <w:noWrap/>
            <w:vAlign w:val="center"/>
            <w:hideMark/>
          </w:tcPr>
          <w:p w14:paraId="5F0C6C83" w14:textId="77777777" w:rsidR="001E190F" w:rsidRPr="00E019A6" w:rsidRDefault="001E190F" w:rsidP="00840939">
            <w:pPr>
              <w:spacing w:after="0" w:line="360" w:lineRule="auto"/>
              <w:jc w:val="center"/>
              <w:rPr>
                <w:rFonts w:ascii="Arial" w:hAnsi="Arial" w:cs="Arial"/>
                <w:color w:val="000000"/>
                <w:sz w:val="16"/>
                <w:szCs w:val="16"/>
                <w:highlight w:val="yellow"/>
              </w:rPr>
            </w:pPr>
          </w:p>
        </w:tc>
        <w:tc>
          <w:tcPr>
            <w:tcW w:w="2382" w:type="dxa"/>
            <w:tcBorders>
              <w:top w:val="nil"/>
              <w:left w:val="single" w:sz="4" w:space="0" w:color="auto"/>
              <w:bottom w:val="single" w:sz="4" w:space="0" w:color="auto"/>
            </w:tcBorders>
            <w:shd w:val="clear" w:color="auto" w:fill="auto"/>
            <w:vAlign w:val="center"/>
          </w:tcPr>
          <w:p w14:paraId="7AABC390" w14:textId="77777777" w:rsidR="001E190F" w:rsidRPr="00E019A6" w:rsidRDefault="001E190F" w:rsidP="00840939">
            <w:pPr>
              <w:spacing w:after="0" w:line="360" w:lineRule="auto"/>
              <w:jc w:val="center"/>
              <w:rPr>
                <w:rFonts w:ascii="Arial" w:hAnsi="Arial" w:cs="Arial"/>
                <w:color w:val="000000"/>
                <w:sz w:val="16"/>
                <w:szCs w:val="16"/>
                <w:highlight w:val="yellow"/>
              </w:rPr>
            </w:pPr>
            <w:r w:rsidRPr="00A25555">
              <w:rPr>
                <w:rFonts w:ascii="Arial" w:hAnsi="Arial" w:cs="Arial"/>
                <w:color w:val="000000"/>
                <w:sz w:val="16"/>
                <w:szCs w:val="16"/>
              </w:rPr>
              <w:t>12.6</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2.5</w:t>
            </w:r>
          </w:p>
        </w:tc>
      </w:tr>
      <w:tr w:rsidR="001E190F" w:rsidRPr="00E019A6" w14:paraId="3C8C990C" w14:textId="77777777" w:rsidTr="00840939">
        <w:trPr>
          <w:trHeight w:val="20"/>
          <w:jc w:val="center"/>
        </w:trPr>
        <w:tc>
          <w:tcPr>
            <w:tcW w:w="2056" w:type="dxa"/>
            <w:tcBorders>
              <w:bottom w:val="single" w:sz="4" w:space="0" w:color="auto"/>
              <w:right w:val="single" w:sz="4" w:space="0" w:color="auto"/>
            </w:tcBorders>
            <w:shd w:val="clear" w:color="auto" w:fill="auto"/>
            <w:vAlign w:val="center"/>
          </w:tcPr>
          <w:p w14:paraId="36B4CA88" w14:textId="77777777" w:rsidR="001E190F" w:rsidRPr="00E019A6" w:rsidRDefault="001E190F" w:rsidP="00840939">
            <w:pPr>
              <w:spacing w:after="0" w:line="360" w:lineRule="auto"/>
              <w:jc w:val="center"/>
              <w:rPr>
                <w:rFonts w:ascii="Arial" w:eastAsia="Times New Roman" w:hAnsi="Arial" w:cs="Arial"/>
                <w:bCs/>
                <w:iCs/>
                <w:color w:val="000000"/>
                <w:sz w:val="16"/>
                <w:szCs w:val="16"/>
                <w:lang w:eastAsia="sl-SI"/>
              </w:rPr>
            </w:pPr>
            <w:r w:rsidRPr="00E019A6">
              <w:rPr>
                <w:rFonts w:ascii="Arial" w:eastAsia="Times New Roman" w:hAnsi="Arial" w:cs="Arial"/>
                <w:b/>
                <w:color w:val="000000"/>
                <w:sz w:val="16"/>
                <w:szCs w:val="16"/>
                <w:lang w:eastAsia="sl-SI"/>
              </w:rPr>
              <w:t>Average</w:t>
            </w:r>
          </w:p>
        </w:tc>
        <w:tc>
          <w:tcPr>
            <w:tcW w:w="1598" w:type="dxa"/>
            <w:tcBorders>
              <w:top w:val="nil"/>
              <w:left w:val="single" w:sz="4" w:space="0" w:color="auto"/>
              <w:bottom w:val="single" w:sz="4" w:space="0" w:color="auto"/>
            </w:tcBorders>
            <w:shd w:val="clear" w:color="auto" w:fill="auto"/>
            <w:noWrap/>
            <w:vAlign w:val="center"/>
          </w:tcPr>
          <w:p w14:paraId="50CA8199"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en-GB"/>
              </w:rPr>
            </w:pPr>
            <w:r>
              <w:rPr>
                <w:rFonts w:ascii="Arial" w:eastAsia="Times New Roman" w:hAnsi="Arial" w:cs="Arial"/>
                <w:bCs/>
                <w:color w:val="000000"/>
                <w:sz w:val="16"/>
                <w:szCs w:val="16"/>
                <w:lang w:eastAsia="en-GB"/>
              </w:rPr>
              <w:t>14.5</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1.7</w:t>
            </w:r>
          </w:p>
        </w:tc>
        <w:tc>
          <w:tcPr>
            <w:tcW w:w="1594" w:type="dxa"/>
            <w:tcBorders>
              <w:top w:val="nil"/>
              <w:left w:val="nil"/>
              <w:bottom w:val="single" w:sz="4" w:space="0" w:color="auto"/>
            </w:tcBorders>
            <w:shd w:val="clear" w:color="auto" w:fill="auto"/>
            <w:noWrap/>
            <w:vAlign w:val="center"/>
          </w:tcPr>
          <w:p w14:paraId="03DA9B49"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en-GB"/>
              </w:rPr>
            </w:pPr>
            <w:r>
              <w:rPr>
                <w:rFonts w:ascii="Arial" w:eastAsia="Times New Roman" w:hAnsi="Arial" w:cs="Arial"/>
                <w:bCs/>
                <w:color w:val="000000"/>
                <w:sz w:val="16"/>
                <w:szCs w:val="16"/>
                <w:lang w:eastAsia="en-GB"/>
              </w:rPr>
              <w:t>10.7</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2.5</w:t>
            </w:r>
          </w:p>
        </w:tc>
        <w:tc>
          <w:tcPr>
            <w:tcW w:w="1593" w:type="dxa"/>
            <w:tcBorders>
              <w:top w:val="nil"/>
              <w:bottom w:val="single" w:sz="4" w:space="0" w:color="auto"/>
              <w:right w:val="single" w:sz="4" w:space="0" w:color="auto"/>
            </w:tcBorders>
            <w:shd w:val="clear" w:color="auto" w:fill="auto"/>
            <w:noWrap/>
            <w:vAlign w:val="center"/>
          </w:tcPr>
          <w:p w14:paraId="7483E4AE" w14:textId="77777777" w:rsidR="001E190F" w:rsidRPr="00E019A6" w:rsidRDefault="001E190F" w:rsidP="00840939">
            <w:pPr>
              <w:spacing w:after="0" w:line="360" w:lineRule="auto"/>
              <w:jc w:val="center"/>
              <w:rPr>
                <w:rFonts w:ascii="Arial" w:hAnsi="Arial" w:cs="Arial"/>
                <w:color w:val="000000"/>
                <w:sz w:val="16"/>
                <w:szCs w:val="16"/>
                <w:highlight w:val="yellow"/>
              </w:rPr>
            </w:pPr>
            <w:r>
              <w:rPr>
                <w:rFonts w:ascii="Arial" w:eastAsia="Times New Roman" w:hAnsi="Arial" w:cs="Arial"/>
                <w:bCs/>
                <w:color w:val="000000"/>
                <w:sz w:val="16"/>
                <w:szCs w:val="16"/>
                <w:lang w:eastAsia="en-GB"/>
              </w:rPr>
              <w:t>12.0</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2.5</w:t>
            </w:r>
          </w:p>
        </w:tc>
        <w:tc>
          <w:tcPr>
            <w:tcW w:w="2382" w:type="dxa"/>
            <w:tcBorders>
              <w:top w:val="nil"/>
              <w:left w:val="single" w:sz="4" w:space="0" w:color="auto"/>
              <w:bottom w:val="single" w:sz="4" w:space="0" w:color="auto"/>
            </w:tcBorders>
            <w:shd w:val="clear" w:color="auto" w:fill="auto"/>
            <w:vAlign w:val="center"/>
          </w:tcPr>
          <w:p w14:paraId="02E8EB04" w14:textId="77777777" w:rsidR="001E190F" w:rsidRPr="00E019A6" w:rsidRDefault="001E190F" w:rsidP="00840939">
            <w:pPr>
              <w:spacing w:after="0" w:line="360" w:lineRule="auto"/>
              <w:jc w:val="center"/>
              <w:rPr>
                <w:rFonts w:ascii="Arial" w:hAnsi="Arial" w:cs="Arial"/>
                <w:color w:val="000000"/>
                <w:sz w:val="16"/>
                <w:szCs w:val="16"/>
                <w:highlight w:val="yellow"/>
              </w:rPr>
            </w:pPr>
            <w:r w:rsidRPr="00AE1BC5">
              <w:rPr>
                <w:rFonts w:ascii="Arial" w:hAnsi="Arial" w:cs="Arial"/>
                <w:color w:val="000000"/>
                <w:sz w:val="16"/>
                <w:szCs w:val="16"/>
              </w:rPr>
              <w:t>12.8</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2.1</w:t>
            </w:r>
          </w:p>
        </w:tc>
      </w:tr>
      <w:tr w:rsidR="001E190F" w:rsidRPr="00E019A6" w14:paraId="25366973" w14:textId="77777777" w:rsidTr="00840939">
        <w:trPr>
          <w:trHeight w:val="20"/>
          <w:jc w:val="center"/>
        </w:trPr>
        <w:tc>
          <w:tcPr>
            <w:tcW w:w="2056" w:type="dxa"/>
            <w:tcBorders>
              <w:top w:val="single" w:sz="4" w:space="0" w:color="auto"/>
              <w:bottom w:val="single" w:sz="4" w:space="0" w:color="auto"/>
              <w:right w:val="single" w:sz="4" w:space="0" w:color="auto"/>
            </w:tcBorders>
            <w:shd w:val="clear" w:color="auto" w:fill="auto"/>
            <w:vAlign w:val="center"/>
          </w:tcPr>
          <w:p w14:paraId="78D83BB9" w14:textId="77777777" w:rsidR="001E190F" w:rsidRPr="00E019A6" w:rsidRDefault="001E190F" w:rsidP="00840939">
            <w:pPr>
              <w:spacing w:after="0" w:line="360" w:lineRule="auto"/>
              <w:jc w:val="center"/>
              <w:rPr>
                <w:rFonts w:ascii="Arial" w:eastAsia="Times New Roman" w:hAnsi="Arial" w:cs="Arial"/>
                <w:b/>
                <w:bCs/>
                <w:iCs/>
                <w:color w:val="000000"/>
                <w:sz w:val="16"/>
                <w:szCs w:val="16"/>
                <w:lang w:eastAsia="sl-SI"/>
              </w:rPr>
            </w:pPr>
            <w:r w:rsidRPr="00E019A6">
              <w:rPr>
                <w:rFonts w:ascii="Arial" w:eastAsia="Times New Roman" w:hAnsi="Arial" w:cs="Arial"/>
                <w:b/>
                <w:bCs/>
                <w:color w:val="000000"/>
                <w:sz w:val="16"/>
                <w:szCs w:val="16"/>
                <w:lang w:eastAsia="sl-SI"/>
              </w:rPr>
              <w:t>Vertical position in the sample, cm</w:t>
            </w:r>
          </w:p>
        </w:tc>
        <w:tc>
          <w:tcPr>
            <w:tcW w:w="47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A781B4D" w14:textId="77777777" w:rsidR="001E190F" w:rsidRPr="00E019A6" w:rsidRDefault="001E190F" w:rsidP="00840939">
            <w:pPr>
              <w:spacing w:after="0" w:line="360" w:lineRule="auto"/>
              <w:jc w:val="center"/>
              <w:rPr>
                <w:rFonts w:ascii="Arial" w:hAnsi="Arial" w:cs="Arial"/>
                <w:b/>
                <w:color w:val="000000"/>
                <w:sz w:val="16"/>
                <w:szCs w:val="16"/>
                <w:highlight w:val="yellow"/>
              </w:rPr>
            </w:pPr>
            <w:r w:rsidRPr="00E019A6">
              <w:rPr>
                <w:rFonts w:ascii="Arial" w:eastAsia="Times New Roman" w:hAnsi="Arial" w:cs="Arial"/>
                <w:b/>
                <w:bCs/>
                <w:color w:val="000000"/>
                <w:sz w:val="16"/>
                <w:szCs w:val="16"/>
                <w:lang w:eastAsia="sl-SI"/>
              </w:rPr>
              <w:t>Total Fe in pore waters</w:t>
            </w:r>
            <w:r w:rsidRPr="00E019A6">
              <w:rPr>
                <w:rFonts w:ascii="Arial" w:eastAsia="Times New Roman" w:hAnsi="Arial" w:cs="Arial"/>
                <w:b/>
                <w:bCs/>
                <w:color w:val="000000"/>
                <w:sz w:val="16"/>
                <w:szCs w:val="16"/>
                <w:lang w:val="en-US" w:eastAsia="sl-SI"/>
              </w:rPr>
              <w:t xml:space="preserve">, </w:t>
            </w:r>
            <w:r w:rsidRPr="00E019A6">
              <w:rPr>
                <w:rFonts w:ascii="Arial" w:eastAsia="Times New Roman" w:hAnsi="Arial" w:cs="Arial"/>
                <w:b/>
                <w:bCs/>
                <w:color w:val="000000"/>
                <w:sz w:val="16"/>
                <w:szCs w:val="16"/>
                <w:lang w:eastAsia="sl-SI"/>
              </w:rPr>
              <w:t>µg/L</w:t>
            </w:r>
          </w:p>
        </w:tc>
        <w:tc>
          <w:tcPr>
            <w:tcW w:w="2382" w:type="dxa"/>
            <w:tcBorders>
              <w:top w:val="single" w:sz="4" w:space="0" w:color="auto"/>
              <w:left w:val="single" w:sz="4" w:space="0" w:color="auto"/>
              <w:bottom w:val="single" w:sz="4" w:space="0" w:color="auto"/>
            </w:tcBorders>
            <w:shd w:val="clear" w:color="auto" w:fill="auto"/>
            <w:vAlign w:val="center"/>
          </w:tcPr>
          <w:p w14:paraId="0CBC0C74" w14:textId="77777777" w:rsidR="001E190F" w:rsidRPr="00E019A6" w:rsidRDefault="001E190F" w:rsidP="00840939">
            <w:pPr>
              <w:spacing w:after="0" w:line="360" w:lineRule="auto"/>
              <w:jc w:val="center"/>
              <w:rPr>
                <w:rFonts w:ascii="Arial" w:hAnsi="Arial" w:cs="Arial"/>
                <w:b/>
                <w:color w:val="000000"/>
                <w:sz w:val="16"/>
                <w:szCs w:val="16"/>
                <w:highlight w:val="yellow"/>
              </w:rPr>
            </w:pPr>
            <w:r w:rsidRPr="00E019A6">
              <w:rPr>
                <w:rFonts w:ascii="Arial" w:eastAsia="Times New Roman" w:hAnsi="Arial" w:cs="Arial"/>
                <w:b/>
                <w:color w:val="000000"/>
                <w:sz w:val="16"/>
                <w:szCs w:val="16"/>
                <w:lang w:eastAsia="sl-SI"/>
              </w:rPr>
              <w:t>Average</w:t>
            </w:r>
            <w:r w:rsidRPr="00E019A6">
              <w:rPr>
                <w:rFonts w:ascii="Arial" w:eastAsia="Times New Roman" w:hAnsi="Arial" w:cs="Arial"/>
                <w:b/>
                <w:bCs/>
                <w:color w:val="000000"/>
                <w:sz w:val="16"/>
                <w:szCs w:val="16"/>
                <w:lang w:eastAsia="sl-SI"/>
              </w:rPr>
              <w:t>, µg/L</w:t>
            </w:r>
          </w:p>
        </w:tc>
      </w:tr>
      <w:tr w:rsidR="001E190F" w:rsidRPr="00E019A6" w14:paraId="11B4AFD8" w14:textId="77777777" w:rsidTr="00840939">
        <w:trPr>
          <w:trHeight w:val="20"/>
          <w:jc w:val="center"/>
        </w:trPr>
        <w:tc>
          <w:tcPr>
            <w:tcW w:w="2056" w:type="dxa"/>
            <w:tcBorders>
              <w:top w:val="single" w:sz="4" w:space="0" w:color="auto"/>
              <w:right w:val="single" w:sz="4" w:space="0" w:color="auto"/>
            </w:tcBorders>
            <w:shd w:val="clear" w:color="auto" w:fill="auto"/>
            <w:vAlign w:val="center"/>
          </w:tcPr>
          <w:p w14:paraId="33783A2B" w14:textId="77777777" w:rsidR="001E190F" w:rsidRPr="00E019A6" w:rsidRDefault="001E190F" w:rsidP="00840939">
            <w:pPr>
              <w:spacing w:after="0" w:line="360" w:lineRule="auto"/>
              <w:jc w:val="center"/>
              <w:rPr>
                <w:rFonts w:ascii="Arial" w:eastAsia="Times New Roman" w:hAnsi="Arial" w:cs="Arial"/>
                <w:bCs/>
                <w:iCs/>
                <w:color w:val="000000"/>
                <w:sz w:val="16"/>
                <w:szCs w:val="16"/>
                <w:lang w:eastAsia="sl-SI"/>
              </w:rPr>
            </w:pPr>
            <w:r w:rsidRPr="00E019A6">
              <w:rPr>
                <w:rFonts w:ascii="Arial" w:eastAsia="Times New Roman" w:hAnsi="Arial" w:cs="Arial"/>
                <w:bCs/>
                <w:iCs/>
                <w:color w:val="000000"/>
                <w:sz w:val="16"/>
                <w:szCs w:val="16"/>
                <w:lang w:eastAsia="sl-SI"/>
              </w:rPr>
              <w:t>0</w:t>
            </w:r>
          </w:p>
        </w:tc>
        <w:tc>
          <w:tcPr>
            <w:tcW w:w="1598" w:type="dxa"/>
            <w:tcBorders>
              <w:top w:val="single" w:sz="4" w:space="0" w:color="auto"/>
              <w:left w:val="single" w:sz="4" w:space="0" w:color="auto"/>
            </w:tcBorders>
            <w:shd w:val="clear" w:color="auto" w:fill="auto"/>
            <w:noWrap/>
            <w:vAlign w:val="center"/>
          </w:tcPr>
          <w:p w14:paraId="265C51D9" w14:textId="77777777" w:rsidR="001E190F" w:rsidRPr="00E019A6" w:rsidRDefault="001E190F" w:rsidP="00840939">
            <w:pPr>
              <w:spacing w:after="0" w:line="360" w:lineRule="auto"/>
              <w:jc w:val="center"/>
              <w:rPr>
                <w:rFonts w:ascii="Arial" w:hAnsi="Arial" w:cs="Arial"/>
                <w:color w:val="000000"/>
                <w:sz w:val="16"/>
                <w:szCs w:val="16"/>
                <w:highlight w:val="yellow"/>
              </w:rPr>
            </w:pPr>
            <w:r>
              <w:rPr>
                <w:rFonts w:ascii="Arial" w:eastAsia="Times New Roman" w:hAnsi="Arial" w:cs="Arial"/>
                <w:bCs/>
                <w:color w:val="000000"/>
                <w:sz w:val="16"/>
                <w:szCs w:val="16"/>
                <w:lang w:eastAsia="en-GB"/>
              </w:rPr>
              <w:t>18.9</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2.5</w:t>
            </w:r>
          </w:p>
        </w:tc>
        <w:tc>
          <w:tcPr>
            <w:tcW w:w="1594" w:type="dxa"/>
            <w:tcBorders>
              <w:top w:val="single" w:sz="4" w:space="0" w:color="auto"/>
            </w:tcBorders>
            <w:shd w:val="clear" w:color="auto" w:fill="auto"/>
            <w:noWrap/>
            <w:vAlign w:val="center"/>
          </w:tcPr>
          <w:p w14:paraId="3EBCBD96" w14:textId="77777777" w:rsidR="001E190F" w:rsidRPr="00E019A6" w:rsidRDefault="001E190F" w:rsidP="00840939">
            <w:pPr>
              <w:spacing w:after="0" w:line="360" w:lineRule="auto"/>
              <w:jc w:val="center"/>
              <w:rPr>
                <w:rFonts w:ascii="Arial" w:hAnsi="Arial" w:cs="Arial"/>
                <w:color w:val="000000"/>
                <w:sz w:val="16"/>
                <w:szCs w:val="16"/>
                <w:highlight w:val="yellow"/>
              </w:rPr>
            </w:pPr>
            <w:r>
              <w:rPr>
                <w:rFonts w:ascii="Arial" w:eastAsia="Times New Roman" w:hAnsi="Arial" w:cs="Arial"/>
                <w:bCs/>
                <w:color w:val="000000"/>
                <w:sz w:val="16"/>
                <w:szCs w:val="16"/>
                <w:lang w:eastAsia="en-GB"/>
              </w:rPr>
              <w:t>52.9</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1.9</w:t>
            </w:r>
          </w:p>
        </w:tc>
        <w:tc>
          <w:tcPr>
            <w:tcW w:w="1593" w:type="dxa"/>
            <w:tcBorders>
              <w:top w:val="single" w:sz="4" w:space="0" w:color="auto"/>
              <w:right w:val="single" w:sz="4" w:space="0" w:color="auto"/>
            </w:tcBorders>
            <w:shd w:val="clear" w:color="auto" w:fill="auto"/>
            <w:noWrap/>
            <w:vAlign w:val="center"/>
          </w:tcPr>
          <w:p w14:paraId="69C1EF78" w14:textId="77777777" w:rsidR="001E190F" w:rsidRPr="00E019A6" w:rsidRDefault="001E190F" w:rsidP="00840939">
            <w:pPr>
              <w:spacing w:after="0" w:line="360" w:lineRule="auto"/>
              <w:jc w:val="center"/>
              <w:rPr>
                <w:rFonts w:ascii="Arial" w:hAnsi="Arial" w:cs="Arial"/>
                <w:color w:val="000000"/>
                <w:sz w:val="16"/>
                <w:szCs w:val="16"/>
                <w:highlight w:val="yellow"/>
              </w:rPr>
            </w:pPr>
            <w:r>
              <w:rPr>
                <w:rFonts w:ascii="Arial" w:eastAsia="Times New Roman" w:hAnsi="Arial" w:cs="Arial"/>
                <w:bCs/>
                <w:color w:val="000000"/>
                <w:sz w:val="16"/>
                <w:szCs w:val="16"/>
                <w:lang w:eastAsia="en-GB"/>
              </w:rPr>
              <w:t>14.5</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0.0</w:t>
            </w:r>
          </w:p>
        </w:tc>
        <w:tc>
          <w:tcPr>
            <w:tcW w:w="2382" w:type="dxa"/>
            <w:tcBorders>
              <w:left w:val="single" w:sz="4" w:space="0" w:color="auto"/>
            </w:tcBorders>
            <w:vAlign w:val="center"/>
          </w:tcPr>
          <w:p w14:paraId="500CAF7A" w14:textId="77777777" w:rsidR="001E190F" w:rsidRPr="00E019A6" w:rsidRDefault="001E190F" w:rsidP="00840939">
            <w:pPr>
              <w:spacing w:after="0" w:line="360" w:lineRule="auto"/>
              <w:jc w:val="center"/>
              <w:rPr>
                <w:rFonts w:ascii="Arial" w:hAnsi="Arial" w:cs="Arial"/>
                <w:color w:val="000000"/>
                <w:sz w:val="16"/>
                <w:szCs w:val="16"/>
                <w:highlight w:val="yellow"/>
              </w:rPr>
            </w:pPr>
            <w:r w:rsidRPr="00A25555">
              <w:rPr>
                <w:rFonts w:ascii="Arial" w:hAnsi="Arial" w:cs="Arial"/>
                <w:color w:val="000000"/>
                <w:sz w:val="16"/>
                <w:szCs w:val="16"/>
              </w:rPr>
              <w:t>28.7</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1.5</w:t>
            </w:r>
          </w:p>
        </w:tc>
      </w:tr>
      <w:tr w:rsidR="001E190F" w:rsidRPr="00E019A6" w14:paraId="6135BE48" w14:textId="77777777" w:rsidTr="00840939">
        <w:trPr>
          <w:trHeight w:val="20"/>
          <w:jc w:val="center"/>
        </w:trPr>
        <w:tc>
          <w:tcPr>
            <w:tcW w:w="2056" w:type="dxa"/>
            <w:tcBorders>
              <w:right w:val="single" w:sz="4" w:space="0" w:color="auto"/>
            </w:tcBorders>
            <w:shd w:val="clear" w:color="auto" w:fill="auto"/>
            <w:vAlign w:val="center"/>
          </w:tcPr>
          <w:p w14:paraId="5BCAA0BF" w14:textId="77777777" w:rsidR="001E190F" w:rsidRPr="00E019A6" w:rsidRDefault="001E190F" w:rsidP="00840939">
            <w:pPr>
              <w:spacing w:after="0" w:line="360" w:lineRule="auto"/>
              <w:jc w:val="center"/>
              <w:rPr>
                <w:rFonts w:ascii="Arial" w:eastAsia="Times New Roman" w:hAnsi="Arial" w:cs="Arial"/>
                <w:bCs/>
                <w:iCs/>
                <w:color w:val="000000"/>
                <w:sz w:val="16"/>
                <w:szCs w:val="16"/>
                <w:lang w:eastAsia="sl-SI"/>
              </w:rPr>
            </w:pPr>
            <w:r w:rsidRPr="00E019A6">
              <w:rPr>
                <w:rFonts w:ascii="Arial" w:eastAsia="Times New Roman" w:hAnsi="Arial" w:cs="Arial"/>
                <w:bCs/>
                <w:iCs/>
                <w:color w:val="000000"/>
                <w:sz w:val="16"/>
                <w:szCs w:val="16"/>
                <w:lang w:eastAsia="sl-SI"/>
              </w:rPr>
              <w:t>-2.5</w:t>
            </w:r>
          </w:p>
        </w:tc>
        <w:tc>
          <w:tcPr>
            <w:tcW w:w="1598" w:type="dxa"/>
            <w:tcBorders>
              <w:top w:val="nil"/>
              <w:left w:val="single" w:sz="4" w:space="0" w:color="auto"/>
            </w:tcBorders>
            <w:shd w:val="clear" w:color="auto" w:fill="auto"/>
            <w:noWrap/>
            <w:vAlign w:val="center"/>
          </w:tcPr>
          <w:p w14:paraId="0785B0D5" w14:textId="77777777" w:rsidR="001E190F" w:rsidRPr="00E019A6" w:rsidRDefault="001E190F" w:rsidP="00840939">
            <w:pPr>
              <w:spacing w:after="0" w:line="360" w:lineRule="auto"/>
              <w:jc w:val="center"/>
              <w:rPr>
                <w:rFonts w:ascii="Arial" w:hAnsi="Arial" w:cs="Arial"/>
                <w:color w:val="000000"/>
                <w:sz w:val="16"/>
                <w:szCs w:val="16"/>
              </w:rPr>
            </w:pPr>
            <w:r>
              <w:rPr>
                <w:rFonts w:ascii="Arial" w:eastAsia="Times New Roman" w:hAnsi="Arial" w:cs="Arial"/>
                <w:bCs/>
                <w:color w:val="000000"/>
                <w:sz w:val="16"/>
                <w:szCs w:val="16"/>
                <w:lang w:eastAsia="en-GB"/>
              </w:rPr>
              <w:t>63.</w:t>
            </w:r>
            <w:r w:rsidRPr="00E019A6">
              <w:rPr>
                <w:rFonts w:ascii="Arial" w:eastAsia="Times New Roman" w:hAnsi="Arial" w:cs="Arial"/>
                <w:bCs/>
                <w:color w:val="000000"/>
                <w:sz w:val="16"/>
                <w:szCs w:val="16"/>
                <w:lang w:eastAsia="en-GB"/>
              </w:rPr>
              <w:t>6</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0.0</w:t>
            </w:r>
          </w:p>
        </w:tc>
        <w:tc>
          <w:tcPr>
            <w:tcW w:w="1594" w:type="dxa"/>
            <w:tcBorders>
              <w:top w:val="nil"/>
            </w:tcBorders>
            <w:shd w:val="clear" w:color="auto" w:fill="auto"/>
            <w:noWrap/>
            <w:vAlign w:val="center"/>
          </w:tcPr>
          <w:p w14:paraId="2EDD8F02" w14:textId="77777777" w:rsidR="001E190F" w:rsidRPr="00E019A6" w:rsidRDefault="001E190F" w:rsidP="00840939">
            <w:pPr>
              <w:spacing w:after="0" w:line="360" w:lineRule="auto"/>
              <w:jc w:val="center"/>
              <w:rPr>
                <w:rFonts w:ascii="Arial" w:hAnsi="Arial" w:cs="Arial"/>
                <w:color w:val="000000"/>
                <w:sz w:val="16"/>
                <w:szCs w:val="16"/>
              </w:rPr>
            </w:pPr>
            <w:r>
              <w:rPr>
                <w:rFonts w:ascii="Arial" w:eastAsia="Times New Roman" w:hAnsi="Arial" w:cs="Arial"/>
                <w:bCs/>
                <w:color w:val="000000"/>
                <w:sz w:val="16"/>
                <w:szCs w:val="16"/>
                <w:lang w:eastAsia="en-GB"/>
              </w:rPr>
              <w:t>68.0</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1.3</w:t>
            </w:r>
          </w:p>
        </w:tc>
        <w:tc>
          <w:tcPr>
            <w:tcW w:w="1593" w:type="dxa"/>
            <w:tcBorders>
              <w:top w:val="nil"/>
              <w:right w:val="single" w:sz="4" w:space="0" w:color="auto"/>
            </w:tcBorders>
            <w:shd w:val="clear" w:color="auto" w:fill="auto"/>
            <w:noWrap/>
            <w:vAlign w:val="center"/>
          </w:tcPr>
          <w:p w14:paraId="04C3F8FA" w14:textId="77777777" w:rsidR="001E190F" w:rsidRPr="00E019A6" w:rsidRDefault="001E190F" w:rsidP="00840939">
            <w:pPr>
              <w:spacing w:after="0" w:line="360" w:lineRule="auto"/>
              <w:jc w:val="center"/>
              <w:rPr>
                <w:rFonts w:ascii="Arial" w:hAnsi="Arial" w:cs="Arial"/>
                <w:color w:val="000000"/>
                <w:sz w:val="16"/>
                <w:szCs w:val="16"/>
              </w:rPr>
            </w:pPr>
            <w:r>
              <w:rPr>
                <w:rFonts w:ascii="Arial" w:eastAsia="Times New Roman" w:hAnsi="Arial" w:cs="Arial"/>
                <w:bCs/>
                <w:color w:val="000000"/>
                <w:sz w:val="16"/>
                <w:szCs w:val="16"/>
                <w:lang w:eastAsia="en-GB"/>
              </w:rPr>
              <w:t>49.1</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0.6</w:t>
            </w:r>
          </w:p>
        </w:tc>
        <w:tc>
          <w:tcPr>
            <w:tcW w:w="2382" w:type="dxa"/>
            <w:tcBorders>
              <w:top w:val="nil"/>
              <w:left w:val="single" w:sz="4" w:space="0" w:color="auto"/>
            </w:tcBorders>
            <w:shd w:val="clear" w:color="auto" w:fill="auto"/>
            <w:vAlign w:val="center"/>
          </w:tcPr>
          <w:p w14:paraId="6D33399A" w14:textId="77777777" w:rsidR="001E190F" w:rsidRPr="00E019A6" w:rsidRDefault="001E190F" w:rsidP="00840939">
            <w:pPr>
              <w:spacing w:after="0" w:line="360" w:lineRule="auto"/>
              <w:jc w:val="center"/>
              <w:rPr>
                <w:rFonts w:ascii="Arial" w:hAnsi="Arial" w:cs="Arial"/>
                <w:color w:val="000000"/>
                <w:sz w:val="16"/>
                <w:szCs w:val="16"/>
              </w:rPr>
            </w:pPr>
            <w:r>
              <w:rPr>
                <w:rFonts w:ascii="Arial" w:hAnsi="Arial" w:cs="Arial"/>
                <w:color w:val="000000"/>
                <w:sz w:val="16"/>
                <w:szCs w:val="16"/>
              </w:rPr>
              <w:t>60.2</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0.6</w:t>
            </w:r>
          </w:p>
        </w:tc>
      </w:tr>
      <w:tr w:rsidR="001E190F" w:rsidRPr="00E019A6" w14:paraId="004C3C61" w14:textId="77777777" w:rsidTr="00840939">
        <w:trPr>
          <w:trHeight w:val="20"/>
          <w:jc w:val="center"/>
        </w:trPr>
        <w:tc>
          <w:tcPr>
            <w:tcW w:w="2056" w:type="dxa"/>
            <w:tcBorders>
              <w:right w:val="single" w:sz="4" w:space="0" w:color="auto"/>
            </w:tcBorders>
            <w:shd w:val="clear" w:color="auto" w:fill="auto"/>
            <w:vAlign w:val="center"/>
          </w:tcPr>
          <w:p w14:paraId="65D1BB60" w14:textId="77777777" w:rsidR="001E190F" w:rsidRPr="00E019A6" w:rsidRDefault="001E190F" w:rsidP="00840939">
            <w:pPr>
              <w:spacing w:after="0" w:line="360" w:lineRule="auto"/>
              <w:jc w:val="center"/>
              <w:rPr>
                <w:rFonts w:ascii="Arial" w:eastAsia="Times New Roman" w:hAnsi="Arial" w:cs="Arial"/>
                <w:bCs/>
                <w:iCs/>
                <w:color w:val="000000"/>
                <w:sz w:val="16"/>
                <w:szCs w:val="16"/>
                <w:lang w:eastAsia="sl-SI"/>
              </w:rPr>
            </w:pPr>
            <w:r w:rsidRPr="00E019A6">
              <w:rPr>
                <w:rFonts w:ascii="Arial" w:eastAsia="Times New Roman" w:hAnsi="Arial" w:cs="Arial"/>
                <w:bCs/>
                <w:iCs/>
                <w:color w:val="000000"/>
                <w:sz w:val="16"/>
                <w:szCs w:val="16"/>
                <w:lang w:eastAsia="sl-SI"/>
              </w:rPr>
              <w:t>-5.0</w:t>
            </w:r>
          </w:p>
        </w:tc>
        <w:tc>
          <w:tcPr>
            <w:tcW w:w="1598" w:type="dxa"/>
            <w:tcBorders>
              <w:left w:val="single" w:sz="4" w:space="0" w:color="auto"/>
            </w:tcBorders>
            <w:shd w:val="clear" w:color="auto" w:fill="auto"/>
            <w:noWrap/>
            <w:vAlign w:val="center"/>
          </w:tcPr>
          <w:p w14:paraId="3A0E4F4E" w14:textId="77777777" w:rsidR="001E190F" w:rsidRPr="00E019A6" w:rsidRDefault="001E190F" w:rsidP="00840939">
            <w:pPr>
              <w:spacing w:after="0" w:line="360" w:lineRule="auto"/>
              <w:jc w:val="center"/>
              <w:rPr>
                <w:rFonts w:ascii="Arial" w:hAnsi="Arial" w:cs="Arial"/>
                <w:color w:val="000000"/>
                <w:sz w:val="16"/>
                <w:szCs w:val="16"/>
              </w:rPr>
            </w:pPr>
            <w:r>
              <w:rPr>
                <w:rFonts w:ascii="Arial" w:eastAsia="Times New Roman" w:hAnsi="Arial" w:cs="Arial"/>
                <w:bCs/>
                <w:color w:val="000000"/>
                <w:sz w:val="16"/>
                <w:szCs w:val="16"/>
                <w:lang w:eastAsia="en-GB"/>
              </w:rPr>
              <w:t>61.</w:t>
            </w:r>
            <w:r w:rsidRPr="00E019A6">
              <w:rPr>
                <w:rFonts w:ascii="Arial" w:eastAsia="Times New Roman" w:hAnsi="Arial" w:cs="Arial"/>
                <w:bCs/>
                <w:color w:val="000000"/>
                <w:sz w:val="16"/>
                <w:szCs w:val="16"/>
                <w:lang w:eastAsia="en-GB"/>
              </w:rPr>
              <w:t>7</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1.9</w:t>
            </w:r>
          </w:p>
        </w:tc>
        <w:tc>
          <w:tcPr>
            <w:tcW w:w="1594" w:type="dxa"/>
            <w:shd w:val="clear" w:color="auto" w:fill="auto"/>
            <w:noWrap/>
            <w:vAlign w:val="center"/>
          </w:tcPr>
          <w:p w14:paraId="52053FB9" w14:textId="77777777" w:rsidR="001E190F" w:rsidRPr="00E019A6" w:rsidRDefault="001E190F" w:rsidP="00840939">
            <w:pPr>
              <w:spacing w:after="0" w:line="360" w:lineRule="auto"/>
              <w:jc w:val="center"/>
              <w:rPr>
                <w:rFonts w:ascii="Arial" w:hAnsi="Arial" w:cs="Arial"/>
                <w:color w:val="000000"/>
                <w:sz w:val="16"/>
                <w:szCs w:val="16"/>
              </w:rPr>
            </w:pPr>
            <w:r w:rsidRPr="00E019A6">
              <w:rPr>
                <w:rFonts w:ascii="Arial" w:eastAsia="Times New Roman" w:hAnsi="Arial" w:cs="Arial"/>
                <w:bCs/>
                <w:color w:val="000000"/>
                <w:sz w:val="16"/>
                <w:szCs w:val="16"/>
                <w:lang w:eastAsia="en-GB"/>
              </w:rPr>
              <w:t>52.2</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1.9</w:t>
            </w:r>
          </w:p>
        </w:tc>
        <w:tc>
          <w:tcPr>
            <w:tcW w:w="1593" w:type="dxa"/>
            <w:tcBorders>
              <w:right w:val="single" w:sz="4" w:space="0" w:color="auto"/>
            </w:tcBorders>
            <w:shd w:val="clear" w:color="auto" w:fill="auto"/>
            <w:noWrap/>
            <w:vAlign w:val="center"/>
          </w:tcPr>
          <w:p w14:paraId="2E6A74A0" w14:textId="77777777" w:rsidR="001E190F" w:rsidRPr="00E019A6" w:rsidRDefault="001E190F" w:rsidP="00840939">
            <w:pPr>
              <w:spacing w:after="0" w:line="360" w:lineRule="auto"/>
              <w:jc w:val="center"/>
              <w:rPr>
                <w:rFonts w:ascii="Arial" w:hAnsi="Arial" w:cs="Arial"/>
                <w:color w:val="000000"/>
                <w:sz w:val="16"/>
                <w:szCs w:val="16"/>
              </w:rPr>
            </w:pPr>
            <w:r>
              <w:rPr>
                <w:rFonts w:ascii="Arial" w:eastAsia="Times New Roman" w:hAnsi="Arial" w:cs="Arial"/>
                <w:bCs/>
                <w:color w:val="000000"/>
                <w:sz w:val="16"/>
                <w:szCs w:val="16"/>
                <w:lang w:eastAsia="en-GB"/>
              </w:rPr>
              <w:t>52.9</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1.3</w:t>
            </w:r>
          </w:p>
        </w:tc>
        <w:tc>
          <w:tcPr>
            <w:tcW w:w="2382" w:type="dxa"/>
            <w:tcBorders>
              <w:left w:val="single" w:sz="4" w:space="0" w:color="auto"/>
            </w:tcBorders>
            <w:vAlign w:val="center"/>
          </w:tcPr>
          <w:p w14:paraId="4508DE7D" w14:textId="77777777" w:rsidR="001E190F" w:rsidRPr="00E019A6" w:rsidRDefault="001E190F" w:rsidP="00840939">
            <w:pPr>
              <w:spacing w:after="0" w:line="360" w:lineRule="auto"/>
              <w:jc w:val="center"/>
              <w:rPr>
                <w:rFonts w:ascii="Arial" w:hAnsi="Arial" w:cs="Arial"/>
                <w:color w:val="000000"/>
                <w:sz w:val="16"/>
                <w:szCs w:val="16"/>
              </w:rPr>
            </w:pPr>
            <w:r>
              <w:rPr>
                <w:rFonts w:ascii="Arial" w:hAnsi="Arial" w:cs="Arial"/>
                <w:color w:val="000000"/>
                <w:sz w:val="16"/>
                <w:szCs w:val="16"/>
              </w:rPr>
              <w:t>55.6</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1.7</w:t>
            </w:r>
          </w:p>
        </w:tc>
      </w:tr>
      <w:tr w:rsidR="001E190F" w:rsidRPr="00E019A6" w14:paraId="215E08D4" w14:textId="77777777" w:rsidTr="00840939">
        <w:trPr>
          <w:trHeight w:val="20"/>
          <w:jc w:val="center"/>
        </w:trPr>
        <w:tc>
          <w:tcPr>
            <w:tcW w:w="2056" w:type="dxa"/>
            <w:tcBorders>
              <w:bottom w:val="single" w:sz="4" w:space="0" w:color="auto"/>
              <w:right w:val="single" w:sz="4" w:space="0" w:color="auto"/>
            </w:tcBorders>
            <w:shd w:val="clear" w:color="auto" w:fill="auto"/>
            <w:vAlign w:val="center"/>
          </w:tcPr>
          <w:p w14:paraId="07B4F5FC" w14:textId="2453DDA8" w:rsidR="001E190F" w:rsidRPr="00E019A6" w:rsidRDefault="00175C41" w:rsidP="00840939">
            <w:pPr>
              <w:spacing w:after="0" w:line="360" w:lineRule="auto"/>
              <w:jc w:val="center"/>
              <w:rPr>
                <w:rFonts w:ascii="Arial" w:eastAsia="Times New Roman" w:hAnsi="Arial" w:cs="Arial"/>
                <w:bCs/>
                <w:iCs/>
                <w:color w:val="000000"/>
                <w:sz w:val="16"/>
                <w:szCs w:val="16"/>
                <w:lang w:eastAsia="sl-SI"/>
              </w:rPr>
            </w:pPr>
            <w:r>
              <w:rPr>
                <w:rFonts w:ascii="Arial" w:eastAsia="Times New Roman" w:hAnsi="Arial" w:cs="Arial"/>
                <w:bCs/>
                <w:iCs/>
                <w:color w:val="000000"/>
                <w:sz w:val="16"/>
                <w:szCs w:val="16"/>
                <w:lang w:eastAsia="sl-SI"/>
              </w:rPr>
              <w:t>-7</w:t>
            </w:r>
            <w:r w:rsidR="001E190F" w:rsidRPr="00E019A6">
              <w:rPr>
                <w:rFonts w:ascii="Arial" w:eastAsia="Times New Roman" w:hAnsi="Arial" w:cs="Arial"/>
                <w:bCs/>
                <w:iCs/>
                <w:color w:val="000000"/>
                <w:sz w:val="16"/>
                <w:szCs w:val="16"/>
                <w:lang w:eastAsia="sl-SI"/>
              </w:rPr>
              <w:t>.</w:t>
            </w:r>
            <w:r>
              <w:rPr>
                <w:rFonts w:ascii="Arial" w:eastAsia="Times New Roman" w:hAnsi="Arial" w:cs="Arial"/>
                <w:bCs/>
                <w:iCs/>
                <w:color w:val="000000"/>
                <w:sz w:val="16"/>
                <w:szCs w:val="16"/>
                <w:lang w:eastAsia="sl-SI"/>
              </w:rPr>
              <w:t>5</w:t>
            </w:r>
          </w:p>
        </w:tc>
        <w:tc>
          <w:tcPr>
            <w:tcW w:w="1598" w:type="dxa"/>
            <w:tcBorders>
              <w:left w:val="single" w:sz="4" w:space="0" w:color="auto"/>
              <w:bottom w:val="single" w:sz="4" w:space="0" w:color="auto"/>
            </w:tcBorders>
            <w:shd w:val="clear" w:color="auto" w:fill="auto"/>
            <w:noWrap/>
            <w:vAlign w:val="center"/>
          </w:tcPr>
          <w:p w14:paraId="444D867C" w14:textId="77777777" w:rsidR="001E190F" w:rsidRPr="00E019A6" w:rsidRDefault="001E190F" w:rsidP="00840939">
            <w:pPr>
              <w:spacing w:after="0" w:line="360" w:lineRule="auto"/>
              <w:jc w:val="center"/>
              <w:rPr>
                <w:rFonts w:ascii="Arial" w:hAnsi="Arial" w:cs="Arial"/>
                <w:color w:val="000000"/>
                <w:sz w:val="16"/>
                <w:szCs w:val="16"/>
              </w:rPr>
            </w:pPr>
            <w:r>
              <w:rPr>
                <w:rFonts w:ascii="Arial" w:eastAsia="Times New Roman" w:hAnsi="Arial" w:cs="Arial"/>
                <w:bCs/>
                <w:color w:val="000000"/>
                <w:sz w:val="16"/>
                <w:szCs w:val="16"/>
                <w:lang w:eastAsia="en-GB"/>
              </w:rPr>
              <w:t>53.5</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0.6</w:t>
            </w:r>
          </w:p>
        </w:tc>
        <w:tc>
          <w:tcPr>
            <w:tcW w:w="1594" w:type="dxa"/>
            <w:tcBorders>
              <w:bottom w:val="single" w:sz="4" w:space="0" w:color="auto"/>
            </w:tcBorders>
            <w:shd w:val="clear" w:color="auto" w:fill="auto"/>
            <w:noWrap/>
            <w:vAlign w:val="center"/>
          </w:tcPr>
          <w:p w14:paraId="6D2D2544" w14:textId="77777777" w:rsidR="001E190F" w:rsidRPr="00E019A6" w:rsidRDefault="001E190F" w:rsidP="00840939">
            <w:pPr>
              <w:spacing w:after="0" w:line="360" w:lineRule="auto"/>
              <w:jc w:val="center"/>
              <w:rPr>
                <w:rFonts w:ascii="Arial" w:hAnsi="Arial" w:cs="Arial"/>
                <w:color w:val="000000"/>
                <w:sz w:val="16"/>
                <w:szCs w:val="16"/>
              </w:rPr>
            </w:pPr>
            <w:r>
              <w:rPr>
                <w:rFonts w:ascii="Arial" w:eastAsia="Times New Roman" w:hAnsi="Arial" w:cs="Arial"/>
                <w:bCs/>
                <w:color w:val="000000"/>
                <w:sz w:val="16"/>
                <w:szCs w:val="16"/>
                <w:lang w:eastAsia="en-GB"/>
              </w:rPr>
              <w:t>43.4</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0.6</w:t>
            </w:r>
          </w:p>
        </w:tc>
        <w:tc>
          <w:tcPr>
            <w:tcW w:w="1593" w:type="dxa"/>
            <w:tcBorders>
              <w:bottom w:val="single" w:sz="4" w:space="0" w:color="auto"/>
              <w:right w:val="single" w:sz="4" w:space="0" w:color="auto"/>
            </w:tcBorders>
            <w:shd w:val="clear" w:color="auto" w:fill="auto"/>
            <w:noWrap/>
            <w:vAlign w:val="center"/>
          </w:tcPr>
          <w:p w14:paraId="77FB97A3" w14:textId="77777777" w:rsidR="001E190F" w:rsidRPr="00E019A6" w:rsidRDefault="001E190F" w:rsidP="00840939">
            <w:pPr>
              <w:spacing w:after="0" w:line="360" w:lineRule="auto"/>
              <w:jc w:val="center"/>
              <w:rPr>
                <w:rFonts w:ascii="Arial" w:hAnsi="Arial" w:cs="Arial"/>
                <w:color w:val="000000"/>
                <w:sz w:val="16"/>
                <w:szCs w:val="16"/>
              </w:rPr>
            </w:pPr>
            <w:r>
              <w:rPr>
                <w:rFonts w:ascii="Arial" w:eastAsia="Times New Roman" w:hAnsi="Arial" w:cs="Arial"/>
                <w:bCs/>
                <w:color w:val="000000"/>
                <w:sz w:val="16"/>
                <w:szCs w:val="16"/>
                <w:lang w:eastAsia="en-GB"/>
              </w:rPr>
              <w:t>61.0</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1.3</w:t>
            </w:r>
          </w:p>
        </w:tc>
        <w:tc>
          <w:tcPr>
            <w:tcW w:w="2382" w:type="dxa"/>
            <w:tcBorders>
              <w:left w:val="single" w:sz="4" w:space="0" w:color="auto"/>
              <w:bottom w:val="single" w:sz="4" w:space="0" w:color="auto"/>
            </w:tcBorders>
            <w:vAlign w:val="center"/>
          </w:tcPr>
          <w:p w14:paraId="09F544D3" w14:textId="77777777" w:rsidR="001E190F" w:rsidRPr="00E019A6" w:rsidRDefault="001E190F" w:rsidP="00840939">
            <w:pPr>
              <w:spacing w:after="0" w:line="360" w:lineRule="auto"/>
              <w:jc w:val="center"/>
              <w:rPr>
                <w:rFonts w:ascii="Arial" w:hAnsi="Arial" w:cs="Arial"/>
                <w:color w:val="000000"/>
                <w:sz w:val="16"/>
                <w:szCs w:val="16"/>
              </w:rPr>
            </w:pPr>
            <w:r>
              <w:rPr>
                <w:rFonts w:ascii="Arial" w:hAnsi="Arial" w:cs="Arial"/>
                <w:color w:val="000000"/>
                <w:sz w:val="16"/>
                <w:szCs w:val="16"/>
              </w:rPr>
              <w:t>52.7</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0.8</w:t>
            </w:r>
          </w:p>
        </w:tc>
      </w:tr>
      <w:tr w:rsidR="001E190F" w:rsidRPr="00E019A6" w14:paraId="1D0C8E09" w14:textId="77777777" w:rsidTr="00840939">
        <w:trPr>
          <w:trHeight w:val="20"/>
          <w:jc w:val="center"/>
        </w:trPr>
        <w:tc>
          <w:tcPr>
            <w:tcW w:w="2056" w:type="dxa"/>
            <w:tcBorders>
              <w:top w:val="single" w:sz="4" w:space="0" w:color="auto"/>
              <w:bottom w:val="single" w:sz="4" w:space="0" w:color="auto"/>
              <w:right w:val="single" w:sz="4" w:space="0" w:color="auto"/>
            </w:tcBorders>
            <w:shd w:val="clear" w:color="auto" w:fill="auto"/>
            <w:vAlign w:val="center"/>
          </w:tcPr>
          <w:p w14:paraId="2F856D01" w14:textId="77777777" w:rsidR="001E190F" w:rsidRPr="00E019A6" w:rsidRDefault="001E190F" w:rsidP="00840939">
            <w:pPr>
              <w:spacing w:after="0" w:line="360" w:lineRule="auto"/>
              <w:jc w:val="center"/>
              <w:rPr>
                <w:rFonts w:ascii="Arial" w:eastAsia="Times New Roman" w:hAnsi="Arial" w:cs="Arial"/>
                <w:bCs/>
                <w:iCs/>
                <w:color w:val="000000"/>
                <w:sz w:val="16"/>
                <w:szCs w:val="16"/>
                <w:lang w:eastAsia="sl-SI"/>
              </w:rPr>
            </w:pPr>
            <w:r w:rsidRPr="00E019A6">
              <w:rPr>
                <w:rFonts w:ascii="Arial" w:eastAsia="Times New Roman" w:hAnsi="Arial" w:cs="Arial"/>
                <w:b/>
                <w:color w:val="000000"/>
                <w:sz w:val="16"/>
                <w:szCs w:val="16"/>
                <w:lang w:eastAsia="sl-SI"/>
              </w:rPr>
              <w:t>Average</w:t>
            </w:r>
          </w:p>
        </w:tc>
        <w:tc>
          <w:tcPr>
            <w:tcW w:w="1598" w:type="dxa"/>
            <w:tcBorders>
              <w:top w:val="single" w:sz="4" w:space="0" w:color="auto"/>
              <w:left w:val="single" w:sz="4" w:space="0" w:color="auto"/>
              <w:bottom w:val="single" w:sz="4" w:space="0" w:color="auto"/>
            </w:tcBorders>
            <w:shd w:val="clear" w:color="auto" w:fill="auto"/>
            <w:noWrap/>
            <w:vAlign w:val="center"/>
          </w:tcPr>
          <w:p w14:paraId="2CB39DD9"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en-GB"/>
              </w:rPr>
            </w:pPr>
            <w:r>
              <w:rPr>
                <w:rFonts w:ascii="Arial" w:eastAsia="Times New Roman" w:hAnsi="Arial" w:cs="Arial"/>
                <w:bCs/>
                <w:color w:val="000000"/>
                <w:sz w:val="16"/>
                <w:szCs w:val="16"/>
                <w:lang w:eastAsia="en-GB"/>
              </w:rPr>
              <w:t>49.4</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1.3</w:t>
            </w:r>
          </w:p>
        </w:tc>
        <w:tc>
          <w:tcPr>
            <w:tcW w:w="1594" w:type="dxa"/>
            <w:tcBorders>
              <w:top w:val="single" w:sz="4" w:space="0" w:color="auto"/>
              <w:bottom w:val="single" w:sz="4" w:space="0" w:color="auto"/>
            </w:tcBorders>
            <w:shd w:val="clear" w:color="auto" w:fill="auto"/>
            <w:noWrap/>
            <w:vAlign w:val="center"/>
          </w:tcPr>
          <w:p w14:paraId="01BB698C"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en-GB"/>
              </w:rPr>
            </w:pPr>
            <w:r>
              <w:rPr>
                <w:rFonts w:ascii="Arial" w:eastAsia="Times New Roman" w:hAnsi="Arial" w:cs="Arial"/>
                <w:bCs/>
                <w:color w:val="000000"/>
                <w:sz w:val="16"/>
                <w:szCs w:val="16"/>
                <w:lang w:eastAsia="en-GB"/>
              </w:rPr>
              <w:t>54.1</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1.4</w:t>
            </w:r>
          </w:p>
        </w:tc>
        <w:tc>
          <w:tcPr>
            <w:tcW w:w="1593" w:type="dxa"/>
            <w:tcBorders>
              <w:top w:val="single" w:sz="4" w:space="0" w:color="auto"/>
              <w:bottom w:val="single" w:sz="4" w:space="0" w:color="auto"/>
              <w:right w:val="single" w:sz="4" w:space="0" w:color="auto"/>
            </w:tcBorders>
            <w:shd w:val="clear" w:color="auto" w:fill="auto"/>
            <w:noWrap/>
            <w:vAlign w:val="center"/>
          </w:tcPr>
          <w:p w14:paraId="0DCCDFED"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en-GB"/>
              </w:rPr>
            </w:pPr>
            <w:r>
              <w:rPr>
                <w:rFonts w:ascii="Arial" w:eastAsia="Times New Roman" w:hAnsi="Arial" w:cs="Arial"/>
                <w:bCs/>
                <w:color w:val="000000"/>
                <w:sz w:val="16"/>
                <w:szCs w:val="16"/>
                <w:lang w:eastAsia="en-GB"/>
              </w:rPr>
              <w:t>44.4</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0.8</w:t>
            </w:r>
          </w:p>
        </w:tc>
        <w:tc>
          <w:tcPr>
            <w:tcW w:w="2382" w:type="dxa"/>
            <w:tcBorders>
              <w:top w:val="single" w:sz="4" w:space="0" w:color="auto"/>
              <w:left w:val="single" w:sz="4" w:space="0" w:color="auto"/>
            </w:tcBorders>
            <w:vAlign w:val="center"/>
          </w:tcPr>
          <w:p w14:paraId="07B74632" w14:textId="77777777" w:rsidR="001E190F" w:rsidRPr="00E019A6" w:rsidRDefault="001E190F" w:rsidP="00840939">
            <w:pPr>
              <w:spacing w:after="0" w:line="360" w:lineRule="auto"/>
              <w:jc w:val="center"/>
              <w:rPr>
                <w:rFonts w:ascii="Arial" w:hAnsi="Arial" w:cs="Arial"/>
                <w:color w:val="000000"/>
                <w:sz w:val="16"/>
                <w:szCs w:val="16"/>
              </w:rPr>
            </w:pPr>
            <w:r>
              <w:rPr>
                <w:rFonts w:ascii="Arial" w:hAnsi="Arial" w:cs="Arial"/>
                <w:color w:val="000000"/>
                <w:sz w:val="16"/>
                <w:szCs w:val="16"/>
              </w:rPr>
              <w:t>49.3</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2.0</w:t>
            </w:r>
          </w:p>
        </w:tc>
      </w:tr>
      <w:tr w:rsidR="001E190F" w:rsidRPr="00E019A6" w14:paraId="7CB7EBDF" w14:textId="77777777" w:rsidTr="00840939">
        <w:trPr>
          <w:trHeight w:val="20"/>
          <w:jc w:val="center"/>
        </w:trPr>
        <w:tc>
          <w:tcPr>
            <w:tcW w:w="2056" w:type="dxa"/>
            <w:tcBorders>
              <w:top w:val="single" w:sz="4" w:space="0" w:color="auto"/>
              <w:bottom w:val="single" w:sz="4" w:space="0" w:color="auto"/>
              <w:right w:val="single" w:sz="4" w:space="0" w:color="auto"/>
            </w:tcBorders>
            <w:shd w:val="clear" w:color="auto" w:fill="auto"/>
            <w:vAlign w:val="center"/>
          </w:tcPr>
          <w:p w14:paraId="05B1A6A5" w14:textId="77777777" w:rsidR="001E190F" w:rsidRPr="00E019A6" w:rsidRDefault="001E190F" w:rsidP="00840939">
            <w:pPr>
              <w:spacing w:after="0" w:line="360" w:lineRule="auto"/>
              <w:jc w:val="center"/>
              <w:rPr>
                <w:rFonts w:ascii="Arial" w:eastAsia="Times New Roman" w:hAnsi="Arial" w:cs="Arial"/>
                <w:b/>
                <w:bCs/>
                <w:iCs/>
                <w:color w:val="000000"/>
                <w:sz w:val="16"/>
                <w:szCs w:val="16"/>
                <w:lang w:eastAsia="sl-SI"/>
              </w:rPr>
            </w:pPr>
            <w:r w:rsidRPr="00E019A6">
              <w:rPr>
                <w:rFonts w:ascii="Arial" w:eastAsia="Times New Roman" w:hAnsi="Arial" w:cs="Arial"/>
                <w:b/>
                <w:bCs/>
                <w:color w:val="000000"/>
                <w:sz w:val="16"/>
                <w:szCs w:val="16"/>
                <w:lang w:eastAsia="sl-SI"/>
              </w:rPr>
              <w:t>Vertical position in the sample, cm</w:t>
            </w:r>
          </w:p>
        </w:tc>
        <w:tc>
          <w:tcPr>
            <w:tcW w:w="47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52C456" w14:textId="77777777" w:rsidR="001E190F" w:rsidRPr="00E019A6" w:rsidRDefault="001E190F" w:rsidP="00840939">
            <w:pPr>
              <w:spacing w:after="0" w:line="360" w:lineRule="auto"/>
              <w:jc w:val="center"/>
              <w:rPr>
                <w:rFonts w:ascii="Arial" w:eastAsia="Times New Roman" w:hAnsi="Arial" w:cs="Arial"/>
                <w:b/>
                <w:bCs/>
                <w:color w:val="000000"/>
                <w:sz w:val="16"/>
                <w:szCs w:val="16"/>
                <w:lang w:eastAsia="en-GB"/>
              </w:rPr>
            </w:pPr>
            <w:r w:rsidRPr="00E019A6">
              <w:rPr>
                <w:rFonts w:ascii="Arial" w:eastAsia="Times New Roman" w:hAnsi="Arial" w:cs="Arial"/>
                <w:b/>
                <w:bCs/>
                <w:color w:val="000000"/>
                <w:sz w:val="16"/>
                <w:szCs w:val="16"/>
                <w:lang w:eastAsia="sl-SI"/>
              </w:rPr>
              <w:t>Fe(III) in pore waters, µg/L</w:t>
            </w:r>
          </w:p>
        </w:tc>
        <w:tc>
          <w:tcPr>
            <w:tcW w:w="2382" w:type="dxa"/>
            <w:tcBorders>
              <w:top w:val="single" w:sz="4" w:space="0" w:color="auto"/>
              <w:left w:val="single" w:sz="4" w:space="0" w:color="auto"/>
              <w:bottom w:val="single" w:sz="4" w:space="0" w:color="auto"/>
            </w:tcBorders>
            <w:vAlign w:val="center"/>
          </w:tcPr>
          <w:p w14:paraId="0142DA28" w14:textId="77777777" w:rsidR="001E190F" w:rsidRPr="00E019A6" w:rsidRDefault="001E190F" w:rsidP="00840939">
            <w:pPr>
              <w:spacing w:after="0" w:line="360" w:lineRule="auto"/>
              <w:jc w:val="center"/>
              <w:rPr>
                <w:rFonts w:ascii="Arial" w:hAnsi="Arial" w:cs="Arial"/>
                <w:b/>
                <w:color w:val="000000"/>
                <w:sz w:val="16"/>
                <w:szCs w:val="16"/>
              </w:rPr>
            </w:pPr>
            <w:r w:rsidRPr="00E019A6">
              <w:rPr>
                <w:rFonts w:ascii="Arial" w:eastAsia="Times New Roman" w:hAnsi="Arial" w:cs="Arial"/>
                <w:b/>
                <w:color w:val="000000"/>
                <w:sz w:val="16"/>
                <w:szCs w:val="16"/>
                <w:lang w:eastAsia="sl-SI"/>
              </w:rPr>
              <w:t>Average</w:t>
            </w:r>
            <w:r w:rsidRPr="00E019A6">
              <w:rPr>
                <w:rFonts w:ascii="Arial" w:eastAsia="Times New Roman" w:hAnsi="Arial" w:cs="Arial"/>
                <w:b/>
                <w:bCs/>
                <w:color w:val="000000"/>
                <w:sz w:val="16"/>
                <w:szCs w:val="16"/>
                <w:lang w:eastAsia="sl-SI"/>
              </w:rPr>
              <w:t>, µg/L</w:t>
            </w:r>
          </w:p>
        </w:tc>
      </w:tr>
      <w:tr w:rsidR="001E190F" w:rsidRPr="00E019A6" w14:paraId="4EF922DA" w14:textId="77777777" w:rsidTr="00840939">
        <w:trPr>
          <w:trHeight w:val="20"/>
          <w:jc w:val="center"/>
        </w:trPr>
        <w:tc>
          <w:tcPr>
            <w:tcW w:w="2056" w:type="dxa"/>
            <w:tcBorders>
              <w:top w:val="single" w:sz="4" w:space="0" w:color="auto"/>
              <w:bottom w:val="single" w:sz="4" w:space="0" w:color="auto"/>
              <w:right w:val="single" w:sz="4" w:space="0" w:color="auto"/>
            </w:tcBorders>
            <w:shd w:val="clear" w:color="auto" w:fill="auto"/>
            <w:vAlign w:val="center"/>
          </w:tcPr>
          <w:p w14:paraId="36E0C4D2"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sl-SI"/>
              </w:rPr>
            </w:pPr>
            <w:r w:rsidRPr="00E019A6">
              <w:rPr>
                <w:rFonts w:ascii="Arial" w:eastAsia="Times New Roman" w:hAnsi="Arial" w:cs="Arial"/>
                <w:bCs/>
                <w:iCs/>
                <w:color w:val="000000"/>
                <w:sz w:val="16"/>
                <w:szCs w:val="16"/>
                <w:lang w:eastAsia="sl-SI"/>
              </w:rPr>
              <w:t>0</w:t>
            </w:r>
          </w:p>
        </w:tc>
        <w:tc>
          <w:tcPr>
            <w:tcW w:w="1598" w:type="dxa"/>
            <w:tcBorders>
              <w:top w:val="single" w:sz="4" w:space="0" w:color="auto"/>
              <w:left w:val="single" w:sz="4" w:space="0" w:color="auto"/>
              <w:bottom w:val="single" w:sz="4" w:space="0" w:color="auto"/>
            </w:tcBorders>
            <w:shd w:val="clear" w:color="auto" w:fill="auto"/>
            <w:noWrap/>
            <w:vAlign w:val="center"/>
          </w:tcPr>
          <w:p w14:paraId="67EB8693"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sl-SI"/>
              </w:rPr>
            </w:pPr>
            <w:r>
              <w:rPr>
                <w:rFonts w:ascii="Arial" w:eastAsia="Times New Roman" w:hAnsi="Arial" w:cs="Arial"/>
                <w:bCs/>
                <w:color w:val="000000"/>
                <w:sz w:val="16"/>
                <w:szCs w:val="16"/>
                <w:lang w:eastAsia="en-GB"/>
              </w:rPr>
              <w:t>6.3</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1.9</w:t>
            </w:r>
          </w:p>
        </w:tc>
        <w:tc>
          <w:tcPr>
            <w:tcW w:w="1594" w:type="dxa"/>
            <w:tcBorders>
              <w:top w:val="single" w:sz="4" w:space="0" w:color="auto"/>
              <w:bottom w:val="single" w:sz="4" w:space="0" w:color="auto"/>
            </w:tcBorders>
            <w:shd w:val="clear" w:color="auto" w:fill="auto"/>
            <w:vAlign w:val="center"/>
          </w:tcPr>
          <w:p w14:paraId="5196B0E2"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sl-SI"/>
              </w:rPr>
            </w:pPr>
            <w:r>
              <w:rPr>
                <w:rFonts w:ascii="Arial" w:eastAsia="Times New Roman" w:hAnsi="Arial" w:cs="Arial"/>
                <w:bCs/>
                <w:color w:val="000000"/>
                <w:sz w:val="16"/>
                <w:szCs w:val="16"/>
                <w:lang w:eastAsia="en-GB"/>
              </w:rPr>
              <w:t>40.9</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1.9</w:t>
            </w:r>
          </w:p>
        </w:tc>
        <w:tc>
          <w:tcPr>
            <w:tcW w:w="1593" w:type="dxa"/>
            <w:tcBorders>
              <w:top w:val="single" w:sz="4" w:space="0" w:color="auto"/>
              <w:bottom w:val="single" w:sz="4" w:space="0" w:color="auto"/>
              <w:right w:val="single" w:sz="4" w:space="0" w:color="auto"/>
            </w:tcBorders>
            <w:shd w:val="clear" w:color="auto" w:fill="auto"/>
            <w:vAlign w:val="center"/>
          </w:tcPr>
          <w:p w14:paraId="1D0CB521"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sl-SI"/>
              </w:rPr>
            </w:pPr>
            <w:r>
              <w:rPr>
                <w:rFonts w:ascii="Arial" w:eastAsia="Times New Roman" w:hAnsi="Arial" w:cs="Arial"/>
                <w:bCs/>
                <w:color w:val="000000"/>
                <w:sz w:val="16"/>
                <w:szCs w:val="16"/>
                <w:lang w:eastAsia="en-GB"/>
              </w:rPr>
              <w:t>2.5</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1.3</w:t>
            </w:r>
          </w:p>
        </w:tc>
        <w:tc>
          <w:tcPr>
            <w:tcW w:w="2382" w:type="dxa"/>
            <w:tcBorders>
              <w:top w:val="single" w:sz="4" w:space="0" w:color="auto"/>
              <w:left w:val="single" w:sz="4" w:space="0" w:color="auto"/>
            </w:tcBorders>
            <w:vAlign w:val="center"/>
          </w:tcPr>
          <w:p w14:paraId="0B8D8377" w14:textId="77777777" w:rsidR="001E190F" w:rsidRPr="00E019A6" w:rsidRDefault="001E190F" w:rsidP="00840939">
            <w:pPr>
              <w:spacing w:after="0" w:line="360" w:lineRule="auto"/>
              <w:jc w:val="center"/>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16.6</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1.7</w:t>
            </w:r>
          </w:p>
        </w:tc>
      </w:tr>
      <w:tr w:rsidR="001E190F" w:rsidRPr="00E019A6" w14:paraId="325AB769" w14:textId="77777777" w:rsidTr="00840939">
        <w:trPr>
          <w:trHeight w:val="20"/>
          <w:jc w:val="center"/>
        </w:trPr>
        <w:tc>
          <w:tcPr>
            <w:tcW w:w="2056" w:type="dxa"/>
            <w:tcBorders>
              <w:top w:val="single" w:sz="4" w:space="0" w:color="auto"/>
              <w:right w:val="single" w:sz="4" w:space="0" w:color="auto"/>
            </w:tcBorders>
            <w:shd w:val="clear" w:color="auto" w:fill="auto"/>
            <w:vAlign w:val="center"/>
          </w:tcPr>
          <w:p w14:paraId="46BAEEFE"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sl-SI"/>
              </w:rPr>
            </w:pPr>
            <w:r w:rsidRPr="00E019A6">
              <w:rPr>
                <w:rFonts w:ascii="Arial" w:eastAsia="Times New Roman" w:hAnsi="Arial" w:cs="Arial"/>
                <w:bCs/>
                <w:iCs/>
                <w:color w:val="000000"/>
                <w:sz w:val="16"/>
                <w:szCs w:val="16"/>
                <w:lang w:eastAsia="sl-SI"/>
              </w:rPr>
              <w:t>-2.5</w:t>
            </w:r>
          </w:p>
        </w:tc>
        <w:tc>
          <w:tcPr>
            <w:tcW w:w="1598" w:type="dxa"/>
            <w:tcBorders>
              <w:top w:val="single" w:sz="4" w:space="0" w:color="auto"/>
              <w:left w:val="single" w:sz="4" w:space="0" w:color="auto"/>
            </w:tcBorders>
            <w:shd w:val="clear" w:color="auto" w:fill="auto"/>
            <w:noWrap/>
            <w:vAlign w:val="center"/>
          </w:tcPr>
          <w:p w14:paraId="0C6F7266"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sl-SI"/>
              </w:rPr>
            </w:pPr>
            <w:r>
              <w:rPr>
                <w:rFonts w:ascii="Arial" w:eastAsia="Times New Roman" w:hAnsi="Arial" w:cs="Arial"/>
                <w:bCs/>
                <w:color w:val="000000"/>
                <w:sz w:val="16"/>
                <w:szCs w:val="16"/>
                <w:lang w:eastAsia="en-GB"/>
              </w:rPr>
              <w:t>49.1</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0.6</w:t>
            </w:r>
          </w:p>
        </w:tc>
        <w:tc>
          <w:tcPr>
            <w:tcW w:w="1594" w:type="dxa"/>
            <w:tcBorders>
              <w:top w:val="single" w:sz="4" w:space="0" w:color="auto"/>
            </w:tcBorders>
            <w:shd w:val="clear" w:color="auto" w:fill="auto"/>
            <w:vAlign w:val="center"/>
          </w:tcPr>
          <w:p w14:paraId="2A846AA7"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sl-SI"/>
              </w:rPr>
            </w:pPr>
            <w:r>
              <w:rPr>
                <w:rFonts w:ascii="Arial" w:eastAsia="Times New Roman" w:hAnsi="Arial" w:cs="Arial"/>
                <w:bCs/>
                <w:color w:val="000000"/>
                <w:sz w:val="16"/>
                <w:szCs w:val="16"/>
                <w:lang w:eastAsia="en-GB"/>
              </w:rPr>
              <w:t>68.6</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1.9</w:t>
            </w:r>
          </w:p>
        </w:tc>
        <w:tc>
          <w:tcPr>
            <w:tcW w:w="1593" w:type="dxa"/>
            <w:tcBorders>
              <w:top w:val="single" w:sz="4" w:space="0" w:color="auto"/>
              <w:right w:val="single" w:sz="4" w:space="0" w:color="auto"/>
            </w:tcBorders>
            <w:shd w:val="clear" w:color="auto" w:fill="auto"/>
            <w:vAlign w:val="center"/>
          </w:tcPr>
          <w:p w14:paraId="34FC59F7"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sl-SI"/>
              </w:rPr>
            </w:pPr>
            <w:r>
              <w:rPr>
                <w:rFonts w:ascii="Arial" w:eastAsia="Times New Roman" w:hAnsi="Arial" w:cs="Arial"/>
                <w:bCs/>
                <w:color w:val="000000"/>
                <w:sz w:val="16"/>
                <w:szCs w:val="16"/>
                <w:lang w:eastAsia="en-GB"/>
              </w:rPr>
              <w:t>49.1</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1.3</w:t>
            </w:r>
          </w:p>
        </w:tc>
        <w:tc>
          <w:tcPr>
            <w:tcW w:w="2382" w:type="dxa"/>
            <w:tcBorders>
              <w:left w:val="single" w:sz="4" w:space="0" w:color="auto"/>
            </w:tcBorders>
            <w:vAlign w:val="center"/>
          </w:tcPr>
          <w:p w14:paraId="501435A4" w14:textId="77777777" w:rsidR="001E190F" w:rsidRPr="00E019A6" w:rsidRDefault="001E190F" w:rsidP="00840939">
            <w:pPr>
              <w:spacing w:after="0" w:line="360" w:lineRule="auto"/>
              <w:jc w:val="center"/>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55.6</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1.3</w:t>
            </w:r>
          </w:p>
        </w:tc>
      </w:tr>
      <w:tr w:rsidR="001E190F" w:rsidRPr="00E019A6" w14:paraId="57B8F319" w14:textId="77777777" w:rsidTr="00840939">
        <w:trPr>
          <w:trHeight w:val="20"/>
          <w:jc w:val="center"/>
        </w:trPr>
        <w:tc>
          <w:tcPr>
            <w:tcW w:w="2056" w:type="dxa"/>
            <w:tcBorders>
              <w:top w:val="single" w:sz="4" w:space="0" w:color="auto"/>
              <w:bottom w:val="single" w:sz="4" w:space="0" w:color="auto"/>
              <w:right w:val="single" w:sz="4" w:space="0" w:color="auto"/>
            </w:tcBorders>
            <w:shd w:val="clear" w:color="auto" w:fill="auto"/>
            <w:vAlign w:val="center"/>
          </w:tcPr>
          <w:p w14:paraId="5D3B0106"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sl-SI"/>
              </w:rPr>
            </w:pPr>
            <w:r w:rsidRPr="00E019A6">
              <w:rPr>
                <w:rFonts w:ascii="Arial" w:eastAsia="Times New Roman" w:hAnsi="Arial" w:cs="Arial"/>
                <w:bCs/>
                <w:iCs/>
                <w:color w:val="000000"/>
                <w:sz w:val="16"/>
                <w:szCs w:val="16"/>
                <w:lang w:eastAsia="sl-SI"/>
              </w:rPr>
              <w:t>-5.0</w:t>
            </w:r>
          </w:p>
        </w:tc>
        <w:tc>
          <w:tcPr>
            <w:tcW w:w="1598" w:type="dxa"/>
            <w:tcBorders>
              <w:top w:val="single" w:sz="4" w:space="0" w:color="auto"/>
              <w:left w:val="single" w:sz="4" w:space="0" w:color="auto"/>
              <w:bottom w:val="single" w:sz="4" w:space="0" w:color="auto"/>
            </w:tcBorders>
            <w:shd w:val="clear" w:color="auto" w:fill="auto"/>
            <w:noWrap/>
            <w:vAlign w:val="center"/>
          </w:tcPr>
          <w:p w14:paraId="3BA320C4"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sl-SI"/>
              </w:rPr>
            </w:pPr>
            <w:r>
              <w:rPr>
                <w:rFonts w:ascii="Arial" w:eastAsia="Times New Roman" w:hAnsi="Arial" w:cs="Arial"/>
                <w:bCs/>
                <w:color w:val="000000"/>
                <w:sz w:val="16"/>
                <w:szCs w:val="16"/>
                <w:lang w:eastAsia="en-GB"/>
              </w:rPr>
              <w:t>45.9</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2.5</w:t>
            </w:r>
          </w:p>
        </w:tc>
        <w:tc>
          <w:tcPr>
            <w:tcW w:w="1594" w:type="dxa"/>
            <w:tcBorders>
              <w:top w:val="single" w:sz="4" w:space="0" w:color="auto"/>
              <w:bottom w:val="single" w:sz="4" w:space="0" w:color="auto"/>
            </w:tcBorders>
            <w:shd w:val="clear" w:color="auto" w:fill="auto"/>
            <w:vAlign w:val="center"/>
          </w:tcPr>
          <w:p w14:paraId="7C2CD405"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sl-SI"/>
              </w:rPr>
            </w:pPr>
            <w:r w:rsidRPr="00E019A6">
              <w:rPr>
                <w:rFonts w:ascii="Arial" w:eastAsia="Times New Roman" w:hAnsi="Arial" w:cs="Arial"/>
                <w:bCs/>
                <w:color w:val="000000"/>
                <w:sz w:val="16"/>
                <w:szCs w:val="16"/>
                <w:lang w:eastAsia="en-GB"/>
              </w:rPr>
              <w:t>43.4</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1.9</w:t>
            </w:r>
          </w:p>
        </w:tc>
        <w:tc>
          <w:tcPr>
            <w:tcW w:w="1593" w:type="dxa"/>
            <w:tcBorders>
              <w:top w:val="single" w:sz="4" w:space="0" w:color="auto"/>
              <w:bottom w:val="single" w:sz="4" w:space="0" w:color="auto"/>
              <w:right w:val="single" w:sz="4" w:space="0" w:color="auto"/>
            </w:tcBorders>
            <w:shd w:val="clear" w:color="auto" w:fill="auto"/>
            <w:vAlign w:val="center"/>
          </w:tcPr>
          <w:p w14:paraId="5ECEB555"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sl-SI"/>
              </w:rPr>
            </w:pPr>
            <w:r>
              <w:rPr>
                <w:rFonts w:ascii="Arial" w:eastAsia="Times New Roman" w:hAnsi="Arial" w:cs="Arial"/>
                <w:bCs/>
                <w:color w:val="000000"/>
                <w:sz w:val="16"/>
                <w:szCs w:val="16"/>
                <w:lang w:eastAsia="en-GB"/>
              </w:rPr>
              <w:t>52.9</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1.3</w:t>
            </w:r>
          </w:p>
        </w:tc>
        <w:tc>
          <w:tcPr>
            <w:tcW w:w="2382" w:type="dxa"/>
            <w:tcBorders>
              <w:left w:val="single" w:sz="4" w:space="0" w:color="auto"/>
              <w:bottom w:val="single" w:sz="4" w:space="0" w:color="auto"/>
            </w:tcBorders>
            <w:vAlign w:val="center"/>
          </w:tcPr>
          <w:p w14:paraId="3B0F5EE9" w14:textId="77777777" w:rsidR="001E190F" w:rsidRPr="00E019A6" w:rsidRDefault="001E190F" w:rsidP="00840939">
            <w:pPr>
              <w:spacing w:after="0" w:line="360" w:lineRule="auto"/>
              <w:jc w:val="center"/>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47.4</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1.9</w:t>
            </w:r>
          </w:p>
        </w:tc>
      </w:tr>
      <w:tr w:rsidR="001E190F" w:rsidRPr="00E019A6" w14:paraId="6825001E" w14:textId="77777777" w:rsidTr="00840939">
        <w:trPr>
          <w:trHeight w:val="20"/>
          <w:jc w:val="center"/>
        </w:trPr>
        <w:tc>
          <w:tcPr>
            <w:tcW w:w="2056" w:type="dxa"/>
            <w:tcBorders>
              <w:top w:val="single" w:sz="4" w:space="0" w:color="auto"/>
              <w:right w:val="single" w:sz="4" w:space="0" w:color="auto"/>
            </w:tcBorders>
            <w:shd w:val="clear" w:color="auto" w:fill="auto"/>
            <w:vAlign w:val="center"/>
          </w:tcPr>
          <w:p w14:paraId="6D52F9D8" w14:textId="77777777" w:rsidR="001E190F" w:rsidRPr="00E019A6" w:rsidRDefault="001E190F" w:rsidP="00840939">
            <w:pPr>
              <w:spacing w:after="0" w:line="360" w:lineRule="auto"/>
              <w:jc w:val="center"/>
              <w:rPr>
                <w:rFonts w:ascii="Arial" w:eastAsia="Times New Roman" w:hAnsi="Arial" w:cs="Arial"/>
                <w:bCs/>
                <w:iCs/>
                <w:color w:val="000000"/>
                <w:sz w:val="16"/>
                <w:szCs w:val="16"/>
                <w:lang w:eastAsia="sl-SI"/>
              </w:rPr>
            </w:pPr>
            <w:r w:rsidRPr="00E019A6">
              <w:rPr>
                <w:rFonts w:ascii="Arial" w:eastAsia="Times New Roman" w:hAnsi="Arial" w:cs="Arial"/>
                <w:b/>
                <w:color w:val="000000"/>
                <w:sz w:val="16"/>
                <w:szCs w:val="16"/>
                <w:lang w:eastAsia="sl-SI"/>
              </w:rPr>
              <w:t>Average</w:t>
            </w:r>
            <w:r w:rsidRPr="00E019A6">
              <w:rPr>
                <w:rFonts w:ascii="Arial" w:eastAsia="Times New Roman" w:hAnsi="Arial" w:cs="Arial"/>
                <w:b/>
                <w:bCs/>
                <w:color w:val="000000"/>
                <w:sz w:val="16"/>
                <w:szCs w:val="16"/>
                <w:lang w:eastAsia="sl-SI"/>
              </w:rPr>
              <w:t>, µg/L</w:t>
            </w:r>
          </w:p>
        </w:tc>
        <w:tc>
          <w:tcPr>
            <w:tcW w:w="1598" w:type="dxa"/>
            <w:tcBorders>
              <w:top w:val="single" w:sz="4" w:space="0" w:color="auto"/>
              <w:left w:val="single" w:sz="4" w:space="0" w:color="auto"/>
            </w:tcBorders>
            <w:shd w:val="clear" w:color="auto" w:fill="auto"/>
            <w:noWrap/>
            <w:vAlign w:val="center"/>
          </w:tcPr>
          <w:p w14:paraId="2347C5A9"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en-GB"/>
              </w:rPr>
            </w:pPr>
            <w:r>
              <w:rPr>
                <w:rFonts w:ascii="Arial" w:eastAsia="Times New Roman" w:hAnsi="Arial" w:cs="Arial"/>
                <w:bCs/>
                <w:color w:val="000000"/>
                <w:sz w:val="16"/>
                <w:szCs w:val="16"/>
                <w:lang w:eastAsia="en-GB"/>
              </w:rPr>
              <w:t>33.8</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1.7</w:t>
            </w:r>
          </w:p>
        </w:tc>
        <w:tc>
          <w:tcPr>
            <w:tcW w:w="1594" w:type="dxa"/>
            <w:tcBorders>
              <w:top w:val="single" w:sz="4" w:space="0" w:color="auto"/>
            </w:tcBorders>
            <w:shd w:val="clear" w:color="auto" w:fill="auto"/>
            <w:vAlign w:val="center"/>
          </w:tcPr>
          <w:p w14:paraId="1376B758"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en-GB"/>
              </w:rPr>
            </w:pPr>
            <w:r>
              <w:rPr>
                <w:rFonts w:ascii="Arial" w:eastAsia="Times New Roman" w:hAnsi="Arial" w:cs="Arial"/>
                <w:bCs/>
                <w:color w:val="000000"/>
                <w:sz w:val="16"/>
                <w:szCs w:val="16"/>
                <w:lang w:eastAsia="en-GB"/>
              </w:rPr>
              <w:t>51.0</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1.9</w:t>
            </w:r>
          </w:p>
        </w:tc>
        <w:tc>
          <w:tcPr>
            <w:tcW w:w="1593" w:type="dxa"/>
            <w:tcBorders>
              <w:top w:val="single" w:sz="4" w:space="0" w:color="auto"/>
              <w:right w:val="single" w:sz="4" w:space="0" w:color="auto"/>
            </w:tcBorders>
            <w:shd w:val="clear" w:color="auto" w:fill="auto"/>
            <w:vAlign w:val="center"/>
          </w:tcPr>
          <w:p w14:paraId="4C64615E" w14:textId="77777777" w:rsidR="001E190F" w:rsidRPr="00E019A6" w:rsidRDefault="001E190F" w:rsidP="00840939">
            <w:pPr>
              <w:spacing w:after="0" w:line="360" w:lineRule="auto"/>
              <w:jc w:val="center"/>
              <w:rPr>
                <w:rFonts w:ascii="Arial" w:eastAsia="Times New Roman" w:hAnsi="Arial" w:cs="Arial"/>
                <w:bCs/>
                <w:color w:val="000000"/>
                <w:sz w:val="16"/>
                <w:szCs w:val="16"/>
                <w:lang w:eastAsia="en-GB"/>
              </w:rPr>
            </w:pPr>
            <w:r>
              <w:rPr>
                <w:rFonts w:ascii="Arial" w:eastAsia="Times New Roman" w:hAnsi="Arial" w:cs="Arial"/>
                <w:bCs/>
                <w:color w:val="000000"/>
                <w:sz w:val="16"/>
                <w:szCs w:val="16"/>
                <w:lang w:eastAsia="en-GB"/>
              </w:rPr>
              <w:t>34.8</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1.3</w:t>
            </w:r>
          </w:p>
        </w:tc>
        <w:tc>
          <w:tcPr>
            <w:tcW w:w="2382" w:type="dxa"/>
            <w:tcBorders>
              <w:top w:val="single" w:sz="4" w:space="0" w:color="auto"/>
              <w:left w:val="single" w:sz="4" w:space="0" w:color="auto"/>
            </w:tcBorders>
            <w:vAlign w:val="center"/>
          </w:tcPr>
          <w:p w14:paraId="41F8280B" w14:textId="77777777" w:rsidR="001E190F" w:rsidRPr="00E019A6" w:rsidRDefault="001E190F" w:rsidP="00840939">
            <w:pPr>
              <w:spacing w:after="0" w:line="360" w:lineRule="auto"/>
              <w:jc w:val="center"/>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39.9</w:t>
            </w:r>
            <w:r w:rsidRPr="003223CE">
              <w:rPr>
                <w:rFonts w:ascii="Arial" w:eastAsia="Times New Roman" w:hAnsi="Arial" w:cs="Arial"/>
                <w:color w:val="000000"/>
                <w:sz w:val="16"/>
                <w:szCs w:val="16"/>
                <w:lang w:val="en-US"/>
              </w:rPr>
              <w:t>±</w:t>
            </w:r>
            <w:r>
              <w:rPr>
                <w:rFonts w:ascii="Arial" w:eastAsia="Times New Roman" w:hAnsi="Arial" w:cs="Arial"/>
                <w:color w:val="000000"/>
                <w:sz w:val="16"/>
                <w:szCs w:val="16"/>
                <w:lang w:val="en-US"/>
              </w:rPr>
              <w:t>2.2</w:t>
            </w:r>
          </w:p>
        </w:tc>
      </w:tr>
    </w:tbl>
    <w:p w14:paraId="257D41BC" w14:textId="217EDB6C" w:rsidR="00A02E72" w:rsidRDefault="00A02E72" w:rsidP="00A02E72">
      <w:pPr>
        <w:spacing w:after="0" w:line="360" w:lineRule="auto"/>
        <w:jc w:val="both"/>
        <w:rPr>
          <w:rFonts w:ascii="Times New Roman" w:hAnsi="Times New Roman" w:cs="Times New Roman"/>
          <w:color w:val="0070C0"/>
          <w:sz w:val="24"/>
          <w:lang w:val="en-GB"/>
        </w:rPr>
      </w:pPr>
    </w:p>
    <w:p w14:paraId="1AB489EA" w14:textId="32C84454" w:rsidR="00DE20E8" w:rsidRDefault="00DE20E8" w:rsidP="00373DA9">
      <w:pPr>
        <w:spacing w:after="0" w:line="360" w:lineRule="auto"/>
        <w:ind w:firstLine="706"/>
        <w:jc w:val="both"/>
        <w:rPr>
          <w:rFonts w:ascii="Times New Roman" w:hAnsi="Times New Roman" w:cs="Times New Roman"/>
          <w:sz w:val="24"/>
          <w:lang w:val="en-GB"/>
        </w:rPr>
      </w:pPr>
      <w:r w:rsidRPr="00DE20E8">
        <w:rPr>
          <w:rFonts w:ascii="Times New Roman" w:hAnsi="Times New Roman" w:cs="Times New Roman"/>
          <w:sz w:val="24"/>
          <w:lang w:val="en-GB"/>
        </w:rPr>
        <w:t xml:space="preserve">Although not </w:t>
      </w:r>
      <w:r w:rsidR="00F0114E">
        <w:rPr>
          <w:rFonts w:ascii="Times New Roman" w:hAnsi="Times New Roman" w:cs="Times New Roman"/>
          <w:sz w:val="24"/>
          <w:lang w:val="en-GB"/>
        </w:rPr>
        <w:t>much</w:t>
      </w:r>
      <w:r w:rsidRPr="00DE20E8">
        <w:rPr>
          <w:rFonts w:ascii="Times New Roman" w:hAnsi="Times New Roman" w:cs="Times New Roman"/>
          <w:sz w:val="24"/>
          <w:lang w:val="en-GB"/>
        </w:rPr>
        <w:t xml:space="preserve"> data exist for comparison of DGT-derived Fe redox species concentrations, our data fit in the range of the published results for pristine environments.</w:t>
      </w:r>
      <w:r w:rsidR="0064629C" w:rsidRPr="0064629C">
        <w:rPr>
          <w:rFonts w:ascii="Times New Roman" w:hAnsi="Times New Roman" w:cs="Times New Roman"/>
          <w:sz w:val="24"/>
          <w:vertAlign w:val="superscript"/>
          <w:lang w:val="en-GB"/>
        </w:rPr>
        <w:t>18</w:t>
      </w:r>
      <w:r w:rsidRPr="00DE20E8">
        <w:rPr>
          <w:rFonts w:ascii="Times New Roman" w:hAnsi="Times New Roman" w:cs="Times New Roman"/>
          <w:sz w:val="24"/>
          <w:lang w:val="en-GB"/>
        </w:rPr>
        <w:t xml:space="preserve"> Total concentrations obtained from polluted or strongly impacted river sediments are higher for factor of 10 or 100</w:t>
      </w:r>
      <w:r w:rsidR="008E07B0">
        <w:rPr>
          <w:rFonts w:ascii="Times New Roman" w:hAnsi="Times New Roman" w:cs="Times New Roman"/>
          <w:sz w:val="24"/>
          <w:lang w:val="en-GB"/>
        </w:rPr>
        <w:t>.</w:t>
      </w:r>
      <w:r w:rsidR="0064629C" w:rsidRPr="0064629C">
        <w:rPr>
          <w:rFonts w:ascii="Times New Roman" w:hAnsi="Times New Roman" w:cs="Times New Roman"/>
          <w:sz w:val="24"/>
          <w:vertAlign w:val="superscript"/>
          <w:lang w:val="en-GB"/>
        </w:rPr>
        <w:t>19</w:t>
      </w:r>
      <w:r w:rsidR="0064629C">
        <w:rPr>
          <w:rFonts w:ascii="Times New Roman" w:hAnsi="Times New Roman" w:cs="Times New Roman"/>
          <w:sz w:val="24"/>
          <w:vertAlign w:val="superscript"/>
          <w:lang w:val="en-GB"/>
        </w:rPr>
        <w:t>-21</w:t>
      </w:r>
      <w:r w:rsidRPr="00DE20E8">
        <w:rPr>
          <w:rFonts w:ascii="Times New Roman" w:hAnsi="Times New Roman" w:cs="Times New Roman"/>
          <w:sz w:val="24"/>
          <w:lang w:val="en-GB"/>
        </w:rPr>
        <w:t xml:space="preserve"> Nonetheless, the distribution of dissolved, labile and potentially bioavailable fraction of Fe redox species in the Vrtojbica River indicates a dynamic sediment system. As observed before, the low values at SWI indicate sediments </w:t>
      </w:r>
      <w:r w:rsidR="00E44FC3">
        <w:rPr>
          <w:rFonts w:ascii="Times New Roman" w:hAnsi="Times New Roman" w:cs="Times New Roman"/>
          <w:sz w:val="24"/>
          <w:lang w:val="en-GB"/>
        </w:rPr>
        <w:t>are</w:t>
      </w:r>
      <w:r w:rsidR="00E44FC3" w:rsidRPr="00DE20E8">
        <w:rPr>
          <w:rFonts w:ascii="Times New Roman" w:hAnsi="Times New Roman" w:cs="Times New Roman"/>
          <w:sz w:val="24"/>
          <w:lang w:val="en-GB"/>
        </w:rPr>
        <w:t xml:space="preserve"> </w:t>
      </w:r>
      <w:r w:rsidRPr="00DE20E8">
        <w:rPr>
          <w:rFonts w:ascii="Times New Roman" w:hAnsi="Times New Roman" w:cs="Times New Roman"/>
          <w:sz w:val="24"/>
          <w:lang w:val="en-GB"/>
        </w:rPr>
        <w:t xml:space="preserve">a source of </w:t>
      </w:r>
      <w:r w:rsidR="00E44FC3">
        <w:rPr>
          <w:rFonts w:ascii="Times New Roman" w:hAnsi="Times New Roman" w:cs="Times New Roman"/>
          <w:sz w:val="24"/>
          <w:lang w:val="en-GB"/>
        </w:rPr>
        <w:t xml:space="preserve">both </w:t>
      </w:r>
      <w:r w:rsidRPr="00DE20E8">
        <w:rPr>
          <w:rFonts w:ascii="Times New Roman" w:hAnsi="Times New Roman" w:cs="Times New Roman"/>
          <w:sz w:val="24"/>
          <w:lang w:val="en-GB"/>
        </w:rPr>
        <w:t xml:space="preserve">Fe redox species to the river water. The observed increases in dissolved Fe(II) and dissolved total Fe in the sediment interior could be attributable either to geochemical and microbial interactions with Fe-rich minerals, or both. Since these are the first data on iron speciation in this system, it cannot be said with certainty if the concentrations are representative of this particular environment. However, despite its city location, Vrtojbica river </w:t>
      </w:r>
      <w:r w:rsidR="0099643F">
        <w:rPr>
          <w:rFonts w:ascii="Times New Roman" w:hAnsi="Times New Roman" w:cs="Times New Roman"/>
          <w:sz w:val="24"/>
          <w:lang w:val="en-GB"/>
        </w:rPr>
        <w:t xml:space="preserve">sediment </w:t>
      </w:r>
      <w:r w:rsidRPr="00DE20E8">
        <w:rPr>
          <w:rFonts w:ascii="Times New Roman" w:hAnsi="Times New Roman" w:cs="Times New Roman"/>
          <w:sz w:val="24"/>
          <w:lang w:val="en-GB"/>
        </w:rPr>
        <w:t xml:space="preserve">is far from polluted and </w:t>
      </w:r>
      <w:r w:rsidR="0099643F">
        <w:rPr>
          <w:rFonts w:ascii="Times New Roman" w:hAnsi="Times New Roman" w:cs="Times New Roman"/>
          <w:sz w:val="24"/>
          <w:lang w:val="en-GB"/>
        </w:rPr>
        <w:t>not likely to increase river water Fe concentration to above</w:t>
      </w:r>
      <w:r w:rsidRPr="00DE20E8">
        <w:rPr>
          <w:rFonts w:ascii="Times New Roman" w:hAnsi="Times New Roman" w:cs="Times New Roman"/>
          <w:sz w:val="24"/>
          <w:lang w:val="en-GB"/>
        </w:rPr>
        <w:t xml:space="preserve"> WHO guidelines on Fe in drinking water (0.3 mg/L). Together with low SWI concentration </w:t>
      </w:r>
      <w:r w:rsidR="0099643F">
        <w:rPr>
          <w:rFonts w:ascii="Times New Roman" w:hAnsi="Times New Roman" w:cs="Times New Roman"/>
          <w:sz w:val="24"/>
          <w:lang w:val="en-GB"/>
        </w:rPr>
        <w:t>our data</w:t>
      </w:r>
      <w:r w:rsidR="0099643F" w:rsidRPr="00DE20E8">
        <w:rPr>
          <w:rFonts w:ascii="Times New Roman" w:hAnsi="Times New Roman" w:cs="Times New Roman"/>
          <w:sz w:val="24"/>
          <w:lang w:val="en-GB"/>
        </w:rPr>
        <w:t xml:space="preserve"> </w:t>
      </w:r>
      <w:r w:rsidRPr="00DE20E8">
        <w:rPr>
          <w:rFonts w:ascii="Times New Roman" w:hAnsi="Times New Roman" w:cs="Times New Roman"/>
          <w:sz w:val="24"/>
          <w:lang w:val="en-GB"/>
        </w:rPr>
        <w:t>suggests that anthropogenic activity might have not affected the river</w:t>
      </w:r>
      <w:r w:rsidR="00F0114E">
        <w:rPr>
          <w:rFonts w:ascii="Times New Roman" w:hAnsi="Times New Roman" w:cs="Times New Roman"/>
          <w:sz w:val="24"/>
          <w:lang w:val="en-GB"/>
        </w:rPr>
        <w:t xml:space="preserve"> and that the sediment does not act as a sink for Fe</w:t>
      </w:r>
      <w:r w:rsidRPr="00DE20E8">
        <w:rPr>
          <w:rFonts w:ascii="Times New Roman" w:hAnsi="Times New Roman" w:cs="Times New Roman"/>
          <w:sz w:val="24"/>
          <w:lang w:val="en-GB"/>
        </w:rPr>
        <w:t xml:space="preserve">. Simultaneously, however, it is also yet unclear which factors </w:t>
      </w:r>
      <w:r w:rsidR="0099643F">
        <w:rPr>
          <w:rFonts w:ascii="Times New Roman" w:hAnsi="Times New Roman" w:cs="Times New Roman"/>
          <w:sz w:val="24"/>
          <w:lang w:val="en-GB"/>
        </w:rPr>
        <w:t xml:space="preserve">have highest </w:t>
      </w:r>
      <w:r w:rsidRPr="00DE20E8">
        <w:rPr>
          <w:rFonts w:ascii="Times New Roman" w:hAnsi="Times New Roman" w:cs="Times New Roman"/>
          <w:sz w:val="24"/>
          <w:lang w:val="en-GB"/>
        </w:rPr>
        <w:t>influence</w:t>
      </w:r>
      <w:r w:rsidR="0099643F">
        <w:rPr>
          <w:rFonts w:ascii="Times New Roman" w:hAnsi="Times New Roman" w:cs="Times New Roman"/>
          <w:sz w:val="24"/>
          <w:lang w:val="en-GB"/>
        </w:rPr>
        <w:t xml:space="preserve"> on</w:t>
      </w:r>
      <w:r w:rsidRPr="00DE20E8">
        <w:rPr>
          <w:rFonts w:ascii="Times New Roman" w:hAnsi="Times New Roman" w:cs="Times New Roman"/>
          <w:sz w:val="24"/>
          <w:lang w:val="en-GB"/>
        </w:rPr>
        <w:t xml:space="preserve"> the redox state of dissolved Fe in the sediment. </w:t>
      </w:r>
    </w:p>
    <w:p w14:paraId="057F7E43" w14:textId="77777777" w:rsidR="009F5CAF" w:rsidRPr="0099643F" w:rsidRDefault="009F5CAF" w:rsidP="00373DA9">
      <w:pPr>
        <w:spacing w:after="0" w:line="360" w:lineRule="auto"/>
        <w:ind w:firstLine="706"/>
        <w:jc w:val="both"/>
        <w:rPr>
          <w:rFonts w:ascii="Times New Roman" w:hAnsi="Times New Roman" w:cs="Times New Roman"/>
          <w:sz w:val="24"/>
          <w:lang w:val="en-GB"/>
        </w:rPr>
      </w:pPr>
    </w:p>
    <w:p w14:paraId="514FA169" w14:textId="4A7AEEB2" w:rsidR="00AC1A17" w:rsidRPr="0023761B" w:rsidRDefault="00387221" w:rsidP="00436798">
      <w:pPr>
        <w:pStyle w:val="ListParagraph"/>
        <w:numPr>
          <w:ilvl w:val="0"/>
          <w:numId w:val="2"/>
        </w:numPr>
        <w:spacing w:after="0" w:line="360" w:lineRule="auto"/>
        <w:jc w:val="center"/>
        <w:rPr>
          <w:rFonts w:ascii="Times New Roman" w:hAnsi="Times New Roman" w:cs="Times New Roman"/>
          <w:sz w:val="28"/>
          <w:lang w:val="en-GB"/>
        </w:rPr>
      </w:pPr>
      <w:r w:rsidRPr="0023761B">
        <w:rPr>
          <w:rFonts w:ascii="Times New Roman" w:hAnsi="Times New Roman" w:cs="Times New Roman"/>
          <w:b/>
          <w:sz w:val="28"/>
          <w:lang w:val="en-GB"/>
        </w:rPr>
        <w:t>Conclus</w:t>
      </w:r>
      <w:r w:rsidR="00AC1A17" w:rsidRPr="0023761B">
        <w:rPr>
          <w:rFonts w:ascii="Times New Roman" w:hAnsi="Times New Roman" w:cs="Times New Roman"/>
          <w:b/>
          <w:sz w:val="28"/>
          <w:lang w:val="en-GB"/>
        </w:rPr>
        <w:t>ions</w:t>
      </w:r>
    </w:p>
    <w:p w14:paraId="69240E1D" w14:textId="77777777" w:rsidR="008938F7" w:rsidRPr="0023761B" w:rsidRDefault="008938F7" w:rsidP="008938F7">
      <w:pPr>
        <w:pStyle w:val="ListParagraph"/>
        <w:spacing w:after="0" w:line="360" w:lineRule="auto"/>
        <w:ind w:left="360"/>
        <w:rPr>
          <w:rFonts w:ascii="Times New Roman" w:hAnsi="Times New Roman" w:cs="Times New Roman"/>
          <w:sz w:val="28"/>
          <w:lang w:val="en-GB"/>
        </w:rPr>
      </w:pPr>
    </w:p>
    <w:p w14:paraId="4DBAD311" w14:textId="15977CDC" w:rsidR="00F0114E" w:rsidRPr="0023761B" w:rsidRDefault="00F0114E" w:rsidP="00F0114E">
      <w:pPr>
        <w:pStyle w:val="ListParagraph"/>
        <w:spacing w:after="0" w:line="360" w:lineRule="auto"/>
        <w:ind w:left="0" w:firstLine="706"/>
        <w:jc w:val="both"/>
        <w:rPr>
          <w:rFonts w:ascii="Times New Roman" w:hAnsi="Times New Roman" w:cs="Times New Roman"/>
          <w:sz w:val="24"/>
          <w:szCs w:val="24"/>
          <w:lang w:val="en-GB"/>
        </w:rPr>
      </w:pPr>
      <w:r>
        <w:rPr>
          <w:rFonts w:ascii="Times New Roman" w:hAnsi="Times New Roman" w:cs="Times New Roman"/>
          <w:sz w:val="24"/>
          <w:szCs w:val="24"/>
          <w:lang w:val="en-GB"/>
        </w:rPr>
        <w:t>We report for the first time the dissolved Fe redox species distribution in the freshwater sediments by</w:t>
      </w:r>
      <w:r w:rsidRPr="0023761B">
        <w:rPr>
          <w:rFonts w:ascii="Times New Roman" w:hAnsi="Times New Roman" w:cs="Times New Roman"/>
          <w:sz w:val="24"/>
          <w:szCs w:val="24"/>
          <w:lang w:val="en-GB"/>
        </w:rPr>
        <w:t xml:space="preserve"> the use of </w:t>
      </w:r>
      <w:r>
        <w:rPr>
          <w:rFonts w:ascii="Times New Roman" w:hAnsi="Times New Roman" w:cs="Times New Roman"/>
          <w:sz w:val="24"/>
          <w:szCs w:val="24"/>
          <w:lang w:val="en-GB"/>
        </w:rPr>
        <w:t>coupled</w:t>
      </w:r>
      <w:r w:rsidRPr="0023761B">
        <w:rPr>
          <w:rFonts w:ascii="Times New Roman" w:hAnsi="Times New Roman" w:cs="Times New Roman"/>
          <w:sz w:val="24"/>
          <w:szCs w:val="24"/>
          <w:lang w:val="en-GB"/>
        </w:rPr>
        <w:t xml:space="preserve"> </w:t>
      </w:r>
      <w:r w:rsidRPr="0023761B">
        <w:rPr>
          <w:rFonts w:ascii="Times New Roman" w:hAnsi="Times New Roman" w:cs="Times New Roman"/>
          <w:sz w:val="24"/>
          <w:lang w:val="en-GB"/>
        </w:rPr>
        <w:t>DGT technique and BDS method</w:t>
      </w:r>
      <w:r>
        <w:rPr>
          <w:rFonts w:ascii="Times New Roman" w:hAnsi="Times New Roman" w:cs="Times New Roman"/>
          <w:sz w:val="24"/>
          <w:szCs w:val="24"/>
          <w:lang w:val="en-GB"/>
        </w:rPr>
        <w:t>.</w:t>
      </w:r>
      <w:r w:rsidRPr="0023761B">
        <w:rPr>
          <w:rFonts w:ascii="Times New Roman" w:hAnsi="Times New Roman" w:cs="Times New Roman"/>
          <w:sz w:val="24"/>
          <w:szCs w:val="24"/>
          <w:lang w:val="en-GB"/>
        </w:rPr>
        <w:t xml:space="preserve"> </w:t>
      </w:r>
    </w:p>
    <w:p w14:paraId="13401436" w14:textId="0EB7C4FF" w:rsidR="00F0114E" w:rsidRPr="005E0D08" w:rsidRDefault="00F0114E" w:rsidP="00F0114E">
      <w:pPr>
        <w:pStyle w:val="ListParagraph"/>
        <w:spacing w:after="0" w:line="360" w:lineRule="auto"/>
        <w:ind w:left="0" w:firstLine="706"/>
        <w:jc w:val="both"/>
        <w:rPr>
          <w:rFonts w:ascii="Times New Roman" w:hAnsi="Times New Roman" w:cs="Times New Roman"/>
          <w:sz w:val="24"/>
          <w:szCs w:val="24"/>
          <w:lang w:val="en-US"/>
        </w:rPr>
      </w:pPr>
      <w:r w:rsidRPr="0023761B">
        <w:rPr>
          <w:rFonts w:ascii="Times New Roman" w:hAnsi="Times New Roman" w:cs="Times New Roman"/>
          <w:sz w:val="24"/>
          <w:szCs w:val="24"/>
          <w:lang w:val="en-GB"/>
        </w:rPr>
        <w:t>T</w:t>
      </w:r>
      <w:r w:rsidRPr="0023761B">
        <w:rPr>
          <w:rFonts w:ascii="Times New Roman" w:hAnsi="Times New Roman" w:cs="Times New Roman"/>
          <w:sz w:val="24"/>
          <w:lang w:val="en-GB"/>
        </w:rPr>
        <w:t xml:space="preserve">he average total iron concentration in the </w:t>
      </w:r>
      <w:r>
        <w:rPr>
          <w:rFonts w:ascii="Times New Roman" w:hAnsi="Times New Roman" w:cs="Times New Roman"/>
          <w:sz w:val="24"/>
          <w:szCs w:val="24"/>
          <w:lang w:val="en-GB"/>
        </w:rPr>
        <w:t xml:space="preserve">Vrtojbica River </w:t>
      </w:r>
      <w:r w:rsidRPr="0023761B">
        <w:rPr>
          <w:rFonts w:ascii="Times New Roman" w:hAnsi="Times New Roman" w:cs="Times New Roman"/>
          <w:sz w:val="24"/>
          <w:lang w:val="en-GB"/>
        </w:rPr>
        <w:t>river</w:t>
      </w:r>
      <w:r>
        <w:rPr>
          <w:rFonts w:ascii="Times New Roman" w:hAnsi="Times New Roman" w:cs="Times New Roman"/>
          <w:sz w:val="24"/>
          <w:lang w:val="en-GB"/>
        </w:rPr>
        <w:t xml:space="preserve"> sediment</w:t>
      </w:r>
      <w:r w:rsidRPr="0023761B">
        <w:rPr>
          <w:rFonts w:ascii="Times New Roman" w:hAnsi="Times New Roman" w:cs="Times New Roman"/>
          <w:sz w:val="24"/>
          <w:lang w:val="en-GB"/>
        </w:rPr>
        <w:t xml:space="preserve"> was found to be </w:t>
      </w:r>
      <w:r>
        <w:rPr>
          <w:rFonts w:ascii="Times New Roman" w:hAnsi="Times New Roman" w:cs="Times New Roman"/>
          <w:sz w:val="24"/>
          <w:lang w:val="en-GB"/>
        </w:rPr>
        <w:t>49</w:t>
      </w:r>
      <w:r w:rsidRPr="0023761B">
        <w:rPr>
          <w:rFonts w:ascii="Times New Roman" w:hAnsi="Times New Roman" w:cs="Times New Roman"/>
          <w:sz w:val="24"/>
          <w:lang w:val="en-GB"/>
        </w:rPr>
        <w:t>.</w:t>
      </w:r>
      <w:r>
        <w:rPr>
          <w:rFonts w:ascii="Times New Roman" w:hAnsi="Times New Roman" w:cs="Times New Roman"/>
          <w:sz w:val="24"/>
          <w:lang w:val="en-GB"/>
        </w:rPr>
        <w:t>3</w:t>
      </w:r>
      <w:r w:rsidRPr="0023761B">
        <w:rPr>
          <w:rFonts w:ascii="Times New Roman" w:eastAsia="Times New Roman" w:hAnsi="Times New Roman" w:cs="Times New Roman"/>
          <w:color w:val="000000"/>
          <w:sz w:val="24"/>
          <w:szCs w:val="24"/>
          <w:lang w:val="en-GB"/>
        </w:rPr>
        <w:t xml:space="preserve"> </w:t>
      </w:r>
      <w:r w:rsidRPr="0023761B">
        <w:rPr>
          <w:rFonts w:ascii="Times New Roman" w:hAnsi="Times New Roman" w:cs="Times New Roman"/>
          <w:sz w:val="24"/>
          <w:lang w:val="en-GB"/>
        </w:rPr>
        <w:t>µ</w:t>
      </w:r>
      <w:r>
        <w:rPr>
          <w:rFonts w:ascii="Times New Roman" w:hAnsi="Times New Roman" w:cs="Times New Roman"/>
          <w:sz w:val="24"/>
          <w:lang w:val="en-GB"/>
        </w:rPr>
        <w:t>gL</w:t>
      </w:r>
      <w:r w:rsidRPr="005E0D08">
        <w:rPr>
          <w:rFonts w:ascii="Times New Roman" w:hAnsi="Times New Roman" w:cs="Times New Roman"/>
          <w:sz w:val="24"/>
          <w:vertAlign w:val="superscript"/>
          <w:lang w:val="en-GB"/>
        </w:rPr>
        <w:t>-1</w:t>
      </w:r>
      <w:r w:rsidRPr="0023761B">
        <w:rPr>
          <w:rFonts w:ascii="Times New Roman" w:hAnsi="Times New Roman" w:cs="Times New Roman"/>
          <w:sz w:val="24"/>
          <w:lang w:val="en-GB"/>
        </w:rPr>
        <w:t xml:space="preserve">. </w:t>
      </w:r>
      <w:r w:rsidRPr="0023761B">
        <w:rPr>
          <w:rFonts w:ascii="Times New Roman" w:hAnsi="Times New Roman" w:cs="Times New Roman"/>
          <w:sz w:val="24"/>
          <w:szCs w:val="24"/>
          <w:lang w:val="en-GB"/>
        </w:rPr>
        <w:t xml:space="preserve"> The average amount of Fe(III) was </w:t>
      </w:r>
      <w:r>
        <w:rPr>
          <w:rFonts w:ascii="Times New Roman" w:hAnsi="Times New Roman" w:cs="Times New Roman"/>
          <w:sz w:val="24"/>
          <w:szCs w:val="24"/>
          <w:lang w:val="en-GB"/>
        </w:rPr>
        <w:t>3</w:t>
      </w:r>
      <w:r w:rsidRPr="0023761B">
        <w:rPr>
          <w:rFonts w:ascii="Times New Roman" w:hAnsi="Times New Roman" w:cs="Times New Roman"/>
          <w:sz w:val="24"/>
          <w:szCs w:val="24"/>
          <w:lang w:val="en-GB"/>
        </w:rPr>
        <w:t xml:space="preserve"> times higher than the average Fe(II) concentration and reached the value of</w:t>
      </w:r>
      <w:r>
        <w:rPr>
          <w:rFonts w:ascii="Times New Roman" w:hAnsi="Times New Roman" w:cs="Times New Roman"/>
          <w:sz w:val="24"/>
          <w:szCs w:val="24"/>
          <w:lang w:val="en-GB"/>
        </w:rPr>
        <w:t xml:space="preserve"> 39.9</w:t>
      </w:r>
      <w:r w:rsidRPr="0023761B">
        <w:rPr>
          <w:rFonts w:ascii="Times New Roman" w:hAnsi="Times New Roman" w:cs="Times New Roman"/>
          <w:sz w:val="24"/>
          <w:szCs w:val="24"/>
          <w:lang w:val="en-GB"/>
        </w:rPr>
        <w:t> </w:t>
      </w:r>
      <w:r w:rsidRPr="0023761B">
        <w:rPr>
          <w:rFonts w:ascii="Times New Roman" w:hAnsi="Times New Roman" w:cs="Times New Roman"/>
          <w:sz w:val="24"/>
          <w:lang w:val="en-GB"/>
        </w:rPr>
        <w:t>µ</w:t>
      </w:r>
      <w:r>
        <w:rPr>
          <w:rFonts w:ascii="Times New Roman" w:hAnsi="Times New Roman" w:cs="Times New Roman"/>
          <w:sz w:val="24"/>
          <w:lang w:val="en-GB"/>
        </w:rPr>
        <w:t>gL</w:t>
      </w:r>
      <w:r w:rsidRPr="005E0D08">
        <w:rPr>
          <w:rFonts w:ascii="Times New Roman" w:hAnsi="Times New Roman" w:cs="Times New Roman"/>
          <w:sz w:val="24"/>
          <w:vertAlign w:val="superscript"/>
          <w:lang w:val="en-GB"/>
        </w:rPr>
        <w:t>-1</w:t>
      </w:r>
      <w:r w:rsidRPr="0023761B">
        <w:rPr>
          <w:rFonts w:ascii="Times New Roman" w:hAnsi="Times New Roman" w:cs="Times New Roman"/>
          <w:sz w:val="24"/>
          <w:szCs w:val="24"/>
          <w:lang w:val="en-GB"/>
        </w:rPr>
        <w:t xml:space="preserve"> and </w:t>
      </w:r>
      <w:r>
        <w:rPr>
          <w:rFonts w:ascii="Times New Roman" w:hAnsi="Times New Roman" w:cs="Times New Roman"/>
          <w:sz w:val="24"/>
          <w:szCs w:val="24"/>
          <w:lang w:val="en-GB"/>
        </w:rPr>
        <w:t xml:space="preserve">12.8 </w:t>
      </w:r>
      <w:r w:rsidRPr="0023761B">
        <w:rPr>
          <w:rFonts w:ascii="Times New Roman" w:hAnsi="Times New Roman" w:cs="Times New Roman"/>
          <w:sz w:val="24"/>
          <w:lang w:val="en-GB"/>
        </w:rPr>
        <w:t>µ</w:t>
      </w:r>
      <w:r>
        <w:rPr>
          <w:rFonts w:ascii="Times New Roman" w:hAnsi="Times New Roman" w:cs="Times New Roman"/>
          <w:sz w:val="24"/>
          <w:lang w:val="en-GB"/>
        </w:rPr>
        <w:t>gL</w:t>
      </w:r>
      <w:r w:rsidRPr="005E0D08">
        <w:rPr>
          <w:rFonts w:ascii="Times New Roman" w:hAnsi="Times New Roman" w:cs="Times New Roman"/>
          <w:sz w:val="24"/>
          <w:vertAlign w:val="superscript"/>
          <w:lang w:val="en-GB"/>
        </w:rPr>
        <w:t>-1</w:t>
      </w:r>
      <w:r w:rsidRPr="0023761B">
        <w:rPr>
          <w:rFonts w:ascii="Times New Roman" w:hAnsi="Times New Roman" w:cs="Times New Roman"/>
          <w:sz w:val="24"/>
          <w:szCs w:val="24"/>
          <w:lang w:val="en-GB"/>
        </w:rPr>
        <w:t xml:space="preserve">, respectively. </w:t>
      </w:r>
    </w:p>
    <w:p w14:paraId="1C5417B6" w14:textId="3EC7F940" w:rsidR="00F0114E" w:rsidRPr="0023761B" w:rsidRDefault="00F0114E" w:rsidP="00F0114E">
      <w:pPr>
        <w:pStyle w:val="ListParagraph"/>
        <w:spacing w:after="0" w:line="360" w:lineRule="auto"/>
        <w:ind w:left="0" w:firstLine="706"/>
        <w:jc w:val="both"/>
        <w:rPr>
          <w:rFonts w:ascii="Times New Roman" w:hAnsi="Times New Roman" w:cs="Times New Roman"/>
          <w:sz w:val="24"/>
          <w:szCs w:val="24"/>
          <w:lang w:val="en-GB"/>
        </w:rPr>
      </w:pPr>
      <w:r w:rsidRPr="0023761B">
        <w:rPr>
          <w:rFonts w:ascii="Times New Roman" w:hAnsi="Times New Roman" w:cs="Times New Roman"/>
          <w:sz w:val="24"/>
          <w:szCs w:val="24"/>
          <w:lang w:val="en-GB"/>
        </w:rPr>
        <w:t xml:space="preserve">The obtained results show the potential of using DGT method coupled to BDS technique for monitoring biologically relevant </w:t>
      </w:r>
      <w:r>
        <w:rPr>
          <w:rFonts w:ascii="Times New Roman" w:hAnsi="Times New Roman" w:cs="Times New Roman"/>
          <w:sz w:val="24"/>
          <w:szCs w:val="24"/>
          <w:lang w:val="en-GB"/>
        </w:rPr>
        <w:t>Fe</w:t>
      </w:r>
      <w:r w:rsidRPr="0023761B">
        <w:rPr>
          <w:rFonts w:ascii="Times New Roman" w:hAnsi="Times New Roman" w:cs="Times New Roman"/>
          <w:sz w:val="24"/>
          <w:szCs w:val="24"/>
          <w:lang w:val="en-GB"/>
        </w:rPr>
        <w:t xml:space="preserve"> species at environmental concentrations in natural waters and sediments.</w:t>
      </w:r>
      <w:r>
        <w:rPr>
          <w:rFonts w:ascii="Times New Roman" w:hAnsi="Times New Roman" w:cs="Times New Roman"/>
          <w:sz w:val="24"/>
          <w:szCs w:val="24"/>
          <w:lang w:val="en-GB"/>
        </w:rPr>
        <w:t xml:space="preserve"> The information received from the newly coupled method will advance our understanding of the basic biogeochemical processes governing trace metal behaviour in pristine and anthropogenically-impacted environments. Its results may be well incorporated in the existing mathematical models, which are currently based primarily on one-dimensional profiles, thereby increasing reliability of the model predictions. </w:t>
      </w:r>
      <w:r>
        <w:rPr>
          <w:rFonts w:ascii="Times New Roman" w:hAnsi="Times New Roman" w:cs="Times New Roman"/>
          <w:sz w:val="24"/>
          <w:lang w:val="en-GB"/>
        </w:rPr>
        <w:t>Further development, application and testing of the DGT-BDS is warranted, since it is reliable, precise, resistant to contamination, inexpensive, and time-saving analytical method.</w:t>
      </w:r>
    </w:p>
    <w:p w14:paraId="0FAF4A26" w14:textId="77777777" w:rsidR="005D029B" w:rsidRPr="0023761B" w:rsidRDefault="005D029B" w:rsidP="003A1B85">
      <w:pPr>
        <w:pStyle w:val="ListParagraph"/>
        <w:spacing w:after="0" w:line="360" w:lineRule="auto"/>
        <w:ind w:left="0" w:firstLine="706"/>
        <w:jc w:val="both"/>
        <w:rPr>
          <w:rFonts w:ascii="Times New Roman" w:hAnsi="Times New Roman" w:cs="Times New Roman"/>
          <w:sz w:val="24"/>
          <w:szCs w:val="24"/>
          <w:lang w:val="en-GB"/>
        </w:rPr>
      </w:pPr>
    </w:p>
    <w:p w14:paraId="326DF99A" w14:textId="77777777" w:rsidR="00AC1A17" w:rsidRPr="0023761B" w:rsidRDefault="00C83CBF" w:rsidP="00436798">
      <w:pPr>
        <w:pStyle w:val="ListParagraph"/>
        <w:numPr>
          <w:ilvl w:val="0"/>
          <w:numId w:val="2"/>
        </w:numPr>
        <w:spacing w:after="0" w:line="360" w:lineRule="auto"/>
        <w:jc w:val="center"/>
        <w:rPr>
          <w:rFonts w:ascii="Times New Roman" w:hAnsi="Times New Roman" w:cs="Times New Roman"/>
          <w:b/>
          <w:sz w:val="28"/>
          <w:lang w:val="en-GB"/>
        </w:rPr>
      </w:pPr>
      <w:r w:rsidRPr="0023761B">
        <w:rPr>
          <w:rFonts w:ascii="Times New Roman" w:hAnsi="Times New Roman" w:cs="Times New Roman"/>
          <w:b/>
          <w:sz w:val="28"/>
          <w:lang w:val="en-GB"/>
        </w:rPr>
        <w:t>Acknowledg</w:t>
      </w:r>
      <w:r w:rsidR="00AC1A17" w:rsidRPr="0023761B">
        <w:rPr>
          <w:rFonts w:ascii="Times New Roman" w:hAnsi="Times New Roman" w:cs="Times New Roman"/>
          <w:b/>
          <w:sz w:val="28"/>
          <w:lang w:val="en-GB"/>
        </w:rPr>
        <w:t>ements</w:t>
      </w:r>
    </w:p>
    <w:p w14:paraId="400D6149" w14:textId="77777777" w:rsidR="00C36CC0" w:rsidRPr="0023761B" w:rsidRDefault="00C36CC0" w:rsidP="00C36CC0">
      <w:pPr>
        <w:pStyle w:val="ListParagraph"/>
        <w:spacing w:after="0" w:line="360" w:lineRule="auto"/>
        <w:ind w:left="360"/>
        <w:rPr>
          <w:rFonts w:ascii="Times New Roman" w:hAnsi="Times New Roman" w:cs="Times New Roman"/>
          <w:b/>
          <w:sz w:val="28"/>
          <w:lang w:val="en-GB"/>
        </w:rPr>
      </w:pPr>
    </w:p>
    <w:p w14:paraId="5C5A0D47" w14:textId="14B8FBB1" w:rsidR="00A02E72" w:rsidRDefault="00C36CC0" w:rsidP="00C36CC0">
      <w:pPr>
        <w:spacing w:after="0" w:line="360" w:lineRule="auto"/>
        <w:ind w:firstLine="706"/>
        <w:jc w:val="both"/>
        <w:rPr>
          <w:rFonts w:ascii="Times New Roman" w:hAnsi="Times New Roman" w:cs="Times New Roman"/>
          <w:sz w:val="24"/>
          <w:lang w:val="en-GB"/>
        </w:rPr>
      </w:pPr>
      <w:r w:rsidRPr="0023761B">
        <w:rPr>
          <w:rFonts w:ascii="Times New Roman" w:hAnsi="Times New Roman" w:cs="Times New Roman"/>
          <w:sz w:val="24"/>
          <w:lang w:val="en-GB"/>
        </w:rPr>
        <w:t>This work was supported by Slovenian Research Agency within the research program P2-0393; Advanced materials for low-carbon and sustainable society.</w:t>
      </w:r>
    </w:p>
    <w:p w14:paraId="179C7405" w14:textId="77777777" w:rsidR="00171F3B" w:rsidRPr="0023761B" w:rsidRDefault="00171F3B" w:rsidP="00C36CC0">
      <w:pPr>
        <w:spacing w:after="0" w:line="360" w:lineRule="auto"/>
        <w:ind w:firstLine="706"/>
        <w:jc w:val="both"/>
        <w:rPr>
          <w:rFonts w:ascii="Times New Roman" w:hAnsi="Times New Roman" w:cs="Times New Roman"/>
          <w:sz w:val="24"/>
          <w:lang w:val="en-GB"/>
        </w:rPr>
      </w:pPr>
    </w:p>
    <w:p w14:paraId="2151ED79" w14:textId="77777777" w:rsidR="003B5647" w:rsidRPr="0023761B" w:rsidRDefault="00AC1A17" w:rsidP="00436798">
      <w:pPr>
        <w:pStyle w:val="ListParagraph"/>
        <w:numPr>
          <w:ilvl w:val="0"/>
          <w:numId w:val="2"/>
        </w:numPr>
        <w:spacing w:after="0" w:line="360" w:lineRule="auto"/>
        <w:jc w:val="center"/>
        <w:rPr>
          <w:rFonts w:ascii="Times New Roman" w:hAnsi="Times New Roman" w:cs="Times New Roman"/>
          <w:b/>
          <w:sz w:val="28"/>
          <w:lang w:val="en-GB"/>
        </w:rPr>
      </w:pPr>
      <w:r w:rsidRPr="0023761B">
        <w:rPr>
          <w:rFonts w:ascii="Times New Roman" w:hAnsi="Times New Roman" w:cs="Times New Roman"/>
          <w:b/>
          <w:sz w:val="28"/>
          <w:lang w:val="en-GB"/>
        </w:rPr>
        <w:t>References</w:t>
      </w:r>
    </w:p>
    <w:p w14:paraId="0F8CFE0F" w14:textId="371D5B69" w:rsidR="00D37359" w:rsidRPr="0023761B" w:rsidRDefault="00D37359" w:rsidP="003F4C3F">
      <w:pPr>
        <w:spacing w:after="0" w:line="360" w:lineRule="auto"/>
        <w:jc w:val="both"/>
        <w:rPr>
          <w:rFonts w:ascii="Times New Roman" w:hAnsi="Times New Roman" w:cs="Times New Roman"/>
          <w:sz w:val="24"/>
          <w:lang w:val="en-GB"/>
        </w:rPr>
      </w:pPr>
    </w:p>
    <w:p w14:paraId="214604CB" w14:textId="41881C42" w:rsidR="00D37359" w:rsidRPr="0023761B" w:rsidRDefault="00D37359" w:rsidP="00406534">
      <w:pPr>
        <w:pStyle w:val="ListParagraph"/>
        <w:numPr>
          <w:ilvl w:val="0"/>
          <w:numId w:val="5"/>
        </w:numPr>
        <w:spacing w:after="0" w:line="360" w:lineRule="auto"/>
        <w:jc w:val="both"/>
        <w:rPr>
          <w:rFonts w:ascii="Times New Roman" w:hAnsi="Times New Roman" w:cs="Times New Roman"/>
          <w:sz w:val="24"/>
          <w:lang w:val="en-GB"/>
        </w:rPr>
      </w:pPr>
      <w:r w:rsidRPr="0023761B">
        <w:rPr>
          <w:rFonts w:ascii="Times New Roman" w:hAnsi="Times New Roman" w:cs="Times New Roman"/>
          <w:sz w:val="24"/>
          <w:lang w:val="en-GB"/>
        </w:rPr>
        <w:t xml:space="preserve">S. Tautkus, L. Steponeniene, R. Kazlauskas, </w:t>
      </w:r>
      <w:r w:rsidR="00406534" w:rsidRPr="0023761B">
        <w:rPr>
          <w:rFonts w:ascii="Times New Roman" w:hAnsi="Times New Roman" w:cs="Times New Roman"/>
          <w:i/>
          <w:sz w:val="24"/>
          <w:lang w:val="en-GB"/>
        </w:rPr>
        <w:t>J</w:t>
      </w:r>
      <w:r w:rsidR="00E033FB">
        <w:rPr>
          <w:rFonts w:ascii="Times New Roman" w:hAnsi="Times New Roman" w:cs="Times New Roman"/>
          <w:i/>
          <w:sz w:val="24"/>
          <w:lang w:val="en-GB"/>
        </w:rPr>
        <w:t>.</w:t>
      </w:r>
      <w:r w:rsidR="00406534" w:rsidRPr="0023761B">
        <w:rPr>
          <w:rFonts w:ascii="Times New Roman" w:hAnsi="Times New Roman" w:cs="Times New Roman"/>
          <w:i/>
          <w:sz w:val="24"/>
          <w:lang w:val="en-GB"/>
        </w:rPr>
        <w:t xml:space="preserve"> Serb</w:t>
      </w:r>
      <w:r w:rsidR="00E033FB">
        <w:rPr>
          <w:rFonts w:ascii="Times New Roman" w:hAnsi="Times New Roman" w:cs="Times New Roman"/>
          <w:i/>
          <w:sz w:val="24"/>
          <w:lang w:val="en-GB"/>
        </w:rPr>
        <w:t>.</w:t>
      </w:r>
      <w:r w:rsidR="00406534" w:rsidRPr="0023761B">
        <w:rPr>
          <w:rFonts w:ascii="Times New Roman" w:hAnsi="Times New Roman" w:cs="Times New Roman"/>
          <w:i/>
          <w:sz w:val="24"/>
          <w:lang w:val="en-GB"/>
        </w:rPr>
        <w:t xml:space="preserve"> Chem</w:t>
      </w:r>
      <w:r w:rsidR="00E033FB">
        <w:rPr>
          <w:rFonts w:ascii="Times New Roman" w:hAnsi="Times New Roman" w:cs="Times New Roman"/>
          <w:i/>
          <w:sz w:val="24"/>
          <w:lang w:val="en-GB"/>
        </w:rPr>
        <w:t>.</w:t>
      </w:r>
      <w:r w:rsidR="00406534" w:rsidRPr="0023761B">
        <w:rPr>
          <w:rFonts w:ascii="Times New Roman" w:hAnsi="Times New Roman" w:cs="Times New Roman"/>
          <w:i/>
          <w:sz w:val="24"/>
          <w:lang w:val="en-GB"/>
        </w:rPr>
        <w:t xml:space="preserve"> Soc</w:t>
      </w:r>
      <w:r w:rsidR="00E033FB">
        <w:rPr>
          <w:rFonts w:ascii="Times New Roman" w:hAnsi="Times New Roman" w:cs="Times New Roman"/>
          <w:i/>
          <w:sz w:val="24"/>
          <w:lang w:val="en-GB"/>
        </w:rPr>
        <w:t>.</w:t>
      </w:r>
      <w:r w:rsidRPr="0023761B">
        <w:rPr>
          <w:rFonts w:ascii="Times New Roman" w:hAnsi="Times New Roman" w:cs="Times New Roman"/>
          <w:sz w:val="24"/>
          <w:lang w:val="en-GB"/>
        </w:rPr>
        <w:t xml:space="preserve"> </w:t>
      </w:r>
      <w:r w:rsidRPr="0023761B">
        <w:rPr>
          <w:rFonts w:ascii="Times New Roman" w:hAnsi="Times New Roman" w:cs="Times New Roman"/>
          <w:b/>
          <w:sz w:val="24"/>
          <w:lang w:val="en-GB"/>
        </w:rPr>
        <w:t>2004</w:t>
      </w:r>
      <w:r w:rsidRPr="0023761B">
        <w:rPr>
          <w:rFonts w:ascii="Times New Roman" w:hAnsi="Times New Roman" w:cs="Times New Roman"/>
          <w:sz w:val="24"/>
          <w:lang w:val="en-GB"/>
        </w:rPr>
        <w:t xml:space="preserve">, </w:t>
      </w:r>
      <w:r w:rsidRPr="00E033FB">
        <w:rPr>
          <w:rFonts w:ascii="Times New Roman" w:hAnsi="Times New Roman" w:cs="Times New Roman"/>
          <w:i/>
          <w:sz w:val="24"/>
          <w:lang w:val="en-GB"/>
        </w:rPr>
        <w:t>69(5)</w:t>
      </w:r>
      <w:r w:rsidRPr="0023761B">
        <w:rPr>
          <w:rFonts w:ascii="Times New Roman" w:hAnsi="Times New Roman" w:cs="Times New Roman"/>
          <w:sz w:val="24"/>
          <w:lang w:val="en-GB"/>
        </w:rPr>
        <w:t>, 393</w:t>
      </w:r>
      <w:r w:rsidR="00E033FB" w:rsidRPr="0023761B">
        <w:rPr>
          <w:rFonts w:ascii="Times New Roman" w:hAnsi="Times New Roman" w:cs="Times New Roman"/>
          <w:sz w:val="24"/>
          <w:szCs w:val="24"/>
          <w:lang w:val="en-GB"/>
        </w:rPr>
        <w:t>–</w:t>
      </w:r>
      <w:r w:rsidRPr="0023761B">
        <w:rPr>
          <w:rFonts w:ascii="Times New Roman" w:hAnsi="Times New Roman" w:cs="Times New Roman"/>
          <w:sz w:val="24"/>
          <w:lang w:val="en-GB"/>
        </w:rPr>
        <w:t>402.</w:t>
      </w:r>
    </w:p>
    <w:p w14:paraId="163290C1" w14:textId="2469CF82" w:rsidR="00D37359" w:rsidRPr="0023761B" w:rsidRDefault="00D37359" w:rsidP="00D37359">
      <w:pPr>
        <w:pStyle w:val="ListParagraph"/>
        <w:numPr>
          <w:ilvl w:val="0"/>
          <w:numId w:val="5"/>
        </w:numPr>
        <w:spacing w:after="0" w:line="360" w:lineRule="auto"/>
        <w:jc w:val="both"/>
        <w:rPr>
          <w:rFonts w:ascii="Times New Roman" w:hAnsi="Times New Roman" w:cs="Times New Roman"/>
          <w:sz w:val="24"/>
          <w:szCs w:val="24"/>
          <w:lang w:val="en-GB"/>
        </w:rPr>
      </w:pPr>
      <w:r w:rsidRPr="0023761B">
        <w:rPr>
          <w:rFonts w:ascii="Times New Roman" w:hAnsi="Times New Roman" w:cs="Times New Roman"/>
          <w:sz w:val="24"/>
          <w:lang w:val="en-GB"/>
        </w:rPr>
        <w:t xml:space="preserve">W. Bennett, </w:t>
      </w:r>
      <w:r w:rsidRPr="0023761B">
        <w:rPr>
          <w:rFonts w:ascii="Times New Roman" w:hAnsi="Times New Roman" w:cs="Times New Roman"/>
          <w:sz w:val="24"/>
          <w:szCs w:val="24"/>
          <w:lang w:val="en-GB"/>
        </w:rPr>
        <w:t xml:space="preserve">M. </w:t>
      </w:r>
      <w:r w:rsidRPr="0023761B">
        <w:rPr>
          <w:rFonts w:ascii="Times New Roman" w:eastAsia="Times New Roman" w:hAnsi="Times New Roman" w:cs="Times New Roman"/>
          <w:sz w:val="24"/>
          <w:szCs w:val="24"/>
          <w:lang w:val="en-GB" w:eastAsia="sl-SI"/>
        </w:rPr>
        <w:t xml:space="preserve">Arsic, J. G. Panther, D. T. Welsh, P. R. Teasdale, in: W. Davison (Ed.): </w:t>
      </w:r>
      <w:r w:rsidRPr="0023761B">
        <w:rPr>
          <w:rFonts w:ascii="Times New Roman" w:eastAsia="Times New Roman" w:hAnsi="Times New Roman" w:cs="Times New Roman"/>
          <w:sz w:val="24"/>
          <w:szCs w:val="24"/>
          <w:shd w:val="clear" w:color="auto" w:fill="FFFFFF"/>
          <w:lang w:val="en-GB" w:eastAsia="sl-SI"/>
        </w:rPr>
        <w:t xml:space="preserve">Diffusive Gradients in Thin-Films for Environmental Measurements. 1.ed. Cambridge University Press, Cambridge, UK, </w:t>
      </w:r>
      <w:r w:rsidRPr="0023761B">
        <w:rPr>
          <w:rFonts w:ascii="Times New Roman" w:eastAsia="Times New Roman" w:hAnsi="Times New Roman" w:cs="Times New Roman"/>
          <w:b/>
          <w:sz w:val="24"/>
          <w:szCs w:val="24"/>
          <w:shd w:val="clear" w:color="auto" w:fill="FFFFFF"/>
          <w:lang w:val="en-GB" w:eastAsia="sl-SI"/>
        </w:rPr>
        <w:t>2016</w:t>
      </w:r>
      <w:r w:rsidRPr="0023761B">
        <w:rPr>
          <w:rFonts w:ascii="Times New Roman" w:eastAsia="Times New Roman" w:hAnsi="Times New Roman" w:cs="Times New Roman"/>
          <w:sz w:val="24"/>
          <w:szCs w:val="24"/>
          <w:shd w:val="clear" w:color="auto" w:fill="FFFFFF"/>
          <w:lang w:val="en-GB" w:eastAsia="sl-SI"/>
        </w:rPr>
        <w:t>, pp. 66</w:t>
      </w:r>
      <w:r w:rsidR="00E033FB" w:rsidRPr="0023761B">
        <w:rPr>
          <w:rFonts w:ascii="Times New Roman" w:hAnsi="Times New Roman" w:cs="Times New Roman"/>
          <w:sz w:val="24"/>
          <w:szCs w:val="24"/>
          <w:lang w:val="en-GB"/>
        </w:rPr>
        <w:t>–</w:t>
      </w:r>
      <w:r w:rsidRPr="0023761B">
        <w:rPr>
          <w:rFonts w:ascii="Times New Roman" w:eastAsia="Times New Roman" w:hAnsi="Times New Roman" w:cs="Times New Roman"/>
          <w:sz w:val="24"/>
          <w:szCs w:val="24"/>
          <w:shd w:val="clear" w:color="auto" w:fill="FFFFFF"/>
          <w:lang w:val="en-GB" w:eastAsia="sl-SI"/>
        </w:rPr>
        <w:t>92.</w:t>
      </w:r>
      <w:r w:rsidRPr="0023761B">
        <w:rPr>
          <w:rFonts w:ascii="Times New Roman" w:hAnsi="Times New Roman" w:cs="Times New Roman"/>
          <w:sz w:val="24"/>
          <w:szCs w:val="24"/>
          <w:lang w:val="en-GB"/>
        </w:rPr>
        <w:t xml:space="preserve"> </w:t>
      </w:r>
    </w:p>
    <w:p w14:paraId="7C820BA2" w14:textId="154B8576" w:rsidR="004E0DC0" w:rsidRPr="0023761B" w:rsidRDefault="00D37359" w:rsidP="004E0DC0">
      <w:pPr>
        <w:pStyle w:val="ListParagraph"/>
        <w:numPr>
          <w:ilvl w:val="0"/>
          <w:numId w:val="5"/>
        </w:numPr>
        <w:spacing w:after="0" w:line="360" w:lineRule="auto"/>
        <w:jc w:val="both"/>
        <w:rPr>
          <w:rFonts w:ascii="Times New Roman" w:hAnsi="Times New Roman" w:cs="Times New Roman"/>
          <w:sz w:val="24"/>
          <w:szCs w:val="24"/>
          <w:lang w:val="en-GB"/>
        </w:rPr>
      </w:pPr>
      <w:r w:rsidRPr="0023761B">
        <w:rPr>
          <w:rFonts w:ascii="Times New Roman" w:hAnsi="Times New Roman" w:cs="Times New Roman"/>
          <w:sz w:val="24"/>
          <w:lang w:val="en-GB"/>
        </w:rPr>
        <w:t xml:space="preserve">W. G. Sunda, S. A. Huntsman, </w:t>
      </w:r>
      <w:r w:rsidRPr="0023761B">
        <w:rPr>
          <w:rFonts w:ascii="Times New Roman" w:hAnsi="Times New Roman" w:cs="Times New Roman"/>
          <w:i/>
          <w:sz w:val="24"/>
          <w:lang w:val="en-GB"/>
        </w:rPr>
        <w:t>Mar</w:t>
      </w:r>
      <w:r w:rsidR="00E033FB">
        <w:rPr>
          <w:rFonts w:ascii="Times New Roman" w:hAnsi="Times New Roman" w:cs="Times New Roman"/>
          <w:i/>
          <w:sz w:val="24"/>
          <w:lang w:val="en-GB"/>
        </w:rPr>
        <w:t>.</w:t>
      </w:r>
      <w:r w:rsidRPr="0023761B">
        <w:rPr>
          <w:rFonts w:ascii="Times New Roman" w:hAnsi="Times New Roman" w:cs="Times New Roman"/>
          <w:i/>
          <w:sz w:val="24"/>
          <w:lang w:val="en-GB"/>
        </w:rPr>
        <w:t xml:space="preserve"> Chem</w:t>
      </w:r>
      <w:r w:rsidR="00E033FB">
        <w:rPr>
          <w:rFonts w:ascii="Times New Roman" w:hAnsi="Times New Roman" w:cs="Times New Roman"/>
          <w:i/>
          <w:sz w:val="24"/>
          <w:lang w:val="en-GB"/>
        </w:rPr>
        <w:t>.</w:t>
      </w:r>
      <w:r w:rsidRPr="0023761B">
        <w:rPr>
          <w:rFonts w:ascii="Times New Roman" w:hAnsi="Times New Roman" w:cs="Times New Roman"/>
          <w:sz w:val="24"/>
          <w:lang w:val="en-GB"/>
        </w:rPr>
        <w:t xml:space="preserve"> </w:t>
      </w:r>
      <w:r w:rsidRPr="0023761B">
        <w:rPr>
          <w:rFonts w:ascii="Times New Roman" w:hAnsi="Times New Roman" w:cs="Times New Roman"/>
          <w:b/>
          <w:sz w:val="24"/>
          <w:lang w:val="en-GB"/>
        </w:rPr>
        <w:t>1995</w:t>
      </w:r>
      <w:r w:rsidRPr="0023761B">
        <w:rPr>
          <w:rFonts w:ascii="Times New Roman" w:hAnsi="Times New Roman" w:cs="Times New Roman"/>
          <w:sz w:val="24"/>
          <w:lang w:val="en-GB"/>
        </w:rPr>
        <w:t xml:space="preserve">, </w:t>
      </w:r>
      <w:r w:rsidRPr="00E033FB">
        <w:rPr>
          <w:rFonts w:ascii="Times New Roman" w:hAnsi="Times New Roman" w:cs="Times New Roman"/>
          <w:i/>
          <w:sz w:val="24"/>
          <w:lang w:val="en-GB"/>
        </w:rPr>
        <w:t>50</w:t>
      </w:r>
      <w:r w:rsidRPr="0023761B">
        <w:rPr>
          <w:rFonts w:ascii="Times New Roman" w:hAnsi="Times New Roman" w:cs="Times New Roman"/>
          <w:sz w:val="24"/>
          <w:lang w:val="en-GB"/>
        </w:rPr>
        <w:t>, 189</w:t>
      </w:r>
      <w:r w:rsidR="00E033FB" w:rsidRPr="0023761B">
        <w:rPr>
          <w:rFonts w:ascii="Times New Roman" w:hAnsi="Times New Roman" w:cs="Times New Roman"/>
          <w:sz w:val="24"/>
          <w:szCs w:val="24"/>
          <w:lang w:val="en-GB"/>
        </w:rPr>
        <w:t>–</w:t>
      </w:r>
      <w:r w:rsidRPr="0023761B">
        <w:rPr>
          <w:rFonts w:ascii="Times New Roman" w:hAnsi="Times New Roman" w:cs="Times New Roman"/>
          <w:sz w:val="24"/>
          <w:lang w:val="en-GB"/>
        </w:rPr>
        <w:t>206.</w:t>
      </w:r>
    </w:p>
    <w:p w14:paraId="57AE933C" w14:textId="14FFE655" w:rsidR="00D37359" w:rsidRPr="0023761B" w:rsidRDefault="00D37359" w:rsidP="00D37359">
      <w:pPr>
        <w:pStyle w:val="ListParagraph"/>
        <w:numPr>
          <w:ilvl w:val="0"/>
          <w:numId w:val="5"/>
        </w:numPr>
        <w:spacing w:after="0" w:line="360" w:lineRule="auto"/>
        <w:jc w:val="both"/>
        <w:rPr>
          <w:rFonts w:ascii="Times New Roman" w:hAnsi="Times New Roman" w:cs="Times New Roman"/>
          <w:sz w:val="24"/>
          <w:lang w:val="en-GB"/>
        </w:rPr>
      </w:pPr>
      <w:r w:rsidRPr="0023761B">
        <w:rPr>
          <w:rFonts w:ascii="Times New Roman" w:hAnsi="Times New Roman" w:cs="Times New Roman"/>
          <w:sz w:val="24"/>
          <w:lang w:val="en-GB"/>
        </w:rPr>
        <w:t xml:space="preserve">K. W. Bruland, E. L. Rue, in: K. A. Hunter and D. R. Turner (Ed.): Iron: Analytical methods for the determination of concentrations and speciation. The Biogeochemistry of Iron in Seawater, NY: John Wiley &amp; Sons, New York, USA, </w:t>
      </w:r>
      <w:r w:rsidRPr="0023761B">
        <w:rPr>
          <w:rFonts w:ascii="Times New Roman" w:hAnsi="Times New Roman" w:cs="Times New Roman"/>
          <w:b/>
          <w:sz w:val="24"/>
          <w:lang w:val="en-GB"/>
        </w:rPr>
        <w:t>2001</w:t>
      </w:r>
      <w:r w:rsidRPr="0023761B">
        <w:rPr>
          <w:rFonts w:ascii="Times New Roman" w:hAnsi="Times New Roman" w:cs="Times New Roman"/>
          <w:sz w:val="24"/>
          <w:lang w:val="en-GB"/>
        </w:rPr>
        <w:t>, pp. 255</w:t>
      </w:r>
      <w:r w:rsidR="00E033FB" w:rsidRPr="0023761B">
        <w:rPr>
          <w:rFonts w:ascii="Times New Roman" w:hAnsi="Times New Roman" w:cs="Times New Roman"/>
          <w:sz w:val="24"/>
          <w:szCs w:val="24"/>
          <w:lang w:val="en-GB"/>
        </w:rPr>
        <w:t>–</w:t>
      </w:r>
      <w:r w:rsidRPr="0023761B">
        <w:rPr>
          <w:rFonts w:ascii="Times New Roman" w:hAnsi="Times New Roman" w:cs="Times New Roman"/>
          <w:sz w:val="24"/>
          <w:lang w:val="en-GB"/>
        </w:rPr>
        <w:t>289.</w:t>
      </w:r>
    </w:p>
    <w:p w14:paraId="5F534D05" w14:textId="6136F006" w:rsidR="00D37359" w:rsidRPr="0023761B" w:rsidRDefault="00D37359" w:rsidP="00406534">
      <w:pPr>
        <w:pStyle w:val="ListParagraph"/>
        <w:numPr>
          <w:ilvl w:val="0"/>
          <w:numId w:val="5"/>
        </w:numPr>
        <w:spacing w:after="0" w:line="360" w:lineRule="auto"/>
        <w:jc w:val="both"/>
        <w:rPr>
          <w:rFonts w:ascii="Times New Roman" w:hAnsi="Times New Roman" w:cs="Times New Roman"/>
          <w:sz w:val="24"/>
          <w:lang w:val="en-GB"/>
        </w:rPr>
      </w:pPr>
      <w:r w:rsidRPr="0023761B">
        <w:rPr>
          <w:rFonts w:ascii="Times New Roman" w:hAnsi="Times New Roman" w:cs="Times New Roman"/>
          <w:sz w:val="24"/>
          <w:lang w:val="en-GB"/>
        </w:rPr>
        <w:t xml:space="preserve">W. W. Gregg, P. Ginoux, P. S. Schopf, N. W. Casey, </w:t>
      </w:r>
      <w:r w:rsidR="00406534" w:rsidRPr="0023761B">
        <w:rPr>
          <w:rFonts w:ascii="Times New Roman" w:hAnsi="Times New Roman" w:cs="Times New Roman"/>
          <w:i/>
          <w:sz w:val="24"/>
          <w:lang w:val="en-GB"/>
        </w:rPr>
        <w:t>Deep-Sea Res</w:t>
      </w:r>
      <w:r w:rsidR="00E033FB">
        <w:rPr>
          <w:rFonts w:ascii="Times New Roman" w:hAnsi="Times New Roman" w:cs="Times New Roman"/>
          <w:i/>
          <w:sz w:val="24"/>
          <w:lang w:val="en-GB"/>
        </w:rPr>
        <w:t>.</w:t>
      </w:r>
      <w:r w:rsidR="00406534" w:rsidRPr="0023761B">
        <w:rPr>
          <w:rFonts w:ascii="Times New Roman" w:hAnsi="Times New Roman" w:cs="Times New Roman"/>
          <w:i/>
          <w:sz w:val="24"/>
          <w:lang w:val="en-GB"/>
        </w:rPr>
        <w:t xml:space="preserve"> Pt</w:t>
      </w:r>
      <w:r w:rsidR="00E033FB">
        <w:rPr>
          <w:rFonts w:ascii="Times New Roman" w:hAnsi="Times New Roman" w:cs="Times New Roman"/>
          <w:i/>
          <w:sz w:val="24"/>
          <w:lang w:val="en-GB"/>
        </w:rPr>
        <w:t>.</w:t>
      </w:r>
      <w:r w:rsidR="00406534" w:rsidRPr="0023761B">
        <w:rPr>
          <w:rFonts w:ascii="Times New Roman" w:hAnsi="Times New Roman" w:cs="Times New Roman"/>
          <w:i/>
          <w:sz w:val="24"/>
          <w:lang w:val="en-GB"/>
        </w:rPr>
        <w:t xml:space="preserve"> Ii</w:t>
      </w:r>
      <w:r w:rsidR="00E033FB">
        <w:rPr>
          <w:rFonts w:ascii="Times New Roman" w:hAnsi="Times New Roman" w:cs="Times New Roman"/>
          <w:i/>
          <w:sz w:val="24"/>
          <w:lang w:val="en-GB"/>
        </w:rPr>
        <w:t>.</w:t>
      </w:r>
      <w:r w:rsidRPr="0023761B">
        <w:rPr>
          <w:rFonts w:ascii="Times New Roman" w:hAnsi="Times New Roman" w:cs="Times New Roman"/>
          <w:sz w:val="24"/>
          <w:lang w:val="en-GB"/>
        </w:rPr>
        <w:t xml:space="preserve"> </w:t>
      </w:r>
      <w:r w:rsidRPr="0023761B">
        <w:rPr>
          <w:rFonts w:ascii="Times New Roman" w:hAnsi="Times New Roman" w:cs="Times New Roman"/>
          <w:b/>
          <w:sz w:val="24"/>
          <w:lang w:val="en-GB"/>
        </w:rPr>
        <w:t>2003</w:t>
      </w:r>
      <w:r w:rsidRPr="0023761B">
        <w:rPr>
          <w:rFonts w:ascii="Times New Roman" w:hAnsi="Times New Roman" w:cs="Times New Roman"/>
          <w:sz w:val="24"/>
          <w:lang w:val="en-GB"/>
        </w:rPr>
        <w:t xml:space="preserve">, </w:t>
      </w:r>
      <w:r w:rsidRPr="00E033FB">
        <w:rPr>
          <w:rFonts w:ascii="Times New Roman" w:hAnsi="Times New Roman" w:cs="Times New Roman"/>
          <w:i/>
          <w:sz w:val="24"/>
          <w:lang w:val="en-GB"/>
        </w:rPr>
        <w:t>50(22</w:t>
      </w:r>
      <w:r w:rsidR="00E033FB" w:rsidRPr="00E033FB">
        <w:rPr>
          <w:rFonts w:ascii="Times New Roman" w:hAnsi="Times New Roman" w:cs="Times New Roman"/>
          <w:i/>
          <w:sz w:val="24"/>
          <w:szCs w:val="24"/>
          <w:lang w:val="en-GB"/>
        </w:rPr>
        <w:t>–</w:t>
      </w:r>
      <w:r w:rsidRPr="00E033FB">
        <w:rPr>
          <w:rFonts w:ascii="Times New Roman" w:hAnsi="Times New Roman" w:cs="Times New Roman"/>
          <w:i/>
          <w:sz w:val="24"/>
          <w:lang w:val="en-GB"/>
        </w:rPr>
        <w:t>26)</w:t>
      </w:r>
      <w:r w:rsidRPr="0023761B">
        <w:rPr>
          <w:rFonts w:ascii="Times New Roman" w:hAnsi="Times New Roman" w:cs="Times New Roman"/>
          <w:sz w:val="24"/>
          <w:lang w:val="en-GB"/>
        </w:rPr>
        <w:t>, 3143</w:t>
      </w:r>
      <w:r w:rsidR="00E033FB" w:rsidRPr="0023761B">
        <w:rPr>
          <w:rFonts w:ascii="Times New Roman" w:hAnsi="Times New Roman" w:cs="Times New Roman"/>
          <w:sz w:val="24"/>
          <w:szCs w:val="24"/>
          <w:lang w:val="en-GB"/>
        </w:rPr>
        <w:t>–</w:t>
      </w:r>
      <w:r w:rsidRPr="0023761B">
        <w:rPr>
          <w:rFonts w:ascii="Times New Roman" w:hAnsi="Times New Roman" w:cs="Times New Roman"/>
          <w:sz w:val="24"/>
          <w:lang w:val="en-GB"/>
        </w:rPr>
        <w:t>3169.</w:t>
      </w:r>
    </w:p>
    <w:p w14:paraId="1E6B7F8D" w14:textId="4F231674" w:rsidR="00425A90" w:rsidRPr="0023761B" w:rsidRDefault="00425A90" w:rsidP="00425A90">
      <w:pPr>
        <w:pStyle w:val="ListParagraph"/>
        <w:numPr>
          <w:ilvl w:val="0"/>
          <w:numId w:val="5"/>
        </w:numPr>
        <w:spacing w:after="0" w:line="360" w:lineRule="auto"/>
        <w:jc w:val="both"/>
        <w:rPr>
          <w:rFonts w:ascii="Times New Roman" w:hAnsi="Times New Roman" w:cs="Times New Roman"/>
          <w:sz w:val="24"/>
          <w:szCs w:val="24"/>
          <w:lang w:val="en-GB"/>
        </w:rPr>
      </w:pPr>
      <w:r w:rsidRPr="0023761B">
        <w:rPr>
          <w:rFonts w:ascii="Times New Roman" w:hAnsi="Times New Roman" w:cs="Times New Roman"/>
          <w:sz w:val="24"/>
          <w:szCs w:val="24"/>
          <w:lang w:val="en-GB"/>
        </w:rPr>
        <w:t xml:space="preserve">L. M. Laglera, D. Monticelli, </w:t>
      </w:r>
      <w:r w:rsidRPr="0023761B">
        <w:rPr>
          <w:rFonts w:ascii="Times New Roman" w:hAnsi="Times New Roman" w:cs="Times New Roman"/>
          <w:i/>
          <w:sz w:val="24"/>
          <w:szCs w:val="24"/>
          <w:lang w:val="en-GB"/>
        </w:rPr>
        <w:t>Curr</w:t>
      </w:r>
      <w:r w:rsidR="00E033FB">
        <w:rPr>
          <w:rFonts w:ascii="Times New Roman" w:hAnsi="Times New Roman" w:cs="Times New Roman"/>
          <w:i/>
          <w:sz w:val="24"/>
          <w:szCs w:val="24"/>
          <w:lang w:val="en-GB"/>
        </w:rPr>
        <w:t>.</w:t>
      </w:r>
      <w:r w:rsidRPr="0023761B">
        <w:rPr>
          <w:rFonts w:ascii="Times New Roman" w:hAnsi="Times New Roman" w:cs="Times New Roman"/>
          <w:i/>
          <w:sz w:val="24"/>
          <w:szCs w:val="24"/>
          <w:lang w:val="en-GB"/>
        </w:rPr>
        <w:t xml:space="preserve"> Opin</w:t>
      </w:r>
      <w:r w:rsidR="00E033FB">
        <w:rPr>
          <w:rFonts w:ascii="Times New Roman" w:hAnsi="Times New Roman" w:cs="Times New Roman"/>
          <w:i/>
          <w:sz w:val="24"/>
          <w:szCs w:val="24"/>
          <w:lang w:val="en-GB"/>
        </w:rPr>
        <w:t>.</w:t>
      </w:r>
      <w:r w:rsidRPr="0023761B">
        <w:rPr>
          <w:rFonts w:ascii="Times New Roman" w:hAnsi="Times New Roman" w:cs="Times New Roman"/>
          <w:i/>
          <w:sz w:val="24"/>
          <w:szCs w:val="24"/>
          <w:lang w:val="en-GB"/>
        </w:rPr>
        <w:t xml:space="preserve"> Electrochem</w:t>
      </w:r>
      <w:r w:rsidR="00E033FB">
        <w:rPr>
          <w:rFonts w:ascii="Times New Roman" w:hAnsi="Times New Roman" w:cs="Times New Roman"/>
          <w:i/>
          <w:sz w:val="24"/>
          <w:szCs w:val="24"/>
          <w:lang w:val="en-GB"/>
        </w:rPr>
        <w:t>.</w:t>
      </w:r>
      <w:r w:rsidRPr="0023761B">
        <w:rPr>
          <w:rFonts w:ascii="Times New Roman" w:hAnsi="Times New Roman" w:cs="Times New Roman"/>
          <w:sz w:val="24"/>
          <w:szCs w:val="24"/>
          <w:lang w:val="en-GB"/>
        </w:rPr>
        <w:t xml:space="preserve"> </w:t>
      </w:r>
      <w:r w:rsidRPr="0023761B">
        <w:rPr>
          <w:rFonts w:ascii="Times New Roman" w:hAnsi="Times New Roman" w:cs="Times New Roman"/>
          <w:b/>
          <w:sz w:val="24"/>
          <w:szCs w:val="24"/>
          <w:lang w:val="en-GB"/>
        </w:rPr>
        <w:t>2017</w:t>
      </w:r>
      <w:r w:rsidRPr="0023761B">
        <w:rPr>
          <w:rFonts w:ascii="Times New Roman" w:hAnsi="Times New Roman" w:cs="Times New Roman"/>
          <w:sz w:val="24"/>
          <w:szCs w:val="24"/>
          <w:lang w:val="en-GB"/>
        </w:rPr>
        <w:t xml:space="preserve">, </w:t>
      </w:r>
      <w:r w:rsidRPr="00E033FB">
        <w:rPr>
          <w:rFonts w:ascii="Times New Roman" w:hAnsi="Times New Roman" w:cs="Times New Roman"/>
          <w:i/>
          <w:sz w:val="24"/>
          <w:szCs w:val="24"/>
          <w:lang w:val="en-GB"/>
        </w:rPr>
        <w:t>3</w:t>
      </w:r>
      <w:r w:rsidRPr="0023761B">
        <w:rPr>
          <w:rFonts w:ascii="Times New Roman" w:hAnsi="Times New Roman" w:cs="Times New Roman"/>
          <w:sz w:val="24"/>
          <w:szCs w:val="24"/>
          <w:lang w:val="en-GB"/>
        </w:rPr>
        <w:t>, 123–129.</w:t>
      </w:r>
    </w:p>
    <w:p w14:paraId="34CD6A1F" w14:textId="335855E6" w:rsidR="006E72F3" w:rsidRPr="0023761B" w:rsidRDefault="006E72F3" w:rsidP="00425A90">
      <w:pPr>
        <w:pStyle w:val="ListParagraph"/>
        <w:numPr>
          <w:ilvl w:val="0"/>
          <w:numId w:val="5"/>
        </w:numPr>
        <w:spacing w:after="0" w:line="360" w:lineRule="auto"/>
        <w:jc w:val="both"/>
        <w:rPr>
          <w:rFonts w:ascii="Times New Roman" w:hAnsi="Times New Roman" w:cs="Times New Roman"/>
          <w:sz w:val="24"/>
          <w:szCs w:val="24"/>
          <w:lang w:val="en-GB"/>
        </w:rPr>
      </w:pPr>
      <w:r w:rsidRPr="0023761B">
        <w:rPr>
          <w:rFonts w:ascii="Times New Roman" w:hAnsi="Times New Roman" w:cs="Times New Roman"/>
          <w:sz w:val="24"/>
          <w:szCs w:val="24"/>
          <w:lang w:val="en-GB"/>
        </w:rPr>
        <w:t xml:space="preserve">Y. Dai et al., </w:t>
      </w:r>
      <w:r w:rsidRPr="0023761B">
        <w:rPr>
          <w:rFonts w:ascii="Times New Roman" w:hAnsi="Times New Roman" w:cs="Times New Roman"/>
          <w:i/>
          <w:sz w:val="24"/>
          <w:szCs w:val="24"/>
          <w:lang w:val="en-GB"/>
        </w:rPr>
        <w:t>Chemosphere.</w:t>
      </w:r>
      <w:r w:rsidRPr="0023761B">
        <w:rPr>
          <w:rFonts w:ascii="Times New Roman" w:hAnsi="Times New Roman" w:cs="Times New Roman"/>
          <w:sz w:val="24"/>
          <w:szCs w:val="24"/>
          <w:lang w:val="en-GB"/>
        </w:rPr>
        <w:t xml:space="preserve"> </w:t>
      </w:r>
      <w:r w:rsidRPr="0023761B">
        <w:rPr>
          <w:rFonts w:ascii="Times New Roman" w:hAnsi="Times New Roman" w:cs="Times New Roman"/>
          <w:b/>
          <w:sz w:val="24"/>
          <w:szCs w:val="24"/>
          <w:lang w:val="en-GB"/>
        </w:rPr>
        <w:t>2018</w:t>
      </w:r>
      <w:r w:rsidRPr="0023761B">
        <w:rPr>
          <w:rFonts w:ascii="Times New Roman" w:hAnsi="Times New Roman" w:cs="Times New Roman"/>
          <w:sz w:val="24"/>
          <w:szCs w:val="24"/>
          <w:lang w:val="en-GB"/>
        </w:rPr>
        <w:t xml:space="preserve">, </w:t>
      </w:r>
      <w:r w:rsidRPr="00E033FB">
        <w:rPr>
          <w:rFonts w:ascii="Times New Roman" w:hAnsi="Times New Roman" w:cs="Times New Roman"/>
          <w:i/>
          <w:sz w:val="24"/>
          <w:szCs w:val="24"/>
          <w:lang w:val="en-GB"/>
        </w:rPr>
        <w:t>191</w:t>
      </w:r>
      <w:r w:rsidRPr="0023761B">
        <w:rPr>
          <w:rFonts w:ascii="Times New Roman" w:hAnsi="Times New Roman" w:cs="Times New Roman"/>
          <w:sz w:val="24"/>
          <w:szCs w:val="24"/>
          <w:lang w:val="en-GB"/>
        </w:rPr>
        <w:t>, 183–189.</w:t>
      </w:r>
    </w:p>
    <w:p w14:paraId="2F0E26EC" w14:textId="5BCFE380" w:rsidR="008C1510" w:rsidRPr="0023761B" w:rsidRDefault="004C5CE8" w:rsidP="00406534">
      <w:pPr>
        <w:pStyle w:val="ListParagraph"/>
        <w:numPr>
          <w:ilvl w:val="0"/>
          <w:numId w:val="5"/>
        </w:numPr>
        <w:spacing w:after="0" w:line="360" w:lineRule="auto"/>
        <w:jc w:val="both"/>
        <w:rPr>
          <w:rFonts w:ascii="Times New Roman" w:hAnsi="Times New Roman" w:cs="Times New Roman"/>
          <w:sz w:val="24"/>
          <w:szCs w:val="24"/>
          <w:lang w:val="en-GB"/>
        </w:rPr>
      </w:pPr>
      <w:r w:rsidRPr="0023761B">
        <w:rPr>
          <w:rFonts w:ascii="Times New Roman" w:hAnsi="Times New Roman" w:cs="Times New Roman"/>
          <w:sz w:val="24"/>
          <w:szCs w:val="24"/>
          <w:lang w:val="en-GB"/>
        </w:rPr>
        <w:t xml:space="preserve">X. Pan, B. Yan, H. Zhu, L. </w:t>
      </w:r>
      <w:r w:rsidR="008C1510" w:rsidRPr="0023761B">
        <w:rPr>
          <w:rFonts w:ascii="Times New Roman" w:hAnsi="Times New Roman" w:cs="Times New Roman"/>
          <w:sz w:val="24"/>
          <w:szCs w:val="24"/>
          <w:lang w:val="en-GB"/>
        </w:rPr>
        <w:t xml:space="preserve">Wang, </w:t>
      </w:r>
      <w:r w:rsidR="00406534" w:rsidRPr="0023761B">
        <w:rPr>
          <w:rFonts w:ascii="Times New Roman" w:hAnsi="Times New Roman" w:cs="Times New Roman"/>
          <w:i/>
          <w:sz w:val="24"/>
          <w:szCs w:val="24"/>
          <w:lang w:val="en-GB"/>
        </w:rPr>
        <w:t>Acta Sci</w:t>
      </w:r>
      <w:r w:rsidR="00E033FB">
        <w:rPr>
          <w:rFonts w:ascii="Times New Roman" w:hAnsi="Times New Roman" w:cs="Times New Roman"/>
          <w:i/>
          <w:sz w:val="24"/>
          <w:szCs w:val="24"/>
          <w:lang w:val="en-GB"/>
        </w:rPr>
        <w:t>.</w:t>
      </w:r>
      <w:r w:rsidR="00406534" w:rsidRPr="0023761B">
        <w:rPr>
          <w:rFonts w:ascii="Times New Roman" w:hAnsi="Times New Roman" w:cs="Times New Roman"/>
          <w:i/>
          <w:sz w:val="24"/>
          <w:szCs w:val="24"/>
          <w:lang w:val="en-GB"/>
        </w:rPr>
        <w:t xml:space="preserve"> Circumst</w:t>
      </w:r>
      <w:r w:rsidR="00E033FB">
        <w:rPr>
          <w:rFonts w:ascii="Times New Roman" w:hAnsi="Times New Roman" w:cs="Times New Roman"/>
          <w:i/>
          <w:sz w:val="24"/>
          <w:szCs w:val="24"/>
          <w:lang w:val="en-GB"/>
        </w:rPr>
        <w:t>.</w:t>
      </w:r>
      <w:r w:rsidRPr="0023761B">
        <w:rPr>
          <w:rFonts w:ascii="Times New Roman" w:hAnsi="Times New Roman" w:cs="Times New Roman"/>
          <w:sz w:val="24"/>
          <w:szCs w:val="24"/>
          <w:lang w:val="en-GB"/>
        </w:rPr>
        <w:t xml:space="preserve"> </w:t>
      </w:r>
      <w:r w:rsidRPr="00241664">
        <w:rPr>
          <w:rFonts w:ascii="Times New Roman" w:hAnsi="Times New Roman" w:cs="Times New Roman"/>
          <w:b/>
          <w:sz w:val="24"/>
          <w:szCs w:val="24"/>
          <w:lang w:val="en-GB"/>
        </w:rPr>
        <w:t>2010</w:t>
      </w:r>
      <w:r w:rsidRPr="0023761B">
        <w:rPr>
          <w:rFonts w:ascii="Times New Roman" w:hAnsi="Times New Roman" w:cs="Times New Roman"/>
          <w:sz w:val="24"/>
          <w:szCs w:val="24"/>
          <w:lang w:val="en-GB"/>
        </w:rPr>
        <w:t xml:space="preserve">, </w:t>
      </w:r>
      <w:r w:rsidRPr="00E033FB">
        <w:rPr>
          <w:rFonts w:ascii="Times New Roman" w:hAnsi="Times New Roman" w:cs="Times New Roman"/>
          <w:i/>
          <w:sz w:val="24"/>
          <w:szCs w:val="24"/>
          <w:lang w:val="en-GB"/>
        </w:rPr>
        <w:t>30</w:t>
      </w:r>
      <w:r w:rsidRPr="0023761B">
        <w:rPr>
          <w:rFonts w:ascii="Times New Roman" w:hAnsi="Times New Roman" w:cs="Times New Roman"/>
          <w:sz w:val="24"/>
          <w:szCs w:val="24"/>
          <w:lang w:val="en-GB"/>
        </w:rPr>
        <w:t>, 1087</w:t>
      </w:r>
      <w:r w:rsidR="00E033FB" w:rsidRPr="0023761B">
        <w:rPr>
          <w:rFonts w:ascii="Times New Roman" w:hAnsi="Times New Roman" w:cs="Times New Roman"/>
          <w:sz w:val="24"/>
          <w:szCs w:val="24"/>
          <w:lang w:val="en-GB"/>
        </w:rPr>
        <w:t>–</w:t>
      </w:r>
      <w:r w:rsidRPr="0023761B">
        <w:rPr>
          <w:rFonts w:ascii="Times New Roman" w:hAnsi="Times New Roman" w:cs="Times New Roman"/>
          <w:sz w:val="24"/>
          <w:szCs w:val="24"/>
          <w:lang w:val="en-GB"/>
        </w:rPr>
        <w:t>1092.</w:t>
      </w:r>
    </w:p>
    <w:p w14:paraId="19BEAC0F" w14:textId="39F8ACDB" w:rsidR="00D37359" w:rsidRPr="0023761B" w:rsidRDefault="00D37359" w:rsidP="00406534">
      <w:pPr>
        <w:pStyle w:val="ListParagraph"/>
        <w:numPr>
          <w:ilvl w:val="0"/>
          <w:numId w:val="5"/>
        </w:numPr>
        <w:spacing w:after="0" w:line="360" w:lineRule="auto"/>
        <w:jc w:val="both"/>
        <w:rPr>
          <w:rFonts w:ascii="Times New Roman" w:hAnsi="Times New Roman" w:cs="Times New Roman"/>
          <w:sz w:val="24"/>
          <w:lang w:val="en-GB"/>
        </w:rPr>
      </w:pPr>
      <w:r w:rsidRPr="0023761B">
        <w:rPr>
          <w:rFonts w:ascii="Times New Roman" w:hAnsi="Times New Roman" w:cs="Times New Roman"/>
          <w:sz w:val="24"/>
          <w:lang w:val="en-GB"/>
        </w:rPr>
        <w:t xml:space="preserve">W. Li, C. Li, J. Zhao, R. J. Cornett, </w:t>
      </w:r>
      <w:r w:rsidR="00406534" w:rsidRPr="0023761B">
        <w:rPr>
          <w:rFonts w:ascii="Times New Roman" w:hAnsi="Times New Roman" w:cs="Times New Roman"/>
          <w:i/>
          <w:sz w:val="24"/>
          <w:lang w:val="en-GB"/>
        </w:rPr>
        <w:t>Anal</w:t>
      </w:r>
      <w:r w:rsidR="00E033FB">
        <w:rPr>
          <w:rFonts w:ascii="Times New Roman" w:hAnsi="Times New Roman" w:cs="Times New Roman"/>
          <w:i/>
          <w:sz w:val="24"/>
          <w:lang w:val="en-GB"/>
        </w:rPr>
        <w:t>.</w:t>
      </w:r>
      <w:r w:rsidR="00406534" w:rsidRPr="0023761B">
        <w:rPr>
          <w:rFonts w:ascii="Times New Roman" w:hAnsi="Times New Roman" w:cs="Times New Roman"/>
          <w:i/>
          <w:sz w:val="24"/>
          <w:lang w:val="en-GB"/>
        </w:rPr>
        <w:t xml:space="preserve"> Chim</w:t>
      </w:r>
      <w:r w:rsidR="00E033FB">
        <w:rPr>
          <w:rFonts w:ascii="Times New Roman" w:hAnsi="Times New Roman" w:cs="Times New Roman"/>
          <w:i/>
          <w:sz w:val="24"/>
          <w:lang w:val="en-GB"/>
        </w:rPr>
        <w:t>.</w:t>
      </w:r>
      <w:r w:rsidR="00406534" w:rsidRPr="0023761B">
        <w:rPr>
          <w:rFonts w:ascii="Times New Roman" w:hAnsi="Times New Roman" w:cs="Times New Roman"/>
          <w:i/>
          <w:sz w:val="24"/>
          <w:lang w:val="en-GB"/>
        </w:rPr>
        <w:t xml:space="preserve"> Acta</w:t>
      </w:r>
      <w:r w:rsidRPr="0023761B">
        <w:rPr>
          <w:rFonts w:ascii="Times New Roman" w:hAnsi="Times New Roman" w:cs="Times New Roman"/>
          <w:sz w:val="24"/>
          <w:lang w:val="en-GB"/>
        </w:rPr>
        <w:t xml:space="preserve"> </w:t>
      </w:r>
      <w:r w:rsidRPr="0023761B">
        <w:rPr>
          <w:rFonts w:ascii="Times New Roman" w:hAnsi="Times New Roman" w:cs="Times New Roman"/>
          <w:b/>
          <w:sz w:val="24"/>
          <w:lang w:val="en-GB"/>
        </w:rPr>
        <w:t>2007</w:t>
      </w:r>
      <w:r w:rsidRPr="0023761B">
        <w:rPr>
          <w:rFonts w:ascii="Times New Roman" w:hAnsi="Times New Roman" w:cs="Times New Roman"/>
          <w:sz w:val="24"/>
          <w:lang w:val="en-GB"/>
        </w:rPr>
        <w:t xml:space="preserve">, </w:t>
      </w:r>
      <w:r w:rsidRPr="00E033FB">
        <w:rPr>
          <w:rFonts w:ascii="Times New Roman" w:hAnsi="Times New Roman" w:cs="Times New Roman"/>
          <w:i/>
          <w:sz w:val="24"/>
          <w:lang w:val="en-GB"/>
        </w:rPr>
        <w:t>592(1)</w:t>
      </w:r>
      <w:r w:rsidRPr="0023761B">
        <w:rPr>
          <w:rFonts w:ascii="Times New Roman" w:hAnsi="Times New Roman" w:cs="Times New Roman"/>
          <w:sz w:val="24"/>
          <w:lang w:val="en-GB"/>
        </w:rPr>
        <w:t>, 106</w:t>
      </w:r>
      <w:r w:rsidR="00E033FB" w:rsidRPr="0023761B">
        <w:rPr>
          <w:rFonts w:ascii="Times New Roman" w:hAnsi="Times New Roman" w:cs="Times New Roman"/>
          <w:sz w:val="24"/>
          <w:szCs w:val="24"/>
          <w:lang w:val="en-GB"/>
        </w:rPr>
        <w:t>–</w:t>
      </w:r>
      <w:r w:rsidRPr="0023761B">
        <w:rPr>
          <w:rFonts w:ascii="Times New Roman" w:hAnsi="Times New Roman" w:cs="Times New Roman"/>
          <w:sz w:val="24"/>
          <w:lang w:val="en-GB"/>
        </w:rPr>
        <w:t>113.</w:t>
      </w:r>
    </w:p>
    <w:p w14:paraId="42DB7CDD" w14:textId="27C9C8B5" w:rsidR="00D37359" w:rsidRPr="0023761B" w:rsidRDefault="00D37359" w:rsidP="00E84E27">
      <w:pPr>
        <w:pStyle w:val="ListParagraph"/>
        <w:numPr>
          <w:ilvl w:val="0"/>
          <w:numId w:val="5"/>
        </w:numPr>
        <w:spacing w:after="0" w:line="360" w:lineRule="auto"/>
        <w:jc w:val="both"/>
        <w:rPr>
          <w:rFonts w:ascii="Times New Roman" w:hAnsi="Times New Roman" w:cs="Times New Roman"/>
          <w:sz w:val="24"/>
          <w:lang w:val="en-GB"/>
        </w:rPr>
      </w:pPr>
      <w:r w:rsidRPr="0023761B">
        <w:rPr>
          <w:rFonts w:ascii="Times New Roman" w:hAnsi="Times New Roman" w:cs="Times New Roman"/>
          <w:sz w:val="24"/>
          <w:lang w:val="en-GB"/>
        </w:rPr>
        <w:t xml:space="preserve">M. Maliński, Ł. Chrobak, L. Bychto, </w:t>
      </w:r>
      <w:r w:rsidR="00E84E27" w:rsidRPr="0023761B">
        <w:rPr>
          <w:rFonts w:ascii="Times New Roman" w:hAnsi="Times New Roman" w:cs="Times New Roman"/>
          <w:i/>
          <w:sz w:val="24"/>
          <w:lang w:val="en-GB"/>
        </w:rPr>
        <w:t>Solid State Commun</w:t>
      </w:r>
      <w:r w:rsidR="00E033FB">
        <w:rPr>
          <w:rFonts w:ascii="Times New Roman" w:hAnsi="Times New Roman" w:cs="Times New Roman"/>
          <w:i/>
          <w:sz w:val="24"/>
          <w:lang w:val="en-GB"/>
        </w:rPr>
        <w:t>.</w:t>
      </w:r>
      <w:r w:rsidRPr="0023761B">
        <w:rPr>
          <w:rFonts w:ascii="Times New Roman" w:hAnsi="Times New Roman" w:cs="Times New Roman"/>
          <w:sz w:val="24"/>
          <w:lang w:val="en-GB"/>
        </w:rPr>
        <w:t xml:space="preserve"> </w:t>
      </w:r>
      <w:r w:rsidRPr="0023761B">
        <w:rPr>
          <w:rFonts w:ascii="Times New Roman" w:hAnsi="Times New Roman" w:cs="Times New Roman"/>
          <w:b/>
          <w:sz w:val="24"/>
          <w:lang w:val="en-GB"/>
        </w:rPr>
        <w:t>2010</w:t>
      </w:r>
      <w:r w:rsidRPr="0023761B">
        <w:rPr>
          <w:rFonts w:ascii="Times New Roman" w:hAnsi="Times New Roman" w:cs="Times New Roman"/>
          <w:sz w:val="24"/>
          <w:lang w:val="en-GB"/>
        </w:rPr>
        <w:t xml:space="preserve">, </w:t>
      </w:r>
      <w:r w:rsidRPr="00E033FB">
        <w:rPr>
          <w:rFonts w:ascii="Times New Roman" w:hAnsi="Times New Roman" w:cs="Times New Roman"/>
          <w:i/>
          <w:sz w:val="24"/>
          <w:lang w:val="en-GB"/>
        </w:rPr>
        <w:t>150(9-10)</w:t>
      </w:r>
      <w:r w:rsidRPr="0023761B">
        <w:rPr>
          <w:rFonts w:ascii="Times New Roman" w:hAnsi="Times New Roman" w:cs="Times New Roman"/>
          <w:sz w:val="24"/>
          <w:lang w:val="en-GB"/>
        </w:rPr>
        <w:t>, 424</w:t>
      </w:r>
      <w:r w:rsidR="00E033FB" w:rsidRPr="0023761B">
        <w:rPr>
          <w:rFonts w:ascii="Times New Roman" w:hAnsi="Times New Roman" w:cs="Times New Roman"/>
          <w:sz w:val="24"/>
          <w:szCs w:val="24"/>
          <w:lang w:val="en-GB"/>
        </w:rPr>
        <w:t>–</w:t>
      </w:r>
      <w:r w:rsidRPr="0023761B">
        <w:rPr>
          <w:rFonts w:ascii="Times New Roman" w:hAnsi="Times New Roman" w:cs="Times New Roman"/>
          <w:sz w:val="24"/>
          <w:lang w:val="en-GB"/>
        </w:rPr>
        <w:t>427.</w:t>
      </w:r>
    </w:p>
    <w:p w14:paraId="7951F3B6" w14:textId="7A88F12B" w:rsidR="00D37359" w:rsidRPr="0023761B" w:rsidRDefault="00D37359" w:rsidP="00E84E27">
      <w:pPr>
        <w:pStyle w:val="ListParagraph"/>
        <w:numPr>
          <w:ilvl w:val="0"/>
          <w:numId w:val="5"/>
        </w:numPr>
        <w:spacing w:after="0" w:line="360" w:lineRule="auto"/>
        <w:jc w:val="both"/>
        <w:rPr>
          <w:rFonts w:ascii="Times New Roman" w:hAnsi="Times New Roman" w:cs="Times New Roman"/>
          <w:sz w:val="24"/>
          <w:lang w:val="en-GB"/>
        </w:rPr>
      </w:pPr>
      <w:r w:rsidRPr="0023761B">
        <w:rPr>
          <w:rFonts w:ascii="Times New Roman" w:hAnsi="Times New Roman" w:cs="Times New Roman"/>
          <w:sz w:val="24"/>
          <w:lang w:val="en-GB"/>
        </w:rPr>
        <w:t>M. Mali</w:t>
      </w:r>
      <w:r w:rsidR="00D1677C" w:rsidRPr="0023761B">
        <w:rPr>
          <w:rFonts w:ascii="Times New Roman" w:hAnsi="Times New Roman" w:cs="Times New Roman"/>
          <w:sz w:val="24"/>
          <w:lang w:val="en-GB"/>
        </w:rPr>
        <w:t>ń</w:t>
      </w:r>
      <w:r w:rsidRPr="0023761B">
        <w:rPr>
          <w:rFonts w:ascii="Times New Roman" w:hAnsi="Times New Roman" w:cs="Times New Roman"/>
          <w:sz w:val="24"/>
          <w:lang w:val="en-GB"/>
        </w:rPr>
        <w:t xml:space="preserve">ski, Ł. Chrobak, </w:t>
      </w:r>
      <w:r w:rsidR="00E84E27" w:rsidRPr="0023761B">
        <w:rPr>
          <w:rFonts w:ascii="Times New Roman" w:hAnsi="Times New Roman" w:cs="Times New Roman"/>
          <w:i/>
          <w:sz w:val="24"/>
          <w:lang w:val="en-GB"/>
        </w:rPr>
        <w:t>Arch</w:t>
      </w:r>
      <w:r w:rsidR="00E033FB">
        <w:rPr>
          <w:rFonts w:ascii="Times New Roman" w:hAnsi="Times New Roman" w:cs="Times New Roman"/>
          <w:i/>
          <w:sz w:val="24"/>
          <w:lang w:val="en-GB"/>
        </w:rPr>
        <w:t>.</w:t>
      </w:r>
      <w:r w:rsidR="00E84E27" w:rsidRPr="0023761B">
        <w:rPr>
          <w:rFonts w:ascii="Times New Roman" w:hAnsi="Times New Roman" w:cs="Times New Roman"/>
          <w:i/>
          <w:sz w:val="24"/>
          <w:lang w:val="en-GB"/>
        </w:rPr>
        <w:t xml:space="preserve"> Acoust</w:t>
      </w:r>
      <w:r w:rsidR="00E033FB">
        <w:rPr>
          <w:rFonts w:ascii="Times New Roman" w:hAnsi="Times New Roman" w:cs="Times New Roman"/>
          <w:sz w:val="24"/>
          <w:lang w:val="en-GB"/>
        </w:rPr>
        <w:t>.</w:t>
      </w:r>
      <w:r w:rsidRPr="0023761B">
        <w:rPr>
          <w:rFonts w:ascii="Times New Roman" w:hAnsi="Times New Roman" w:cs="Times New Roman"/>
          <w:sz w:val="24"/>
          <w:lang w:val="en-GB"/>
        </w:rPr>
        <w:t xml:space="preserve"> </w:t>
      </w:r>
      <w:r w:rsidRPr="0023761B">
        <w:rPr>
          <w:rFonts w:ascii="Times New Roman" w:hAnsi="Times New Roman" w:cs="Times New Roman"/>
          <w:b/>
          <w:sz w:val="24"/>
          <w:lang w:val="en-GB"/>
        </w:rPr>
        <w:t>2009</w:t>
      </w:r>
      <w:r w:rsidRPr="0023761B">
        <w:rPr>
          <w:rFonts w:ascii="Times New Roman" w:hAnsi="Times New Roman" w:cs="Times New Roman"/>
          <w:sz w:val="24"/>
          <w:lang w:val="en-GB"/>
        </w:rPr>
        <w:t xml:space="preserve">, </w:t>
      </w:r>
      <w:r w:rsidRPr="00E033FB">
        <w:rPr>
          <w:rFonts w:ascii="Times New Roman" w:hAnsi="Times New Roman" w:cs="Times New Roman"/>
          <w:i/>
          <w:sz w:val="24"/>
          <w:lang w:val="en-GB"/>
        </w:rPr>
        <w:t>34(4)</w:t>
      </w:r>
      <w:r w:rsidRPr="0023761B">
        <w:rPr>
          <w:rFonts w:ascii="Times New Roman" w:hAnsi="Times New Roman" w:cs="Times New Roman"/>
          <w:sz w:val="24"/>
          <w:lang w:val="en-GB"/>
        </w:rPr>
        <w:t>, 727</w:t>
      </w:r>
      <w:r w:rsidR="00E033FB" w:rsidRPr="0023761B">
        <w:rPr>
          <w:rFonts w:ascii="Times New Roman" w:hAnsi="Times New Roman" w:cs="Times New Roman"/>
          <w:sz w:val="24"/>
          <w:szCs w:val="24"/>
          <w:lang w:val="en-GB"/>
        </w:rPr>
        <w:t>–</w:t>
      </w:r>
      <w:r w:rsidRPr="0023761B">
        <w:rPr>
          <w:rFonts w:ascii="Times New Roman" w:hAnsi="Times New Roman" w:cs="Times New Roman"/>
          <w:sz w:val="24"/>
          <w:lang w:val="en-GB"/>
        </w:rPr>
        <w:t>734.</w:t>
      </w:r>
    </w:p>
    <w:p w14:paraId="57FF8D9E" w14:textId="0003BEEA" w:rsidR="00D37359" w:rsidRPr="0023761B" w:rsidRDefault="00D37359" w:rsidP="00E84E27">
      <w:pPr>
        <w:pStyle w:val="ListParagraph"/>
        <w:numPr>
          <w:ilvl w:val="0"/>
          <w:numId w:val="5"/>
        </w:numPr>
        <w:spacing w:after="0" w:line="360" w:lineRule="auto"/>
        <w:jc w:val="both"/>
        <w:rPr>
          <w:rFonts w:ascii="Times New Roman" w:hAnsi="Times New Roman" w:cs="Times New Roman"/>
          <w:sz w:val="24"/>
          <w:lang w:val="en-GB"/>
        </w:rPr>
      </w:pPr>
      <w:r w:rsidRPr="0023761B">
        <w:rPr>
          <w:rFonts w:ascii="Times New Roman" w:hAnsi="Times New Roman" w:cs="Times New Roman"/>
          <w:sz w:val="24"/>
          <w:lang w:val="en-GB"/>
        </w:rPr>
        <w:t>M. Mali</w:t>
      </w:r>
      <w:r w:rsidR="00D1677C" w:rsidRPr="0023761B">
        <w:rPr>
          <w:rFonts w:ascii="Times New Roman" w:hAnsi="Times New Roman" w:cs="Times New Roman"/>
          <w:sz w:val="24"/>
          <w:lang w:val="en-GB"/>
        </w:rPr>
        <w:t>ń</w:t>
      </w:r>
      <w:r w:rsidRPr="0023761B">
        <w:rPr>
          <w:rFonts w:ascii="Times New Roman" w:hAnsi="Times New Roman" w:cs="Times New Roman"/>
          <w:sz w:val="24"/>
          <w:lang w:val="en-GB"/>
        </w:rPr>
        <w:t xml:space="preserve">ski, Ł. Chrobak, M. Pawlak, </w:t>
      </w:r>
      <w:r w:rsidR="00E84E27" w:rsidRPr="0023761B">
        <w:rPr>
          <w:rFonts w:ascii="Times New Roman" w:hAnsi="Times New Roman" w:cs="Times New Roman"/>
          <w:i/>
          <w:sz w:val="24"/>
          <w:lang w:val="en-GB"/>
        </w:rPr>
        <w:t>Appl</w:t>
      </w:r>
      <w:r w:rsidR="00E033FB">
        <w:rPr>
          <w:rFonts w:ascii="Times New Roman" w:hAnsi="Times New Roman" w:cs="Times New Roman"/>
          <w:i/>
          <w:sz w:val="24"/>
          <w:lang w:val="en-GB"/>
        </w:rPr>
        <w:t>.</w:t>
      </w:r>
      <w:r w:rsidR="00E84E27" w:rsidRPr="0023761B">
        <w:rPr>
          <w:rFonts w:ascii="Times New Roman" w:hAnsi="Times New Roman" w:cs="Times New Roman"/>
          <w:i/>
          <w:sz w:val="24"/>
          <w:lang w:val="en-GB"/>
        </w:rPr>
        <w:t xml:space="preserve"> Phys</w:t>
      </w:r>
      <w:r w:rsidR="00E033FB">
        <w:rPr>
          <w:rFonts w:ascii="Times New Roman" w:hAnsi="Times New Roman" w:cs="Times New Roman"/>
          <w:i/>
          <w:sz w:val="24"/>
          <w:lang w:val="en-GB"/>
        </w:rPr>
        <w:t>.</w:t>
      </w:r>
      <w:r w:rsidR="00E84E27" w:rsidRPr="0023761B">
        <w:rPr>
          <w:rFonts w:ascii="Times New Roman" w:hAnsi="Times New Roman" w:cs="Times New Roman"/>
          <w:i/>
          <w:sz w:val="24"/>
          <w:lang w:val="en-GB"/>
        </w:rPr>
        <w:t xml:space="preserve"> A-Mater</w:t>
      </w:r>
      <w:r w:rsidR="00E033FB">
        <w:rPr>
          <w:rFonts w:ascii="Times New Roman" w:hAnsi="Times New Roman" w:cs="Times New Roman"/>
          <w:i/>
          <w:sz w:val="24"/>
          <w:lang w:val="en-GB"/>
        </w:rPr>
        <w:t>.</w:t>
      </w:r>
      <w:r w:rsidRPr="0023761B">
        <w:rPr>
          <w:rFonts w:ascii="Times New Roman" w:hAnsi="Times New Roman" w:cs="Times New Roman"/>
          <w:sz w:val="24"/>
          <w:lang w:val="en-GB"/>
        </w:rPr>
        <w:t xml:space="preserve"> </w:t>
      </w:r>
      <w:r w:rsidRPr="0023761B">
        <w:rPr>
          <w:rFonts w:ascii="Times New Roman" w:hAnsi="Times New Roman" w:cs="Times New Roman"/>
          <w:b/>
          <w:sz w:val="24"/>
          <w:lang w:val="en-GB"/>
        </w:rPr>
        <w:t>2015</w:t>
      </w:r>
      <w:r w:rsidRPr="0023761B">
        <w:rPr>
          <w:rFonts w:ascii="Times New Roman" w:hAnsi="Times New Roman" w:cs="Times New Roman"/>
          <w:sz w:val="24"/>
          <w:lang w:val="en-GB"/>
        </w:rPr>
        <w:t xml:space="preserve">, </w:t>
      </w:r>
      <w:r w:rsidRPr="00E033FB">
        <w:rPr>
          <w:rFonts w:ascii="Times New Roman" w:hAnsi="Times New Roman" w:cs="Times New Roman"/>
          <w:i/>
          <w:sz w:val="24"/>
          <w:lang w:val="en-GB"/>
        </w:rPr>
        <w:t>118(3)</w:t>
      </w:r>
      <w:r w:rsidR="00E033FB">
        <w:rPr>
          <w:rFonts w:ascii="Times New Roman" w:hAnsi="Times New Roman" w:cs="Times New Roman"/>
          <w:sz w:val="24"/>
          <w:lang w:val="en-GB"/>
        </w:rPr>
        <w:t>, 1009</w:t>
      </w:r>
      <w:r w:rsidR="00E033FB" w:rsidRPr="0023761B">
        <w:rPr>
          <w:rFonts w:ascii="Times New Roman" w:hAnsi="Times New Roman" w:cs="Times New Roman"/>
          <w:sz w:val="24"/>
          <w:szCs w:val="24"/>
          <w:lang w:val="en-GB"/>
        </w:rPr>
        <w:t>–</w:t>
      </w:r>
      <w:r w:rsidRPr="0023761B">
        <w:rPr>
          <w:rFonts w:ascii="Times New Roman" w:hAnsi="Times New Roman" w:cs="Times New Roman"/>
          <w:sz w:val="24"/>
          <w:lang w:val="en-GB"/>
        </w:rPr>
        <w:t>1014.</w:t>
      </w:r>
    </w:p>
    <w:p w14:paraId="01E8D406" w14:textId="3FB86AFF" w:rsidR="00D37359" w:rsidRPr="0023761B" w:rsidRDefault="00D37359" w:rsidP="00D37359">
      <w:pPr>
        <w:pStyle w:val="ListParagraph"/>
        <w:numPr>
          <w:ilvl w:val="0"/>
          <w:numId w:val="5"/>
        </w:numPr>
        <w:spacing w:after="0" w:line="360" w:lineRule="auto"/>
        <w:jc w:val="both"/>
        <w:rPr>
          <w:rFonts w:ascii="Times New Roman" w:hAnsi="Times New Roman" w:cs="Times New Roman"/>
          <w:sz w:val="24"/>
          <w:lang w:val="en-GB"/>
        </w:rPr>
      </w:pPr>
      <w:r w:rsidRPr="0023761B">
        <w:rPr>
          <w:rFonts w:ascii="Times New Roman" w:hAnsi="Times New Roman" w:cs="Times New Roman"/>
          <w:sz w:val="24"/>
          <w:lang w:val="en-GB"/>
        </w:rPr>
        <w:t xml:space="preserve">M. Pawlak, S. Pal, A. Ludwig, A. D. Wieck, </w:t>
      </w:r>
      <w:r w:rsidR="00E84E27" w:rsidRPr="0023761B">
        <w:rPr>
          <w:rFonts w:ascii="Times New Roman" w:hAnsi="Times New Roman" w:cs="Times New Roman"/>
          <w:i/>
          <w:sz w:val="24"/>
          <w:lang w:val="en-GB"/>
        </w:rPr>
        <w:t>J</w:t>
      </w:r>
      <w:r w:rsidR="00E033FB">
        <w:rPr>
          <w:rFonts w:ascii="Times New Roman" w:hAnsi="Times New Roman" w:cs="Times New Roman"/>
          <w:i/>
          <w:sz w:val="24"/>
          <w:lang w:val="en-GB"/>
        </w:rPr>
        <w:t>.</w:t>
      </w:r>
      <w:r w:rsidR="00E84E27" w:rsidRPr="0023761B">
        <w:rPr>
          <w:rFonts w:ascii="Times New Roman" w:hAnsi="Times New Roman" w:cs="Times New Roman"/>
          <w:i/>
          <w:sz w:val="24"/>
          <w:lang w:val="en-GB"/>
        </w:rPr>
        <w:t xml:space="preserve"> Appl</w:t>
      </w:r>
      <w:r w:rsidR="00E033FB">
        <w:rPr>
          <w:rFonts w:ascii="Times New Roman" w:hAnsi="Times New Roman" w:cs="Times New Roman"/>
          <w:i/>
          <w:sz w:val="24"/>
          <w:lang w:val="en-GB"/>
        </w:rPr>
        <w:t>.</w:t>
      </w:r>
      <w:r w:rsidR="00E84E27" w:rsidRPr="0023761B">
        <w:rPr>
          <w:rFonts w:ascii="Times New Roman" w:hAnsi="Times New Roman" w:cs="Times New Roman"/>
          <w:i/>
          <w:sz w:val="24"/>
          <w:lang w:val="en-GB"/>
        </w:rPr>
        <w:t xml:space="preserve"> Phys</w:t>
      </w:r>
      <w:r w:rsidR="00E033FB">
        <w:rPr>
          <w:rFonts w:ascii="Times New Roman" w:hAnsi="Times New Roman" w:cs="Times New Roman"/>
          <w:i/>
          <w:sz w:val="24"/>
          <w:lang w:val="en-GB"/>
        </w:rPr>
        <w:t>.</w:t>
      </w:r>
      <w:r w:rsidRPr="0023761B">
        <w:rPr>
          <w:rFonts w:ascii="Times New Roman" w:hAnsi="Times New Roman" w:cs="Times New Roman"/>
          <w:sz w:val="24"/>
          <w:lang w:val="en-GB"/>
        </w:rPr>
        <w:t xml:space="preserve"> </w:t>
      </w:r>
      <w:r w:rsidRPr="0023761B">
        <w:rPr>
          <w:rFonts w:ascii="Times New Roman" w:hAnsi="Times New Roman" w:cs="Times New Roman"/>
          <w:b/>
          <w:sz w:val="24"/>
          <w:lang w:val="en-GB"/>
        </w:rPr>
        <w:t>2017</w:t>
      </w:r>
      <w:r w:rsidRPr="0023761B">
        <w:rPr>
          <w:rFonts w:ascii="Times New Roman" w:hAnsi="Times New Roman" w:cs="Times New Roman"/>
          <w:sz w:val="24"/>
          <w:lang w:val="en-GB"/>
        </w:rPr>
        <w:t xml:space="preserve">, </w:t>
      </w:r>
      <w:r w:rsidRPr="00E033FB">
        <w:rPr>
          <w:rFonts w:ascii="Times New Roman" w:hAnsi="Times New Roman" w:cs="Times New Roman"/>
          <w:i/>
          <w:sz w:val="24"/>
          <w:lang w:val="en-GB"/>
        </w:rPr>
        <w:t>122(22)</w:t>
      </w:r>
      <w:r w:rsidRPr="0023761B">
        <w:rPr>
          <w:rFonts w:ascii="Times New Roman" w:hAnsi="Times New Roman" w:cs="Times New Roman"/>
          <w:sz w:val="24"/>
          <w:lang w:val="en-GB"/>
        </w:rPr>
        <w:t xml:space="preserve">, </w:t>
      </w:r>
      <w:r w:rsidR="00E22C53" w:rsidRPr="0023761B">
        <w:rPr>
          <w:rFonts w:ascii="Times New Roman" w:hAnsi="Times New Roman" w:cs="Times New Roman"/>
          <w:sz w:val="24"/>
          <w:lang w:val="en-GB"/>
        </w:rPr>
        <w:t>135109-1</w:t>
      </w:r>
      <w:r w:rsidR="00E033FB" w:rsidRPr="0023761B">
        <w:rPr>
          <w:rFonts w:ascii="Times New Roman" w:hAnsi="Times New Roman" w:cs="Times New Roman"/>
          <w:sz w:val="24"/>
          <w:szCs w:val="24"/>
          <w:lang w:val="en-GB"/>
        </w:rPr>
        <w:t>–</w:t>
      </w:r>
      <w:r w:rsidR="00E22C53" w:rsidRPr="0023761B">
        <w:rPr>
          <w:rFonts w:ascii="Times New Roman" w:hAnsi="Times New Roman" w:cs="Times New Roman"/>
          <w:sz w:val="24"/>
          <w:lang w:val="en-GB"/>
        </w:rPr>
        <w:t>135109-7</w:t>
      </w:r>
      <w:r w:rsidRPr="0023761B">
        <w:rPr>
          <w:rFonts w:ascii="Times New Roman" w:hAnsi="Times New Roman" w:cs="Times New Roman"/>
          <w:sz w:val="24"/>
          <w:lang w:val="en-GB"/>
        </w:rPr>
        <w:t>.</w:t>
      </w:r>
    </w:p>
    <w:p w14:paraId="6B6BBB03" w14:textId="53DC000A" w:rsidR="004C5CE8" w:rsidRPr="0023761B" w:rsidRDefault="00D37359" w:rsidP="00E84E27">
      <w:pPr>
        <w:pStyle w:val="ListParagraph"/>
        <w:numPr>
          <w:ilvl w:val="0"/>
          <w:numId w:val="5"/>
        </w:numPr>
        <w:spacing w:after="0" w:line="360" w:lineRule="auto"/>
        <w:jc w:val="both"/>
        <w:rPr>
          <w:rFonts w:ascii="Times New Roman" w:hAnsi="Times New Roman" w:cs="Times New Roman"/>
          <w:sz w:val="24"/>
          <w:lang w:val="en-GB"/>
        </w:rPr>
      </w:pPr>
      <w:r w:rsidRPr="0023761B">
        <w:rPr>
          <w:rFonts w:ascii="Times New Roman" w:hAnsi="Times New Roman" w:cs="Times New Roman"/>
          <w:sz w:val="24"/>
          <w:lang w:val="en-GB"/>
        </w:rPr>
        <w:t xml:space="preserve">D. Korte, M. Franko, </w:t>
      </w:r>
      <w:r w:rsidR="00E84E27" w:rsidRPr="0023761B">
        <w:rPr>
          <w:rFonts w:ascii="Times New Roman" w:hAnsi="Times New Roman" w:cs="Times New Roman"/>
          <w:i/>
          <w:sz w:val="24"/>
          <w:lang w:val="en-GB"/>
        </w:rPr>
        <w:t>J</w:t>
      </w:r>
      <w:r w:rsidR="00E033FB">
        <w:rPr>
          <w:rFonts w:ascii="Times New Roman" w:hAnsi="Times New Roman" w:cs="Times New Roman"/>
          <w:i/>
          <w:sz w:val="24"/>
          <w:lang w:val="en-GB"/>
        </w:rPr>
        <w:t>.</w:t>
      </w:r>
      <w:r w:rsidR="00E84E27" w:rsidRPr="0023761B">
        <w:rPr>
          <w:rFonts w:ascii="Times New Roman" w:hAnsi="Times New Roman" w:cs="Times New Roman"/>
          <w:i/>
          <w:sz w:val="24"/>
          <w:lang w:val="en-GB"/>
        </w:rPr>
        <w:t xml:space="preserve"> Opt</w:t>
      </w:r>
      <w:r w:rsidR="00E033FB">
        <w:rPr>
          <w:rFonts w:ascii="Times New Roman" w:hAnsi="Times New Roman" w:cs="Times New Roman"/>
          <w:i/>
          <w:sz w:val="24"/>
          <w:lang w:val="en-GB"/>
        </w:rPr>
        <w:t>.</w:t>
      </w:r>
      <w:r w:rsidR="00E84E27" w:rsidRPr="0023761B">
        <w:rPr>
          <w:rFonts w:ascii="Times New Roman" w:hAnsi="Times New Roman" w:cs="Times New Roman"/>
          <w:i/>
          <w:sz w:val="24"/>
          <w:lang w:val="en-GB"/>
        </w:rPr>
        <w:t xml:space="preserve"> Soc</w:t>
      </w:r>
      <w:r w:rsidR="00E033FB">
        <w:rPr>
          <w:rFonts w:ascii="Times New Roman" w:hAnsi="Times New Roman" w:cs="Times New Roman"/>
          <w:i/>
          <w:sz w:val="24"/>
          <w:lang w:val="en-GB"/>
        </w:rPr>
        <w:t>.</w:t>
      </w:r>
      <w:r w:rsidR="00E84E27" w:rsidRPr="0023761B">
        <w:rPr>
          <w:rFonts w:ascii="Times New Roman" w:hAnsi="Times New Roman" w:cs="Times New Roman"/>
          <w:i/>
          <w:sz w:val="24"/>
          <w:lang w:val="en-GB"/>
        </w:rPr>
        <w:t xml:space="preserve"> Am</w:t>
      </w:r>
      <w:r w:rsidR="00E033FB">
        <w:rPr>
          <w:rFonts w:ascii="Times New Roman" w:hAnsi="Times New Roman" w:cs="Times New Roman"/>
          <w:i/>
          <w:sz w:val="24"/>
          <w:lang w:val="en-GB"/>
        </w:rPr>
        <w:t>.</w:t>
      </w:r>
      <w:r w:rsidR="00E84E27" w:rsidRPr="0023761B">
        <w:rPr>
          <w:rFonts w:ascii="Times New Roman" w:hAnsi="Times New Roman" w:cs="Times New Roman"/>
          <w:i/>
          <w:sz w:val="24"/>
          <w:lang w:val="en-GB"/>
        </w:rPr>
        <w:t xml:space="preserve"> A</w:t>
      </w:r>
      <w:r w:rsidR="00E033FB">
        <w:rPr>
          <w:rFonts w:ascii="Times New Roman" w:hAnsi="Times New Roman" w:cs="Times New Roman"/>
          <w:i/>
          <w:sz w:val="24"/>
          <w:lang w:val="en-GB"/>
        </w:rPr>
        <w:t>.</w:t>
      </w:r>
      <w:r w:rsidR="00E84E27" w:rsidRPr="0023761B">
        <w:rPr>
          <w:rFonts w:ascii="Times New Roman" w:hAnsi="Times New Roman" w:cs="Times New Roman"/>
          <w:i/>
          <w:sz w:val="24"/>
          <w:lang w:val="en-GB"/>
        </w:rPr>
        <w:t xml:space="preserve"> Opt</w:t>
      </w:r>
      <w:r w:rsidR="00E033FB">
        <w:rPr>
          <w:rFonts w:ascii="Times New Roman" w:hAnsi="Times New Roman" w:cs="Times New Roman"/>
          <w:i/>
          <w:sz w:val="24"/>
          <w:lang w:val="en-GB"/>
        </w:rPr>
        <w:t>.</w:t>
      </w:r>
      <w:r w:rsidRPr="0023761B">
        <w:rPr>
          <w:rFonts w:ascii="Times New Roman" w:hAnsi="Times New Roman" w:cs="Times New Roman"/>
          <w:sz w:val="24"/>
          <w:lang w:val="en-GB"/>
        </w:rPr>
        <w:t xml:space="preserve"> </w:t>
      </w:r>
      <w:r w:rsidRPr="0023761B">
        <w:rPr>
          <w:rFonts w:ascii="Times New Roman" w:hAnsi="Times New Roman" w:cs="Times New Roman"/>
          <w:b/>
          <w:sz w:val="24"/>
          <w:lang w:val="en-GB"/>
        </w:rPr>
        <w:t>2015</w:t>
      </w:r>
      <w:r w:rsidRPr="0023761B">
        <w:rPr>
          <w:rFonts w:ascii="Times New Roman" w:hAnsi="Times New Roman" w:cs="Times New Roman"/>
          <w:sz w:val="24"/>
          <w:lang w:val="en-GB"/>
        </w:rPr>
        <w:t xml:space="preserve">, </w:t>
      </w:r>
      <w:r w:rsidRPr="00E033FB">
        <w:rPr>
          <w:rFonts w:ascii="Times New Roman" w:hAnsi="Times New Roman" w:cs="Times New Roman"/>
          <w:i/>
          <w:sz w:val="24"/>
          <w:lang w:val="en-GB"/>
        </w:rPr>
        <w:t>32(1)</w:t>
      </w:r>
      <w:r w:rsidR="00E033FB">
        <w:rPr>
          <w:rFonts w:ascii="Times New Roman" w:hAnsi="Times New Roman" w:cs="Times New Roman"/>
          <w:sz w:val="24"/>
          <w:lang w:val="en-GB"/>
        </w:rPr>
        <w:t>, 61</w:t>
      </w:r>
      <w:r w:rsidR="00E033FB" w:rsidRPr="0023761B">
        <w:rPr>
          <w:rFonts w:ascii="Times New Roman" w:hAnsi="Times New Roman" w:cs="Times New Roman"/>
          <w:sz w:val="24"/>
          <w:szCs w:val="24"/>
          <w:lang w:val="en-GB"/>
        </w:rPr>
        <w:t>–</w:t>
      </w:r>
      <w:r w:rsidRPr="0023761B">
        <w:rPr>
          <w:rFonts w:ascii="Times New Roman" w:hAnsi="Times New Roman" w:cs="Times New Roman"/>
          <w:sz w:val="24"/>
          <w:lang w:val="en-GB"/>
        </w:rPr>
        <w:t>74.</w:t>
      </w:r>
    </w:p>
    <w:p w14:paraId="611215B1" w14:textId="41CBB10B" w:rsidR="00D37359" w:rsidRPr="0023761B" w:rsidRDefault="00D37359" w:rsidP="00E84E27">
      <w:pPr>
        <w:pStyle w:val="ListParagraph"/>
        <w:numPr>
          <w:ilvl w:val="0"/>
          <w:numId w:val="5"/>
        </w:numPr>
        <w:spacing w:after="0" w:line="360" w:lineRule="auto"/>
        <w:jc w:val="both"/>
        <w:rPr>
          <w:rFonts w:ascii="Times New Roman" w:hAnsi="Times New Roman" w:cs="Times New Roman"/>
          <w:sz w:val="24"/>
          <w:lang w:val="en-GB"/>
        </w:rPr>
      </w:pPr>
      <w:r w:rsidRPr="0023761B">
        <w:rPr>
          <w:rFonts w:ascii="Times New Roman" w:hAnsi="Times New Roman" w:cs="Times New Roman"/>
          <w:sz w:val="24"/>
          <w:szCs w:val="24"/>
          <w:lang w:val="en-GB"/>
        </w:rPr>
        <w:t xml:space="preserve">M. Pawlak, S. Pal, S. Scholz, A. Ludwig, A. D. Wieck, </w:t>
      </w:r>
      <w:r w:rsidR="00E84E27" w:rsidRPr="0023761B">
        <w:rPr>
          <w:rFonts w:ascii="Times New Roman" w:hAnsi="Times New Roman" w:cs="Times New Roman"/>
          <w:i/>
          <w:sz w:val="24"/>
          <w:szCs w:val="24"/>
          <w:lang w:val="en-GB"/>
        </w:rPr>
        <w:t>Thermochim</w:t>
      </w:r>
      <w:r w:rsidR="00E033FB">
        <w:rPr>
          <w:rFonts w:ascii="Times New Roman" w:hAnsi="Times New Roman" w:cs="Times New Roman"/>
          <w:i/>
          <w:sz w:val="24"/>
          <w:szCs w:val="24"/>
          <w:lang w:val="en-GB"/>
        </w:rPr>
        <w:t>.</w:t>
      </w:r>
      <w:r w:rsidR="00E84E27" w:rsidRPr="0023761B">
        <w:rPr>
          <w:rFonts w:ascii="Times New Roman" w:hAnsi="Times New Roman" w:cs="Times New Roman"/>
          <w:i/>
          <w:sz w:val="24"/>
          <w:szCs w:val="24"/>
          <w:lang w:val="en-GB"/>
        </w:rPr>
        <w:t xml:space="preserve"> Acta</w:t>
      </w:r>
      <w:r w:rsidRPr="0023761B">
        <w:rPr>
          <w:rFonts w:ascii="Times New Roman" w:hAnsi="Times New Roman" w:cs="Times New Roman"/>
          <w:sz w:val="24"/>
          <w:szCs w:val="24"/>
          <w:lang w:val="en-GB"/>
        </w:rPr>
        <w:t xml:space="preserve"> </w:t>
      </w:r>
      <w:r w:rsidRPr="0023761B">
        <w:rPr>
          <w:rFonts w:ascii="Times New Roman" w:hAnsi="Times New Roman" w:cs="Times New Roman"/>
          <w:b/>
          <w:sz w:val="24"/>
          <w:szCs w:val="24"/>
          <w:lang w:val="en-GB"/>
        </w:rPr>
        <w:t>2018</w:t>
      </w:r>
      <w:r w:rsidRPr="0023761B">
        <w:rPr>
          <w:rFonts w:ascii="Times New Roman" w:hAnsi="Times New Roman" w:cs="Times New Roman"/>
          <w:sz w:val="24"/>
          <w:szCs w:val="24"/>
          <w:lang w:val="en-GB"/>
        </w:rPr>
        <w:t xml:space="preserve">, </w:t>
      </w:r>
      <w:r w:rsidRPr="00E033FB">
        <w:rPr>
          <w:rFonts w:ascii="Times New Roman" w:hAnsi="Times New Roman" w:cs="Times New Roman"/>
          <w:i/>
          <w:sz w:val="24"/>
          <w:szCs w:val="24"/>
          <w:lang w:val="en-GB"/>
        </w:rPr>
        <w:t>662</w:t>
      </w:r>
      <w:r w:rsidRPr="0023761B">
        <w:rPr>
          <w:rFonts w:ascii="Times New Roman" w:hAnsi="Times New Roman" w:cs="Times New Roman"/>
          <w:sz w:val="24"/>
          <w:szCs w:val="24"/>
          <w:lang w:val="en-GB"/>
        </w:rPr>
        <w:t>, 69</w:t>
      </w:r>
      <w:r w:rsidR="00E033FB" w:rsidRPr="0023761B">
        <w:rPr>
          <w:rFonts w:ascii="Times New Roman" w:hAnsi="Times New Roman" w:cs="Times New Roman"/>
          <w:sz w:val="24"/>
          <w:szCs w:val="24"/>
          <w:lang w:val="en-GB"/>
        </w:rPr>
        <w:t>–</w:t>
      </w:r>
      <w:r w:rsidRPr="0023761B">
        <w:rPr>
          <w:rFonts w:ascii="Times New Roman" w:hAnsi="Times New Roman" w:cs="Times New Roman"/>
          <w:sz w:val="24"/>
          <w:szCs w:val="24"/>
          <w:lang w:val="en-GB"/>
        </w:rPr>
        <w:t>74.</w:t>
      </w:r>
    </w:p>
    <w:p w14:paraId="6CBDDB23" w14:textId="2B5E6624" w:rsidR="00FC3DC5" w:rsidRPr="00D35D3C" w:rsidRDefault="00FC3DC5" w:rsidP="00E033FB">
      <w:pPr>
        <w:pStyle w:val="ListParagraph"/>
        <w:numPr>
          <w:ilvl w:val="0"/>
          <w:numId w:val="5"/>
        </w:numPr>
        <w:spacing w:after="0" w:line="360" w:lineRule="auto"/>
        <w:jc w:val="both"/>
        <w:rPr>
          <w:rFonts w:ascii="Times New Roman" w:hAnsi="Times New Roman" w:cs="Times New Roman"/>
          <w:sz w:val="24"/>
          <w:lang w:val="en-GB"/>
        </w:rPr>
      </w:pPr>
      <w:r w:rsidRPr="0023761B">
        <w:rPr>
          <w:rFonts w:ascii="Times New Roman" w:hAnsi="Times New Roman" w:cs="Times New Roman"/>
          <w:sz w:val="24"/>
          <w:lang w:val="en-GB"/>
        </w:rPr>
        <w:t xml:space="preserve">Ł. Chrobak, M. Malinski, J. Zakrzewski, </w:t>
      </w:r>
      <w:r w:rsidRPr="0023761B">
        <w:rPr>
          <w:rFonts w:ascii="Times New Roman" w:hAnsi="Times New Roman" w:cs="Times New Roman"/>
          <w:i/>
          <w:sz w:val="24"/>
          <w:szCs w:val="24"/>
          <w:lang w:val="en-GB"/>
        </w:rPr>
        <w:t>Thermochim</w:t>
      </w:r>
      <w:r w:rsidR="00E033FB">
        <w:rPr>
          <w:rFonts w:ascii="Times New Roman" w:hAnsi="Times New Roman" w:cs="Times New Roman"/>
          <w:i/>
          <w:sz w:val="24"/>
          <w:szCs w:val="24"/>
          <w:lang w:val="en-GB"/>
        </w:rPr>
        <w:t>.</w:t>
      </w:r>
      <w:r w:rsidRPr="0023761B">
        <w:rPr>
          <w:rFonts w:ascii="Times New Roman" w:hAnsi="Times New Roman" w:cs="Times New Roman"/>
          <w:i/>
          <w:sz w:val="24"/>
          <w:szCs w:val="24"/>
          <w:lang w:val="en-GB"/>
        </w:rPr>
        <w:t xml:space="preserve"> Acta</w:t>
      </w:r>
      <w:r w:rsidRPr="0023761B">
        <w:rPr>
          <w:rFonts w:ascii="Times New Roman" w:hAnsi="Times New Roman" w:cs="Times New Roman"/>
          <w:sz w:val="24"/>
          <w:szCs w:val="24"/>
          <w:lang w:val="en-GB"/>
        </w:rPr>
        <w:t xml:space="preserve"> </w:t>
      </w:r>
      <w:r w:rsidRPr="0023761B">
        <w:rPr>
          <w:rFonts w:ascii="Times New Roman" w:hAnsi="Times New Roman" w:cs="Times New Roman"/>
          <w:b/>
          <w:sz w:val="24"/>
          <w:szCs w:val="24"/>
          <w:lang w:val="en-GB"/>
        </w:rPr>
        <w:t>2018</w:t>
      </w:r>
      <w:r w:rsidRPr="0023761B">
        <w:rPr>
          <w:rFonts w:ascii="Times New Roman" w:hAnsi="Times New Roman" w:cs="Times New Roman"/>
          <w:sz w:val="24"/>
          <w:szCs w:val="24"/>
          <w:lang w:val="en-GB"/>
        </w:rPr>
        <w:t xml:space="preserve">, </w:t>
      </w:r>
      <w:r w:rsidRPr="00E033FB">
        <w:rPr>
          <w:rFonts w:ascii="Times New Roman" w:hAnsi="Times New Roman" w:cs="Times New Roman"/>
          <w:i/>
          <w:sz w:val="24"/>
          <w:szCs w:val="24"/>
          <w:lang w:val="en-GB"/>
        </w:rPr>
        <w:t>606</w:t>
      </w:r>
      <w:r w:rsidRPr="0023761B">
        <w:rPr>
          <w:rFonts w:ascii="Times New Roman" w:hAnsi="Times New Roman" w:cs="Times New Roman"/>
          <w:sz w:val="24"/>
          <w:szCs w:val="24"/>
          <w:lang w:val="en-GB"/>
        </w:rPr>
        <w:t>, 84</w:t>
      </w:r>
      <w:r w:rsidR="00E033FB" w:rsidRPr="0023761B">
        <w:rPr>
          <w:rFonts w:ascii="Times New Roman" w:hAnsi="Times New Roman" w:cs="Times New Roman"/>
          <w:sz w:val="24"/>
          <w:szCs w:val="24"/>
          <w:lang w:val="en-GB"/>
        </w:rPr>
        <w:t>–</w:t>
      </w:r>
      <w:r w:rsidRPr="0023761B">
        <w:rPr>
          <w:rFonts w:ascii="Times New Roman" w:hAnsi="Times New Roman" w:cs="Times New Roman"/>
          <w:sz w:val="24"/>
          <w:szCs w:val="24"/>
          <w:lang w:val="en-GB"/>
        </w:rPr>
        <w:t>89.</w:t>
      </w:r>
    </w:p>
    <w:p w14:paraId="2D4D984C" w14:textId="6639543E" w:rsidR="00FC3DC5" w:rsidRDefault="00D35D3C" w:rsidP="00E033FB">
      <w:pPr>
        <w:pStyle w:val="ListParagraph"/>
        <w:numPr>
          <w:ilvl w:val="0"/>
          <w:numId w:val="5"/>
        </w:numPr>
        <w:spacing w:line="360" w:lineRule="auto"/>
        <w:rPr>
          <w:rFonts w:ascii="Times New Roman" w:eastAsia="Times New Roman" w:hAnsi="Times New Roman" w:cs="Times New Roman"/>
          <w:sz w:val="24"/>
          <w:szCs w:val="24"/>
          <w:lang w:val="en-GB" w:eastAsia="en-GB"/>
        </w:rPr>
      </w:pPr>
      <w:r w:rsidRPr="00D35D3C">
        <w:rPr>
          <w:rFonts w:ascii="Times New Roman" w:eastAsia="Times New Roman" w:hAnsi="Times New Roman" w:cs="Times New Roman"/>
          <w:sz w:val="24"/>
          <w:szCs w:val="24"/>
          <w:lang w:val="en-GB" w:eastAsia="en-GB"/>
        </w:rPr>
        <w:t>Y. Gao, S. van de Velde, P. N. Williams, W. Baeyens, H. Zhang,</w:t>
      </w:r>
      <w:r>
        <w:rPr>
          <w:rFonts w:ascii="Times New Roman" w:eastAsia="Times New Roman" w:hAnsi="Times New Roman" w:cs="Times New Roman"/>
          <w:sz w:val="24"/>
          <w:szCs w:val="24"/>
          <w:lang w:val="en-GB" w:eastAsia="en-GB"/>
        </w:rPr>
        <w:t xml:space="preserve"> </w:t>
      </w:r>
      <w:r w:rsidRPr="00D35D3C">
        <w:rPr>
          <w:rFonts w:ascii="Times New Roman" w:eastAsia="Times New Roman" w:hAnsi="Times New Roman" w:cs="Times New Roman"/>
          <w:i/>
          <w:iCs/>
          <w:sz w:val="24"/>
          <w:szCs w:val="24"/>
          <w:lang w:val="en-GB" w:eastAsia="en-GB"/>
        </w:rPr>
        <w:t>TrAC</w:t>
      </w:r>
      <w:r w:rsidR="00E033FB">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t>
      </w:r>
      <w:r w:rsidRPr="00D35D3C">
        <w:rPr>
          <w:rFonts w:ascii="Times New Roman" w:eastAsia="Times New Roman" w:hAnsi="Times New Roman" w:cs="Times New Roman"/>
          <w:b/>
          <w:sz w:val="24"/>
          <w:szCs w:val="24"/>
          <w:lang w:val="en-GB" w:eastAsia="en-GB"/>
        </w:rPr>
        <w:t>2015</w:t>
      </w:r>
      <w:r w:rsidRPr="00D35D3C">
        <w:rPr>
          <w:rFonts w:ascii="Times New Roman" w:eastAsia="Times New Roman" w:hAnsi="Times New Roman" w:cs="Times New Roman"/>
          <w:sz w:val="24"/>
          <w:szCs w:val="24"/>
          <w:lang w:val="en-GB" w:eastAsia="en-GB"/>
        </w:rPr>
        <w:t xml:space="preserve">, </w:t>
      </w:r>
      <w:r w:rsidRPr="00E033FB">
        <w:rPr>
          <w:rFonts w:ascii="Times New Roman" w:eastAsia="Times New Roman" w:hAnsi="Times New Roman" w:cs="Times New Roman"/>
          <w:i/>
          <w:iCs/>
          <w:sz w:val="24"/>
          <w:szCs w:val="24"/>
          <w:lang w:val="en-GB" w:eastAsia="en-GB"/>
        </w:rPr>
        <w:t>66</w:t>
      </w:r>
      <w:r w:rsidRPr="00D35D3C">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t>
      </w:r>
      <w:r w:rsidRPr="00D35D3C">
        <w:rPr>
          <w:rFonts w:ascii="Times New Roman" w:eastAsia="Times New Roman" w:hAnsi="Times New Roman" w:cs="Times New Roman"/>
          <w:sz w:val="24"/>
          <w:szCs w:val="24"/>
          <w:lang w:val="en-GB" w:eastAsia="en-GB"/>
        </w:rPr>
        <w:t>63</w:t>
      </w:r>
      <w:r w:rsidR="00E033FB" w:rsidRPr="0023761B">
        <w:rPr>
          <w:rFonts w:ascii="Times New Roman" w:hAnsi="Times New Roman" w:cs="Times New Roman"/>
          <w:sz w:val="24"/>
          <w:szCs w:val="24"/>
          <w:lang w:val="en-GB"/>
        </w:rPr>
        <w:t>–</w:t>
      </w:r>
      <w:r w:rsidRPr="00D35D3C">
        <w:rPr>
          <w:rFonts w:ascii="Times New Roman" w:eastAsia="Times New Roman" w:hAnsi="Times New Roman" w:cs="Times New Roman"/>
          <w:sz w:val="24"/>
          <w:szCs w:val="24"/>
          <w:lang w:val="en-GB" w:eastAsia="en-GB"/>
        </w:rPr>
        <w:t>71.</w:t>
      </w:r>
    </w:p>
    <w:p w14:paraId="172ACAF2" w14:textId="35C3ED17" w:rsidR="0064629C" w:rsidRDefault="0064629C" w:rsidP="00E033FB">
      <w:pPr>
        <w:pStyle w:val="ListParagraph"/>
        <w:numPr>
          <w:ilvl w:val="0"/>
          <w:numId w:val="5"/>
        </w:numPr>
        <w:spacing w:line="360" w:lineRule="auto"/>
        <w:jc w:val="both"/>
        <w:rPr>
          <w:rFonts w:ascii="Times New Roman" w:eastAsia="Times New Roman" w:hAnsi="Times New Roman" w:cs="Times New Roman"/>
          <w:sz w:val="24"/>
          <w:szCs w:val="24"/>
          <w:lang w:val="en-GB" w:eastAsia="en-GB"/>
        </w:rPr>
      </w:pPr>
      <w:r w:rsidRPr="0064629C">
        <w:rPr>
          <w:rFonts w:ascii="Times New Roman" w:eastAsia="Times New Roman" w:hAnsi="Times New Roman" w:cs="Times New Roman"/>
          <w:sz w:val="24"/>
          <w:szCs w:val="24"/>
          <w:lang w:val="en-GB" w:eastAsia="en-GB"/>
        </w:rPr>
        <w:t xml:space="preserve">S. V. Pakhomova et al., </w:t>
      </w:r>
      <w:r w:rsidRPr="0064629C">
        <w:rPr>
          <w:rFonts w:ascii="Times New Roman" w:eastAsia="Times New Roman" w:hAnsi="Times New Roman" w:cs="Times New Roman"/>
          <w:i/>
          <w:sz w:val="24"/>
          <w:szCs w:val="24"/>
          <w:lang w:val="en-GB" w:eastAsia="en-GB"/>
        </w:rPr>
        <w:t>Mar</w:t>
      </w:r>
      <w:r w:rsidR="00E033FB">
        <w:rPr>
          <w:rFonts w:ascii="Times New Roman" w:eastAsia="Times New Roman" w:hAnsi="Times New Roman" w:cs="Times New Roman"/>
          <w:i/>
          <w:sz w:val="24"/>
          <w:szCs w:val="24"/>
          <w:lang w:val="en-GB" w:eastAsia="en-GB"/>
        </w:rPr>
        <w:t>.</w:t>
      </w:r>
      <w:r w:rsidRPr="0064629C">
        <w:rPr>
          <w:rFonts w:ascii="Times New Roman" w:eastAsia="Times New Roman" w:hAnsi="Times New Roman" w:cs="Times New Roman"/>
          <w:i/>
          <w:sz w:val="24"/>
          <w:szCs w:val="24"/>
          <w:lang w:val="en-GB" w:eastAsia="en-GB"/>
        </w:rPr>
        <w:t xml:space="preserve"> Chem</w:t>
      </w:r>
      <w:r w:rsidR="00E033FB">
        <w:rPr>
          <w:rFonts w:ascii="Times New Roman" w:eastAsia="Times New Roman" w:hAnsi="Times New Roman" w:cs="Times New Roman"/>
          <w:i/>
          <w:sz w:val="24"/>
          <w:szCs w:val="24"/>
          <w:lang w:val="en-GB" w:eastAsia="en-GB"/>
        </w:rPr>
        <w:t>.</w:t>
      </w:r>
      <w:r>
        <w:rPr>
          <w:rFonts w:ascii="Times New Roman" w:eastAsia="Times New Roman" w:hAnsi="Times New Roman" w:cs="Times New Roman"/>
          <w:sz w:val="24"/>
          <w:szCs w:val="24"/>
          <w:lang w:val="en-GB" w:eastAsia="en-GB"/>
        </w:rPr>
        <w:t xml:space="preserve"> </w:t>
      </w:r>
      <w:r w:rsidRPr="0064629C">
        <w:rPr>
          <w:rFonts w:ascii="Times New Roman" w:eastAsia="Times New Roman" w:hAnsi="Times New Roman" w:cs="Times New Roman"/>
          <w:b/>
          <w:sz w:val="24"/>
          <w:szCs w:val="24"/>
          <w:lang w:val="en-GB" w:eastAsia="en-GB"/>
        </w:rPr>
        <w:t>2007</w:t>
      </w:r>
      <w:r>
        <w:rPr>
          <w:rFonts w:ascii="Times New Roman" w:eastAsia="Times New Roman" w:hAnsi="Times New Roman" w:cs="Times New Roman"/>
          <w:sz w:val="24"/>
          <w:szCs w:val="24"/>
          <w:lang w:val="en-GB" w:eastAsia="en-GB"/>
        </w:rPr>
        <w:t xml:space="preserve">, </w:t>
      </w:r>
      <w:r w:rsidRPr="00E033FB">
        <w:rPr>
          <w:rFonts w:ascii="Times New Roman" w:eastAsia="Times New Roman" w:hAnsi="Times New Roman" w:cs="Times New Roman"/>
          <w:i/>
          <w:sz w:val="24"/>
          <w:szCs w:val="24"/>
          <w:lang w:val="en-GB" w:eastAsia="en-GB"/>
        </w:rPr>
        <w:t>107</w:t>
      </w:r>
      <w:r>
        <w:rPr>
          <w:rFonts w:ascii="Times New Roman" w:eastAsia="Times New Roman" w:hAnsi="Times New Roman" w:cs="Times New Roman"/>
          <w:sz w:val="24"/>
          <w:szCs w:val="24"/>
          <w:lang w:val="en-GB" w:eastAsia="en-GB"/>
        </w:rPr>
        <w:t>, 319</w:t>
      </w:r>
      <w:r w:rsidR="00E033FB" w:rsidRPr="0023761B">
        <w:rPr>
          <w:rFonts w:ascii="Times New Roman" w:hAnsi="Times New Roman" w:cs="Times New Roman"/>
          <w:sz w:val="24"/>
          <w:szCs w:val="24"/>
          <w:lang w:val="en-GB"/>
        </w:rPr>
        <w:t>–</w:t>
      </w:r>
      <w:r>
        <w:rPr>
          <w:rFonts w:ascii="Times New Roman" w:eastAsia="Times New Roman" w:hAnsi="Times New Roman" w:cs="Times New Roman"/>
          <w:sz w:val="24"/>
          <w:szCs w:val="24"/>
          <w:lang w:val="en-GB" w:eastAsia="en-GB"/>
        </w:rPr>
        <w:t>331.</w:t>
      </w:r>
    </w:p>
    <w:p w14:paraId="1B9375EB" w14:textId="3D00B171" w:rsidR="00BD0F5A" w:rsidRDefault="00660C66" w:rsidP="00E033FB">
      <w:pPr>
        <w:pStyle w:val="ListParagraph"/>
        <w:numPr>
          <w:ilvl w:val="0"/>
          <w:numId w:val="5"/>
        </w:numPr>
        <w:spacing w:line="360" w:lineRule="auto"/>
        <w:jc w:val="both"/>
        <w:rPr>
          <w:rFonts w:ascii="Times New Roman" w:eastAsia="Times New Roman" w:hAnsi="Times New Roman" w:cs="Times New Roman"/>
          <w:sz w:val="24"/>
          <w:szCs w:val="24"/>
          <w:lang w:val="en-GB" w:eastAsia="en-GB"/>
        </w:rPr>
      </w:pPr>
      <w:r w:rsidRPr="00660C66">
        <w:rPr>
          <w:rFonts w:ascii="Times New Roman" w:eastAsia="Times New Roman" w:hAnsi="Times New Roman" w:cs="Times New Roman"/>
          <w:sz w:val="24"/>
          <w:szCs w:val="24"/>
          <w:lang w:val="en-GB" w:eastAsia="en-GB"/>
        </w:rPr>
        <w:t xml:space="preserve">F. Leermakers, J. C. Eriksson, H. Lyklema, </w:t>
      </w:r>
      <w:r w:rsidRPr="00A866DA">
        <w:rPr>
          <w:rFonts w:ascii="Times New Roman" w:eastAsia="Times New Roman" w:hAnsi="Times New Roman" w:cs="Times New Roman"/>
          <w:i/>
          <w:sz w:val="24"/>
          <w:szCs w:val="24"/>
          <w:lang w:val="en-GB" w:eastAsia="en-GB"/>
        </w:rPr>
        <w:t>Fundamentals of Interface and Colloid Science</w:t>
      </w:r>
      <w:r>
        <w:rPr>
          <w:rFonts w:ascii="Times New Roman" w:eastAsia="Times New Roman" w:hAnsi="Times New Roman" w:cs="Times New Roman"/>
          <w:sz w:val="24"/>
          <w:szCs w:val="24"/>
          <w:lang w:val="en-GB" w:eastAsia="en-GB"/>
        </w:rPr>
        <w:t xml:space="preserve"> </w:t>
      </w:r>
      <w:r w:rsidRPr="00660C66">
        <w:rPr>
          <w:rFonts w:ascii="Times New Roman" w:eastAsia="Times New Roman" w:hAnsi="Times New Roman" w:cs="Times New Roman"/>
          <w:b/>
          <w:sz w:val="24"/>
          <w:szCs w:val="24"/>
          <w:lang w:val="en-GB" w:eastAsia="en-GB"/>
        </w:rPr>
        <w:t>2005</w:t>
      </w:r>
      <w:r>
        <w:rPr>
          <w:rFonts w:ascii="Times New Roman" w:eastAsia="Times New Roman" w:hAnsi="Times New Roman" w:cs="Times New Roman"/>
          <w:sz w:val="24"/>
          <w:szCs w:val="24"/>
          <w:lang w:val="en-GB" w:eastAsia="en-GB"/>
        </w:rPr>
        <w:t xml:space="preserve">, </w:t>
      </w:r>
      <w:r w:rsidRPr="00E033FB">
        <w:rPr>
          <w:rFonts w:ascii="Times New Roman" w:eastAsia="Times New Roman" w:hAnsi="Times New Roman" w:cs="Times New Roman"/>
          <w:i/>
          <w:sz w:val="24"/>
          <w:szCs w:val="24"/>
          <w:lang w:val="en-GB" w:eastAsia="en-GB"/>
        </w:rPr>
        <w:t>5</w:t>
      </w:r>
      <w:r>
        <w:rPr>
          <w:rFonts w:ascii="Times New Roman" w:eastAsia="Times New Roman" w:hAnsi="Times New Roman" w:cs="Times New Roman"/>
          <w:sz w:val="24"/>
          <w:szCs w:val="24"/>
          <w:lang w:val="en-GB" w:eastAsia="en-GB"/>
        </w:rPr>
        <w:t>, 1</w:t>
      </w:r>
      <w:r w:rsidR="00E033FB" w:rsidRPr="0023761B">
        <w:rPr>
          <w:rFonts w:ascii="Times New Roman" w:hAnsi="Times New Roman" w:cs="Times New Roman"/>
          <w:sz w:val="24"/>
          <w:szCs w:val="24"/>
          <w:lang w:val="en-GB"/>
        </w:rPr>
        <w:t>–</w:t>
      </w:r>
      <w:r>
        <w:rPr>
          <w:rFonts w:ascii="Times New Roman" w:eastAsia="Times New Roman" w:hAnsi="Times New Roman" w:cs="Times New Roman"/>
          <w:sz w:val="24"/>
          <w:szCs w:val="24"/>
          <w:lang w:val="en-GB" w:eastAsia="en-GB"/>
        </w:rPr>
        <w:t>123.</w:t>
      </w:r>
    </w:p>
    <w:p w14:paraId="78F9AF9F" w14:textId="46E98721" w:rsidR="00A866DA" w:rsidRDefault="00A866DA" w:rsidP="00A866DA">
      <w:pPr>
        <w:pStyle w:val="ListParagraph"/>
        <w:numPr>
          <w:ilvl w:val="0"/>
          <w:numId w:val="5"/>
        </w:numPr>
        <w:spacing w:line="360" w:lineRule="auto"/>
        <w:jc w:val="both"/>
        <w:rPr>
          <w:rFonts w:ascii="Times New Roman" w:eastAsia="Times New Roman" w:hAnsi="Times New Roman" w:cs="Times New Roman"/>
          <w:sz w:val="24"/>
          <w:szCs w:val="24"/>
          <w:lang w:val="en-GB" w:eastAsia="en-GB"/>
        </w:rPr>
      </w:pPr>
      <w:r w:rsidRPr="00A866DA">
        <w:rPr>
          <w:rFonts w:ascii="Times New Roman" w:eastAsia="Times New Roman" w:hAnsi="Times New Roman" w:cs="Times New Roman"/>
          <w:sz w:val="24"/>
          <w:szCs w:val="24"/>
          <w:lang w:val="en-GB" w:eastAsia="en-GB"/>
        </w:rPr>
        <w:t>F. Gao et al.,</w:t>
      </w:r>
      <w:r w:rsidR="00E4646A">
        <w:rPr>
          <w:rFonts w:ascii="Times New Roman" w:eastAsia="Times New Roman" w:hAnsi="Times New Roman" w:cs="Times New Roman"/>
          <w:sz w:val="24"/>
          <w:szCs w:val="24"/>
          <w:lang w:val="en-GB" w:eastAsia="en-GB"/>
        </w:rPr>
        <w:t xml:space="preserve"> </w:t>
      </w:r>
      <w:r w:rsidR="00E4646A" w:rsidRPr="00E4646A">
        <w:rPr>
          <w:rFonts w:ascii="Times New Roman" w:eastAsia="Times New Roman" w:hAnsi="Times New Roman" w:cs="Times New Roman"/>
          <w:i/>
          <w:sz w:val="24"/>
          <w:szCs w:val="24"/>
          <w:lang w:val="en-GB" w:eastAsia="en-GB"/>
        </w:rPr>
        <w:t>J</w:t>
      </w:r>
      <w:r w:rsidR="00E033FB">
        <w:rPr>
          <w:rFonts w:ascii="Times New Roman" w:eastAsia="Times New Roman" w:hAnsi="Times New Roman" w:cs="Times New Roman"/>
          <w:i/>
          <w:sz w:val="24"/>
          <w:szCs w:val="24"/>
          <w:lang w:val="en-GB" w:eastAsia="en-GB"/>
        </w:rPr>
        <w:t>.</w:t>
      </w:r>
      <w:r w:rsidRPr="00E4646A">
        <w:rPr>
          <w:rFonts w:ascii="Times New Roman" w:eastAsia="Times New Roman" w:hAnsi="Times New Roman" w:cs="Times New Roman"/>
          <w:i/>
          <w:sz w:val="24"/>
          <w:szCs w:val="24"/>
          <w:lang w:val="en-GB" w:eastAsia="en-GB"/>
        </w:rPr>
        <w:t xml:space="preserve"> Exp</w:t>
      </w:r>
      <w:r w:rsidR="00E033FB">
        <w:rPr>
          <w:rFonts w:ascii="Times New Roman" w:eastAsia="Times New Roman" w:hAnsi="Times New Roman" w:cs="Times New Roman"/>
          <w:i/>
          <w:sz w:val="24"/>
          <w:szCs w:val="24"/>
          <w:lang w:val="en-GB" w:eastAsia="en-GB"/>
        </w:rPr>
        <w:t>.</w:t>
      </w:r>
      <w:r w:rsidRPr="00E4646A">
        <w:rPr>
          <w:rFonts w:ascii="Times New Roman" w:eastAsia="Times New Roman" w:hAnsi="Times New Roman" w:cs="Times New Roman"/>
          <w:i/>
          <w:sz w:val="24"/>
          <w:szCs w:val="24"/>
          <w:lang w:val="en-GB" w:eastAsia="en-GB"/>
        </w:rPr>
        <w:t xml:space="preserve"> Bot</w:t>
      </w:r>
      <w:r w:rsidR="00E033FB">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t>
      </w:r>
      <w:r w:rsidRPr="00E4646A">
        <w:rPr>
          <w:rFonts w:ascii="Times New Roman" w:eastAsia="Times New Roman" w:hAnsi="Times New Roman" w:cs="Times New Roman"/>
          <w:b/>
          <w:sz w:val="24"/>
          <w:szCs w:val="24"/>
          <w:lang w:val="en-GB" w:eastAsia="en-GB"/>
        </w:rPr>
        <w:t>2006</w:t>
      </w:r>
      <w:r>
        <w:rPr>
          <w:rFonts w:ascii="Times New Roman" w:eastAsia="Times New Roman" w:hAnsi="Times New Roman" w:cs="Times New Roman"/>
          <w:sz w:val="24"/>
          <w:szCs w:val="24"/>
          <w:lang w:val="en-GB" w:eastAsia="en-GB"/>
        </w:rPr>
        <w:t>,</w:t>
      </w:r>
      <w:r w:rsidRPr="00A866DA">
        <w:rPr>
          <w:rFonts w:ascii="Times New Roman" w:eastAsia="Times New Roman" w:hAnsi="Times New Roman" w:cs="Times New Roman"/>
          <w:sz w:val="24"/>
          <w:szCs w:val="24"/>
          <w:lang w:val="en-GB" w:eastAsia="en-GB"/>
        </w:rPr>
        <w:t xml:space="preserve"> </w:t>
      </w:r>
      <w:r w:rsidRPr="00E033FB">
        <w:rPr>
          <w:rFonts w:ascii="Times New Roman" w:eastAsia="Times New Roman" w:hAnsi="Times New Roman" w:cs="Times New Roman"/>
          <w:i/>
          <w:sz w:val="24"/>
          <w:szCs w:val="24"/>
          <w:lang w:val="en-GB" w:eastAsia="en-GB"/>
        </w:rPr>
        <w:t>57</w:t>
      </w:r>
      <w:r w:rsidRPr="00A866DA">
        <w:rPr>
          <w:rFonts w:ascii="Times New Roman" w:eastAsia="Times New Roman" w:hAnsi="Times New Roman" w:cs="Times New Roman"/>
          <w:sz w:val="24"/>
          <w:szCs w:val="24"/>
          <w:lang w:val="en-GB" w:eastAsia="en-GB"/>
        </w:rPr>
        <w:t>, 3259</w:t>
      </w:r>
      <w:r w:rsidR="00E033FB" w:rsidRPr="0023761B">
        <w:rPr>
          <w:rFonts w:ascii="Times New Roman" w:hAnsi="Times New Roman" w:cs="Times New Roman"/>
          <w:sz w:val="24"/>
          <w:szCs w:val="24"/>
          <w:lang w:val="en-GB"/>
        </w:rPr>
        <w:t>–</w:t>
      </w:r>
      <w:r>
        <w:rPr>
          <w:rFonts w:ascii="Times New Roman" w:eastAsia="Times New Roman" w:hAnsi="Times New Roman" w:cs="Times New Roman"/>
          <w:sz w:val="24"/>
          <w:szCs w:val="24"/>
          <w:lang w:val="en-GB" w:eastAsia="en-GB"/>
        </w:rPr>
        <w:t>3270.</w:t>
      </w:r>
    </w:p>
    <w:p w14:paraId="1F7A4638" w14:textId="0A42FB83" w:rsidR="00F907BB" w:rsidRPr="003B1FA1" w:rsidRDefault="00F907BB" w:rsidP="00F907BB">
      <w:pPr>
        <w:pStyle w:val="ListParagraph"/>
        <w:numPr>
          <w:ilvl w:val="0"/>
          <w:numId w:val="5"/>
        </w:numPr>
        <w:spacing w:line="360" w:lineRule="auto"/>
        <w:jc w:val="both"/>
        <w:rPr>
          <w:rFonts w:ascii="Times New Roman" w:eastAsia="Times New Roman" w:hAnsi="Times New Roman" w:cs="Times New Roman"/>
          <w:sz w:val="24"/>
          <w:szCs w:val="24"/>
          <w:lang w:val="en-GB" w:eastAsia="en-GB"/>
        </w:rPr>
      </w:pPr>
      <w:r w:rsidRPr="00F907BB">
        <w:rPr>
          <w:rFonts w:ascii="Times New Roman" w:eastAsia="Times New Roman" w:hAnsi="Times New Roman" w:cs="Times New Roman"/>
          <w:sz w:val="24"/>
          <w:szCs w:val="24"/>
          <w:lang w:val="en-GB" w:eastAsia="en-GB"/>
        </w:rPr>
        <w:t xml:space="preserve">C. Montalvo et al., </w:t>
      </w:r>
      <w:r w:rsidRPr="00F907BB">
        <w:rPr>
          <w:rFonts w:ascii="Times New Roman" w:eastAsia="Times New Roman" w:hAnsi="Times New Roman" w:cs="Times New Roman"/>
          <w:i/>
          <w:sz w:val="24"/>
          <w:szCs w:val="24"/>
          <w:lang w:val="en-GB" w:eastAsia="en-GB"/>
        </w:rPr>
        <w:t>Environ</w:t>
      </w:r>
      <w:r w:rsidR="00E033FB">
        <w:rPr>
          <w:rFonts w:ascii="Times New Roman" w:eastAsia="Times New Roman" w:hAnsi="Times New Roman" w:cs="Times New Roman"/>
          <w:i/>
          <w:sz w:val="24"/>
          <w:szCs w:val="24"/>
          <w:lang w:val="en-GB" w:eastAsia="en-GB"/>
        </w:rPr>
        <w:t>.</w:t>
      </w:r>
      <w:r w:rsidRPr="00F907BB">
        <w:rPr>
          <w:rFonts w:ascii="Times New Roman" w:eastAsia="Times New Roman" w:hAnsi="Times New Roman" w:cs="Times New Roman"/>
          <w:i/>
          <w:sz w:val="24"/>
          <w:szCs w:val="24"/>
          <w:lang w:val="en-GB" w:eastAsia="en-GB"/>
        </w:rPr>
        <w:t xml:space="preserve"> Pollu</w:t>
      </w:r>
      <w:bookmarkStart w:id="1" w:name="_GoBack"/>
      <w:bookmarkEnd w:id="1"/>
      <w:r w:rsidRPr="00F907BB">
        <w:rPr>
          <w:rFonts w:ascii="Times New Roman" w:eastAsia="Times New Roman" w:hAnsi="Times New Roman" w:cs="Times New Roman"/>
          <w:i/>
          <w:sz w:val="24"/>
          <w:szCs w:val="24"/>
          <w:lang w:val="en-GB" w:eastAsia="en-GB"/>
        </w:rPr>
        <w:t>t</w:t>
      </w:r>
      <w:r w:rsidR="00E033FB">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t>
      </w:r>
      <w:r w:rsidRPr="00F907BB">
        <w:rPr>
          <w:rFonts w:ascii="Times New Roman" w:eastAsia="Times New Roman" w:hAnsi="Times New Roman" w:cs="Times New Roman"/>
          <w:b/>
          <w:sz w:val="24"/>
          <w:szCs w:val="24"/>
          <w:lang w:val="en-GB" w:eastAsia="en-GB"/>
        </w:rPr>
        <w:t>2014</w:t>
      </w:r>
      <w:r>
        <w:rPr>
          <w:rFonts w:ascii="Times New Roman" w:eastAsia="Times New Roman" w:hAnsi="Times New Roman" w:cs="Times New Roman"/>
          <w:sz w:val="24"/>
          <w:szCs w:val="24"/>
          <w:lang w:val="en-GB" w:eastAsia="en-GB"/>
        </w:rPr>
        <w:t>,</w:t>
      </w:r>
      <w:r w:rsidR="007E19A2">
        <w:rPr>
          <w:rFonts w:ascii="Times New Roman" w:eastAsia="Times New Roman" w:hAnsi="Times New Roman" w:cs="Times New Roman"/>
          <w:sz w:val="24"/>
          <w:szCs w:val="24"/>
          <w:lang w:val="en-GB" w:eastAsia="en-GB"/>
        </w:rPr>
        <w:t xml:space="preserve"> </w:t>
      </w:r>
      <w:r w:rsidR="007E19A2" w:rsidRPr="001F6A1B">
        <w:rPr>
          <w:rFonts w:ascii="Times New Roman" w:eastAsia="Times New Roman" w:hAnsi="Times New Roman" w:cs="Times New Roman"/>
          <w:i/>
          <w:sz w:val="24"/>
          <w:szCs w:val="24"/>
          <w:lang w:val="en-GB" w:eastAsia="en-GB"/>
        </w:rPr>
        <w:t>3</w:t>
      </w:r>
      <w:r w:rsidR="007E19A2">
        <w:rPr>
          <w:rFonts w:ascii="Times New Roman" w:eastAsia="Times New Roman" w:hAnsi="Times New Roman" w:cs="Times New Roman"/>
          <w:sz w:val="24"/>
          <w:szCs w:val="24"/>
          <w:lang w:val="en-GB" w:eastAsia="en-GB"/>
        </w:rPr>
        <w:t>.</w:t>
      </w:r>
    </w:p>
    <w:sectPr w:rsidR="00F907BB" w:rsidRPr="003B1FA1" w:rsidSect="00A06D0D">
      <w:footerReference w:type="default" r:id="rId20"/>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B2D95" w14:textId="77777777" w:rsidR="00170B8B" w:rsidRDefault="00170B8B" w:rsidP="00F01FA8">
      <w:pPr>
        <w:spacing w:after="0" w:line="240" w:lineRule="auto"/>
      </w:pPr>
      <w:r>
        <w:separator/>
      </w:r>
    </w:p>
  </w:endnote>
  <w:endnote w:type="continuationSeparator" w:id="0">
    <w:p w14:paraId="54F00625" w14:textId="77777777" w:rsidR="00170B8B" w:rsidRDefault="00170B8B" w:rsidP="00F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94163"/>
      <w:docPartObj>
        <w:docPartGallery w:val="Page Numbers (Bottom of Page)"/>
        <w:docPartUnique/>
      </w:docPartObj>
    </w:sdtPr>
    <w:sdtEndPr>
      <w:rPr>
        <w:rFonts w:ascii="Times New Roman" w:hAnsi="Times New Roman" w:cs="Times New Roman"/>
        <w:sz w:val="24"/>
      </w:rPr>
    </w:sdtEndPr>
    <w:sdtContent>
      <w:p w14:paraId="0ED07B37" w14:textId="33F347B7" w:rsidR="00241664" w:rsidRPr="006034E1" w:rsidRDefault="00241664">
        <w:pPr>
          <w:pStyle w:val="Footer"/>
          <w:jc w:val="center"/>
          <w:rPr>
            <w:rFonts w:ascii="Times New Roman" w:hAnsi="Times New Roman" w:cs="Times New Roman"/>
            <w:sz w:val="24"/>
          </w:rPr>
        </w:pPr>
        <w:r w:rsidRPr="006034E1">
          <w:rPr>
            <w:rFonts w:ascii="Times New Roman" w:hAnsi="Times New Roman" w:cs="Times New Roman"/>
            <w:sz w:val="24"/>
          </w:rPr>
          <w:fldChar w:fldCharType="begin"/>
        </w:r>
        <w:r w:rsidRPr="006034E1">
          <w:rPr>
            <w:rFonts w:ascii="Times New Roman" w:hAnsi="Times New Roman" w:cs="Times New Roman"/>
            <w:sz w:val="24"/>
          </w:rPr>
          <w:instrText>PAGE   \* MERGEFORMAT</w:instrText>
        </w:r>
        <w:r w:rsidRPr="006034E1">
          <w:rPr>
            <w:rFonts w:ascii="Times New Roman" w:hAnsi="Times New Roman" w:cs="Times New Roman"/>
            <w:sz w:val="24"/>
          </w:rPr>
          <w:fldChar w:fldCharType="separate"/>
        </w:r>
        <w:r w:rsidR="00170B8B">
          <w:rPr>
            <w:rFonts w:ascii="Times New Roman" w:hAnsi="Times New Roman" w:cs="Times New Roman"/>
            <w:noProof/>
            <w:sz w:val="24"/>
          </w:rPr>
          <w:t>1</w:t>
        </w:r>
        <w:r w:rsidRPr="006034E1">
          <w:rPr>
            <w:rFonts w:ascii="Times New Roman" w:hAnsi="Times New Roman" w:cs="Times New Roman"/>
            <w:sz w:val="24"/>
          </w:rPr>
          <w:fldChar w:fldCharType="end"/>
        </w:r>
      </w:p>
    </w:sdtContent>
  </w:sdt>
  <w:p w14:paraId="6F13A792" w14:textId="77777777" w:rsidR="00241664" w:rsidRDefault="002416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5A7DD" w14:textId="77777777" w:rsidR="00170B8B" w:rsidRDefault="00170B8B" w:rsidP="00F01FA8">
      <w:pPr>
        <w:spacing w:after="0" w:line="240" w:lineRule="auto"/>
      </w:pPr>
      <w:r>
        <w:separator/>
      </w:r>
    </w:p>
  </w:footnote>
  <w:footnote w:type="continuationSeparator" w:id="0">
    <w:p w14:paraId="0425FB9E" w14:textId="77777777" w:rsidR="00170B8B" w:rsidRDefault="00170B8B" w:rsidP="00F01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16338"/>
    <w:multiLevelType w:val="multilevel"/>
    <w:tmpl w:val="FF5E7D5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38C34FB4"/>
    <w:multiLevelType w:val="hybridMultilevel"/>
    <w:tmpl w:val="D2CECE54"/>
    <w:lvl w:ilvl="0" w:tplc="F7FC2D92">
      <w:start w:val="1"/>
      <w:numFmt w:val="decimal"/>
      <w:lvlText w:val="%1."/>
      <w:lvlJc w:val="left"/>
      <w:pPr>
        <w:ind w:left="360" w:hanging="360"/>
      </w:pPr>
      <w:rPr>
        <w:rFonts w:ascii="Times New Roman" w:hAnsi="Times New Roman" w:cs="Times New Roman" w:hint="default"/>
        <w:color w:val="auto"/>
        <w:sz w:val="24"/>
        <w:szCs w:val="24"/>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431B2C1D"/>
    <w:multiLevelType w:val="hybridMultilevel"/>
    <w:tmpl w:val="F6A00326"/>
    <w:lvl w:ilvl="0" w:tplc="6BF65882">
      <w:numFmt w:val="bullet"/>
      <w:lvlText w:val=""/>
      <w:lvlJc w:val="left"/>
      <w:pPr>
        <w:ind w:left="720" w:hanging="360"/>
      </w:pPr>
      <w:rPr>
        <w:rFonts w:ascii="Symbol" w:eastAsiaTheme="minorHAns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E3C131F"/>
    <w:multiLevelType w:val="hybridMultilevel"/>
    <w:tmpl w:val="DB3AD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67A0D"/>
    <w:multiLevelType w:val="multilevel"/>
    <w:tmpl w:val="4FD2B5D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C90C6E"/>
    <w:multiLevelType w:val="multilevel"/>
    <w:tmpl w:val="3710C7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A8"/>
    <w:rsid w:val="00003DE9"/>
    <w:rsid w:val="00011845"/>
    <w:rsid w:val="000165C1"/>
    <w:rsid w:val="00016B30"/>
    <w:rsid w:val="00031316"/>
    <w:rsid w:val="00032E93"/>
    <w:rsid w:val="00032F5A"/>
    <w:rsid w:val="00035DE7"/>
    <w:rsid w:val="00045715"/>
    <w:rsid w:val="00047701"/>
    <w:rsid w:val="000501CB"/>
    <w:rsid w:val="000545E3"/>
    <w:rsid w:val="00076BA8"/>
    <w:rsid w:val="00091DF3"/>
    <w:rsid w:val="0009343F"/>
    <w:rsid w:val="00093E97"/>
    <w:rsid w:val="000A0109"/>
    <w:rsid w:val="000A1F89"/>
    <w:rsid w:val="000A2DE5"/>
    <w:rsid w:val="000A3A6A"/>
    <w:rsid w:val="000A3D13"/>
    <w:rsid w:val="000A7754"/>
    <w:rsid w:val="000B1564"/>
    <w:rsid w:val="000B4BB8"/>
    <w:rsid w:val="000C6726"/>
    <w:rsid w:val="000D02DD"/>
    <w:rsid w:val="000D3111"/>
    <w:rsid w:val="000D3611"/>
    <w:rsid w:val="000E0737"/>
    <w:rsid w:val="000E1552"/>
    <w:rsid w:val="000E26D5"/>
    <w:rsid w:val="000E6E6D"/>
    <w:rsid w:val="000F559A"/>
    <w:rsid w:val="000F6D3C"/>
    <w:rsid w:val="001032A8"/>
    <w:rsid w:val="0011384F"/>
    <w:rsid w:val="0011639D"/>
    <w:rsid w:val="001204B9"/>
    <w:rsid w:val="001206EB"/>
    <w:rsid w:val="001228F9"/>
    <w:rsid w:val="001245F3"/>
    <w:rsid w:val="0015167F"/>
    <w:rsid w:val="00151C56"/>
    <w:rsid w:val="00155033"/>
    <w:rsid w:val="001636D2"/>
    <w:rsid w:val="001652B5"/>
    <w:rsid w:val="00167A3B"/>
    <w:rsid w:val="00170B8B"/>
    <w:rsid w:val="00171F3B"/>
    <w:rsid w:val="0017299A"/>
    <w:rsid w:val="00175C41"/>
    <w:rsid w:val="00176AE2"/>
    <w:rsid w:val="001772AA"/>
    <w:rsid w:val="0017799C"/>
    <w:rsid w:val="001816C2"/>
    <w:rsid w:val="00181990"/>
    <w:rsid w:val="0018568F"/>
    <w:rsid w:val="00194F1D"/>
    <w:rsid w:val="00195C98"/>
    <w:rsid w:val="001B0B0B"/>
    <w:rsid w:val="001B2BDC"/>
    <w:rsid w:val="001B6889"/>
    <w:rsid w:val="001B7789"/>
    <w:rsid w:val="001C12CD"/>
    <w:rsid w:val="001C390D"/>
    <w:rsid w:val="001C72DB"/>
    <w:rsid w:val="001C768D"/>
    <w:rsid w:val="001D716A"/>
    <w:rsid w:val="001E190F"/>
    <w:rsid w:val="001E494F"/>
    <w:rsid w:val="001E61BA"/>
    <w:rsid w:val="001F1EBC"/>
    <w:rsid w:val="001F3A73"/>
    <w:rsid w:val="001F6394"/>
    <w:rsid w:val="001F6A1B"/>
    <w:rsid w:val="0020076A"/>
    <w:rsid w:val="0020423B"/>
    <w:rsid w:val="00204CC0"/>
    <w:rsid w:val="00212CE1"/>
    <w:rsid w:val="00225052"/>
    <w:rsid w:val="00233ADD"/>
    <w:rsid w:val="002353DF"/>
    <w:rsid w:val="00235719"/>
    <w:rsid w:val="0023761B"/>
    <w:rsid w:val="00241664"/>
    <w:rsid w:val="00242C93"/>
    <w:rsid w:val="002462FD"/>
    <w:rsid w:val="00254A23"/>
    <w:rsid w:val="002633B7"/>
    <w:rsid w:val="00264DCB"/>
    <w:rsid w:val="00265083"/>
    <w:rsid w:val="00275B73"/>
    <w:rsid w:val="0027703C"/>
    <w:rsid w:val="00292F0A"/>
    <w:rsid w:val="0029307F"/>
    <w:rsid w:val="00295D53"/>
    <w:rsid w:val="002A284B"/>
    <w:rsid w:val="002A2C45"/>
    <w:rsid w:val="002B3AB9"/>
    <w:rsid w:val="002B4D95"/>
    <w:rsid w:val="002C1B79"/>
    <w:rsid w:val="002C312E"/>
    <w:rsid w:val="002C5562"/>
    <w:rsid w:val="002E0164"/>
    <w:rsid w:val="002E19A2"/>
    <w:rsid w:val="002E2049"/>
    <w:rsid w:val="002E6181"/>
    <w:rsid w:val="002F73AB"/>
    <w:rsid w:val="00304D18"/>
    <w:rsid w:val="0031018B"/>
    <w:rsid w:val="00314A1B"/>
    <w:rsid w:val="00316469"/>
    <w:rsid w:val="00317945"/>
    <w:rsid w:val="00323A47"/>
    <w:rsid w:val="003322A8"/>
    <w:rsid w:val="0034292F"/>
    <w:rsid w:val="00347372"/>
    <w:rsid w:val="00355837"/>
    <w:rsid w:val="003629A4"/>
    <w:rsid w:val="00373DA9"/>
    <w:rsid w:val="00385D3A"/>
    <w:rsid w:val="00386553"/>
    <w:rsid w:val="00387221"/>
    <w:rsid w:val="00390A0A"/>
    <w:rsid w:val="00397E65"/>
    <w:rsid w:val="003A1B85"/>
    <w:rsid w:val="003A1D58"/>
    <w:rsid w:val="003A50B3"/>
    <w:rsid w:val="003A78B0"/>
    <w:rsid w:val="003A7FDA"/>
    <w:rsid w:val="003B1A44"/>
    <w:rsid w:val="003B1FA1"/>
    <w:rsid w:val="003B22EB"/>
    <w:rsid w:val="003B5647"/>
    <w:rsid w:val="003C1C0E"/>
    <w:rsid w:val="003C2786"/>
    <w:rsid w:val="003E33B8"/>
    <w:rsid w:val="003F4C3F"/>
    <w:rsid w:val="003F5524"/>
    <w:rsid w:val="003F756C"/>
    <w:rsid w:val="00406534"/>
    <w:rsid w:val="00407764"/>
    <w:rsid w:val="004100F6"/>
    <w:rsid w:val="004117CD"/>
    <w:rsid w:val="00412DCA"/>
    <w:rsid w:val="00413C48"/>
    <w:rsid w:val="00425A90"/>
    <w:rsid w:val="0043086E"/>
    <w:rsid w:val="004325F4"/>
    <w:rsid w:val="0043359C"/>
    <w:rsid w:val="00433AD2"/>
    <w:rsid w:val="00435E80"/>
    <w:rsid w:val="00436798"/>
    <w:rsid w:val="00445A85"/>
    <w:rsid w:val="00445E07"/>
    <w:rsid w:val="00446F2C"/>
    <w:rsid w:val="004509CF"/>
    <w:rsid w:val="00451AEC"/>
    <w:rsid w:val="004554B8"/>
    <w:rsid w:val="004654AF"/>
    <w:rsid w:val="004925BE"/>
    <w:rsid w:val="00492A41"/>
    <w:rsid w:val="00494B16"/>
    <w:rsid w:val="004951AE"/>
    <w:rsid w:val="00495913"/>
    <w:rsid w:val="004962F8"/>
    <w:rsid w:val="004A29AE"/>
    <w:rsid w:val="004A51D4"/>
    <w:rsid w:val="004B1F61"/>
    <w:rsid w:val="004B222E"/>
    <w:rsid w:val="004C46A4"/>
    <w:rsid w:val="004C5CE8"/>
    <w:rsid w:val="004D15BE"/>
    <w:rsid w:val="004D3BA9"/>
    <w:rsid w:val="004D3D6E"/>
    <w:rsid w:val="004D3F3A"/>
    <w:rsid w:val="004E0DC0"/>
    <w:rsid w:val="004E1C61"/>
    <w:rsid w:val="004E5267"/>
    <w:rsid w:val="004E5954"/>
    <w:rsid w:val="004E6670"/>
    <w:rsid w:val="004F2BA7"/>
    <w:rsid w:val="00505FE1"/>
    <w:rsid w:val="00510AB4"/>
    <w:rsid w:val="00513D31"/>
    <w:rsid w:val="0052442F"/>
    <w:rsid w:val="00525E15"/>
    <w:rsid w:val="00527D7C"/>
    <w:rsid w:val="00562E04"/>
    <w:rsid w:val="0057589F"/>
    <w:rsid w:val="005766A2"/>
    <w:rsid w:val="00591EE2"/>
    <w:rsid w:val="005934C7"/>
    <w:rsid w:val="005B1021"/>
    <w:rsid w:val="005C0B32"/>
    <w:rsid w:val="005C6775"/>
    <w:rsid w:val="005C7106"/>
    <w:rsid w:val="005D029B"/>
    <w:rsid w:val="005D20D7"/>
    <w:rsid w:val="005E0D08"/>
    <w:rsid w:val="005E26B2"/>
    <w:rsid w:val="005E5B0D"/>
    <w:rsid w:val="005E7AF2"/>
    <w:rsid w:val="005F68A4"/>
    <w:rsid w:val="0060041C"/>
    <w:rsid w:val="006004DD"/>
    <w:rsid w:val="00600580"/>
    <w:rsid w:val="006010B9"/>
    <w:rsid w:val="006034E1"/>
    <w:rsid w:val="006044B7"/>
    <w:rsid w:val="00604695"/>
    <w:rsid w:val="00613726"/>
    <w:rsid w:val="00613F93"/>
    <w:rsid w:val="0061527F"/>
    <w:rsid w:val="00615378"/>
    <w:rsid w:val="006203AE"/>
    <w:rsid w:val="00620E53"/>
    <w:rsid w:val="00625964"/>
    <w:rsid w:val="00625C80"/>
    <w:rsid w:val="00633313"/>
    <w:rsid w:val="006460AC"/>
    <w:rsid w:val="0064629C"/>
    <w:rsid w:val="00660C66"/>
    <w:rsid w:val="00662C5C"/>
    <w:rsid w:val="00662DD7"/>
    <w:rsid w:val="006637FD"/>
    <w:rsid w:val="00665C67"/>
    <w:rsid w:val="00672FA8"/>
    <w:rsid w:val="00676E3F"/>
    <w:rsid w:val="00683BFF"/>
    <w:rsid w:val="00684EFF"/>
    <w:rsid w:val="00686356"/>
    <w:rsid w:val="00687770"/>
    <w:rsid w:val="0069268E"/>
    <w:rsid w:val="00694A88"/>
    <w:rsid w:val="00697B32"/>
    <w:rsid w:val="00697C75"/>
    <w:rsid w:val="006A0930"/>
    <w:rsid w:val="006A3E61"/>
    <w:rsid w:val="006A5B09"/>
    <w:rsid w:val="006B50C7"/>
    <w:rsid w:val="006B50DD"/>
    <w:rsid w:val="006B797F"/>
    <w:rsid w:val="006C5E6D"/>
    <w:rsid w:val="006C6467"/>
    <w:rsid w:val="006C6D65"/>
    <w:rsid w:val="006C764A"/>
    <w:rsid w:val="006D1203"/>
    <w:rsid w:val="006D123E"/>
    <w:rsid w:val="006D620A"/>
    <w:rsid w:val="006D6D3E"/>
    <w:rsid w:val="006E126A"/>
    <w:rsid w:val="006E2014"/>
    <w:rsid w:val="006E38BC"/>
    <w:rsid w:val="006E72F3"/>
    <w:rsid w:val="006F0F25"/>
    <w:rsid w:val="006F45F8"/>
    <w:rsid w:val="006F6856"/>
    <w:rsid w:val="0070389B"/>
    <w:rsid w:val="00710B27"/>
    <w:rsid w:val="00715244"/>
    <w:rsid w:val="00720701"/>
    <w:rsid w:val="0072493E"/>
    <w:rsid w:val="00724B31"/>
    <w:rsid w:val="00726FBE"/>
    <w:rsid w:val="0073151D"/>
    <w:rsid w:val="00732877"/>
    <w:rsid w:val="00732ECB"/>
    <w:rsid w:val="00734112"/>
    <w:rsid w:val="007372B6"/>
    <w:rsid w:val="00737E88"/>
    <w:rsid w:val="00773232"/>
    <w:rsid w:val="00782A81"/>
    <w:rsid w:val="007854A1"/>
    <w:rsid w:val="0078719C"/>
    <w:rsid w:val="00793F49"/>
    <w:rsid w:val="00795381"/>
    <w:rsid w:val="007A5A42"/>
    <w:rsid w:val="007B0E91"/>
    <w:rsid w:val="007C37D6"/>
    <w:rsid w:val="007C439C"/>
    <w:rsid w:val="007C4B05"/>
    <w:rsid w:val="007D3CAC"/>
    <w:rsid w:val="007E19A2"/>
    <w:rsid w:val="007E3224"/>
    <w:rsid w:val="007F33D6"/>
    <w:rsid w:val="007F6E76"/>
    <w:rsid w:val="00807CAD"/>
    <w:rsid w:val="008109CD"/>
    <w:rsid w:val="0082374A"/>
    <w:rsid w:val="008271D9"/>
    <w:rsid w:val="00840939"/>
    <w:rsid w:val="00843E3A"/>
    <w:rsid w:val="00845AF6"/>
    <w:rsid w:val="0084648D"/>
    <w:rsid w:val="00856180"/>
    <w:rsid w:val="00856B53"/>
    <w:rsid w:val="00864346"/>
    <w:rsid w:val="00864480"/>
    <w:rsid w:val="008674C4"/>
    <w:rsid w:val="008710D9"/>
    <w:rsid w:val="00886F91"/>
    <w:rsid w:val="008938F7"/>
    <w:rsid w:val="008955D2"/>
    <w:rsid w:val="008A1571"/>
    <w:rsid w:val="008A47FA"/>
    <w:rsid w:val="008B01BC"/>
    <w:rsid w:val="008B4305"/>
    <w:rsid w:val="008B7A13"/>
    <w:rsid w:val="008C1510"/>
    <w:rsid w:val="008C50EB"/>
    <w:rsid w:val="008C62E4"/>
    <w:rsid w:val="008C715E"/>
    <w:rsid w:val="008D1988"/>
    <w:rsid w:val="008E07B0"/>
    <w:rsid w:val="008E2D6D"/>
    <w:rsid w:val="008E67CE"/>
    <w:rsid w:val="008E7A72"/>
    <w:rsid w:val="008F6702"/>
    <w:rsid w:val="009004DF"/>
    <w:rsid w:val="00903D72"/>
    <w:rsid w:val="00905035"/>
    <w:rsid w:val="00910E0D"/>
    <w:rsid w:val="00925127"/>
    <w:rsid w:val="009270EC"/>
    <w:rsid w:val="0092799A"/>
    <w:rsid w:val="00935B97"/>
    <w:rsid w:val="00940D0B"/>
    <w:rsid w:val="00941D26"/>
    <w:rsid w:val="0094214C"/>
    <w:rsid w:val="00943B69"/>
    <w:rsid w:val="00945170"/>
    <w:rsid w:val="009467A9"/>
    <w:rsid w:val="00960708"/>
    <w:rsid w:val="009675A6"/>
    <w:rsid w:val="00970535"/>
    <w:rsid w:val="00971B44"/>
    <w:rsid w:val="0097430D"/>
    <w:rsid w:val="00974E52"/>
    <w:rsid w:val="00982CF1"/>
    <w:rsid w:val="009855A2"/>
    <w:rsid w:val="009911A4"/>
    <w:rsid w:val="009961B2"/>
    <w:rsid w:val="0099643F"/>
    <w:rsid w:val="009A2E38"/>
    <w:rsid w:val="009A2ECF"/>
    <w:rsid w:val="009A45A2"/>
    <w:rsid w:val="009A4B79"/>
    <w:rsid w:val="009A6AE1"/>
    <w:rsid w:val="009B04FA"/>
    <w:rsid w:val="009B2B7C"/>
    <w:rsid w:val="009B40F4"/>
    <w:rsid w:val="009B5A1C"/>
    <w:rsid w:val="009C2CD5"/>
    <w:rsid w:val="009C4F4D"/>
    <w:rsid w:val="009D0631"/>
    <w:rsid w:val="009D57B4"/>
    <w:rsid w:val="009E6EAF"/>
    <w:rsid w:val="009F49B9"/>
    <w:rsid w:val="009F4D76"/>
    <w:rsid w:val="009F535D"/>
    <w:rsid w:val="009F5CAF"/>
    <w:rsid w:val="00A02BBA"/>
    <w:rsid w:val="00A02E72"/>
    <w:rsid w:val="00A05573"/>
    <w:rsid w:val="00A06D0D"/>
    <w:rsid w:val="00A11A5C"/>
    <w:rsid w:val="00A176E0"/>
    <w:rsid w:val="00A20459"/>
    <w:rsid w:val="00A2706B"/>
    <w:rsid w:val="00A2757F"/>
    <w:rsid w:val="00A37F6A"/>
    <w:rsid w:val="00A42E44"/>
    <w:rsid w:val="00A446E0"/>
    <w:rsid w:val="00A45980"/>
    <w:rsid w:val="00A45C00"/>
    <w:rsid w:val="00A50D21"/>
    <w:rsid w:val="00A544BF"/>
    <w:rsid w:val="00A54787"/>
    <w:rsid w:val="00A57BDD"/>
    <w:rsid w:val="00A64E18"/>
    <w:rsid w:val="00A65A28"/>
    <w:rsid w:val="00A70631"/>
    <w:rsid w:val="00A739DA"/>
    <w:rsid w:val="00A850FB"/>
    <w:rsid w:val="00A866CD"/>
    <w:rsid w:val="00A866DA"/>
    <w:rsid w:val="00A94F40"/>
    <w:rsid w:val="00A950E5"/>
    <w:rsid w:val="00A9536E"/>
    <w:rsid w:val="00AA26E3"/>
    <w:rsid w:val="00AA618B"/>
    <w:rsid w:val="00AB5B15"/>
    <w:rsid w:val="00AC03A0"/>
    <w:rsid w:val="00AC03B7"/>
    <w:rsid w:val="00AC1734"/>
    <w:rsid w:val="00AC1A17"/>
    <w:rsid w:val="00AC20FB"/>
    <w:rsid w:val="00AC686D"/>
    <w:rsid w:val="00AD2303"/>
    <w:rsid w:val="00AD26E6"/>
    <w:rsid w:val="00AD7392"/>
    <w:rsid w:val="00AD76DC"/>
    <w:rsid w:val="00AF0AA6"/>
    <w:rsid w:val="00B068E2"/>
    <w:rsid w:val="00B111E8"/>
    <w:rsid w:val="00B11940"/>
    <w:rsid w:val="00B16B07"/>
    <w:rsid w:val="00B21DFB"/>
    <w:rsid w:val="00B263CC"/>
    <w:rsid w:val="00B26F7A"/>
    <w:rsid w:val="00B31CC2"/>
    <w:rsid w:val="00B331C0"/>
    <w:rsid w:val="00B36B1E"/>
    <w:rsid w:val="00B4512A"/>
    <w:rsid w:val="00B5626E"/>
    <w:rsid w:val="00B60AA7"/>
    <w:rsid w:val="00B659E7"/>
    <w:rsid w:val="00B73211"/>
    <w:rsid w:val="00B826F6"/>
    <w:rsid w:val="00B9093E"/>
    <w:rsid w:val="00B92DCA"/>
    <w:rsid w:val="00B968EF"/>
    <w:rsid w:val="00B977EE"/>
    <w:rsid w:val="00BC05B4"/>
    <w:rsid w:val="00BC4286"/>
    <w:rsid w:val="00BD029F"/>
    <w:rsid w:val="00BD085F"/>
    <w:rsid w:val="00BD0F5A"/>
    <w:rsid w:val="00BD1244"/>
    <w:rsid w:val="00BD5340"/>
    <w:rsid w:val="00BD5D7E"/>
    <w:rsid w:val="00BE0067"/>
    <w:rsid w:val="00BE1EB3"/>
    <w:rsid w:val="00BE3B4F"/>
    <w:rsid w:val="00BF2555"/>
    <w:rsid w:val="00BF6C30"/>
    <w:rsid w:val="00BF75D8"/>
    <w:rsid w:val="00BF7DEB"/>
    <w:rsid w:val="00C0288B"/>
    <w:rsid w:val="00C033D5"/>
    <w:rsid w:val="00C07FE0"/>
    <w:rsid w:val="00C13B10"/>
    <w:rsid w:val="00C22AE5"/>
    <w:rsid w:val="00C24B1A"/>
    <w:rsid w:val="00C30D5A"/>
    <w:rsid w:val="00C36CC0"/>
    <w:rsid w:val="00C41A33"/>
    <w:rsid w:val="00C435B6"/>
    <w:rsid w:val="00C47CCB"/>
    <w:rsid w:val="00C52216"/>
    <w:rsid w:val="00C64C81"/>
    <w:rsid w:val="00C66489"/>
    <w:rsid w:val="00C7072C"/>
    <w:rsid w:val="00C71FE2"/>
    <w:rsid w:val="00C81364"/>
    <w:rsid w:val="00C83CBF"/>
    <w:rsid w:val="00C844A5"/>
    <w:rsid w:val="00C848ED"/>
    <w:rsid w:val="00C8632D"/>
    <w:rsid w:val="00C930EE"/>
    <w:rsid w:val="00C96CA1"/>
    <w:rsid w:val="00CA074D"/>
    <w:rsid w:val="00CA369F"/>
    <w:rsid w:val="00CB43D6"/>
    <w:rsid w:val="00CC2BB8"/>
    <w:rsid w:val="00CC312A"/>
    <w:rsid w:val="00CE0AA7"/>
    <w:rsid w:val="00CE3DB3"/>
    <w:rsid w:val="00CE5199"/>
    <w:rsid w:val="00CF0ABF"/>
    <w:rsid w:val="00CF3BE6"/>
    <w:rsid w:val="00CF6DB6"/>
    <w:rsid w:val="00D01594"/>
    <w:rsid w:val="00D0281D"/>
    <w:rsid w:val="00D03EA4"/>
    <w:rsid w:val="00D04501"/>
    <w:rsid w:val="00D05C94"/>
    <w:rsid w:val="00D10DA6"/>
    <w:rsid w:val="00D11340"/>
    <w:rsid w:val="00D15206"/>
    <w:rsid w:val="00D1677C"/>
    <w:rsid w:val="00D21592"/>
    <w:rsid w:val="00D2207F"/>
    <w:rsid w:val="00D24183"/>
    <w:rsid w:val="00D24DE2"/>
    <w:rsid w:val="00D25F1B"/>
    <w:rsid w:val="00D35D3C"/>
    <w:rsid w:val="00D37359"/>
    <w:rsid w:val="00D37E7A"/>
    <w:rsid w:val="00D43A9B"/>
    <w:rsid w:val="00D51200"/>
    <w:rsid w:val="00D577AB"/>
    <w:rsid w:val="00D60C5A"/>
    <w:rsid w:val="00D737CE"/>
    <w:rsid w:val="00D76735"/>
    <w:rsid w:val="00D769F2"/>
    <w:rsid w:val="00D81A93"/>
    <w:rsid w:val="00DA2434"/>
    <w:rsid w:val="00DA4C9B"/>
    <w:rsid w:val="00DB07B3"/>
    <w:rsid w:val="00DB2F79"/>
    <w:rsid w:val="00DB39D9"/>
    <w:rsid w:val="00DB4AD2"/>
    <w:rsid w:val="00DB5F52"/>
    <w:rsid w:val="00DB7B7A"/>
    <w:rsid w:val="00DC166D"/>
    <w:rsid w:val="00DC1E2C"/>
    <w:rsid w:val="00DC3CD4"/>
    <w:rsid w:val="00DC7C15"/>
    <w:rsid w:val="00DD13CA"/>
    <w:rsid w:val="00DD4B0B"/>
    <w:rsid w:val="00DD4CB4"/>
    <w:rsid w:val="00DD5144"/>
    <w:rsid w:val="00DD7D6F"/>
    <w:rsid w:val="00DE20E8"/>
    <w:rsid w:val="00DE3913"/>
    <w:rsid w:val="00DE56D0"/>
    <w:rsid w:val="00DF19B5"/>
    <w:rsid w:val="00DF4E94"/>
    <w:rsid w:val="00DF7F29"/>
    <w:rsid w:val="00E02314"/>
    <w:rsid w:val="00E02819"/>
    <w:rsid w:val="00E033FB"/>
    <w:rsid w:val="00E03C37"/>
    <w:rsid w:val="00E112C4"/>
    <w:rsid w:val="00E130DB"/>
    <w:rsid w:val="00E135DB"/>
    <w:rsid w:val="00E22C53"/>
    <w:rsid w:val="00E23231"/>
    <w:rsid w:val="00E239DF"/>
    <w:rsid w:val="00E24B60"/>
    <w:rsid w:val="00E25289"/>
    <w:rsid w:val="00E25587"/>
    <w:rsid w:val="00E33C5D"/>
    <w:rsid w:val="00E351AD"/>
    <w:rsid w:val="00E40A00"/>
    <w:rsid w:val="00E41C9E"/>
    <w:rsid w:val="00E44FC3"/>
    <w:rsid w:val="00E450B1"/>
    <w:rsid w:val="00E4646A"/>
    <w:rsid w:val="00E51C35"/>
    <w:rsid w:val="00E544F9"/>
    <w:rsid w:val="00E706DB"/>
    <w:rsid w:val="00E756D4"/>
    <w:rsid w:val="00E80F93"/>
    <w:rsid w:val="00E84E27"/>
    <w:rsid w:val="00E909BC"/>
    <w:rsid w:val="00E92AA1"/>
    <w:rsid w:val="00E95230"/>
    <w:rsid w:val="00EA0DA6"/>
    <w:rsid w:val="00EA0E70"/>
    <w:rsid w:val="00EA161B"/>
    <w:rsid w:val="00EA222D"/>
    <w:rsid w:val="00EB0836"/>
    <w:rsid w:val="00EC2A3F"/>
    <w:rsid w:val="00EC3361"/>
    <w:rsid w:val="00EC685A"/>
    <w:rsid w:val="00ED3081"/>
    <w:rsid w:val="00ED39D7"/>
    <w:rsid w:val="00ED7FCB"/>
    <w:rsid w:val="00EE0409"/>
    <w:rsid w:val="00EE5AF6"/>
    <w:rsid w:val="00EE7ABD"/>
    <w:rsid w:val="00EF6DBD"/>
    <w:rsid w:val="00EF7480"/>
    <w:rsid w:val="00EF7B0B"/>
    <w:rsid w:val="00F0114E"/>
    <w:rsid w:val="00F0131D"/>
    <w:rsid w:val="00F01FA8"/>
    <w:rsid w:val="00F02311"/>
    <w:rsid w:val="00F07A2B"/>
    <w:rsid w:val="00F140D7"/>
    <w:rsid w:val="00F1529E"/>
    <w:rsid w:val="00F157DF"/>
    <w:rsid w:val="00F1615B"/>
    <w:rsid w:val="00F176B7"/>
    <w:rsid w:val="00F237AA"/>
    <w:rsid w:val="00F23821"/>
    <w:rsid w:val="00F34AB9"/>
    <w:rsid w:val="00F35BE0"/>
    <w:rsid w:val="00F42F89"/>
    <w:rsid w:val="00F46835"/>
    <w:rsid w:val="00F62030"/>
    <w:rsid w:val="00F667C5"/>
    <w:rsid w:val="00F70718"/>
    <w:rsid w:val="00F87F56"/>
    <w:rsid w:val="00F904FA"/>
    <w:rsid w:val="00F907BB"/>
    <w:rsid w:val="00F93EFF"/>
    <w:rsid w:val="00F95366"/>
    <w:rsid w:val="00F972CC"/>
    <w:rsid w:val="00FA4A5C"/>
    <w:rsid w:val="00FB2DB3"/>
    <w:rsid w:val="00FB772D"/>
    <w:rsid w:val="00FB7CDA"/>
    <w:rsid w:val="00FC24C2"/>
    <w:rsid w:val="00FC2F4A"/>
    <w:rsid w:val="00FC3C15"/>
    <w:rsid w:val="00FC3DC5"/>
    <w:rsid w:val="00FC486A"/>
    <w:rsid w:val="00FC7926"/>
    <w:rsid w:val="00FC7A2A"/>
    <w:rsid w:val="00FE1E4B"/>
    <w:rsid w:val="00FE34C5"/>
    <w:rsid w:val="00FE3D70"/>
    <w:rsid w:val="00FE447B"/>
    <w:rsid w:val="00FE552A"/>
    <w:rsid w:val="00FF52E6"/>
    <w:rsid w:val="00FF6C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7467"/>
  <w15:docId w15:val="{4CD54125-B2F5-47EB-BFCB-89E007AB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F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1FA8"/>
  </w:style>
  <w:style w:type="paragraph" w:styleId="Footer">
    <w:name w:val="footer"/>
    <w:basedOn w:val="Normal"/>
    <w:link w:val="FooterChar"/>
    <w:uiPriority w:val="99"/>
    <w:unhideWhenUsed/>
    <w:rsid w:val="00F01F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1FA8"/>
  </w:style>
  <w:style w:type="paragraph" w:styleId="ListParagraph">
    <w:name w:val="List Paragraph"/>
    <w:basedOn w:val="Normal"/>
    <w:uiPriority w:val="34"/>
    <w:qFormat/>
    <w:rsid w:val="00982CF1"/>
    <w:pPr>
      <w:ind w:left="720"/>
      <w:contextualSpacing/>
    </w:pPr>
  </w:style>
  <w:style w:type="character" w:styleId="LineNumber">
    <w:name w:val="line number"/>
    <w:basedOn w:val="DefaultParagraphFont"/>
    <w:uiPriority w:val="99"/>
    <w:semiHidden/>
    <w:unhideWhenUsed/>
    <w:rsid w:val="00C83CBF"/>
  </w:style>
  <w:style w:type="character" w:styleId="Hyperlink">
    <w:name w:val="Hyperlink"/>
    <w:basedOn w:val="DefaultParagraphFont"/>
    <w:uiPriority w:val="99"/>
    <w:unhideWhenUsed/>
    <w:rsid w:val="00C52216"/>
    <w:rPr>
      <w:color w:val="0563C1" w:themeColor="hyperlink"/>
      <w:u w:val="single"/>
    </w:rPr>
  </w:style>
  <w:style w:type="character" w:customStyle="1" w:styleId="Nerazreenaomemba1">
    <w:name w:val="Nerazrešena omemba1"/>
    <w:basedOn w:val="DefaultParagraphFont"/>
    <w:uiPriority w:val="99"/>
    <w:semiHidden/>
    <w:unhideWhenUsed/>
    <w:rsid w:val="00C52216"/>
    <w:rPr>
      <w:color w:val="808080"/>
      <w:shd w:val="clear" w:color="auto" w:fill="E6E6E6"/>
    </w:rPr>
  </w:style>
  <w:style w:type="table" w:styleId="TableGrid">
    <w:name w:val="Table Grid"/>
    <w:basedOn w:val="TableNormal"/>
    <w:uiPriority w:val="39"/>
    <w:rsid w:val="00D01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6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D0D"/>
    <w:rPr>
      <w:rFonts w:ascii="Segoe UI" w:hAnsi="Segoe UI" w:cs="Segoe UI"/>
      <w:sz w:val="18"/>
      <w:szCs w:val="18"/>
    </w:rPr>
  </w:style>
  <w:style w:type="character" w:customStyle="1" w:styleId="object">
    <w:name w:val="object"/>
    <w:basedOn w:val="DefaultParagraphFont"/>
    <w:rsid w:val="003F4C3F"/>
  </w:style>
  <w:style w:type="character" w:styleId="CommentReference">
    <w:name w:val="annotation reference"/>
    <w:basedOn w:val="DefaultParagraphFont"/>
    <w:uiPriority w:val="99"/>
    <w:semiHidden/>
    <w:unhideWhenUsed/>
    <w:rsid w:val="00FC7926"/>
    <w:rPr>
      <w:sz w:val="16"/>
      <w:szCs w:val="16"/>
    </w:rPr>
  </w:style>
  <w:style w:type="paragraph" w:styleId="CommentText">
    <w:name w:val="annotation text"/>
    <w:basedOn w:val="Normal"/>
    <w:link w:val="CommentTextChar"/>
    <w:uiPriority w:val="99"/>
    <w:semiHidden/>
    <w:unhideWhenUsed/>
    <w:rsid w:val="00FC7926"/>
    <w:pPr>
      <w:spacing w:line="240" w:lineRule="auto"/>
    </w:pPr>
    <w:rPr>
      <w:sz w:val="20"/>
      <w:szCs w:val="20"/>
    </w:rPr>
  </w:style>
  <w:style w:type="character" w:customStyle="1" w:styleId="CommentTextChar">
    <w:name w:val="Comment Text Char"/>
    <w:basedOn w:val="DefaultParagraphFont"/>
    <w:link w:val="CommentText"/>
    <w:uiPriority w:val="99"/>
    <w:semiHidden/>
    <w:rsid w:val="00FC7926"/>
    <w:rPr>
      <w:sz w:val="20"/>
      <w:szCs w:val="20"/>
    </w:rPr>
  </w:style>
  <w:style w:type="paragraph" w:styleId="CommentSubject">
    <w:name w:val="annotation subject"/>
    <w:basedOn w:val="CommentText"/>
    <w:next w:val="CommentText"/>
    <w:link w:val="CommentSubjectChar"/>
    <w:uiPriority w:val="99"/>
    <w:semiHidden/>
    <w:unhideWhenUsed/>
    <w:rsid w:val="00FC7926"/>
    <w:rPr>
      <w:b/>
      <w:bCs/>
    </w:rPr>
  </w:style>
  <w:style w:type="character" w:customStyle="1" w:styleId="CommentSubjectChar">
    <w:name w:val="Comment Subject Char"/>
    <w:basedOn w:val="CommentTextChar"/>
    <w:link w:val="CommentSubject"/>
    <w:uiPriority w:val="99"/>
    <w:semiHidden/>
    <w:rsid w:val="00FC7926"/>
    <w:rPr>
      <w:b/>
      <w:bCs/>
      <w:sz w:val="20"/>
      <w:szCs w:val="20"/>
    </w:rPr>
  </w:style>
  <w:style w:type="paragraph" w:styleId="Revision">
    <w:name w:val="Revision"/>
    <w:hidden/>
    <w:uiPriority w:val="99"/>
    <w:semiHidden/>
    <w:rsid w:val="00FC79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5382">
      <w:bodyDiv w:val="1"/>
      <w:marLeft w:val="0"/>
      <w:marRight w:val="0"/>
      <w:marTop w:val="0"/>
      <w:marBottom w:val="0"/>
      <w:divBdr>
        <w:top w:val="none" w:sz="0" w:space="0" w:color="auto"/>
        <w:left w:val="none" w:sz="0" w:space="0" w:color="auto"/>
        <w:bottom w:val="none" w:sz="0" w:space="0" w:color="auto"/>
        <w:right w:val="none" w:sz="0" w:space="0" w:color="auto"/>
      </w:divBdr>
    </w:div>
    <w:div w:id="135220419">
      <w:bodyDiv w:val="1"/>
      <w:marLeft w:val="0"/>
      <w:marRight w:val="0"/>
      <w:marTop w:val="0"/>
      <w:marBottom w:val="0"/>
      <w:divBdr>
        <w:top w:val="none" w:sz="0" w:space="0" w:color="auto"/>
        <w:left w:val="none" w:sz="0" w:space="0" w:color="auto"/>
        <w:bottom w:val="none" w:sz="0" w:space="0" w:color="auto"/>
        <w:right w:val="none" w:sz="0" w:space="0" w:color="auto"/>
      </w:divBdr>
    </w:div>
    <w:div w:id="295333470">
      <w:bodyDiv w:val="1"/>
      <w:marLeft w:val="0"/>
      <w:marRight w:val="0"/>
      <w:marTop w:val="0"/>
      <w:marBottom w:val="0"/>
      <w:divBdr>
        <w:top w:val="none" w:sz="0" w:space="0" w:color="auto"/>
        <w:left w:val="none" w:sz="0" w:space="0" w:color="auto"/>
        <w:bottom w:val="none" w:sz="0" w:space="0" w:color="auto"/>
        <w:right w:val="none" w:sz="0" w:space="0" w:color="auto"/>
      </w:divBdr>
    </w:div>
    <w:div w:id="324095598">
      <w:bodyDiv w:val="1"/>
      <w:marLeft w:val="0"/>
      <w:marRight w:val="0"/>
      <w:marTop w:val="0"/>
      <w:marBottom w:val="0"/>
      <w:divBdr>
        <w:top w:val="none" w:sz="0" w:space="0" w:color="auto"/>
        <w:left w:val="none" w:sz="0" w:space="0" w:color="auto"/>
        <w:bottom w:val="none" w:sz="0" w:space="0" w:color="auto"/>
        <w:right w:val="none" w:sz="0" w:space="0" w:color="auto"/>
      </w:divBdr>
    </w:div>
    <w:div w:id="520435005">
      <w:bodyDiv w:val="1"/>
      <w:marLeft w:val="0"/>
      <w:marRight w:val="0"/>
      <w:marTop w:val="0"/>
      <w:marBottom w:val="0"/>
      <w:divBdr>
        <w:top w:val="none" w:sz="0" w:space="0" w:color="auto"/>
        <w:left w:val="none" w:sz="0" w:space="0" w:color="auto"/>
        <w:bottom w:val="none" w:sz="0" w:space="0" w:color="auto"/>
        <w:right w:val="none" w:sz="0" w:space="0" w:color="auto"/>
      </w:divBdr>
    </w:div>
    <w:div w:id="739061436">
      <w:bodyDiv w:val="1"/>
      <w:marLeft w:val="0"/>
      <w:marRight w:val="0"/>
      <w:marTop w:val="0"/>
      <w:marBottom w:val="0"/>
      <w:divBdr>
        <w:top w:val="none" w:sz="0" w:space="0" w:color="auto"/>
        <w:left w:val="none" w:sz="0" w:space="0" w:color="auto"/>
        <w:bottom w:val="none" w:sz="0" w:space="0" w:color="auto"/>
        <w:right w:val="none" w:sz="0" w:space="0" w:color="auto"/>
      </w:divBdr>
      <w:divsChild>
        <w:div w:id="1175219445">
          <w:marLeft w:val="0"/>
          <w:marRight w:val="0"/>
          <w:marTop w:val="0"/>
          <w:marBottom w:val="0"/>
          <w:divBdr>
            <w:top w:val="none" w:sz="0" w:space="0" w:color="auto"/>
            <w:left w:val="none" w:sz="0" w:space="0" w:color="auto"/>
            <w:bottom w:val="none" w:sz="0" w:space="0" w:color="auto"/>
            <w:right w:val="none" w:sz="0" w:space="0" w:color="auto"/>
          </w:divBdr>
        </w:div>
      </w:divsChild>
    </w:div>
    <w:div w:id="780808142">
      <w:bodyDiv w:val="1"/>
      <w:marLeft w:val="0"/>
      <w:marRight w:val="0"/>
      <w:marTop w:val="0"/>
      <w:marBottom w:val="0"/>
      <w:divBdr>
        <w:top w:val="none" w:sz="0" w:space="0" w:color="auto"/>
        <w:left w:val="none" w:sz="0" w:space="0" w:color="auto"/>
        <w:bottom w:val="none" w:sz="0" w:space="0" w:color="auto"/>
        <w:right w:val="none" w:sz="0" w:space="0" w:color="auto"/>
      </w:divBdr>
      <w:divsChild>
        <w:div w:id="1493567766">
          <w:marLeft w:val="0"/>
          <w:marRight w:val="0"/>
          <w:marTop w:val="0"/>
          <w:marBottom w:val="0"/>
          <w:divBdr>
            <w:top w:val="none" w:sz="0" w:space="0" w:color="auto"/>
            <w:left w:val="none" w:sz="0" w:space="0" w:color="auto"/>
            <w:bottom w:val="none" w:sz="0" w:space="0" w:color="auto"/>
            <w:right w:val="none" w:sz="0" w:space="0" w:color="auto"/>
          </w:divBdr>
        </w:div>
      </w:divsChild>
    </w:div>
    <w:div w:id="813522366">
      <w:bodyDiv w:val="1"/>
      <w:marLeft w:val="0"/>
      <w:marRight w:val="0"/>
      <w:marTop w:val="0"/>
      <w:marBottom w:val="0"/>
      <w:divBdr>
        <w:top w:val="none" w:sz="0" w:space="0" w:color="auto"/>
        <w:left w:val="none" w:sz="0" w:space="0" w:color="auto"/>
        <w:bottom w:val="none" w:sz="0" w:space="0" w:color="auto"/>
        <w:right w:val="none" w:sz="0" w:space="0" w:color="auto"/>
      </w:divBdr>
    </w:div>
    <w:div w:id="925192551">
      <w:bodyDiv w:val="1"/>
      <w:marLeft w:val="0"/>
      <w:marRight w:val="0"/>
      <w:marTop w:val="0"/>
      <w:marBottom w:val="0"/>
      <w:divBdr>
        <w:top w:val="none" w:sz="0" w:space="0" w:color="auto"/>
        <w:left w:val="none" w:sz="0" w:space="0" w:color="auto"/>
        <w:bottom w:val="none" w:sz="0" w:space="0" w:color="auto"/>
        <w:right w:val="none" w:sz="0" w:space="0" w:color="auto"/>
      </w:divBdr>
    </w:div>
    <w:div w:id="962686548">
      <w:bodyDiv w:val="1"/>
      <w:marLeft w:val="0"/>
      <w:marRight w:val="0"/>
      <w:marTop w:val="0"/>
      <w:marBottom w:val="0"/>
      <w:divBdr>
        <w:top w:val="none" w:sz="0" w:space="0" w:color="auto"/>
        <w:left w:val="none" w:sz="0" w:space="0" w:color="auto"/>
        <w:bottom w:val="none" w:sz="0" w:space="0" w:color="auto"/>
        <w:right w:val="none" w:sz="0" w:space="0" w:color="auto"/>
      </w:divBdr>
    </w:div>
    <w:div w:id="964694749">
      <w:bodyDiv w:val="1"/>
      <w:marLeft w:val="0"/>
      <w:marRight w:val="0"/>
      <w:marTop w:val="0"/>
      <w:marBottom w:val="0"/>
      <w:divBdr>
        <w:top w:val="none" w:sz="0" w:space="0" w:color="auto"/>
        <w:left w:val="none" w:sz="0" w:space="0" w:color="auto"/>
        <w:bottom w:val="none" w:sz="0" w:space="0" w:color="auto"/>
        <w:right w:val="none" w:sz="0" w:space="0" w:color="auto"/>
      </w:divBdr>
    </w:div>
    <w:div w:id="1277827922">
      <w:bodyDiv w:val="1"/>
      <w:marLeft w:val="0"/>
      <w:marRight w:val="0"/>
      <w:marTop w:val="0"/>
      <w:marBottom w:val="0"/>
      <w:divBdr>
        <w:top w:val="none" w:sz="0" w:space="0" w:color="auto"/>
        <w:left w:val="none" w:sz="0" w:space="0" w:color="auto"/>
        <w:bottom w:val="none" w:sz="0" w:space="0" w:color="auto"/>
        <w:right w:val="none" w:sz="0" w:space="0" w:color="auto"/>
      </w:divBdr>
    </w:div>
    <w:div w:id="1405764146">
      <w:bodyDiv w:val="1"/>
      <w:marLeft w:val="0"/>
      <w:marRight w:val="0"/>
      <w:marTop w:val="0"/>
      <w:marBottom w:val="0"/>
      <w:divBdr>
        <w:top w:val="none" w:sz="0" w:space="0" w:color="auto"/>
        <w:left w:val="none" w:sz="0" w:space="0" w:color="auto"/>
        <w:bottom w:val="none" w:sz="0" w:space="0" w:color="auto"/>
        <w:right w:val="none" w:sz="0" w:space="0" w:color="auto"/>
      </w:divBdr>
    </w:div>
    <w:div w:id="1432168790">
      <w:bodyDiv w:val="1"/>
      <w:marLeft w:val="0"/>
      <w:marRight w:val="0"/>
      <w:marTop w:val="0"/>
      <w:marBottom w:val="0"/>
      <w:divBdr>
        <w:top w:val="none" w:sz="0" w:space="0" w:color="auto"/>
        <w:left w:val="none" w:sz="0" w:space="0" w:color="auto"/>
        <w:bottom w:val="none" w:sz="0" w:space="0" w:color="auto"/>
        <w:right w:val="none" w:sz="0" w:space="0" w:color="auto"/>
      </w:divBdr>
    </w:div>
    <w:div w:id="1700157607">
      <w:bodyDiv w:val="1"/>
      <w:marLeft w:val="0"/>
      <w:marRight w:val="0"/>
      <w:marTop w:val="0"/>
      <w:marBottom w:val="0"/>
      <w:divBdr>
        <w:top w:val="none" w:sz="0" w:space="0" w:color="auto"/>
        <w:left w:val="none" w:sz="0" w:space="0" w:color="auto"/>
        <w:bottom w:val="none" w:sz="0" w:space="0" w:color="auto"/>
        <w:right w:val="none" w:sz="0" w:space="0" w:color="auto"/>
      </w:divBdr>
    </w:div>
    <w:div w:id="2132430913">
      <w:bodyDiv w:val="1"/>
      <w:marLeft w:val="0"/>
      <w:marRight w:val="0"/>
      <w:marTop w:val="0"/>
      <w:marBottom w:val="0"/>
      <w:divBdr>
        <w:top w:val="none" w:sz="0" w:space="0" w:color="auto"/>
        <w:left w:val="none" w:sz="0" w:space="0" w:color="auto"/>
        <w:bottom w:val="none" w:sz="0" w:space="0" w:color="auto"/>
        <w:right w:val="none" w:sz="0" w:space="0" w:color="auto"/>
      </w:divBdr>
      <w:divsChild>
        <w:div w:id="149186783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budasheva@ung.si" TargetMode="External"/><Relationship Id="rId13" Type="http://schemas.openxmlformats.org/officeDocument/2006/relationships/chart" Target="charts/chart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1052;&#1086;&#1103;%20&#1087;&#1072;&#1087;&#1082;&#1072;\UNG\Conferences&#61480;\ACSi\Excel\slanica%20UV%20V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1052;&#1086;&#1103;%20&#1087;&#1072;&#1087;&#1082;&#1072;\UNG\Conferences&#61480;\ACSi\Excel\River%20data%202recalc%20S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1052;&#1086;&#1103;%20&#1087;&#1072;&#1087;&#1082;&#1072;\UNG\Conferences&#61480;\ACSi\Excel\River%20data%202recalc%20SED.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1052;&#1086;&#1103;%20&#1087;&#1072;&#1087;&#1082;&#1072;\UNG\Conferences&#61480;\ACSi\Excel\PIC%20of%20distrib.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1052;&#1086;&#1103;%20&#1087;&#1072;&#1087;&#1082;&#1072;\UNG\Conferences&#61480;\ACSi\Excel\PIC%20of%20distrib.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1052;&#1086;&#1103;%20&#1087;&#1072;&#1087;&#1082;&#1072;\UNG\Conferences&#61480;\ACSi\Excel\PIC%20of%20distri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84062500000002"/>
          <c:y val="3.2299741602067181E-2"/>
          <c:w val="0.78226631944444447"/>
          <c:h val="0.76449164784634482"/>
        </c:manualLayout>
      </c:layout>
      <c:scatterChart>
        <c:scatterStyle val="smoothMarker"/>
        <c:varyColors val="0"/>
        <c:ser>
          <c:idx val="1"/>
          <c:order val="0"/>
          <c:tx>
            <c:v>voda</c:v>
          </c:tx>
          <c:spPr>
            <a:ln w="12700">
              <a:solidFill>
                <a:schemeClr val="tx1"/>
              </a:solidFill>
            </a:ln>
          </c:spPr>
          <c:marker>
            <c:symbol val="none"/>
          </c:marker>
          <c:xVal>
            <c:numRef>
              <c:f>[2]Foglio1!$A$3:$A$253</c:f>
              <c:numCache>
                <c:formatCode>General</c:formatCode>
                <c:ptCount val="251"/>
                <c:pt idx="0">
                  <c:v>650</c:v>
                </c:pt>
                <c:pt idx="1">
                  <c:v>649</c:v>
                </c:pt>
                <c:pt idx="2">
                  <c:v>648</c:v>
                </c:pt>
                <c:pt idx="3">
                  <c:v>647</c:v>
                </c:pt>
                <c:pt idx="4">
                  <c:v>646</c:v>
                </c:pt>
                <c:pt idx="5">
                  <c:v>645</c:v>
                </c:pt>
                <c:pt idx="6">
                  <c:v>644</c:v>
                </c:pt>
                <c:pt idx="7">
                  <c:v>643</c:v>
                </c:pt>
                <c:pt idx="8">
                  <c:v>642</c:v>
                </c:pt>
                <c:pt idx="9">
                  <c:v>641</c:v>
                </c:pt>
                <c:pt idx="10">
                  <c:v>640</c:v>
                </c:pt>
                <c:pt idx="11">
                  <c:v>639</c:v>
                </c:pt>
                <c:pt idx="12">
                  <c:v>638</c:v>
                </c:pt>
                <c:pt idx="13">
                  <c:v>637</c:v>
                </c:pt>
                <c:pt idx="14">
                  <c:v>636</c:v>
                </c:pt>
                <c:pt idx="15">
                  <c:v>635</c:v>
                </c:pt>
                <c:pt idx="16">
                  <c:v>634</c:v>
                </c:pt>
                <c:pt idx="17">
                  <c:v>633</c:v>
                </c:pt>
                <c:pt idx="18">
                  <c:v>632</c:v>
                </c:pt>
                <c:pt idx="19">
                  <c:v>631</c:v>
                </c:pt>
                <c:pt idx="20">
                  <c:v>630</c:v>
                </c:pt>
                <c:pt idx="21">
                  <c:v>629</c:v>
                </c:pt>
                <c:pt idx="22">
                  <c:v>628</c:v>
                </c:pt>
                <c:pt idx="23">
                  <c:v>627</c:v>
                </c:pt>
                <c:pt idx="24">
                  <c:v>626</c:v>
                </c:pt>
                <c:pt idx="25">
                  <c:v>625</c:v>
                </c:pt>
                <c:pt idx="26">
                  <c:v>624</c:v>
                </c:pt>
                <c:pt idx="27">
                  <c:v>623</c:v>
                </c:pt>
                <c:pt idx="28">
                  <c:v>622</c:v>
                </c:pt>
                <c:pt idx="29">
                  <c:v>621</c:v>
                </c:pt>
                <c:pt idx="30">
                  <c:v>620</c:v>
                </c:pt>
                <c:pt idx="31">
                  <c:v>619</c:v>
                </c:pt>
                <c:pt idx="32">
                  <c:v>618</c:v>
                </c:pt>
                <c:pt idx="33">
                  <c:v>617</c:v>
                </c:pt>
                <c:pt idx="34">
                  <c:v>616</c:v>
                </c:pt>
                <c:pt idx="35">
                  <c:v>615</c:v>
                </c:pt>
                <c:pt idx="36">
                  <c:v>614</c:v>
                </c:pt>
                <c:pt idx="37">
                  <c:v>613</c:v>
                </c:pt>
                <c:pt idx="38">
                  <c:v>612</c:v>
                </c:pt>
                <c:pt idx="39">
                  <c:v>611</c:v>
                </c:pt>
                <c:pt idx="40">
                  <c:v>610</c:v>
                </c:pt>
                <c:pt idx="41">
                  <c:v>609</c:v>
                </c:pt>
                <c:pt idx="42">
                  <c:v>608</c:v>
                </c:pt>
                <c:pt idx="43">
                  <c:v>607</c:v>
                </c:pt>
                <c:pt idx="44">
                  <c:v>606</c:v>
                </c:pt>
                <c:pt idx="45">
                  <c:v>605</c:v>
                </c:pt>
                <c:pt idx="46">
                  <c:v>604</c:v>
                </c:pt>
                <c:pt idx="47">
                  <c:v>603</c:v>
                </c:pt>
                <c:pt idx="48">
                  <c:v>602</c:v>
                </c:pt>
                <c:pt idx="49">
                  <c:v>601</c:v>
                </c:pt>
                <c:pt idx="50">
                  <c:v>600</c:v>
                </c:pt>
                <c:pt idx="51">
                  <c:v>599</c:v>
                </c:pt>
                <c:pt idx="52">
                  <c:v>598</c:v>
                </c:pt>
                <c:pt idx="53">
                  <c:v>597</c:v>
                </c:pt>
                <c:pt idx="54">
                  <c:v>596</c:v>
                </c:pt>
                <c:pt idx="55">
                  <c:v>595</c:v>
                </c:pt>
                <c:pt idx="56">
                  <c:v>594</c:v>
                </c:pt>
                <c:pt idx="57">
                  <c:v>593</c:v>
                </c:pt>
                <c:pt idx="58">
                  <c:v>592</c:v>
                </c:pt>
                <c:pt idx="59">
                  <c:v>591</c:v>
                </c:pt>
                <c:pt idx="60">
                  <c:v>590</c:v>
                </c:pt>
                <c:pt idx="61">
                  <c:v>589</c:v>
                </c:pt>
                <c:pt idx="62">
                  <c:v>588</c:v>
                </c:pt>
                <c:pt idx="63">
                  <c:v>587</c:v>
                </c:pt>
                <c:pt idx="64">
                  <c:v>586</c:v>
                </c:pt>
                <c:pt idx="65">
                  <c:v>585</c:v>
                </c:pt>
                <c:pt idx="66">
                  <c:v>584</c:v>
                </c:pt>
                <c:pt idx="67">
                  <c:v>583</c:v>
                </c:pt>
                <c:pt idx="68">
                  <c:v>582</c:v>
                </c:pt>
                <c:pt idx="69">
                  <c:v>581</c:v>
                </c:pt>
                <c:pt idx="70">
                  <c:v>580</c:v>
                </c:pt>
                <c:pt idx="71">
                  <c:v>579</c:v>
                </c:pt>
                <c:pt idx="72">
                  <c:v>578</c:v>
                </c:pt>
                <c:pt idx="73">
                  <c:v>577</c:v>
                </c:pt>
                <c:pt idx="74">
                  <c:v>576</c:v>
                </c:pt>
                <c:pt idx="75">
                  <c:v>575</c:v>
                </c:pt>
                <c:pt idx="76">
                  <c:v>574</c:v>
                </c:pt>
                <c:pt idx="77">
                  <c:v>573</c:v>
                </c:pt>
                <c:pt idx="78">
                  <c:v>572</c:v>
                </c:pt>
                <c:pt idx="79">
                  <c:v>571</c:v>
                </c:pt>
                <c:pt idx="80">
                  <c:v>570</c:v>
                </c:pt>
                <c:pt idx="81">
                  <c:v>569</c:v>
                </c:pt>
                <c:pt idx="82">
                  <c:v>568</c:v>
                </c:pt>
                <c:pt idx="83">
                  <c:v>567</c:v>
                </c:pt>
                <c:pt idx="84">
                  <c:v>566</c:v>
                </c:pt>
                <c:pt idx="85">
                  <c:v>565</c:v>
                </c:pt>
                <c:pt idx="86">
                  <c:v>564</c:v>
                </c:pt>
                <c:pt idx="87">
                  <c:v>563</c:v>
                </c:pt>
                <c:pt idx="88">
                  <c:v>562</c:v>
                </c:pt>
                <c:pt idx="89">
                  <c:v>561</c:v>
                </c:pt>
                <c:pt idx="90">
                  <c:v>560</c:v>
                </c:pt>
                <c:pt idx="91">
                  <c:v>559</c:v>
                </c:pt>
                <c:pt idx="92">
                  <c:v>558</c:v>
                </c:pt>
                <c:pt idx="93">
                  <c:v>557</c:v>
                </c:pt>
                <c:pt idx="94">
                  <c:v>556</c:v>
                </c:pt>
                <c:pt idx="95">
                  <c:v>555</c:v>
                </c:pt>
                <c:pt idx="96">
                  <c:v>554</c:v>
                </c:pt>
                <c:pt idx="97">
                  <c:v>553</c:v>
                </c:pt>
                <c:pt idx="98">
                  <c:v>552</c:v>
                </c:pt>
                <c:pt idx="99">
                  <c:v>551</c:v>
                </c:pt>
                <c:pt idx="100">
                  <c:v>550</c:v>
                </c:pt>
                <c:pt idx="101">
                  <c:v>549</c:v>
                </c:pt>
                <c:pt idx="102">
                  <c:v>548</c:v>
                </c:pt>
                <c:pt idx="103">
                  <c:v>547</c:v>
                </c:pt>
                <c:pt idx="104">
                  <c:v>546</c:v>
                </c:pt>
                <c:pt idx="105">
                  <c:v>545</c:v>
                </c:pt>
                <c:pt idx="106">
                  <c:v>544</c:v>
                </c:pt>
                <c:pt idx="107">
                  <c:v>543</c:v>
                </c:pt>
                <c:pt idx="108">
                  <c:v>542</c:v>
                </c:pt>
                <c:pt idx="109">
                  <c:v>541</c:v>
                </c:pt>
                <c:pt idx="110">
                  <c:v>540</c:v>
                </c:pt>
                <c:pt idx="111">
                  <c:v>539</c:v>
                </c:pt>
                <c:pt idx="112">
                  <c:v>538</c:v>
                </c:pt>
                <c:pt idx="113">
                  <c:v>537</c:v>
                </c:pt>
                <c:pt idx="114">
                  <c:v>536</c:v>
                </c:pt>
                <c:pt idx="115">
                  <c:v>535</c:v>
                </c:pt>
                <c:pt idx="116">
                  <c:v>534</c:v>
                </c:pt>
                <c:pt idx="117">
                  <c:v>533</c:v>
                </c:pt>
                <c:pt idx="118">
                  <c:v>532</c:v>
                </c:pt>
                <c:pt idx="119">
                  <c:v>531</c:v>
                </c:pt>
                <c:pt idx="120">
                  <c:v>530</c:v>
                </c:pt>
                <c:pt idx="121">
                  <c:v>529</c:v>
                </c:pt>
                <c:pt idx="122">
                  <c:v>528</c:v>
                </c:pt>
                <c:pt idx="123">
                  <c:v>527</c:v>
                </c:pt>
                <c:pt idx="124">
                  <c:v>526</c:v>
                </c:pt>
                <c:pt idx="125">
                  <c:v>525</c:v>
                </c:pt>
                <c:pt idx="126">
                  <c:v>524</c:v>
                </c:pt>
                <c:pt idx="127">
                  <c:v>523</c:v>
                </c:pt>
                <c:pt idx="128">
                  <c:v>522</c:v>
                </c:pt>
                <c:pt idx="129">
                  <c:v>521</c:v>
                </c:pt>
                <c:pt idx="130">
                  <c:v>520</c:v>
                </c:pt>
                <c:pt idx="131">
                  <c:v>519</c:v>
                </c:pt>
                <c:pt idx="132">
                  <c:v>518</c:v>
                </c:pt>
                <c:pt idx="133">
                  <c:v>517</c:v>
                </c:pt>
                <c:pt idx="134">
                  <c:v>516</c:v>
                </c:pt>
                <c:pt idx="135">
                  <c:v>515</c:v>
                </c:pt>
                <c:pt idx="136">
                  <c:v>514</c:v>
                </c:pt>
                <c:pt idx="137">
                  <c:v>513</c:v>
                </c:pt>
                <c:pt idx="138">
                  <c:v>512</c:v>
                </c:pt>
                <c:pt idx="139">
                  <c:v>511</c:v>
                </c:pt>
                <c:pt idx="140">
                  <c:v>510</c:v>
                </c:pt>
                <c:pt idx="141">
                  <c:v>509</c:v>
                </c:pt>
                <c:pt idx="142">
                  <c:v>508</c:v>
                </c:pt>
                <c:pt idx="143">
                  <c:v>507</c:v>
                </c:pt>
                <c:pt idx="144">
                  <c:v>506</c:v>
                </c:pt>
                <c:pt idx="145">
                  <c:v>505</c:v>
                </c:pt>
                <c:pt idx="146">
                  <c:v>504</c:v>
                </c:pt>
                <c:pt idx="147">
                  <c:v>503</c:v>
                </c:pt>
                <c:pt idx="148">
                  <c:v>502</c:v>
                </c:pt>
                <c:pt idx="149">
                  <c:v>501</c:v>
                </c:pt>
                <c:pt idx="150">
                  <c:v>500</c:v>
                </c:pt>
                <c:pt idx="151">
                  <c:v>499</c:v>
                </c:pt>
                <c:pt idx="152">
                  <c:v>498</c:v>
                </c:pt>
                <c:pt idx="153">
                  <c:v>497</c:v>
                </c:pt>
                <c:pt idx="154">
                  <c:v>496</c:v>
                </c:pt>
                <c:pt idx="155">
                  <c:v>495</c:v>
                </c:pt>
                <c:pt idx="156">
                  <c:v>494</c:v>
                </c:pt>
                <c:pt idx="157">
                  <c:v>493</c:v>
                </c:pt>
                <c:pt idx="158">
                  <c:v>492</c:v>
                </c:pt>
                <c:pt idx="159">
                  <c:v>491</c:v>
                </c:pt>
                <c:pt idx="160">
                  <c:v>490</c:v>
                </c:pt>
                <c:pt idx="161">
                  <c:v>489</c:v>
                </c:pt>
                <c:pt idx="162">
                  <c:v>488</c:v>
                </c:pt>
                <c:pt idx="163">
                  <c:v>487</c:v>
                </c:pt>
                <c:pt idx="164">
                  <c:v>486</c:v>
                </c:pt>
                <c:pt idx="165">
                  <c:v>485</c:v>
                </c:pt>
                <c:pt idx="166">
                  <c:v>484</c:v>
                </c:pt>
                <c:pt idx="167">
                  <c:v>483</c:v>
                </c:pt>
                <c:pt idx="168">
                  <c:v>482</c:v>
                </c:pt>
                <c:pt idx="169">
                  <c:v>481</c:v>
                </c:pt>
                <c:pt idx="170">
                  <c:v>480</c:v>
                </c:pt>
                <c:pt idx="171">
                  <c:v>479</c:v>
                </c:pt>
                <c:pt idx="172">
                  <c:v>478</c:v>
                </c:pt>
                <c:pt idx="173">
                  <c:v>477</c:v>
                </c:pt>
                <c:pt idx="174">
                  <c:v>476</c:v>
                </c:pt>
                <c:pt idx="175">
                  <c:v>475</c:v>
                </c:pt>
                <c:pt idx="176">
                  <c:v>474</c:v>
                </c:pt>
                <c:pt idx="177">
                  <c:v>473</c:v>
                </c:pt>
                <c:pt idx="178">
                  <c:v>472</c:v>
                </c:pt>
                <c:pt idx="179">
                  <c:v>471</c:v>
                </c:pt>
                <c:pt idx="180">
                  <c:v>470</c:v>
                </c:pt>
                <c:pt idx="181">
                  <c:v>469</c:v>
                </c:pt>
                <c:pt idx="182">
                  <c:v>468</c:v>
                </c:pt>
                <c:pt idx="183">
                  <c:v>467</c:v>
                </c:pt>
                <c:pt idx="184">
                  <c:v>466</c:v>
                </c:pt>
                <c:pt idx="185">
                  <c:v>465</c:v>
                </c:pt>
                <c:pt idx="186">
                  <c:v>464</c:v>
                </c:pt>
                <c:pt idx="187">
                  <c:v>463</c:v>
                </c:pt>
                <c:pt idx="188">
                  <c:v>462</c:v>
                </c:pt>
                <c:pt idx="189">
                  <c:v>461</c:v>
                </c:pt>
                <c:pt idx="190">
                  <c:v>460</c:v>
                </c:pt>
                <c:pt idx="191">
                  <c:v>459</c:v>
                </c:pt>
                <c:pt idx="192">
                  <c:v>458</c:v>
                </c:pt>
                <c:pt idx="193">
                  <c:v>457</c:v>
                </c:pt>
                <c:pt idx="194">
                  <c:v>456</c:v>
                </c:pt>
                <c:pt idx="195">
                  <c:v>455</c:v>
                </c:pt>
                <c:pt idx="196">
                  <c:v>454</c:v>
                </c:pt>
                <c:pt idx="197">
                  <c:v>453</c:v>
                </c:pt>
                <c:pt idx="198">
                  <c:v>452</c:v>
                </c:pt>
                <c:pt idx="199">
                  <c:v>451</c:v>
                </c:pt>
                <c:pt idx="200">
                  <c:v>450</c:v>
                </c:pt>
                <c:pt idx="201">
                  <c:v>449</c:v>
                </c:pt>
                <c:pt idx="202">
                  <c:v>448</c:v>
                </c:pt>
                <c:pt idx="203">
                  <c:v>447</c:v>
                </c:pt>
                <c:pt idx="204">
                  <c:v>446</c:v>
                </c:pt>
                <c:pt idx="205">
                  <c:v>445</c:v>
                </c:pt>
                <c:pt idx="206">
                  <c:v>444</c:v>
                </c:pt>
                <c:pt idx="207">
                  <c:v>443</c:v>
                </c:pt>
                <c:pt idx="208">
                  <c:v>442</c:v>
                </c:pt>
                <c:pt idx="209">
                  <c:v>441</c:v>
                </c:pt>
                <c:pt idx="210">
                  <c:v>440</c:v>
                </c:pt>
                <c:pt idx="211">
                  <c:v>439</c:v>
                </c:pt>
                <c:pt idx="212">
                  <c:v>438</c:v>
                </c:pt>
                <c:pt idx="213">
                  <c:v>437</c:v>
                </c:pt>
                <c:pt idx="214">
                  <c:v>436</c:v>
                </c:pt>
                <c:pt idx="215">
                  <c:v>435</c:v>
                </c:pt>
                <c:pt idx="216">
                  <c:v>434</c:v>
                </c:pt>
                <c:pt idx="217">
                  <c:v>433</c:v>
                </c:pt>
                <c:pt idx="218">
                  <c:v>432</c:v>
                </c:pt>
                <c:pt idx="219">
                  <c:v>431</c:v>
                </c:pt>
                <c:pt idx="220">
                  <c:v>430</c:v>
                </c:pt>
                <c:pt idx="221">
                  <c:v>429</c:v>
                </c:pt>
                <c:pt idx="222">
                  <c:v>428</c:v>
                </c:pt>
                <c:pt idx="223">
                  <c:v>427</c:v>
                </c:pt>
                <c:pt idx="224">
                  <c:v>426</c:v>
                </c:pt>
                <c:pt idx="225">
                  <c:v>425</c:v>
                </c:pt>
                <c:pt idx="226">
                  <c:v>424</c:v>
                </c:pt>
                <c:pt idx="227">
                  <c:v>423</c:v>
                </c:pt>
                <c:pt idx="228">
                  <c:v>422</c:v>
                </c:pt>
                <c:pt idx="229">
                  <c:v>421</c:v>
                </c:pt>
                <c:pt idx="230">
                  <c:v>420</c:v>
                </c:pt>
                <c:pt idx="231">
                  <c:v>419</c:v>
                </c:pt>
                <c:pt idx="232">
                  <c:v>418</c:v>
                </c:pt>
                <c:pt idx="233">
                  <c:v>417</c:v>
                </c:pt>
                <c:pt idx="234">
                  <c:v>416</c:v>
                </c:pt>
                <c:pt idx="235">
                  <c:v>415</c:v>
                </c:pt>
                <c:pt idx="236">
                  <c:v>414</c:v>
                </c:pt>
                <c:pt idx="237">
                  <c:v>413</c:v>
                </c:pt>
                <c:pt idx="238">
                  <c:v>412</c:v>
                </c:pt>
                <c:pt idx="239">
                  <c:v>411</c:v>
                </c:pt>
                <c:pt idx="240">
                  <c:v>410</c:v>
                </c:pt>
                <c:pt idx="241">
                  <c:v>409</c:v>
                </c:pt>
                <c:pt idx="242">
                  <c:v>408</c:v>
                </c:pt>
                <c:pt idx="243">
                  <c:v>407</c:v>
                </c:pt>
                <c:pt idx="244">
                  <c:v>406</c:v>
                </c:pt>
                <c:pt idx="245">
                  <c:v>405</c:v>
                </c:pt>
                <c:pt idx="246">
                  <c:v>404</c:v>
                </c:pt>
                <c:pt idx="247">
                  <c:v>403</c:v>
                </c:pt>
                <c:pt idx="248">
                  <c:v>402</c:v>
                </c:pt>
                <c:pt idx="249">
                  <c:v>401</c:v>
                </c:pt>
                <c:pt idx="250">
                  <c:v>400</c:v>
                </c:pt>
              </c:numCache>
            </c:numRef>
          </c:xVal>
          <c:yVal>
            <c:numRef>
              <c:f>[2]Foglio1!$C$3:$C$253</c:f>
              <c:numCache>
                <c:formatCode>General</c:formatCode>
                <c:ptCount val="251"/>
                <c:pt idx="0">
                  <c:v>4.9000000000000002E-2</c:v>
                </c:pt>
                <c:pt idx="1">
                  <c:v>4.9500000000000002E-2</c:v>
                </c:pt>
                <c:pt idx="2">
                  <c:v>4.9299999999999997E-2</c:v>
                </c:pt>
                <c:pt idx="3">
                  <c:v>4.99E-2</c:v>
                </c:pt>
                <c:pt idx="4">
                  <c:v>4.9500000000000002E-2</c:v>
                </c:pt>
                <c:pt idx="5">
                  <c:v>4.9799999999999997E-2</c:v>
                </c:pt>
                <c:pt idx="6">
                  <c:v>4.9200000000000001E-2</c:v>
                </c:pt>
                <c:pt idx="7">
                  <c:v>4.9599999999999998E-2</c:v>
                </c:pt>
                <c:pt idx="8">
                  <c:v>4.9399999999999999E-2</c:v>
                </c:pt>
                <c:pt idx="9">
                  <c:v>4.9099999999999998E-2</c:v>
                </c:pt>
                <c:pt idx="10">
                  <c:v>4.9200000000000001E-2</c:v>
                </c:pt>
                <c:pt idx="11">
                  <c:v>4.9599999999999998E-2</c:v>
                </c:pt>
                <c:pt idx="12">
                  <c:v>4.9599999999999998E-2</c:v>
                </c:pt>
                <c:pt idx="13">
                  <c:v>0.05</c:v>
                </c:pt>
                <c:pt idx="14">
                  <c:v>5.0500000000000003E-2</c:v>
                </c:pt>
                <c:pt idx="15">
                  <c:v>0.05</c:v>
                </c:pt>
                <c:pt idx="16">
                  <c:v>5.0200000000000002E-2</c:v>
                </c:pt>
                <c:pt idx="17">
                  <c:v>5.0500000000000003E-2</c:v>
                </c:pt>
                <c:pt idx="18">
                  <c:v>5.0700000000000002E-2</c:v>
                </c:pt>
                <c:pt idx="19">
                  <c:v>5.04E-2</c:v>
                </c:pt>
                <c:pt idx="20">
                  <c:v>5.0500000000000003E-2</c:v>
                </c:pt>
                <c:pt idx="21">
                  <c:v>5.0599999999999999E-2</c:v>
                </c:pt>
                <c:pt idx="22">
                  <c:v>5.0900000000000001E-2</c:v>
                </c:pt>
                <c:pt idx="23">
                  <c:v>5.16E-2</c:v>
                </c:pt>
                <c:pt idx="24">
                  <c:v>5.16E-2</c:v>
                </c:pt>
                <c:pt idx="25">
                  <c:v>5.1700000000000003E-2</c:v>
                </c:pt>
                <c:pt idx="26">
                  <c:v>5.21E-2</c:v>
                </c:pt>
                <c:pt idx="27">
                  <c:v>5.2600000000000001E-2</c:v>
                </c:pt>
                <c:pt idx="28">
                  <c:v>5.2699999999999997E-2</c:v>
                </c:pt>
                <c:pt idx="29">
                  <c:v>5.3499999999999999E-2</c:v>
                </c:pt>
                <c:pt idx="30">
                  <c:v>5.33E-2</c:v>
                </c:pt>
                <c:pt idx="31">
                  <c:v>5.3499999999999999E-2</c:v>
                </c:pt>
                <c:pt idx="32">
                  <c:v>5.4100000000000002E-2</c:v>
                </c:pt>
                <c:pt idx="33">
                  <c:v>5.4699999999999999E-2</c:v>
                </c:pt>
                <c:pt idx="34">
                  <c:v>5.45E-2</c:v>
                </c:pt>
                <c:pt idx="35">
                  <c:v>5.5500000000000001E-2</c:v>
                </c:pt>
                <c:pt idx="36">
                  <c:v>5.6399999999999999E-2</c:v>
                </c:pt>
                <c:pt idx="37">
                  <c:v>5.6300000000000003E-2</c:v>
                </c:pt>
                <c:pt idx="38">
                  <c:v>5.6800000000000003E-2</c:v>
                </c:pt>
                <c:pt idx="39">
                  <c:v>5.7200000000000001E-2</c:v>
                </c:pt>
                <c:pt idx="40">
                  <c:v>5.7599999999999998E-2</c:v>
                </c:pt>
                <c:pt idx="41">
                  <c:v>5.8099999999999999E-2</c:v>
                </c:pt>
                <c:pt idx="42">
                  <c:v>5.91E-2</c:v>
                </c:pt>
                <c:pt idx="43">
                  <c:v>5.9700000000000003E-2</c:v>
                </c:pt>
                <c:pt idx="44">
                  <c:v>6.0400000000000002E-2</c:v>
                </c:pt>
                <c:pt idx="45">
                  <c:v>6.0699999999999997E-2</c:v>
                </c:pt>
                <c:pt idx="46">
                  <c:v>6.1699999999999998E-2</c:v>
                </c:pt>
                <c:pt idx="47">
                  <c:v>6.2700000000000006E-2</c:v>
                </c:pt>
                <c:pt idx="48">
                  <c:v>6.3100000000000003E-2</c:v>
                </c:pt>
                <c:pt idx="49">
                  <c:v>6.4000000000000001E-2</c:v>
                </c:pt>
                <c:pt idx="50">
                  <c:v>6.5000000000000002E-2</c:v>
                </c:pt>
                <c:pt idx="51">
                  <c:v>6.59E-2</c:v>
                </c:pt>
                <c:pt idx="52">
                  <c:v>6.7000000000000004E-2</c:v>
                </c:pt>
                <c:pt idx="53">
                  <c:v>6.7900000000000002E-2</c:v>
                </c:pt>
                <c:pt idx="54">
                  <c:v>6.8699999999999997E-2</c:v>
                </c:pt>
                <c:pt idx="55">
                  <c:v>6.9800000000000001E-2</c:v>
                </c:pt>
                <c:pt idx="56">
                  <c:v>7.1199999999999999E-2</c:v>
                </c:pt>
                <c:pt idx="57">
                  <c:v>7.2599999999999998E-2</c:v>
                </c:pt>
                <c:pt idx="58">
                  <c:v>7.3599999999999999E-2</c:v>
                </c:pt>
                <c:pt idx="59">
                  <c:v>7.4800000000000005E-2</c:v>
                </c:pt>
                <c:pt idx="60">
                  <c:v>7.6300000000000007E-2</c:v>
                </c:pt>
                <c:pt idx="61">
                  <c:v>7.7799999999999994E-2</c:v>
                </c:pt>
                <c:pt idx="62">
                  <c:v>7.9299999999999995E-2</c:v>
                </c:pt>
                <c:pt idx="63">
                  <c:v>8.1000000000000003E-2</c:v>
                </c:pt>
                <c:pt idx="64">
                  <c:v>8.2799999999999999E-2</c:v>
                </c:pt>
                <c:pt idx="65">
                  <c:v>8.43E-2</c:v>
                </c:pt>
                <c:pt idx="66">
                  <c:v>8.6099999999999996E-2</c:v>
                </c:pt>
                <c:pt idx="67">
                  <c:v>8.7900000000000006E-2</c:v>
                </c:pt>
                <c:pt idx="68">
                  <c:v>0.09</c:v>
                </c:pt>
                <c:pt idx="69">
                  <c:v>9.1899999999999996E-2</c:v>
                </c:pt>
                <c:pt idx="70">
                  <c:v>9.3899999999999997E-2</c:v>
                </c:pt>
                <c:pt idx="71">
                  <c:v>9.64E-2</c:v>
                </c:pt>
                <c:pt idx="72">
                  <c:v>9.8900000000000002E-2</c:v>
                </c:pt>
                <c:pt idx="73">
                  <c:v>0.1016</c:v>
                </c:pt>
                <c:pt idx="74">
                  <c:v>0.104</c:v>
                </c:pt>
                <c:pt idx="75">
                  <c:v>0.1069</c:v>
                </c:pt>
                <c:pt idx="76">
                  <c:v>0.1095</c:v>
                </c:pt>
                <c:pt idx="77">
                  <c:v>0.1123</c:v>
                </c:pt>
                <c:pt idx="78">
                  <c:v>0.11559999999999999</c:v>
                </c:pt>
                <c:pt idx="79">
                  <c:v>0.1192</c:v>
                </c:pt>
                <c:pt idx="80">
                  <c:v>0.1229</c:v>
                </c:pt>
                <c:pt idx="81">
                  <c:v>0.1268</c:v>
                </c:pt>
                <c:pt idx="82">
                  <c:v>0.1308</c:v>
                </c:pt>
                <c:pt idx="83">
                  <c:v>0.1351</c:v>
                </c:pt>
                <c:pt idx="84">
                  <c:v>0.14000000000000001</c:v>
                </c:pt>
                <c:pt idx="85">
                  <c:v>0.1449</c:v>
                </c:pt>
                <c:pt idx="86">
                  <c:v>0.1497</c:v>
                </c:pt>
                <c:pt idx="87">
                  <c:v>0.1555</c:v>
                </c:pt>
                <c:pt idx="88">
                  <c:v>0.16139999999999999</c:v>
                </c:pt>
                <c:pt idx="89">
                  <c:v>0.16769999999999999</c:v>
                </c:pt>
                <c:pt idx="90">
                  <c:v>0.17419999999999999</c:v>
                </c:pt>
                <c:pt idx="91">
                  <c:v>0.18099999999999999</c:v>
                </c:pt>
                <c:pt idx="92">
                  <c:v>0.1885</c:v>
                </c:pt>
                <c:pt idx="93">
                  <c:v>0.19689999999999999</c:v>
                </c:pt>
                <c:pt idx="94">
                  <c:v>0.2054</c:v>
                </c:pt>
                <c:pt idx="95">
                  <c:v>0.21440000000000001</c:v>
                </c:pt>
                <c:pt idx="96">
                  <c:v>0.22409999999999999</c:v>
                </c:pt>
                <c:pt idx="97">
                  <c:v>0.23449999999999999</c:v>
                </c:pt>
                <c:pt idx="98">
                  <c:v>0.2455</c:v>
                </c:pt>
                <c:pt idx="99">
                  <c:v>0.25690000000000002</c:v>
                </c:pt>
                <c:pt idx="100">
                  <c:v>0.26900000000000002</c:v>
                </c:pt>
                <c:pt idx="101">
                  <c:v>0.28189999999999998</c:v>
                </c:pt>
                <c:pt idx="102">
                  <c:v>0.29549999999999998</c:v>
                </c:pt>
                <c:pt idx="103">
                  <c:v>0.30990000000000001</c:v>
                </c:pt>
                <c:pt idx="104">
                  <c:v>0.32490000000000002</c:v>
                </c:pt>
                <c:pt idx="105">
                  <c:v>0.34039999999999998</c:v>
                </c:pt>
                <c:pt idx="106">
                  <c:v>0.35659999999999997</c:v>
                </c:pt>
                <c:pt idx="107">
                  <c:v>0.373</c:v>
                </c:pt>
                <c:pt idx="108">
                  <c:v>0.3901</c:v>
                </c:pt>
                <c:pt idx="109">
                  <c:v>0.40770000000000001</c:v>
                </c:pt>
                <c:pt idx="110">
                  <c:v>0.4259</c:v>
                </c:pt>
                <c:pt idx="111">
                  <c:v>0.44440000000000002</c:v>
                </c:pt>
                <c:pt idx="112">
                  <c:v>0.46289999999999998</c:v>
                </c:pt>
                <c:pt idx="113">
                  <c:v>0.48159999999999997</c:v>
                </c:pt>
                <c:pt idx="114">
                  <c:v>0.50019999999999998</c:v>
                </c:pt>
                <c:pt idx="115">
                  <c:v>0.51870000000000005</c:v>
                </c:pt>
                <c:pt idx="116">
                  <c:v>0.53720000000000001</c:v>
                </c:pt>
                <c:pt idx="117">
                  <c:v>0.5554</c:v>
                </c:pt>
                <c:pt idx="118">
                  <c:v>0.57310000000000005</c:v>
                </c:pt>
                <c:pt idx="119">
                  <c:v>0.59040000000000004</c:v>
                </c:pt>
                <c:pt idx="120">
                  <c:v>0.6079</c:v>
                </c:pt>
                <c:pt idx="121">
                  <c:v>0.62509999999999999</c:v>
                </c:pt>
                <c:pt idx="122">
                  <c:v>0.64100000000000001</c:v>
                </c:pt>
                <c:pt idx="123">
                  <c:v>0.65590000000000004</c:v>
                </c:pt>
                <c:pt idx="124">
                  <c:v>0.67049999999999998</c:v>
                </c:pt>
                <c:pt idx="125">
                  <c:v>0.68459999999999999</c:v>
                </c:pt>
                <c:pt idx="126">
                  <c:v>0.69750000000000001</c:v>
                </c:pt>
                <c:pt idx="127">
                  <c:v>0.71</c:v>
                </c:pt>
                <c:pt idx="128">
                  <c:v>0.72130000000000005</c:v>
                </c:pt>
                <c:pt idx="129">
                  <c:v>0.73180000000000001</c:v>
                </c:pt>
                <c:pt idx="130">
                  <c:v>0.74170000000000003</c:v>
                </c:pt>
                <c:pt idx="131">
                  <c:v>0.75029999999999997</c:v>
                </c:pt>
                <c:pt idx="132">
                  <c:v>0.75819999999999999</c:v>
                </c:pt>
                <c:pt idx="133">
                  <c:v>0.76480000000000004</c:v>
                </c:pt>
                <c:pt idx="134">
                  <c:v>0.77049999999999996</c:v>
                </c:pt>
                <c:pt idx="135">
                  <c:v>0.77500000000000002</c:v>
                </c:pt>
                <c:pt idx="136">
                  <c:v>0.77859999999999996</c:v>
                </c:pt>
                <c:pt idx="137">
                  <c:v>0.78169999999999995</c:v>
                </c:pt>
                <c:pt idx="138">
                  <c:v>0.78359999999999996</c:v>
                </c:pt>
                <c:pt idx="139">
                  <c:v>0.78459999999999996</c:v>
                </c:pt>
                <c:pt idx="140">
                  <c:v>0.78490000000000004</c:v>
                </c:pt>
                <c:pt idx="141">
                  <c:v>0.78469999999999995</c:v>
                </c:pt>
                <c:pt idx="142">
                  <c:v>0.78390000000000004</c:v>
                </c:pt>
                <c:pt idx="143">
                  <c:v>0.78180000000000005</c:v>
                </c:pt>
                <c:pt idx="144">
                  <c:v>0.77980000000000005</c:v>
                </c:pt>
                <c:pt idx="145">
                  <c:v>0.77769999999999995</c:v>
                </c:pt>
                <c:pt idx="146">
                  <c:v>0.7752</c:v>
                </c:pt>
                <c:pt idx="147">
                  <c:v>0.77239999999999998</c:v>
                </c:pt>
                <c:pt idx="148">
                  <c:v>0.76959999999999995</c:v>
                </c:pt>
                <c:pt idx="149">
                  <c:v>0.76629999999999998</c:v>
                </c:pt>
                <c:pt idx="150">
                  <c:v>0.76300000000000001</c:v>
                </c:pt>
                <c:pt idx="151">
                  <c:v>0.7601</c:v>
                </c:pt>
                <c:pt idx="152">
                  <c:v>0.75719999999999998</c:v>
                </c:pt>
                <c:pt idx="153">
                  <c:v>0.75409999999999999</c:v>
                </c:pt>
                <c:pt idx="154">
                  <c:v>0.75129999999999997</c:v>
                </c:pt>
                <c:pt idx="155">
                  <c:v>0.74909999999999999</c:v>
                </c:pt>
                <c:pt idx="156">
                  <c:v>0.746</c:v>
                </c:pt>
                <c:pt idx="157">
                  <c:v>0.74339999999999995</c:v>
                </c:pt>
                <c:pt idx="158">
                  <c:v>0.74199999999999999</c:v>
                </c:pt>
                <c:pt idx="159">
                  <c:v>0.73980000000000001</c:v>
                </c:pt>
                <c:pt idx="160">
                  <c:v>0.73809999999999998</c:v>
                </c:pt>
                <c:pt idx="161">
                  <c:v>0.73699999999999999</c:v>
                </c:pt>
                <c:pt idx="162">
                  <c:v>0.73550000000000004</c:v>
                </c:pt>
                <c:pt idx="163">
                  <c:v>0.73380000000000001</c:v>
                </c:pt>
                <c:pt idx="164">
                  <c:v>0.73329999999999995</c:v>
                </c:pt>
                <c:pt idx="165">
                  <c:v>0.73240000000000005</c:v>
                </c:pt>
                <c:pt idx="166">
                  <c:v>0.73099999999999998</c:v>
                </c:pt>
                <c:pt idx="167">
                  <c:v>0.7288</c:v>
                </c:pt>
                <c:pt idx="168">
                  <c:v>0.72760000000000002</c:v>
                </c:pt>
                <c:pt idx="169">
                  <c:v>0.72689999999999999</c:v>
                </c:pt>
                <c:pt idx="170">
                  <c:v>0.72589999999999999</c:v>
                </c:pt>
                <c:pt idx="171">
                  <c:v>0.72499999999999998</c:v>
                </c:pt>
                <c:pt idx="172">
                  <c:v>0.72360000000000002</c:v>
                </c:pt>
                <c:pt idx="173">
                  <c:v>0.72199999999999998</c:v>
                </c:pt>
                <c:pt idx="174">
                  <c:v>0.71960000000000002</c:v>
                </c:pt>
                <c:pt idx="175">
                  <c:v>0.7167</c:v>
                </c:pt>
                <c:pt idx="176">
                  <c:v>0.71340000000000003</c:v>
                </c:pt>
                <c:pt idx="177">
                  <c:v>0.71060000000000001</c:v>
                </c:pt>
                <c:pt idx="178">
                  <c:v>0.70669999999999999</c:v>
                </c:pt>
                <c:pt idx="179">
                  <c:v>0.70230000000000004</c:v>
                </c:pt>
                <c:pt idx="180">
                  <c:v>0.69820000000000004</c:v>
                </c:pt>
                <c:pt idx="181">
                  <c:v>0.69279999999999997</c:v>
                </c:pt>
                <c:pt idx="182">
                  <c:v>0.68820000000000003</c:v>
                </c:pt>
                <c:pt idx="183">
                  <c:v>0.68330000000000002</c:v>
                </c:pt>
                <c:pt idx="184">
                  <c:v>0.6784</c:v>
                </c:pt>
                <c:pt idx="185">
                  <c:v>0.67269999999999996</c:v>
                </c:pt>
                <c:pt idx="186">
                  <c:v>0.66659999999999997</c:v>
                </c:pt>
                <c:pt idx="187">
                  <c:v>0.66110000000000002</c:v>
                </c:pt>
                <c:pt idx="188">
                  <c:v>0.65600000000000003</c:v>
                </c:pt>
                <c:pt idx="189">
                  <c:v>0.65069999999999995</c:v>
                </c:pt>
                <c:pt idx="190">
                  <c:v>0.64549999999999996</c:v>
                </c:pt>
                <c:pt idx="191">
                  <c:v>0.64049999999999996</c:v>
                </c:pt>
                <c:pt idx="192">
                  <c:v>0.63470000000000004</c:v>
                </c:pt>
                <c:pt idx="193">
                  <c:v>0.62980000000000003</c:v>
                </c:pt>
                <c:pt idx="194">
                  <c:v>0.625</c:v>
                </c:pt>
                <c:pt idx="195">
                  <c:v>0.62039999999999995</c:v>
                </c:pt>
                <c:pt idx="196">
                  <c:v>0.61519999999999997</c:v>
                </c:pt>
                <c:pt idx="197">
                  <c:v>0.61160000000000003</c:v>
                </c:pt>
                <c:pt idx="198">
                  <c:v>0.6069</c:v>
                </c:pt>
                <c:pt idx="199">
                  <c:v>0.60270000000000001</c:v>
                </c:pt>
                <c:pt idx="200">
                  <c:v>0.59989999999999999</c:v>
                </c:pt>
                <c:pt idx="201">
                  <c:v>0.59570000000000001</c:v>
                </c:pt>
                <c:pt idx="202">
                  <c:v>0.59199999999999997</c:v>
                </c:pt>
                <c:pt idx="203">
                  <c:v>0.58899999999999997</c:v>
                </c:pt>
                <c:pt idx="204">
                  <c:v>0.58540000000000003</c:v>
                </c:pt>
                <c:pt idx="205">
                  <c:v>0.58189999999999997</c:v>
                </c:pt>
                <c:pt idx="206">
                  <c:v>0.57769999999999999</c:v>
                </c:pt>
                <c:pt idx="207">
                  <c:v>0.57430000000000003</c:v>
                </c:pt>
                <c:pt idx="208">
                  <c:v>0.57140000000000002</c:v>
                </c:pt>
                <c:pt idx="209">
                  <c:v>0.56799999999999995</c:v>
                </c:pt>
                <c:pt idx="210">
                  <c:v>0.56359999999999999</c:v>
                </c:pt>
                <c:pt idx="211">
                  <c:v>0.56020000000000003</c:v>
                </c:pt>
                <c:pt idx="212">
                  <c:v>0.55579999999999996</c:v>
                </c:pt>
                <c:pt idx="213">
                  <c:v>0.55130000000000001</c:v>
                </c:pt>
                <c:pt idx="214">
                  <c:v>0.54679999999999995</c:v>
                </c:pt>
                <c:pt idx="215">
                  <c:v>0.54259999999999997</c:v>
                </c:pt>
                <c:pt idx="216">
                  <c:v>0.53869999999999996</c:v>
                </c:pt>
                <c:pt idx="217">
                  <c:v>0.53359999999999996</c:v>
                </c:pt>
                <c:pt idx="218">
                  <c:v>0.52849999999999997</c:v>
                </c:pt>
                <c:pt idx="219">
                  <c:v>0.52410000000000001</c:v>
                </c:pt>
                <c:pt idx="220">
                  <c:v>0.5181</c:v>
                </c:pt>
                <c:pt idx="221">
                  <c:v>0.51259999999999994</c:v>
                </c:pt>
                <c:pt idx="222">
                  <c:v>0.50760000000000005</c:v>
                </c:pt>
                <c:pt idx="223">
                  <c:v>0.502</c:v>
                </c:pt>
                <c:pt idx="224">
                  <c:v>0.49680000000000002</c:v>
                </c:pt>
                <c:pt idx="225">
                  <c:v>0.4914</c:v>
                </c:pt>
                <c:pt idx="226">
                  <c:v>0.48530000000000001</c:v>
                </c:pt>
                <c:pt idx="227">
                  <c:v>0.47920000000000001</c:v>
                </c:pt>
                <c:pt idx="228">
                  <c:v>0.47299999999999998</c:v>
                </c:pt>
                <c:pt idx="229">
                  <c:v>0.46739999999999998</c:v>
                </c:pt>
                <c:pt idx="230">
                  <c:v>0.46129999999999999</c:v>
                </c:pt>
                <c:pt idx="231">
                  <c:v>0.45500000000000002</c:v>
                </c:pt>
                <c:pt idx="232">
                  <c:v>0.44900000000000001</c:v>
                </c:pt>
                <c:pt idx="233">
                  <c:v>0.44240000000000002</c:v>
                </c:pt>
                <c:pt idx="234">
                  <c:v>0.43580000000000002</c:v>
                </c:pt>
                <c:pt idx="235">
                  <c:v>0.42920000000000003</c:v>
                </c:pt>
                <c:pt idx="236">
                  <c:v>0.42209999999999998</c:v>
                </c:pt>
                <c:pt idx="237">
                  <c:v>0.41489999999999999</c:v>
                </c:pt>
                <c:pt idx="238">
                  <c:v>0.40799999999999997</c:v>
                </c:pt>
                <c:pt idx="239">
                  <c:v>0.4007</c:v>
                </c:pt>
                <c:pt idx="240">
                  <c:v>0.39410000000000001</c:v>
                </c:pt>
                <c:pt idx="241">
                  <c:v>0.3861</c:v>
                </c:pt>
                <c:pt idx="242">
                  <c:v>0.37830000000000003</c:v>
                </c:pt>
                <c:pt idx="243">
                  <c:v>0.37069999999999997</c:v>
                </c:pt>
                <c:pt idx="244">
                  <c:v>0.36309999999999998</c:v>
                </c:pt>
                <c:pt idx="245">
                  <c:v>0.3548</c:v>
                </c:pt>
                <c:pt idx="246">
                  <c:v>0.34720000000000001</c:v>
                </c:pt>
                <c:pt idx="247">
                  <c:v>0.33889999999999998</c:v>
                </c:pt>
                <c:pt idx="248">
                  <c:v>0.33129999999999998</c:v>
                </c:pt>
                <c:pt idx="249">
                  <c:v>0.32319999999999999</c:v>
                </c:pt>
                <c:pt idx="250">
                  <c:v>0.31519999999999998</c:v>
                </c:pt>
              </c:numCache>
            </c:numRef>
          </c:yVal>
          <c:smooth val="1"/>
          <c:extLst>
            <c:ext xmlns:c16="http://schemas.microsoft.com/office/drawing/2014/chart" uri="{C3380CC4-5D6E-409C-BE32-E72D297353CC}">
              <c16:uniqueId val="{00000000-C3DA-4549-8A44-A8C281661575}"/>
            </c:ext>
          </c:extLst>
        </c:ser>
        <c:dLbls>
          <c:showLegendKey val="0"/>
          <c:showVal val="0"/>
          <c:showCatName val="0"/>
          <c:showSerName val="0"/>
          <c:showPercent val="0"/>
          <c:showBubbleSize val="0"/>
        </c:dLbls>
        <c:axId val="-2036979368"/>
        <c:axId val="-2048705736"/>
      </c:scatterChart>
      <c:valAx>
        <c:axId val="-2036979368"/>
        <c:scaling>
          <c:orientation val="minMax"/>
          <c:max val="650"/>
          <c:min val="400"/>
        </c:scaling>
        <c:delete val="0"/>
        <c:axPos val="b"/>
        <c:title>
          <c:tx>
            <c:rich>
              <a:bodyPr/>
              <a:lstStyle/>
              <a:p>
                <a:pPr>
                  <a:defRPr/>
                </a:pPr>
                <a:r>
                  <a:rPr lang="en-US"/>
                  <a:t>λ, nm</a:t>
                </a:r>
              </a:p>
            </c:rich>
          </c:tx>
          <c:overlay val="0"/>
        </c:title>
        <c:numFmt formatCode="General" sourceLinked="1"/>
        <c:majorTickMark val="out"/>
        <c:minorTickMark val="none"/>
        <c:tickLblPos val="nextTo"/>
        <c:spPr>
          <a:ln>
            <a:solidFill>
              <a:schemeClr val="tx1"/>
            </a:solidFill>
          </a:ln>
        </c:spPr>
        <c:crossAx val="-2048705736"/>
        <c:crosses val="autoZero"/>
        <c:crossBetween val="midCat"/>
        <c:majorUnit val="50"/>
      </c:valAx>
      <c:valAx>
        <c:axId val="-2048705736"/>
        <c:scaling>
          <c:orientation val="minMax"/>
          <c:max val="1"/>
        </c:scaling>
        <c:delete val="0"/>
        <c:axPos val="l"/>
        <c:title>
          <c:tx>
            <c:rich>
              <a:bodyPr rot="-5400000" vert="horz"/>
              <a:lstStyle/>
              <a:p>
                <a:pPr>
                  <a:defRPr/>
                </a:pPr>
                <a:r>
                  <a:rPr lang="en-US"/>
                  <a:t>Absorption</a:t>
                </a:r>
              </a:p>
            </c:rich>
          </c:tx>
          <c:overlay val="0"/>
        </c:title>
        <c:numFmt formatCode="0.0" sourceLinked="0"/>
        <c:majorTickMark val="out"/>
        <c:minorTickMark val="none"/>
        <c:tickLblPos val="nextTo"/>
        <c:spPr>
          <a:ln>
            <a:solidFill>
              <a:schemeClr val="tx1"/>
            </a:solidFill>
          </a:ln>
        </c:spPr>
        <c:crossAx val="-2036979368"/>
        <c:crosses val="autoZero"/>
        <c:crossBetween val="midCat"/>
        <c:majorUnit val="0.2"/>
      </c:valAx>
      <c:spPr>
        <a:ln>
          <a:solidFill>
            <a:schemeClr val="tx1"/>
          </a:solidFill>
        </a:ln>
      </c:spPr>
    </c:plotArea>
    <c:plotVisOnly val="1"/>
    <c:dispBlanksAs val="gap"/>
    <c:showDLblsOverMax val="0"/>
  </c:chart>
  <c:spPr>
    <a:ln>
      <a:noFill/>
    </a:ln>
  </c:spPr>
  <c:txPr>
    <a:bodyPr/>
    <a:lstStyle/>
    <a:p>
      <a:pPr>
        <a:defRPr sz="800" b="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061983442302203"/>
          <c:y val="1.02489073986266E-2"/>
          <c:w val="0.83317632068180381"/>
          <c:h val="0.82066707953640639"/>
        </c:manualLayout>
      </c:layout>
      <c:scatterChart>
        <c:scatterStyle val="lineMarker"/>
        <c:varyColors val="0"/>
        <c:ser>
          <c:idx val="0"/>
          <c:order val="0"/>
          <c:spPr>
            <a:ln w="47625">
              <a:noFill/>
            </a:ln>
          </c:spPr>
          <c:marker>
            <c:symbol val="diamond"/>
            <c:size val="3"/>
            <c:spPr>
              <a:solidFill>
                <a:srgbClr val="000000"/>
              </a:solidFill>
              <a:ln>
                <a:solidFill>
                  <a:srgbClr val="000000"/>
                </a:solidFill>
                <a:prstDash val="solid"/>
              </a:ln>
              <a:effectLst>
                <a:outerShdw dist="35921" dir="2700000" algn="br">
                  <a:srgbClr val="000000"/>
                </a:outerShdw>
              </a:effectLst>
            </c:spPr>
          </c:marker>
          <c:trendline>
            <c:trendlineType val="linear"/>
            <c:forward val="100"/>
            <c:dispRSqr val="1"/>
            <c:dispEq val="1"/>
            <c:trendlineLbl>
              <c:layout>
                <c:manualLayout>
                  <c:x val="-8.8347293881728739E-2"/>
                  <c:y val="0.55263745121747421"/>
                </c:manualLayout>
              </c:layout>
              <c:numFmt formatCode="General" sourceLinked="0"/>
              <c:spPr>
                <a:noFill/>
                <a:ln w="25400">
                  <a:noFill/>
                </a:ln>
              </c:spPr>
            </c:trendlineLbl>
          </c:trendline>
          <c:errBars>
            <c:errDir val="y"/>
            <c:errBarType val="both"/>
            <c:errValType val="cust"/>
            <c:noEndCap val="0"/>
            <c:plus>
              <c:numRef>
                <c:f>'\Моя папка\UNG\Conferences\ACSi\UNG\2 year\EXCEL\[Fe2 range 0-20mikroM.xlsx]graph'!$E$2</c:f>
                <c:numCache>
                  <c:formatCode>General</c:formatCode>
                  <c:ptCount val="1"/>
                  <c:pt idx="0">
                    <c:v>0</c:v>
                  </c:pt>
                </c:numCache>
              </c:numRef>
            </c:plus>
            <c:minus>
              <c:numRef>
                <c:f>'\Моя папка\UNG\Conferences\ACSi\UNG\2 year\EXCEL\[Fe2 range 0-20mikroM.xlsx]graph'!$E$2</c:f>
                <c:numCache>
                  <c:formatCode>General</c:formatCode>
                  <c:ptCount val="1"/>
                  <c:pt idx="0">
                    <c:v>0</c:v>
                  </c:pt>
                </c:numCache>
              </c:numRef>
            </c:minus>
            <c:spPr>
              <a:ln w="12700">
                <a:solidFill>
                  <a:srgbClr val="000000"/>
                </a:solidFill>
                <a:prstDash val="solid"/>
              </a:ln>
            </c:spPr>
          </c:errBars>
          <c:xVal>
            <c:numRef>
              <c:f>'\Моя папка\UNG\Conferences\ACSi\UNG\2 year\EXCEL\[Fe2 range 0-20mikroM.xlsx]graph'!$A$2:$A$7</c:f>
              <c:numCache>
                <c:formatCode>General</c:formatCode>
                <c:ptCount val="6"/>
                <c:pt idx="0">
                  <c:v>0</c:v>
                </c:pt>
                <c:pt idx="1">
                  <c:v>4</c:v>
                </c:pt>
                <c:pt idx="2">
                  <c:v>8</c:v>
                </c:pt>
                <c:pt idx="3">
                  <c:v>12</c:v>
                </c:pt>
                <c:pt idx="4">
                  <c:v>16</c:v>
                </c:pt>
                <c:pt idx="5">
                  <c:v>20</c:v>
                </c:pt>
              </c:numCache>
            </c:numRef>
          </c:xVal>
          <c:yVal>
            <c:numRef>
              <c:f>'\Моя папка\UNG\Conferences\ACSi\UNG\2 year\EXCEL\[Fe2 range 0-20mikroM.xlsx]graph'!$D$2:$D$7</c:f>
              <c:numCache>
                <c:formatCode>General</c:formatCode>
                <c:ptCount val="6"/>
                <c:pt idx="0">
                  <c:v>0</c:v>
                </c:pt>
                <c:pt idx="1">
                  <c:v>2.367766660954397</c:v>
                </c:pt>
                <c:pt idx="2">
                  <c:v>4.2838444248432834</c:v>
                </c:pt>
                <c:pt idx="3">
                  <c:v>5.7566987165099865</c:v>
                </c:pt>
                <c:pt idx="4">
                  <c:v>7.9325892234543947</c:v>
                </c:pt>
                <c:pt idx="5">
                  <c:v>9.3718330637322165</c:v>
                </c:pt>
              </c:numCache>
            </c:numRef>
          </c:yVal>
          <c:smooth val="0"/>
          <c:extLst>
            <c:ext xmlns:c16="http://schemas.microsoft.com/office/drawing/2014/chart" uri="{C3380CC4-5D6E-409C-BE32-E72D297353CC}">
              <c16:uniqueId val="{00000000-75C3-4AD9-BAD6-9F4A563693F0}"/>
            </c:ext>
          </c:extLst>
        </c:ser>
        <c:dLbls>
          <c:showLegendKey val="0"/>
          <c:showVal val="0"/>
          <c:showCatName val="0"/>
          <c:showSerName val="0"/>
          <c:showPercent val="0"/>
          <c:showBubbleSize val="0"/>
        </c:dLbls>
        <c:axId val="-2146520376"/>
        <c:axId val="-2146792136"/>
      </c:scatterChart>
      <c:valAx>
        <c:axId val="-2146520376"/>
        <c:scaling>
          <c:orientation val="minMax"/>
          <c:max val="24"/>
          <c:min val="0"/>
        </c:scaling>
        <c:delete val="0"/>
        <c:axPos val="b"/>
        <c:title>
          <c:tx>
            <c:rich>
              <a:bodyPr/>
              <a:lstStyle/>
              <a:p>
                <a:pPr>
                  <a:defRPr/>
                </a:pPr>
                <a:r>
                  <a:rPr lang="en-US"/>
                  <a:t>C, </a:t>
                </a:r>
                <a:r>
                  <a:rPr lang="el-GR"/>
                  <a:t>μM</a:t>
                </a:r>
                <a:endParaRPr lang="en-US"/>
              </a:p>
            </c:rich>
          </c:tx>
          <c:overlay val="0"/>
          <c:spPr>
            <a:noFill/>
            <a:ln w="25400">
              <a:noFill/>
            </a:ln>
          </c:spPr>
        </c:title>
        <c:numFmt formatCode="General" sourceLinked="1"/>
        <c:majorTickMark val="out"/>
        <c:minorTickMark val="none"/>
        <c:tickLblPos val="nextTo"/>
        <c:spPr>
          <a:ln>
            <a:solidFill>
              <a:schemeClr val="tx1"/>
            </a:solidFill>
          </a:ln>
        </c:spPr>
        <c:txPr>
          <a:bodyPr rot="0" vert="horz"/>
          <a:lstStyle/>
          <a:p>
            <a:pPr>
              <a:defRPr/>
            </a:pPr>
            <a:endParaRPr lang="en-US"/>
          </a:p>
        </c:txPr>
        <c:crossAx val="-2146792136"/>
        <c:crosses val="autoZero"/>
        <c:crossBetween val="midCat"/>
        <c:majorUnit val="4"/>
      </c:valAx>
      <c:valAx>
        <c:axId val="-2146792136"/>
        <c:scaling>
          <c:orientation val="minMax"/>
          <c:max val="10"/>
          <c:min val="0"/>
        </c:scaling>
        <c:delete val="0"/>
        <c:axPos val="l"/>
        <c:title>
          <c:tx>
            <c:rich>
              <a:bodyPr/>
              <a:lstStyle/>
              <a:p>
                <a:pPr>
                  <a:defRPr/>
                </a:pPr>
                <a:r>
                  <a:rPr lang="sl-SI"/>
                  <a:t>BDS,  </a:t>
                </a:r>
                <a:r>
                  <a:rPr lang="el-GR"/>
                  <a:t>μ</a:t>
                </a:r>
                <a:r>
                  <a:rPr lang="sl-SI"/>
                  <a:t>V</a:t>
                </a:r>
              </a:p>
            </c:rich>
          </c:tx>
          <c:overlay val="0"/>
          <c:spPr>
            <a:noFill/>
            <a:ln w="25400">
              <a:noFill/>
            </a:ln>
          </c:spPr>
        </c:title>
        <c:numFmt formatCode="General" sourceLinked="1"/>
        <c:majorTickMark val="out"/>
        <c:minorTickMark val="none"/>
        <c:tickLblPos val="nextTo"/>
        <c:spPr>
          <a:ln>
            <a:solidFill>
              <a:schemeClr val="tx1"/>
            </a:solidFill>
          </a:ln>
        </c:spPr>
        <c:txPr>
          <a:bodyPr rot="0" vert="horz"/>
          <a:lstStyle/>
          <a:p>
            <a:pPr>
              <a:defRPr/>
            </a:pPr>
            <a:endParaRPr lang="en-US"/>
          </a:p>
        </c:txPr>
        <c:crossAx val="-2146520376"/>
        <c:crosses val="autoZero"/>
        <c:crossBetween val="midCat"/>
        <c:majorUnit val="2"/>
      </c:valAx>
      <c:spPr>
        <a:ln>
          <a:solidFill>
            <a:schemeClr val="tx1"/>
          </a:solidFill>
        </a:ln>
      </c:spPr>
    </c:plotArea>
    <c:plotVisOnly val="1"/>
    <c:dispBlanksAs val="gap"/>
    <c:showDLblsOverMax val="0"/>
  </c:chart>
  <c:spPr>
    <a:ln>
      <a:noFill/>
    </a:ln>
  </c:spPr>
  <c:txPr>
    <a:bodyPr/>
    <a:lstStyle/>
    <a:p>
      <a:pPr>
        <a:defRPr sz="800" b="0" i="0" u="none" strike="noStrike" baseline="0">
          <a:solidFill>
            <a:srgbClr val="000000"/>
          </a:solidFill>
          <a:latin typeface="Arial" panose="020B0604020202020204" pitchFamily="34" charset="0"/>
          <a:ea typeface="Times New Roman"/>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9.8451002215935599E-2"/>
          <c:y val="1.02489073986266E-2"/>
          <c:w val="0.85537410483195042"/>
          <c:h val="0.80674486469515994"/>
        </c:manualLayout>
      </c:layout>
      <c:scatterChart>
        <c:scatterStyle val="lineMarker"/>
        <c:varyColors val="0"/>
        <c:ser>
          <c:idx val="0"/>
          <c:order val="0"/>
          <c:spPr>
            <a:ln w="47625">
              <a:noFill/>
            </a:ln>
          </c:spPr>
          <c:marker>
            <c:symbol val="diamond"/>
            <c:size val="3"/>
            <c:spPr>
              <a:solidFill>
                <a:srgbClr val="000000"/>
              </a:solidFill>
              <a:ln>
                <a:solidFill>
                  <a:srgbClr val="000000"/>
                </a:solidFill>
                <a:prstDash val="solid"/>
              </a:ln>
              <a:effectLst>
                <a:outerShdw dist="35921" dir="2700000" algn="br">
                  <a:srgbClr val="000000"/>
                </a:outerShdw>
              </a:effectLst>
            </c:spPr>
          </c:marker>
          <c:trendline>
            <c:trendlineType val="linear"/>
            <c:forward val="100"/>
            <c:dispRSqr val="1"/>
            <c:dispEq val="1"/>
            <c:trendlineLbl>
              <c:layout>
                <c:manualLayout>
                  <c:x val="-6.4323263888888885E-2"/>
                  <c:y val="0.56545555352092614"/>
                </c:manualLayout>
              </c:layout>
              <c:numFmt formatCode="General" sourceLinked="0"/>
              <c:spPr>
                <a:noFill/>
                <a:ln w="25400">
                  <a:noFill/>
                </a:ln>
              </c:spPr>
            </c:trendlineLbl>
          </c:trendline>
          <c:errBars>
            <c:errDir val="y"/>
            <c:errBarType val="both"/>
            <c:errValType val="cust"/>
            <c:noEndCap val="0"/>
            <c:plus>
              <c:numRef>
                <c:f>'\Моя папка\UNG\Conferences\ACSi\UNG\2 year\EXCEL\[Fe3 range 0-20mikroMx2.xlsx]graph'!$E$2</c:f>
                <c:numCache>
                  <c:formatCode>General</c:formatCode>
                  <c:ptCount val="1"/>
                </c:numCache>
              </c:numRef>
            </c:plus>
            <c:minus>
              <c:numRef>
                <c:f>'\Моя папка\UNG\Conferences\ACSi\UNG\2 year\EXCEL\[Fe3 range 0-20mikroMx2.xlsx]graph'!$E$2</c:f>
                <c:numCache>
                  <c:formatCode>General</c:formatCode>
                  <c:ptCount val="1"/>
                </c:numCache>
              </c:numRef>
            </c:minus>
            <c:spPr>
              <a:ln w="12700">
                <a:solidFill>
                  <a:srgbClr val="000000"/>
                </a:solidFill>
                <a:prstDash val="solid"/>
              </a:ln>
            </c:spPr>
          </c:errBars>
          <c:xVal>
            <c:numRef>
              <c:f>'\Моя папка\UNG\Conferences\ACSi\UNG\2 year\EXCEL\[Fe3 range 0-20mikroMx2.xlsx]graph'!$A$2:$A$7</c:f>
              <c:numCache>
                <c:formatCode>General</c:formatCode>
                <c:ptCount val="6"/>
                <c:pt idx="0">
                  <c:v>0</c:v>
                </c:pt>
                <c:pt idx="1">
                  <c:v>4</c:v>
                </c:pt>
                <c:pt idx="2">
                  <c:v>8</c:v>
                </c:pt>
                <c:pt idx="3">
                  <c:v>12</c:v>
                </c:pt>
                <c:pt idx="4">
                  <c:v>16</c:v>
                </c:pt>
                <c:pt idx="5">
                  <c:v>20</c:v>
                </c:pt>
              </c:numCache>
            </c:numRef>
          </c:xVal>
          <c:yVal>
            <c:numRef>
              <c:f>'\Моя папка\UNG\Conferences\ACSi\UNG\2 year\EXCEL\[Fe3 range 0-20mikroMx2.xlsx]graph'!$D$2:$D$7</c:f>
              <c:numCache>
                <c:formatCode>General</c:formatCode>
                <c:ptCount val="6"/>
                <c:pt idx="0">
                  <c:v>0</c:v>
                </c:pt>
                <c:pt idx="1">
                  <c:v>0.7918365608333352</c:v>
                </c:pt>
                <c:pt idx="2">
                  <c:v>2.2410642330555732</c:v>
                </c:pt>
                <c:pt idx="3">
                  <c:v>3.3723117469444568</c:v>
                </c:pt>
                <c:pt idx="4">
                  <c:v>4.4633776219444581</c:v>
                </c:pt>
                <c:pt idx="5">
                  <c:v>5.8226986497222484</c:v>
                </c:pt>
              </c:numCache>
            </c:numRef>
          </c:yVal>
          <c:smooth val="0"/>
          <c:extLst>
            <c:ext xmlns:c16="http://schemas.microsoft.com/office/drawing/2014/chart" uri="{C3380CC4-5D6E-409C-BE32-E72D297353CC}">
              <c16:uniqueId val="{00000000-AFC5-4011-9676-037B76D958F5}"/>
            </c:ext>
          </c:extLst>
        </c:ser>
        <c:dLbls>
          <c:showLegendKey val="0"/>
          <c:showVal val="0"/>
          <c:showCatName val="0"/>
          <c:showSerName val="0"/>
          <c:showPercent val="0"/>
          <c:showBubbleSize val="0"/>
        </c:dLbls>
        <c:axId val="-2146316488"/>
        <c:axId val="-2146310136"/>
      </c:scatterChart>
      <c:valAx>
        <c:axId val="-2146316488"/>
        <c:scaling>
          <c:orientation val="minMax"/>
          <c:max val="24"/>
          <c:min val="0"/>
        </c:scaling>
        <c:delete val="0"/>
        <c:axPos val="b"/>
        <c:title>
          <c:tx>
            <c:rich>
              <a:bodyPr/>
              <a:lstStyle/>
              <a:p>
                <a:pPr>
                  <a:defRPr/>
                </a:pPr>
                <a:r>
                  <a:rPr lang="en-US"/>
                  <a:t>C, </a:t>
                </a:r>
                <a:r>
                  <a:rPr lang="el-GR"/>
                  <a:t>μM</a:t>
                </a:r>
                <a:endParaRPr lang="en-US"/>
              </a:p>
            </c:rich>
          </c:tx>
          <c:overlay val="0"/>
          <c:spPr>
            <a:noFill/>
            <a:ln w="25400">
              <a:noFill/>
            </a:ln>
          </c:spPr>
        </c:title>
        <c:numFmt formatCode="General" sourceLinked="1"/>
        <c:majorTickMark val="out"/>
        <c:minorTickMark val="none"/>
        <c:tickLblPos val="nextTo"/>
        <c:spPr>
          <a:ln>
            <a:solidFill>
              <a:schemeClr val="tx1"/>
            </a:solidFill>
          </a:ln>
        </c:spPr>
        <c:txPr>
          <a:bodyPr rot="0" vert="horz"/>
          <a:lstStyle/>
          <a:p>
            <a:pPr>
              <a:defRPr/>
            </a:pPr>
            <a:endParaRPr lang="en-US"/>
          </a:p>
        </c:txPr>
        <c:crossAx val="-2146310136"/>
        <c:crosses val="autoZero"/>
        <c:crossBetween val="midCat"/>
        <c:majorUnit val="4"/>
      </c:valAx>
      <c:valAx>
        <c:axId val="-2146310136"/>
        <c:scaling>
          <c:orientation val="minMax"/>
          <c:max val="10"/>
          <c:min val="0"/>
        </c:scaling>
        <c:delete val="0"/>
        <c:axPos val="l"/>
        <c:title>
          <c:tx>
            <c:rich>
              <a:bodyPr/>
              <a:lstStyle/>
              <a:p>
                <a:pPr>
                  <a:defRPr/>
                </a:pPr>
                <a:r>
                  <a:rPr lang="sl-SI"/>
                  <a:t>BDS,  </a:t>
                </a:r>
                <a:r>
                  <a:rPr lang="el-GR"/>
                  <a:t>μ</a:t>
                </a:r>
                <a:r>
                  <a:rPr lang="sl-SI"/>
                  <a:t>V</a:t>
                </a:r>
              </a:p>
            </c:rich>
          </c:tx>
          <c:overlay val="0"/>
          <c:spPr>
            <a:noFill/>
            <a:ln w="25400">
              <a:noFill/>
            </a:ln>
          </c:spPr>
        </c:title>
        <c:numFmt formatCode="General" sourceLinked="1"/>
        <c:majorTickMark val="out"/>
        <c:minorTickMark val="none"/>
        <c:tickLblPos val="nextTo"/>
        <c:spPr>
          <a:ln>
            <a:solidFill>
              <a:schemeClr val="tx1"/>
            </a:solidFill>
          </a:ln>
        </c:spPr>
        <c:txPr>
          <a:bodyPr rot="0" vert="horz"/>
          <a:lstStyle/>
          <a:p>
            <a:pPr>
              <a:defRPr/>
            </a:pPr>
            <a:endParaRPr lang="en-US"/>
          </a:p>
        </c:txPr>
        <c:crossAx val="-2146316488"/>
        <c:crosses val="autoZero"/>
        <c:crossBetween val="midCat"/>
        <c:majorUnit val="2"/>
      </c:valAx>
      <c:spPr>
        <a:ln>
          <a:solidFill>
            <a:schemeClr val="tx1"/>
          </a:solidFill>
        </a:ln>
      </c:spPr>
    </c:plotArea>
    <c:plotVisOnly val="1"/>
    <c:dispBlanksAs val="gap"/>
    <c:showDLblsOverMax val="0"/>
  </c:chart>
  <c:spPr>
    <a:ln>
      <a:noFill/>
    </a:ln>
  </c:spPr>
  <c:txPr>
    <a:bodyPr/>
    <a:lstStyle/>
    <a:p>
      <a:pPr>
        <a:defRPr sz="800" b="0" i="0" u="none" strike="noStrike" baseline="0">
          <a:solidFill>
            <a:srgbClr val="000000"/>
          </a:solidFill>
          <a:latin typeface="Arial" panose="020B0604020202020204" pitchFamily="34" charset="0"/>
          <a:ea typeface="Times New Roman"/>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a:t>a.Fe (II) distribution</a:t>
            </a:r>
          </a:p>
        </c:rich>
      </c:tx>
      <c:layout>
        <c:manualLayout>
          <c:xMode val="edge"/>
          <c:yMode val="edge"/>
          <c:x val="0.19890333361101178"/>
          <c:y val="0"/>
        </c:manualLayout>
      </c:layout>
      <c:overlay val="0"/>
    </c:title>
    <c:autoTitleDeleted val="0"/>
    <c:view3D>
      <c:rotX val="90"/>
      <c:rotY val="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341872761217799"/>
          <c:y val="5.8635145161254107E-2"/>
          <c:w val="0.67637708075051584"/>
          <c:h val="0.57548420497874442"/>
        </c:manualLayout>
      </c:layout>
      <c:surfaceChart>
        <c:wireframe val="0"/>
        <c:ser>
          <c:idx val="1"/>
          <c:order val="0"/>
          <c:tx>
            <c:strRef>
              <c:f>'Fe 2'!$A$3</c:f>
              <c:strCache>
                <c:ptCount val="1"/>
                <c:pt idx="0">
                  <c:v>0</c:v>
                </c:pt>
              </c:strCache>
            </c:strRef>
          </c:tx>
          <c:spPr>
            <a:solidFill>
              <a:schemeClr val="accent6">
                <a:tint val="86000"/>
              </a:schemeClr>
            </a:solidFill>
            <a:ln/>
            <a:effectLst/>
            <a:sp3d/>
          </c:spPr>
          <c:cat>
            <c:numRef>
              <c:f>'Fe 2'!$B$2:$E$2</c:f>
              <c:numCache>
                <c:formatCode>General</c:formatCode>
                <c:ptCount val="4"/>
                <c:pt idx="0">
                  <c:v>0</c:v>
                </c:pt>
                <c:pt idx="1">
                  <c:v>0.6</c:v>
                </c:pt>
                <c:pt idx="2">
                  <c:v>1.2</c:v>
                </c:pt>
                <c:pt idx="3">
                  <c:v>1.8</c:v>
                </c:pt>
              </c:numCache>
            </c:numRef>
          </c:cat>
          <c:val>
            <c:numRef>
              <c:f>'Fe 2'!$B$3:$E$3</c:f>
              <c:numCache>
                <c:formatCode>General</c:formatCode>
                <c:ptCount val="4"/>
                <c:pt idx="0">
                  <c:v>2.1</c:v>
                </c:pt>
                <c:pt idx="1">
                  <c:v>2.1</c:v>
                </c:pt>
                <c:pt idx="2">
                  <c:v>1.9</c:v>
                </c:pt>
                <c:pt idx="3">
                  <c:v>1.9</c:v>
                </c:pt>
              </c:numCache>
            </c:numRef>
          </c:val>
          <c:extLst>
            <c:ext xmlns:c16="http://schemas.microsoft.com/office/drawing/2014/chart" uri="{C3380CC4-5D6E-409C-BE32-E72D297353CC}">
              <c16:uniqueId val="{00000000-172F-4C02-9B67-84E7C5178A00}"/>
            </c:ext>
          </c:extLst>
        </c:ser>
        <c:ser>
          <c:idx val="2"/>
          <c:order val="1"/>
          <c:tx>
            <c:strRef>
              <c:f>'Fe 2'!$A$4</c:f>
              <c:strCache>
                <c:ptCount val="1"/>
                <c:pt idx="0">
                  <c:v>-2.5</c:v>
                </c:pt>
              </c:strCache>
            </c:strRef>
          </c:tx>
          <c:spPr>
            <a:solidFill>
              <a:schemeClr val="accent6">
                <a:shade val="86000"/>
              </a:schemeClr>
            </a:solidFill>
            <a:ln/>
            <a:effectLst/>
            <a:sp3d/>
          </c:spPr>
          <c:cat>
            <c:numRef>
              <c:f>'Fe 2'!$B$2:$E$2</c:f>
              <c:numCache>
                <c:formatCode>General</c:formatCode>
                <c:ptCount val="4"/>
                <c:pt idx="0">
                  <c:v>0</c:v>
                </c:pt>
                <c:pt idx="1">
                  <c:v>0.6</c:v>
                </c:pt>
                <c:pt idx="2">
                  <c:v>1.2</c:v>
                </c:pt>
                <c:pt idx="3">
                  <c:v>1.8</c:v>
                </c:pt>
              </c:numCache>
            </c:numRef>
          </c:cat>
          <c:val>
            <c:numRef>
              <c:f>'Fe 2'!$B$4:$E$4</c:f>
              <c:numCache>
                <c:formatCode>General</c:formatCode>
                <c:ptCount val="4"/>
                <c:pt idx="0">
                  <c:v>2.2999999999999998</c:v>
                </c:pt>
                <c:pt idx="1">
                  <c:v>2.2999999999999998</c:v>
                </c:pt>
                <c:pt idx="2">
                  <c:v>0</c:v>
                </c:pt>
                <c:pt idx="3">
                  <c:v>0</c:v>
                </c:pt>
              </c:numCache>
            </c:numRef>
          </c:val>
          <c:extLst>
            <c:ext xmlns:c16="http://schemas.microsoft.com/office/drawing/2014/chart" uri="{C3380CC4-5D6E-409C-BE32-E72D297353CC}">
              <c16:uniqueId val="{00000001-172F-4C02-9B67-84E7C5178A00}"/>
            </c:ext>
          </c:extLst>
        </c:ser>
        <c:ser>
          <c:idx val="3"/>
          <c:order val="2"/>
          <c:tx>
            <c:strRef>
              <c:f>'Fe 2'!$A$5</c:f>
              <c:strCache>
                <c:ptCount val="1"/>
                <c:pt idx="0">
                  <c:v>-5</c:v>
                </c:pt>
              </c:strCache>
            </c:strRef>
          </c:tx>
          <c:spPr>
            <a:solidFill>
              <a:schemeClr val="accent6">
                <a:shade val="58000"/>
              </a:schemeClr>
            </a:solidFill>
            <a:ln/>
            <a:effectLst/>
            <a:sp3d/>
          </c:spPr>
          <c:cat>
            <c:numRef>
              <c:f>'Fe 2'!$B$2:$E$2</c:f>
              <c:numCache>
                <c:formatCode>General</c:formatCode>
                <c:ptCount val="4"/>
                <c:pt idx="0">
                  <c:v>0</c:v>
                </c:pt>
                <c:pt idx="1">
                  <c:v>0.6</c:v>
                </c:pt>
                <c:pt idx="2">
                  <c:v>1.2</c:v>
                </c:pt>
                <c:pt idx="3">
                  <c:v>1.8</c:v>
                </c:pt>
              </c:numCache>
            </c:numRef>
          </c:cat>
          <c:val>
            <c:numRef>
              <c:f>'Fe 2'!$B$5:$E$5</c:f>
              <c:numCache>
                <c:formatCode>General</c:formatCode>
                <c:ptCount val="4"/>
                <c:pt idx="0">
                  <c:v>2.2999999999999998</c:v>
                </c:pt>
                <c:pt idx="1">
                  <c:v>2.2999999999999998</c:v>
                </c:pt>
                <c:pt idx="2">
                  <c:v>0</c:v>
                </c:pt>
                <c:pt idx="3">
                  <c:v>0</c:v>
                </c:pt>
              </c:numCache>
            </c:numRef>
          </c:val>
          <c:extLst>
            <c:ext xmlns:c16="http://schemas.microsoft.com/office/drawing/2014/chart" uri="{C3380CC4-5D6E-409C-BE32-E72D297353CC}">
              <c16:uniqueId val="{00000002-172F-4C02-9B67-84E7C5178A00}"/>
            </c:ext>
          </c:extLst>
        </c:ser>
        <c:ser>
          <c:idx val="0"/>
          <c:order val="3"/>
          <c:tx>
            <c:strRef>
              <c:f>'Fe 2'!$A$6</c:f>
              <c:strCache>
                <c:ptCount val="1"/>
              </c:strCache>
            </c:strRef>
          </c:tx>
          <c:spPr>
            <a:solidFill>
              <a:schemeClr val="accent6">
                <a:tint val="58000"/>
              </a:schemeClr>
            </a:solidFill>
            <a:ln/>
            <a:effectLst/>
            <a:sp3d/>
          </c:spPr>
          <c:cat>
            <c:numRef>
              <c:f>'Fe 2'!$B$2:$E$2</c:f>
              <c:numCache>
                <c:formatCode>General</c:formatCode>
                <c:ptCount val="4"/>
                <c:pt idx="0">
                  <c:v>0</c:v>
                </c:pt>
                <c:pt idx="1">
                  <c:v>0.6</c:v>
                </c:pt>
                <c:pt idx="2">
                  <c:v>1.2</c:v>
                </c:pt>
                <c:pt idx="3">
                  <c:v>1.8</c:v>
                </c:pt>
              </c:numCache>
            </c:numRef>
          </c:cat>
          <c:val>
            <c:numRef>
              <c:f>'Fe 2'!$B$6:$E$6</c:f>
              <c:numCache>
                <c:formatCode>General</c:formatCode>
                <c:ptCount val="4"/>
                <c:pt idx="0">
                  <c:v>2.5</c:v>
                </c:pt>
                <c:pt idx="1">
                  <c:v>2.5</c:v>
                </c:pt>
                <c:pt idx="2">
                  <c:v>1.5</c:v>
                </c:pt>
                <c:pt idx="3">
                  <c:v>0</c:v>
                </c:pt>
              </c:numCache>
            </c:numRef>
          </c:val>
          <c:extLst>
            <c:ext xmlns:c16="http://schemas.microsoft.com/office/drawing/2014/chart" uri="{C3380CC4-5D6E-409C-BE32-E72D297353CC}">
              <c16:uniqueId val="{00000003-172F-4C02-9B67-84E7C5178A00}"/>
            </c:ext>
          </c:extLst>
        </c:ser>
        <c:bandFmts>
          <c:bandFmt>
            <c:idx val="0"/>
            <c:spPr>
              <a:solidFill>
                <a:schemeClr val="accent6">
                  <a:lumMod val="20000"/>
                  <a:lumOff val="80000"/>
                </a:schemeClr>
              </a:solidFill>
              <a:ln>
                <a:solidFill>
                  <a:schemeClr val="tx1"/>
                </a:solidFill>
              </a:ln>
              <a:effectLst/>
              <a:sp3d>
                <a:contourClr>
                  <a:schemeClr val="tx1"/>
                </a:contourClr>
              </a:sp3d>
            </c:spPr>
          </c:bandFmt>
          <c:bandFmt>
            <c:idx val="1"/>
            <c:spPr>
              <a:solidFill>
                <a:schemeClr val="accent6">
                  <a:lumMod val="60000"/>
                  <a:lumOff val="40000"/>
                </a:schemeClr>
              </a:solidFill>
              <a:ln cap="sq">
                <a:solidFill>
                  <a:schemeClr val="tx1"/>
                </a:solidFill>
              </a:ln>
              <a:effectLst/>
              <a:sp3d>
                <a:contourClr>
                  <a:schemeClr val="tx1"/>
                </a:contourClr>
              </a:sp3d>
            </c:spPr>
          </c:bandFmt>
          <c:bandFmt>
            <c:idx val="2"/>
            <c:spPr>
              <a:solidFill>
                <a:schemeClr val="accent6">
                  <a:lumMod val="50000"/>
                </a:schemeClr>
              </a:solidFill>
              <a:ln>
                <a:solidFill>
                  <a:schemeClr val="tx1"/>
                </a:solidFill>
              </a:ln>
              <a:effectLst/>
              <a:sp3d>
                <a:contourClr>
                  <a:schemeClr val="tx1"/>
                </a:contourClr>
              </a:sp3d>
            </c:spPr>
          </c:bandFmt>
          <c:bandFmt>
            <c:idx val="3"/>
            <c:spPr>
              <a:solidFill>
                <a:schemeClr val="accent6">
                  <a:shade val="58000"/>
                </a:schemeClr>
              </a:solidFill>
              <a:ln/>
              <a:effectLst/>
              <a:sp3d/>
            </c:spPr>
          </c:bandFmt>
          <c:bandFmt>
            <c:idx val="4"/>
            <c:spPr>
              <a:solidFill>
                <a:schemeClr val="accent6">
                  <a:shade val="58000"/>
                </a:schemeClr>
              </a:solidFill>
              <a:ln/>
              <a:effectLst/>
              <a:sp3d/>
            </c:spPr>
          </c:bandFmt>
          <c:bandFmt>
            <c:idx val="5"/>
            <c:spPr>
              <a:solidFill>
                <a:schemeClr val="accent6">
                  <a:shade val="58000"/>
                </a:schemeClr>
              </a:solidFill>
              <a:ln/>
              <a:effectLst/>
              <a:sp3d/>
            </c:spPr>
          </c:bandFmt>
          <c:bandFmt>
            <c:idx val="6"/>
            <c:spPr>
              <a:solidFill>
                <a:schemeClr val="accent6">
                  <a:shade val="58000"/>
                </a:schemeClr>
              </a:solidFill>
              <a:ln/>
              <a:effectLst/>
              <a:sp3d/>
            </c:spPr>
          </c:bandFmt>
          <c:bandFmt>
            <c:idx val="7"/>
            <c:spPr>
              <a:solidFill>
                <a:schemeClr val="accent6">
                  <a:shade val="58000"/>
                </a:schemeClr>
              </a:solidFill>
              <a:ln/>
              <a:effectLst/>
              <a:sp3d/>
            </c:spPr>
          </c:bandFmt>
          <c:bandFmt>
            <c:idx val="8"/>
            <c:spPr>
              <a:solidFill>
                <a:schemeClr val="accent6">
                  <a:shade val="58000"/>
                </a:schemeClr>
              </a:solidFill>
              <a:ln/>
              <a:effectLst/>
              <a:sp3d/>
            </c:spPr>
          </c:bandFmt>
          <c:bandFmt>
            <c:idx val="9"/>
            <c:spPr>
              <a:solidFill>
                <a:schemeClr val="accent6">
                  <a:shade val="58000"/>
                </a:schemeClr>
              </a:solidFill>
              <a:ln/>
              <a:effectLst/>
              <a:sp3d/>
            </c:spPr>
          </c:bandFmt>
          <c:bandFmt>
            <c:idx val="10"/>
            <c:spPr>
              <a:solidFill>
                <a:schemeClr val="accent6">
                  <a:shade val="58000"/>
                </a:schemeClr>
              </a:solidFill>
              <a:ln/>
              <a:effectLst/>
              <a:sp3d/>
            </c:spPr>
          </c:bandFmt>
          <c:bandFmt>
            <c:idx val="11"/>
            <c:spPr>
              <a:solidFill>
                <a:schemeClr val="accent6">
                  <a:shade val="58000"/>
                </a:schemeClr>
              </a:solidFill>
              <a:ln/>
              <a:effectLst/>
              <a:sp3d/>
            </c:spPr>
          </c:bandFmt>
          <c:bandFmt>
            <c:idx val="12"/>
            <c:spPr>
              <a:solidFill>
                <a:schemeClr val="accent6">
                  <a:shade val="58000"/>
                </a:schemeClr>
              </a:solidFill>
              <a:ln/>
              <a:effectLst/>
              <a:sp3d/>
            </c:spPr>
          </c:bandFmt>
          <c:bandFmt>
            <c:idx val="13"/>
            <c:spPr>
              <a:solidFill>
                <a:schemeClr val="accent6">
                  <a:shade val="58000"/>
                </a:schemeClr>
              </a:solidFill>
              <a:ln/>
              <a:effectLst/>
              <a:sp3d/>
            </c:spPr>
          </c:bandFmt>
          <c:bandFmt>
            <c:idx val="14"/>
            <c:spPr>
              <a:solidFill>
                <a:schemeClr val="accent6">
                  <a:shade val="58000"/>
                </a:schemeClr>
              </a:solidFill>
              <a:ln/>
              <a:effectLst/>
              <a:sp3d/>
            </c:spPr>
          </c:bandFmt>
        </c:bandFmts>
        <c:axId val="677587759"/>
        <c:axId val="677590255"/>
        <c:axId val="679233583"/>
      </c:surfaceChart>
      <c:catAx>
        <c:axId val="677587759"/>
        <c:scaling>
          <c:orientation val="minMax"/>
        </c:scaling>
        <c:delete val="0"/>
        <c:axPos val="b"/>
        <c:title>
          <c:tx>
            <c:rich>
              <a:bodyPr rot="0" vert="horz"/>
              <a:lstStyle/>
              <a:p>
                <a:pPr>
                  <a:defRPr/>
                </a:pPr>
                <a:r>
                  <a:rPr lang="en-US"/>
                  <a:t>Width, cm</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77590255"/>
        <c:crosses val="autoZero"/>
        <c:auto val="1"/>
        <c:lblAlgn val="ctr"/>
        <c:lblOffset val="100"/>
        <c:noMultiLvlLbl val="0"/>
      </c:catAx>
      <c:valAx>
        <c:axId val="677590255"/>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one"/>
        <c:spPr>
          <a:solidFill>
            <a:schemeClr val="tx1"/>
          </a:solidFill>
          <a:ln>
            <a:noFill/>
          </a:ln>
          <a:effectLst/>
        </c:spPr>
        <c:txPr>
          <a:bodyPr rot="-60000000" vert="horz"/>
          <a:lstStyle/>
          <a:p>
            <a:pPr>
              <a:defRPr/>
            </a:pPr>
            <a:endParaRPr lang="en-US"/>
          </a:p>
        </c:txPr>
        <c:crossAx val="677587759"/>
        <c:crosses val="autoZero"/>
        <c:crossBetween val="midCat"/>
        <c:majorUnit val="1"/>
      </c:valAx>
      <c:serAx>
        <c:axId val="679233583"/>
        <c:scaling>
          <c:orientation val="maxMin"/>
        </c:scaling>
        <c:delete val="0"/>
        <c:axPos val="b"/>
        <c:majorGridlines>
          <c:spPr>
            <a:ln w="9525" cap="flat" cmpd="sng" algn="ctr">
              <a:noFill/>
              <a:round/>
            </a:ln>
            <a:effectLst/>
          </c:spPr>
        </c:majorGridlines>
        <c:minorGridlines>
          <c:spPr>
            <a:ln w="9525" cap="flat" cmpd="sng" algn="ctr">
              <a:noFill/>
              <a:round/>
            </a:ln>
            <a:effectLst/>
          </c:spPr>
        </c:minorGridlines>
        <c:title>
          <c:tx>
            <c:rich>
              <a:bodyPr rot="-5400000" vert="horz"/>
              <a:lstStyle/>
              <a:p>
                <a:pPr>
                  <a:defRPr/>
                </a:pPr>
                <a:r>
                  <a:rPr lang="en-US"/>
                  <a:t>Depth, cm</a:t>
                </a:r>
              </a:p>
            </c:rich>
          </c:tx>
          <c:layout>
            <c:manualLayout>
              <c:xMode val="edge"/>
              <c:yMode val="edge"/>
              <c:x val="0.90299108652296001"/>
              <c:y val="0.263175722598606"/>
            </c:manualLayout>
          </c:layout>
          <c:overlay val="0"/>
          <c:spPr>
            <a:noFill/>
            <a:ln>
              <a:noFill/>
            </a:ln>
            <a:effectLst/>
          </c:spPr>
        </c:title>
        <c:numFmt formatCode="General" sourceLinked="0"/>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77590255"/>
        <c:crosses val="autoZero"/>
      </c:serAx>
      <c:spPr>
        <a:noFill/>
        <a:ln>
          <a:noFill/>
        </a:ln>
        <a:effectLst/>
      </c:spPr>
    </c:plotArea>
    <c:legend>
      <c:legendPos val="b"/>
      <c:layout>
        <c:manualLayout>
          <c:xMode val="edge"/>
          <c:yMode val="edge"/>
          <c:x val="0.24147486438676352"/>
          <c:y val="0.90252732569891458"/>
          <c:w val="0.4392594806760326"/>
          <c:h val="6.9417050529209323E-2"/>
        </c:manualLayout>
      </c:layout>
      <c:overlay val="0"/>
      <c:spPr>
        <a:noFill/>
        <a:ln>
          <a:noFill/>
        </a:ln>
        <a:effectLst/>
      </c:spPr>
      <c:txPr>
        <a:bodyPr rot="0"/>
        <a:lstStyle/>
        <a:p>
          <a:pPr rtl="0">
            <a:defRPr/>
          </a:pPr>
          <a:endParaRPr lang="en-US"/>
        </a:p>
      </c:txPr>
    </c:legend>
    <c:plotVisOnly val="1"/>
    <c:dispBlanksAs val="zero"/>
    <c:showDLblsOverMax val="0"/>
  </c:chart>
  <c:spPr>
    <a:solidFill>
      <a:schemeClr val="bg1"/>
    </a:solidFill>
    <a:ln w="9525" cap="flat" cmpd="sng" algn="ctr">
      <a:noFill/>
      <a:round/>
    </a:ln>
    <a:effectLst/>
  </c:spPr>
  <c:txPr>
    <a:bodyPr/>
    <a:lstStyle/>
    <a:p>
      <a:pPr>
        <a:defRPr sz="800" b="0">
          <a:solidFill>
            <a:schemeClr val="tx1"/>
          </a:solidFill>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b.Total Fe distribution</a:t>
            </a:r>
          </a:p>
        </c:rich>
      </c:tx>
      <c:layout>
        <c:manualLayout>
          <c:xMode val="edge"/>
          <c:yMode val="edge"/>
          <c:x val="0.18027764574441499"/>
          <c:y val="8.1459758879113726E-3"/>
        </c:manualLayout>
      </c:layout>
      <c:overlay val="0"/>
    </c:title>
    <c:autoTitleDeleted val="0"/>
    <c:view3D>
      <c:rotX val="90"/>
      <c:rotY val="0"/>
      <c:rAngAx val="0"/>
      <c:perspective val="0"/>
    </c:view3D>
    <c:floor>
      <c:thickness val="0"/>
      <c:spPr>
        <a:noFill/>
        <a:ln w="6350" cap="flat" cmpd="sng" algn="ctr">
          <a:solidFill>
            <a:schemeClr val="tx1"/>
          </a:solidFill>
          <a:prstDash val="solid"/>
          <a:round/>
        </a:ln>
        <a:effectLst/>
        <a:sp3d contourW="6350">
          <a:contourClr>
            <a:schemeClr val="tx1"/>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525674636037111E-2"/>
          <c:y val="8.7144623784197045E-2"/>
          <c:w val="0.7448329764349032"/>
          <c:h val="0.66103568065721996"/>
        </c:manualLayout>
      </c:layout>
      <c:surfaceChart>
        <c:wireframe val="0"/>
        <c:ser>
          <c:idx val="0"/>
          <c:order val="0"/>
          <c:tx>
            <c:strRef>
              <c:f>'total Fe'!$F$3</c:f>
              <c:strCache>
                <c:ptCount val="1"/>
                <c:pt idx="0">
                  <c:v>0</c:v>
                </c:pt>
              </c:strCache>
            </c:strRef>
          </c:tx>
          <c:spPr>
            <a:solidFill>
              <a:schemeClr val="accent6"/>
            </a:solidFill>
            <a:ln/>
            <a:effectLst/>
            <a:sp3d/>
          </c:spPr>
          <c:cat>
            <c:numRef>
              <c:f>'total Fe'!$G$2:$J$2</c:f>
              <c:numCache>
                <c:formatCode>General</c:formatCode>
                <c:ptCount val="4"/>
                <c:pt idx="0">
                  <c:v>0</c:v>
                </c:pt>
                <c:pt idx="1">
                  <c:v>0.6</c:v>
                </c:pt>
                <c:pt idx="2">
                  <c:v>1.2</c:v>
                </c:pt>
                <c:pt idx="3">
                  <c:v>1.8</c:v>
                </c:pt>
              </c:numCache>
            </c:numRef>
          </c:cat>
          <c:val>
            <c:numRef>
              <c:f>'total Fe'!$G$3:$J$3</c:f>
              <c:numCache>
                <c:formatCode>General</c:formatCode>
                <c:ptCount val="4"/>
                <c:pt idx="0">
                  <c:v>3</c:v>
                </c:pt>
                <c:pt idx="1">
                  <c:v>3</c:v>
                </c:pt>
                <c:pt idx="2">
                  <c:v>8.4</c:v>
                </c:pt>
                <c:pt idx="3">
                  <c:v>2.2999999999999998</c:v>
                </c:pt>
              </c:numCache>
            </c:numRef>
          </c:val>
          <c:extLst>
            <c:ext xmlns:c16="http://schemas.microsoft.com/office/drawing/2014/chart" uri="{C3380CC4-5D6E-409C-BE32-E72D297353CC}">
              <c16:uniqueId val="{00000000-C451-46EB-B7C0-60D2953A65A1}"/>
            </c:ext>
          </c:extLst>
        </c:ser>
        <c:ser>
          <c:idx val="1"/>
          <c:order val="1"/>
          <c:tx>
            <c:strRef>
              <c:f>'total Fe'!$F$4</c:f>
              <c:strCache>
                <c:ptCount val="1"/>
                <c:pt idx="0">
                  <c:v>-2.5</c:v>
                </c:pt>
              </c:strCache>
            </c:strRef>
          </c:tx>
          <c:spPr>
            <a:solidFill>
              <a:schemeClr val="accent5"/>
            </a:solidFill>
            <a:ln/>
            <a:effectLst/>
            <a:sp3d/>
          </c:spPr>
          <c:cat>
            <c:numRef>
              <c:f>'total Fe'!$G$2:$J$2</c:f>
              <c:numCache>
                <c:formatCode>General</c:formatCode>
                <c:ptCount val="4"/>
                <c:pt idx="0">
                  <c:v>0</c:v>
                </c:pt>
                <c:pt idx="1">
                  <c:v>0.6</c:v>
                </c:pt>
                <c:pt idx="2">
                  <c:v>1.2</c:v>
                </c:pt>
                <c:pt idx="3">
                  <c:v>1.8</c:v>
                </c:pt>
              </c:numCache>
            </c:numRef>
          </c:cat>
          <c:val>
            <c:numRef>
              <c:f>'total Fe'!$G$4:$J$4</c:f>
              <c:numCache>
                <c:formatCode>General</c:formatCode>
                <c:ptCount val="4"/>
                <c:pt idx="0">
                  <c:v>10.1</c:v>
                </c:pt>
                <c:pt idx="1">
                  <c:v>10.1</c:v>
                </c:pt>
                <c:pt idx="2">
                  <c:v>10.8</c:v>
                </c:pt>
                <c:pt idx="3">
                  <c:v>7.8</c:v>
                </c:pt>
              </c:numCache>
            </c:numRef>
          </c:val>
          <c:extLst>
            <c:ext xmlns:c16="http://schemas.microsoft.com/office/drawing/2014/chart" uri="{C3380CC4-5D6E-409C-BE32-E72D297353CC}">
              <c16:uniqueId val="{00000001-C451-46EB-B7C0-60D2953A65A1}"/>
            </c:ext>
          </c:extLst>
        </c:ser>
        <c:ser>
          <c:idx val="2"/>
          <c:order val="2"/>
          <c:tx>
            <c:strRef>
              <c:f>'total Fe'!$F$5</c:f>
              <c:strCache>
                <c:ptCount val="1"/>
                <c:pt idx="0">
                  <c:v>-5</c:v>
                </c:pt>
              </c:strCache>
            </c:strRef>
          </c:tx>
          <c:spPr>
            <a:solidFill>
              <a:schemeClr val="accent4"/>
            </a:solidFill>
            <a:ln/>
            <a:effectLst/>
            <a:sp3d/>
          </c:spPr>
          <c:cat>
            <c:numRef>
              <c:f>'total Fe'!$G$2:$J$2</c:f>
              <c:numCache>
                <c:formatCode>General</c:formatCode>
                <c:ptCount val="4"/>
                <c:pt idx="0">
                  <c:v>0</c:v>
                </c:pt>
                <c:pt idx="1">
                  <c:v>0.6</c:v>
                </c:pt>
                <c:pt idx="2">
                  <c:v>1.2</c:v>
                </c:pt>
                <c:pt idx="3">
                  <c:v>1.8</c:v>
                </c:pt>
              </c:numCache>
            </c:numRef>
          </c:cat>
          <c:val>
            <c:numRef>
              <c:f>'total Fe'!$G$5:$J$5</c:f>
              <c:numCache>
                <c:formatCode>General</c:formatCode>
                <c:ptCount val="4"/>
                <c:pt idx="0">
                  <c:v>10.1</c:v>
                </c:pt>
                <c:pt idx="1">
                  <c:v>10.1</c:v>
                </c:pt>
                <c:pt idx="2">
                  <c:v>10.8</c:v>
                </c:pt>
                <c:pt idx="3">
                  <c:v>7.8</c:v>
                </c:pt>
              </c:numCache>
            </c:numRef>
          </c:val>
          <c:extLst>
            <c:ext xmlns:c16="http://schemas.microsoft.com/office/drawing/2014/chart" uri="{C3380CC4-5D6E-409C-BE32-E72D297353CC}">
              <c16:uniqueId val="{00000002-C451-46EB-B7C0-60D2953A65A1}"/>
            </c:ext>
          </c:extLst>
        </c:ser>
        <c:ser>
          <c:idx val="3"/>
          <c:order val="3"/>
          <c:tx>
            <c:strRef>
              <c:f>'total Fe'!$F$6</c:f>
              <c:strCache>
                <c:ptCount val="1"/>
                <c:pt idx="0">
                  <c:v>-7.5</c:v>
                </c:pt>
              </c:strCache>
            </c:strRef>
          </c:tx>
          <c:spPr>
            <a:solidFill>
              <a:schemeClr val="accent6">
                <a:lumMod val="60000"/>
              </a:schemeClr>
            </a:solidFill>
            <a:ln/>
            <a:effectLst/>
            <a:sp3d/>
          </c:spPr>
          <c:cat>
            <c:numRef>
              <c:f>'total Fe'!$G$2:$J$2</c:f>
              <c:numCache>
                <c:formatCode>General</c:formatCode>
                <c:ptCount val="4"/>
                <c:pt idx="0">
                  <c:v>0</c:v>
                </c:pt>
                <c:pt idx="1">
                  <c:v>0.6</c:v>
                </c:pt>
                <c:pt idx="2">
                  <c:v>1.2</c:v>
                </c:pt>
                <c:pt idx="3">
                  <c:v>1.8</c:v>
                </c:pt>
              </c:numCache>
            </c:numRef>
          </c:cat>
          <c:val>
            <c:numRef>
              <c:f>'total Fe'!$G$6:$J$6</c:f>
              <c:numCache>
                <c:formatCode>General</c:formatCode>
                <c:ptCount val="4"/>
                <c:pt idx="0">
                  <c:v>9.8000000000000007</c:v>
                </c:pt>
                <c:pt idx="1">
                  <c:v>9.8000000000000007</c:v>
                </c:pt>
                <c:pt idx="2">
                  <c:v>8.3000000000000007</c:v>
                </c:pt>
                <c:pt idx="3">
                  <c:v>8.4</c:v>
                </c:pt>
              </c:numCache>
            </c:numRef>
          </c:val>
          <c:extLst>
            <c:ext xmlns:c16="http://schemas.microsoft.com/office/drawing/2014/chart" uri="{C3380CC4-5D6E-409C-BE32-E72D297353CC}">
              <c16:uniqueId val="{00000003-C451-46EB-B7C0-60D2953A65A1}"/>
            </c:ext>
          </c:extLst>
        </c:ser>
        <c:ser>
          <c:idx val="4"/>
          <c:order val="4"/>
          <c:tx>
            <c:strRef>
              <c:f>'total Fe'!$F$7</c:f>
              <c:strCache>
                <c:ptCount val="1"/>
              </c:strCache>
            </c:strRef>
          </c:tx>
          <c:spPr>
            <a:solidFill>
              <a:schemeClr val="accent5">
                <a:lumMod val="60000"/>
              </a:schemeClr>
            </a:solidFill>
            <a:ln/>
            <a:effectLst/>
            <a:sp3d/>
          </c:spPr>
          <c:cat>
            <c:numRef>
              <c:f>'total Fe'!$G$2:$J$2</c:f>
              <c:numCache>
                <c:formatCode>General</c:formatCode>
                <c:ptCount val="4"/>
                <c:pt idx="0">
                  <c:v>0</c:v>
                </c:pt>
                <c:pt idx="1">
                  <c:v>0.6</c:v>
                </c:pt>
                <c:pt idx="2">
                  <c:v>1.2</c:v>
                </c:pt>
                <c:pt idx="3">
                  <c:v>1.8</c:v>
                </c:pt>
              </c:numCache>
            </c:numRef>
          </c:cat>
          <c:val>
            <c:numRef>
              <c:f>'total Fe'!$G$7:$J$7</c:f>
              <c:numCache>
                <c:formatCode>General</c:formatCode>
                <c:ptCount val="4"/>
                <c:pt idx="0">
                  <c:v>8.5</c:v>
                </c:pt>
                <c:pt idx="1">
                  <c:v>8.5</c:v>
                </c:pt>
                <c:pt idx="2">
                  <c:v>6.9</c:v>
                </c:pt>
                <c:pt idx="3">
                  <c:v>9.6999999999999993</c:v>
                </c:pt>
              </c:numCache>
            </c:numRef>
          </c:val>
          <c:extLst>
            <c:ext xmlns:c16="http://schemas.microsoft.com/office/drawing/2014/chart" uri="{C3380CC4-5D6E-409C-BE32-E72D297353CC}">
              <c16:uniqueId val="{00000004-C451-46EB-B7C0-60D2953A65A1}"/>
            </c:ext>
          </c:extLst>
        </c:ser>
        <c:bandFmts>
          <c:bandFmt>
            <c:idx val="0"/>
            <c:spPr>
              <a:solidFill>
                <a:schemeClr val="accent6"/>
              </a:solidFill>
              <a:ln>
                <a:solidFill>
                  <a:schemeClr val="tx1"/>
                </a:solidFill>
              </a:ln>
              <a:effectLst/>
              <a:sp3d>
                <a:contourClr>
                  <a:schemeClr val="tx1"/>
                </a:contourClr>
              </a:sp3d>
            </c:spPr>
          </c:bandFmt>
          <c:bandFmt>
            <c:idx val="1"/>
            <c:spPr>
              <a:solidFill>
                <a:schemeClr val="accent5"/>
              </a:solidFill>
              <a:ln>
                <a:solidFill>
                  <a:schemeClr val="tx1"/>
                </a:solidFill>
              </a:ln>
              <a:effectLst/>
              <a:sp3d>
                <a:contourClr>
                  <a:schemeClr val="tx1"/>
                </a:contourClr>
              </a:sp3d>
            </c:spPr>
          </c:bandFmt>
          <c:bandFmt>
            <c:idx val="2"/>
            <c:spPr>
              <a:solidFill>
                <a:schemeClr val="accent4"/>
              </a:solidFill>
              <a:ln>
                <a:solidFill>
                  <a:schemeClr val="tx1"/>
                </a:solidFill>
              </a:ln>
              <a:effectLst/>
              <a:sp3d>
                <a:contourClr>
                  <a:schemeClr val="tx1"/>
                </a:contourClr>
              </a:sp3d>
            </c:spPr>
          </c:bandFmt>
          <c:bandFmt>
            <c:idx val="3"/>
            <c:spPr>
              <a:solidFill>
                <a:schemeClr val="accent6">
                  <a:lumMod val="60000"/>
                </a:schemeClr>
              </a:solidFill>
              <a:ln/>
              <a:effectLst/>
              <a:sp3d/>
            </c:spPr>
          </c:bandFmt>
          <c:bandFmt>
            <c:idx val="4"/>
            <c:spPr>
              <a:solidFill>
                <a:schemeClr val="accent5">
                  <a:lumMod val="60000"/>
                </a:schemeClr>
              </a:solidFill>
              <a:ln/>
              <a:effectLst/>
              <a:sp3d/>
            </c:spPr>
          </c:bandFmt>
          <c:bandFmt>
            <c:idx val="5"/>
            <c:spPr>
              <a:solidFill>
                <a:schemeClr val="accent4">
                  <a:lumMod val="60000"/>
                </a:schemeClr>
              </a:solidFill>
              <a:ln/>
              <a:effectLst/>
              <a:sp3d/>
            </c:spPr>
          </c:bandFmt>
          <c:bandFmt>
            <c:idx val="6"/>
            <c:spPr>
              <a:solidFill>
                <a:schemeClr val="accent6">
                  <a:lumMod val="80000"/>
                  <a:lumOff val="20000"/>
                </a:schemeClr>
              </a:solidFill>
              <a:ln/>
              <a:effectLst/>
              <a:sp3d/>
            </c:spPr>
          </c:bandFmt>
          <c:bandFmt>
            <c:idx val="7"/>
            <c:spPr>
              <a:solidFill>
                <a:schemeClr val="accent5">
                  <a:lumMod val="80000"/>
                  <a:lumOff val="20000"/>
                </a:schemeClr>
              </a:solidFill>
              <a:ln/>
              <a:effectLst/>
              <a:sp3d/>
            </c:spPr>
          </c:bandFmt>
          <c:bandFmt>
            <c:idx val="8"/>
            <c:spPr>
              <a:solidFill>
                <a:schemeClr val="accent4">
                  <a:lumMod val="80000"/>
                  <a:lumOff val="20000"/>
                </a:schemeClr>
              </a:solidFill>
              <a:ln/>
              <a:effectLst/>
              <a:sp3d/>
            </c:spPr>
          </c:bandFmt>
          <c:bandFmt>
            <c:idx val="9"/>
            <c:spPr>
              <a:solidFill>
                <a:schemeClr val="accent6">
                  <a:lumMod val="80000"/>
                </a:schemeClr>
              </a:solidFill>
              <a:ln/>
              <a:effectLst/>
              <a:sp3d/>
            </c:spPr>
          </c:bandFmt>
          <c:bandFmt>
            <c:idx val="10"/>
            <c:spPr>
              <a:solidFill>
                <a:schemeClr val="accent5">
                  <a:lumMod val="80000"/>
                </a:schemeClr>
              </a:solidFill>
              <a:ln/>
              <a:effectLst/>
              <a:sp3d/>
            </c:spPr>
          </c:bandFmt>
          <c:bandFmt>
            <c:idx val="11"/>
            <c:spPr>
              <a:solidFill>
                <a:schemeClr val="accent4">
                  <a:lumMod val="80000"/>
                </a:schemeClr>
              </a:solidFill>
              <a:ln/>
              <a:effectLst/>
              <a:sp3d/>
            </c:spPr>
          </c:bandFmt>
          <c:bandFmt>
            <c:idx val="12"/>
            <c:spPr>
              <a:solidFill>
                <a:schemeClr val="accent6">
                  <a:lumMod val="60000"/>
                  <a:lumOff val="40000"/>
                </a:schemeClr>
              </a:solidFill>
              <a:ln/>
              <a:effectLst/>
              <a:sp3d/>
            </c:spPr>
          </c:bandFmt>
          <c:bandFmt>
            <c:idx val="13"/>
            <c:spPr>
              <a:solidFill>
                <a:schemeClr val="accent5">
                  <a:lumMod val="60000"/>
                  <a:lumOff val="40000"/>
                </a:schemeClr>
              </a:solidFill>
              <a:ln/>
              <a:effectLst/>
              <a:sp3d/>
            </c:spPr>
          </c:bandFmt>
          <c:bandFmt>
            <c:idx val="14"/>
            <c:spPr>
              <a:solidFill>
                <a:schemeClr val="accent4">
                  <a:lumMod val="60000"/>
                  <a:lumOff val="40000"/>
                </a:schemeClr>
              </a:solidFill>
              <a:ln/>
              <a:effectLst/>
              <a:sp3d/>
            </c:spPr>
          </c:bandFmt>
        </c:bandFmts>
        <c:axId val="677587759"/>
        <c:axId val="677590255"/>
        <c:axId val="679233583"/>
      </c:surfaceChart>
      <c:catAx>
        <c:axId val="677587759"/>
        <c:scaling>
          <c:orientation val="minMax"/>
        </c:scaling>
        <c:delete val="0"/>
        <c:axPos val="b"/>
        <c:title>
          <c:tx>
            <c:rich>
              <a:bodyPr rot="0" vert="horz"/>
              <a:lstStyle/>
              <a:p>
                <a:pPr>
                  <a:defRPr/>
                </a:pPr>
                <a:r>
                  <a:rPr lang="en-US"/>
                  <a:t>Width, cm</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vert="horz"/>
          <a:lstStyle/>
          <a:p>
            <a:pPr>
              <a:defRPr/>
            </a:pPr>
            <a:endParaRPr lang="en-US"/>
          </a:p>
        </c:txPr>
        <c:crossAx val="677590255"/>
        <c:crosses val="autoZero"/>
        <c:auto val="1"/>
        <c:lblAlgn val="ctr"/>
        <c:lblOffset val="100"/>
        <c:noMultiLvlLbl val="0"/>
      </c:catAx>
      <c:valAx>
        <c:axId val="67759025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one"/>
        <c:spPr>
          <a:noFill/>
          <a:ln w="6350" cap="flat" cmpd="sng" algn="ctr">
            <a:noFill/>
            <a:prstDash val="solid"/>
            <a:round/>
          </a:ln>
          <a:effectLst/>
        </c:spPr>
        <c:txPr>
          <a:bodyPr rot="-60000000" vert="horz"/>
          <a:lstStyle/>
          <a:p>
            <a:pPr>
              <a:defRPr/>
            </a:pPr>
            <a:endParaRPr lang="en-US"/>
          </a:p>
        </c:txPr>
        <c:crossAx val="677587759"/>
        <c:crosses val="autoZero"/>
        <c:crossBetween val="midCat"/>
      </c:valAx>
      <c:serAx>
        <c:axId val="679233583"/>
        <c:scaling>
          <c:orientation val="maxMin"/>
        </c:scaling>
        <c:delete val="0"/>
        <c:axPos val="b"/>
        <c:title>
          <c:tx>
            <c:rich>
              <a:bodyPr rot="-5400000" vert="horz"/>
              <a:lstStyle/>
              <a:p>
                <a:pPr>
                  <a:defRPr/>
                </a:pPr>
                <a:r>
                  <a:rPr lang="en-US"/>
                  <a:t>Depth, cm</a:t>
                </a:r>
              </a:p>
            </c:rich>
          </c:tx>
          <c:overlay val="0"/>
          <c:spPr>
            <a:noFill/>
            <a:ln>
              <a:noFill/>
            </a:ln>
            <a:effectLst/>
          </c:spPr>
        </c:title>
        <c:majorTickMark val="out"/>
        <c:minorTickMark val="none"/>
        <c:tickLblPos val="nextTo"/>
        <c:spPr>
          <a:noFill/>
          <a:ln w="9525" cap="flat" cmpd="sng" algn="ctr">
            <a:solidFill>
              <a:schemeClr val="tx1"/>
            </a:solidFill>
            <a:prstDash val="solid"/>
            <a:round/>
          </a:ln>
          <a:effectLst/>
        </c:spPr>
        <c:txPr>
          <a:bodyPr rot="-60000000" vert="horz"/>
          <a:lstStyle/>
          <a:p>
            <a:pPr>
              <a:defRPr/>
            </a:pPr>
            <a:endParaRPr lang="en-US"/>
          </a:p>
        </c:txPr>
        <c:crossAx val="677590255"/>
        <c:crosses val="autoZero"/>
      </c:serAx>
      <c:spPr>
        <a:noFill/>
        <a:ln>
          <a:noFill/>
        </a:ln>
        <a:effectLst/>
      </c:spPr>
    </c:plotArea>
    <c:legend>
      <c:legendPos val="b"/>
      <c:overlay val="0"/>
      <c:spPr>
        <a:noFill/>
        <a:ln>
          <a:noFill/>
        </a:ln>
        <a:effectLst/>
      </c:spPr>
      <c:txPr>
        <a:bodyPr rot="0"/>
        <a:lstStyle/>
        <a:p>
          <a:pPr rtl="0">
            <a:defRPr/>
          </a:pPr>
          <a:endParaRPr lang="en-US"/>
        </a:p>
      </c:txPr>
    </c:legend>
    <c:plotVisOnly val="1"/>
    <c:dispBlanksAs val="zero"/>
    <c:showDLblsOverMax val="0"/>
  </c:chart>
  <c:spPr>
    <a:solidFill>
      <a:schemeClr val="bg1"/>
    </a:solidFill>
    <a:ln w="9525" cap="flat" cmpd="sng" algn="ctr">
      <a:noFill/>
      <a:prstDash val="solid"/>
      <a:round/>
    </a:ln>
    <a:effectLst/>
  </c:spPr>
  <c:txPr>
    <a:bodyPr/>
    <a:lstStyle/>
    <a:p>
      <a:pPr>
        <a:defRPr sz="800" b="0">
          <a:solidFill>
            <a:schemeClr val="tx1"/>
          </a:solidFill>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c.Fe (III) distribution</a:t>
            </a:r>
          </a:p>
        </c:rich>
      </c:tx>
      <c:layout>
        <c:manualLayout>
          <c:xMode val="edge"/>
          <c:yMode val="edge"/>
          <c:x val="0.19059111200403778"/>
          <c:y val="8.1459758879113726E-3"/>
        </c:manualLayout>
      </c:layout>
      <c:overlay val="0"/>
    </c:title>
    <c:autoTitleDeleted val="0"/>
    <c:view3D>
      <c:rotX val="90"/>
      <c:rotY val="0"/>
      <c:rAngAx val="0"/>
      <c:perspective val="0"/>
    </c:view3D>
    <c:floor>
      <c:thickness val="0"/>
      <c:spPr>
        <a:noFill/>
        <a:ln w="6350" cap="flat" cmpd="sng" algn="ctr">
          <a:solidFill>
            <a:schemeClr val="tx1"/>
          </a:solidFill>
          <a:prstDash val="solid"/>
          <a:round/>
        </a:ln>
        <a:effectLst/>
        <a:sp3d contourW="6350">
          <a:contourClr>
            <a:schemeClr val="tx1"/>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97220112410756"/>
          <c:y val="7.2658869955421077E-2"/>
          <c:w val="0.71371666021472713"/>
          <c:h val="0.5714299458901948"/>
        </c:manualLayout>
      </c:layout>
      <c:surfaceChart>
        <c:wireframe val="0"/>
        <c:ser>
          <c:idx val="0"/>
          <c:order val="0"/>
          <c:tx>
            <c:strRef>
              <c:f>'Fe 3'!$A$4</c:f>
              <c:strCache>
                <c:ptCount val="1"/>
                <c:pt idx="0">
                  <c:v>0</c:v>
                </c:pt>
              </c:strCache>
            </c:strRef>
          </c:tx>
          <c:spPr>
            <a:solidFill>
              <a:schemeClr val="accent6"/>
            </a:solidFill>
            <a:ln/>
            <a:effectLst/>
            <a:sp3d/>
          </c:spPr>
          <c:cat>
            <c:numRef>
              <c:f>'Fe 3'!$B$3:$E$3</c:f>
              <c:numCache>
                <c:formatCode>General</c:formatCode>
                <c:ptCount val="4"/>
                <c:pt idx="0">
                  <c:v>0</c:v>
                </c:pt>
                <c:pt idx="1">
                  <c:v>0.6</c:v>
                </c:pt>
                <c:pt idx="2">
                  <c:v>1.2</c:v>
                </c:pt>
                <c:pt idx="3">
                  <c:v>1.8</c:v>
                </c:pt>
              </c:numCache>
            </c:numRef>
          </c:cat>
          <c:val>
            <c:numRef>
              <c:f>'Fe 3'!$B$4:$E$4</c:f>
              <c:numCache>
                <c:formatCode>General</c:formatCode>
                <c:ptCount val="4"/>
                <c:pt idx="0">
                  <c:v>1</c:v>
                </c:pt>
                <c:pt idx="1">
                  <c:v>1</c:v>
                </c:pt>
                <c:pt idx="2">
                  <c:v>6.5</c:v>
                </c:pt>
                <c:pt idx="3">
                  <c:v>0.4</c:v>
                </c:pt>
              </c:numCache>
            </c:numRef>
          </c:val>
          <c:extLst>
            <c:ext xmlns:c16="http://schemas.microsoft.com/office/drawing/2014/chart" uri="{C3380CC4-5D6E-409C-BE32-E72D297353CC}">
              <c16:uniqueId val="{00000000-F72D-4749-97D8-EAEA53B45661}"/>
            </c:ext>
          </c:extLst>
        </c:ser>
        <c:ser>
          <c:idx val="1"/>
          <c:order val="1"/>
          <c:tx>
            <c:strRef>
              <c:f>'Fe 3'!$A$5</c:f>
              <c:strCache>
                <c:ptCount val="1"/>
                <c:pt idx="0">
                  <c:v>-2.5</c:v>
                </c:pt>
              </c:strCache>
            </c:strRef>
          </c:tx>
          <c:spPr>
            <a:solidFill>
              <a:schemeClr val="accent5"/>
            </a:solidFill>
            <a:ln/>
            <a:effectLst/>
            <a:sp3d/>
          </c:spPr>
          <c:cat>
            <c:numRef>
              <c:f>'Fe 3'!$B$3:$E$3</c:f>
              <c:numCache>
                <c:formatCode>General</c:formatCode>
                <c:ptCount val="4"/>
                <c:pt idx="0">
                  <c:v>0</c:v>
                </c:pt>
                <c:pt idx="1">
                  <c:v>0.6</c:v>
                </c:pt>
                <c:pt idx="2">
                  <c:v>1.2</c:v>
                </c:pt>
                <c:pt idx="3">
                  <c:v>1.8</c:v>
                </c:pt>
              </c:numCache>
            </c:numRef>
          </c:cat>
          <c:val>
            <c:numRef>
              <c:f>'Fe 3'!$B$5:$E$5</c:f>
              <c:numCache>
                <c:formatCode>General</c:formatCode>
                <c:ptCount val="4"/>
                <c:pt idx="0">
                  <c:v>7.8</c:v>
                </c:pt>
                <c:pt idx="1">
                  <c:v>7.8</c:v>
                </c:pt>
                <c:pt idx="2">
                  <c:v>10.8</c:v>
                </c:pt>
                <c:pt idx="3">
                  <c:v>7.8</c:v>
                </c:pt>
              </c:numCache>
            </c:numRef>
          </c:val>
          <c:extLst>
            <c:ext xmlns:c16="http://schemas.microsoft.com/office/drawing/2014/chart" uri="{C3380CC4-5D6E-409C-BE32-E72D297353CC}">
              <c16:uniqueId val="{00000001-F72D-4749-97D8-EAEA53B45661}"/>
            </c:ext>
          </c:extLst>
        </c:ser>
        <c:ser>
          <c:idx val="2"/>
          <c:order val="2"/>
          <c:tx>
            <c:strRef>
              <c:f>'Fe 3'!$A$6</c:f>
              <c:strCache>
                <c:ptCount val="1"/>
                <c:pt idx="0">
                  <c:v>-5</c:v>
                </c:pt>
              </c:strCache>
            </c:strRef>
          </c:tx>
          <c:spPr>
            <a:solidFill>
              <a:schemeClr val="accent4"/>
            </a:solidFill>
            <a:ln/>
            <a:effectLst/>
            <a:sp3d/>
          </c:spPr>
          <c:cat>
            <c:numRef>
              <c:f>'Fe 3'!$B$3:$E$3</c:f>
              <c:numCache>
                <c:formatCode>General</c:formatCode>
                <c:ptCount val="4"/>
                <c:pt idx="0">
                  <c:v>0</c:v>
                </c:pt>
                <c:pt idx="1">
                  <c:v>0.6</c:v>
                </c:pt>
                <c:pt idx="2">
                  <c:v>1.2</c:v>
                </c:pt>
                <c:pt idx="3">
                  <c:v>1.8</c:v>
                </c:pt>
              </c:numCache>
            </c:numRef>
          </c:cat>
          <c:val>
            <c:numRef>
              <c:f>'Fe 3'!$B$6:$E$6</c:f>
              <c:numCache>
                <c:formatCode>General</c:formatCode>
                <c:ptCount val="4"/>
                <c:pt idx="0">
                  <c:v>7.8</c:v>
                </c:pt>
                <c:pt idx="1">
                  <c:v>7.8</c:v>
                </c:pt>
                <c:pt idx="2">
                  <c:v>10.8</c:v>
                </c:pt>
                <c:pt idx="3">
                  <c:v>7.8</c:v>
                </c:pt>
              </c:numCache>
            </c:numRef>
          </c:val>
          <c:extLst>
            <c:ext xmlns:c16="http://schemas.microsoft.com/office/drawing/2014/chart" uri="{C3380CC4-5D6E-409C-BE32-E72D297353CC}">
              <c16:uniqueId val="{00000002-F72D-4749-97D8-EAEA53B45661}"/>
            </c:ext>
          </c:extLst>
        </c:ser>
        <c:ser>
          <c:idx val="3"/>
          <c:order val="3"/>
          <c:tx>
            <c:strRef>
              <c:f>'Fe 3'!$A$7</c:f>
              <c:strCache>
                <c:ptCount val="1"/>
              </c:strCache>
            </c:strRef>
          </c:tx>
          <c:spPr>
            <a:solidFill>
              <a:schemeClr val="accent6">
                <a:lumMod val="60000"/>
              </a:schemeClr>
            </a:solidFill>
            <a:ln/>
            <a:effectLst/>
            <a:sp3d/>
          </c:spPr>
          <c:cat>
            <c:numRef>
              <c:f>'Fe 3'!$B$3:$E$3</c:f>
              <c:numCache>
                <c:formatCode>General</c:formatCode>
                <c:ptCount val="4"/>
                <c:pt idx="0">
                  <c:v>0</c:v>
                </c:pt>
                <c:pt idx="1">
                  <c:v>0.6</c:v>
                </c:pt>
                <c:pt idx="2">
                  <c:v>1.2</c:v>
                </c:pt>
                <c:pt idx="3">
                  <c:v>1.8</c:v>
                </c:pt>
              </c:numCache>
            </c:numRef>
          </c:cat>
          <c:val>
            <c:numRef>
              <c:f>'Fe 3'!$B$7:$E$7</c:f>
              <c:numCache>
                <c:formatCode>General</c:formatCode>
                <c:ptCount val="4"/>
                <c:pt idx="0">
                  <c:v>7.3</c:v>
                </c:pt>
                <c:pt idx="1">
                  <c:v>7.3</c:v>
                </c:pt>
                <c:pt idx="2">
                  <c:v>6.9</c:v>
                </c:pt>
                <c:pt idx="3">
                  <c:v>8.4</c:v>
                </c:pt>
              </c:numCache>
            </c:numRef>
          </c:val>
          <c:extLst>
            <c:ext xmlns:c16="http://schemas.microsoft.com/office/drawing/2014/chart" uri="{C3380CC4-5D6E-409C-BE32-E72D297353CC}">
              <c16:uniqueId val="{00000003-F72D-4749-97D8-EAEA53B45661}"/>
            </c:ext>
          </c:extLst>
        </c:ser>
        <c:bandFmts>
          <c:bandFmt>
            <c:idx val="0"/>
            <c:spPr>
              <a:solidFill>
                <a:schemeClr val="accent6"/>
              </a:solidFill>
              <a:ln>
                <a:solidFill>
                  <a:schemeClr val="tx1"/>
                </a:solidFill>
              </a:ln>
              <a:effectLst/>
              <a:sp3d>
                <a:contourClr>
                  <a:schemeClr val="tx1"/>
                </a:contourClr>
              </a:sp3d>
            </c:spPr>
          </c:bandFmt>
          <c:bandFmt>
            <c:idx val="1"/>
            <c:spPr>
              <a:solidFill>
                <a:schemeClr val="accent5"/>
              </a:solidFill>
              <a:ln>
                <a:solidFill>
                  <a:schemeClr val="tx1"/>
                </a:solidFill>
              </a:ln>
              <a:effectLst/>
              <a:sp3d>
                <a:contourClr>
                  <a:schemeClr val="tx1"/>
                </a:contourClr>
              </a:sp3d>
            </c:spPr>
          </c:bandFmt>
          <c:bandFmt>
            <c:idx val="2"/>
            <c:spPr>
              <a:solidFill>
                <a:schemeClr val="accent4"/>
              </a:solidFill>
              <a:ln>
                <a:solidFill>
                  <a:schemeClr val="tx1"/>
                </a:solidFill>
              </a:ln>
              <a:effectLst/>
              <a:sp3d>
                <a:contourClr>
                  <a:schemeClr val="tx1"/>
                </a:contourClr>
              </a:sp3d>
            </c:spPr>
          </c:bandFmt>
          <c:bandFmt>
            <c:idx val="3"/>
            <c:spPr>
              <a:solidFill>
                <a:schemeClr val="accent6">
                  <a:lumMod val="60000"/>
                </a:schemeClr>
              </a:solidFill>
              <a:ln/>
              <a:effectLst/>
              <a:sp3d/>
            </c:spPr>
          </c:bandFmt>
          <c:bandFmt>
            <c:idx val="4"/>
            <c:spPr>
              <a:solidFill>
                <a:schemeClr val="accent5">
                  <a:lumMod val="60000"/>
                </a:schemeClr>
              </a:solidFill>
              <a:ln/>
              <a:effectLst/>
              <a:sp3d/>
            </c:spPr>
          </c:bandFmt>
          <c:bandFmt>
            <c:idx val="5"/>
            <c:spPr>
              <a:solidFill>
                <a:schemeClr val="accent4">
                  <a:lumMod val="60000"/>
                </a:schemeClr>
              </a:solidFill>
              <a:ln/>
              <a:effectLst/>
              <a:sp3d/>
            </c:spPr>
          </c:bandFmt>
          <c:bandFmt>
            <c:idx val="6"/>
            <c:spPr>
              <a:solidFill>
                <a:schemeClr val="accent6">
                  <a:lumMod val="80000"/>
                  <a:lumOff val="20000"/>
                </a:schemeClr>
              </a:solidFill>
              <a:ln/>
              <a:effectLst/>
              <a:sp3d/>
            </c:spPr>
          </c:bandFmt>
          <c:bandFmt>
            <c:idx val="7"/>
            <c:spPr>
              <a:solidFill>
                <a:schemeClr val="accent5">
                  <a:lumMod val="80000"/>
                  <a:lumOff val="20000"/>
                </a:schemeClr>
              </a:solidFill>
              <a:ln/>
              <a:effectLst/>
              <a:sp3d/>
            </c:spPr>
          </c:bandFmt>
          <c:bandFmt>
            <c:idx val="8"/>
            <c:spPr>
              <a:solidFill>
                <a:schemeClr val="accent4">
                  <a:lumMod val="80000"/>
                  <a:lumOff val="20000"/>
                </a:schemeClr>
              </a:solidFill>
              <a:ln/>
              <a:effectLst/>
              <a:sp3d/>
            </c:spPr>
          </c:bandFmt>
          <c:bandFmt>
            <c:idx val="9"/>
            <c:spPr>
              <a:solidFill>
                <a:schemeClr val="accent6">
                  <a:lumMod val="80000"/>
                </a:schemeClr>
              </a:solidFill>
              <a:ln/>
              <a:effectLst/>
              <a:sp3d/>
            </c:spPr>
          </c:bandFmt>
          <c:bandFmt>
            <c:idx val="10"/>
            <c:spPr>
              <a:solidFill>
                <a:schemeClr val="accent5">
                  <a:lumMod val="80000"/>
                </a:schemeClr>
              </a:solidFill>
              <a:ln/>
              <a:effectLst/>
              <a:sp3d/>
            </c:spPr>
          </c:bandFmt>
          <c:bandFmt>
            <c:idx val="11"/>
            <c:spPr>
              <a:solidFill>
                <a:schemeClr val="accent4">
                  <a:lumMod val="80000"/>
                </a:schemeClr>
              </a:solidFill>
              <a:ln/>
              <a:effectLst/>
              <a:sp3d/>
            </c:spPr>
          </c:bandFmt>
          <c:bandFmt>
            <c:idx val="12"/>
            <c:spPr>
              <a:solidFill>
                <a:schemeClr val="accent6">
                  <a:lumMod val="60000"/>
                  <a:lumOff val="40000"/>
                </a:schemeClr>
              </a:solidFill>
              <a:ln/>
              <a:effectLst/>
              <a:sp3d/>
            </c:spPr>
          </c:bandFmt>
          <c:bandFmt>
            <c:idx val="13"/>
            <c:spPr>
              <a:solidFill>
                <a:schemeClr val="accent5">
                  <a:lumMod val="60000"/>
                  <a:lumOff val="40000"/>
                </a:schemeClr>
              </a:solidFill>
              <a:ln/>
              <a:effectLst/>
              <a:sp3d/>
            </c:spPr>
          </c:bandFmt>
          <c:bandFmt>
            <c:idx val="14"/>
            <c:spPr>
              <a:solidFill>
                <a:schemeClr val="accent4">
                  <a:lumMod val="60000"/>
                  <a:lumOff val="40000"/>
                </a:schemeClr>
              </a:solidFill>
              <a:ln/>
              <a:effectLst/>
              <a:sp3d/>
            </c:spPr>
          </c:bandFmt>
        </c:bandFmts>
        <c:axId val="677587759"/>
        <c:axId val="677590255"/>
        <c:axId val="679233583"/>
      </c:surfaceChart>
      <c:catAx>
        <c:axId val="677587759"/>
        <c:scaling>
          <c:orientation val="minMax"/>
        </c:scaling>
        <c:delete val="0"/>
        <c:axPos val="b"/>
        <c:title>
          <c:tx>
            <c:rich>
              <a:bodyPr rot="0" vert="horz"/>
              <a:lstStyle/>
              <a:p>
                <a:pPr>
                  <a:defRPr/>
                </a:pPr>
                <a:r>
                  <a:rPr lang="en-US"/>
                  <a:t>Width, cm</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vert="horz"/>
          <a:lstStyle/>
          <a:p>
            <a:pPr>
              <a:defRPr/>
            </a:pPr>
            <a:endParaRPr lang="en-US"/>
          </a:p>
        </c:txPr>
        <c:crossAx val="677590255"/>
        <c:crosses val="autoZero"/>
        <c:auto val="1"/>
        <c:lblAlgn val="ctr"/>
        <c:lblOffset val="100"/>
        <c:noMultiLvlLbl val="0"/>
      </c:catAx>
      <c:valAx>
        <c:axId val="67759025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one"/>
        <c:spPr>
          <a:noFill/>
          <a:ln w="6350" cap="flat" cmpd="sng" algn="ctr">
            <a:noFill/>
            <a:prstDash val="solid"/>
            <a:round/>
          </a:ln>
          <a:effectLst/>
        </c:spPr>
        <c:txPr>
          <a:bodyPr rot="-60000000" vert="horz"/>
          <a:lstStyle/>
          <a:p>
            <a:pPr>
              <a:defRPr/>
            </a:pPr>
            <a:endParaRPr lang="en-US"/>
          </a:p>
        </c:txPr>
        <c:crossAx val="677587759"/>
        <c:crosses val="autoZero"/>
        <c:crossBetween val="midCat"/>
      </c:valAx>
      <c:serAx>
        <c:axId val="679233583"/>
        <c:scaling>
          <c:orientation val="maxMin"/>
        </c:scaling>
        <c:delete val="0"/>
        <c:axPos val="b"/>
        <c:title>
          <c:tx>
            <c:rich>
              <a:bodyPr rot="-5400000" vert="horz"/>
              <a:lstStyle/>
              <a:p>
                <a:pPr>
                  <a:defRPr/>
                </a:pPr>
                <a:r>
                  <a:rPr lang="en-US"/>
                  <a:t>Depth, cm</a:t>
                </a:r>
              </a:p>
            </c:rich>
          </c:tx>
          <c:overlay val="0"/>
          <c:spPr>
            <a:noFill/>
            <a:ln>
              <a:noFill/>
            </a:ln>
            <a:effectLst/>
          </c:spPr>
        </c:title>
        <c:majorTickMark val="out"/>
        <c:minorTickMark val="none"/>
        <c:tickLblPos val="nextTo"/>
        <c:spPr>
          <a:noFill/>
          <a:ln w="9525" cap="flat" cmpd="sng" algn="ctr">
            <a:solidFill>
              <a:schemeClr val="tx1"/>
            </a:solidFill>
            <a:prstDash val="solid"/>
            <a:round/>
          </a:ln>
          <a:effectLst/>
        </c:spPr>
        <c:txPr>
          <a:bodyPr rot="-60000000" vert="horz"/>
          <a:lstStyle/>
          <a:p>
            <a:pPr>
              <a:defRPr/>
            </a:pPr>
            <a:endParaRPr lang="en-US"/>
          </a:p>
        </c:txPr>
        <c:crossAx val="677590255"/>
        <c:crosses val="autoZero"/>
      </c:serAx>
      <c:spPr>
        <a:noFill/>
        <a:ln>
          <a:noFill/>
        </a:ln>
        <a:effectLst/>
      </c:spPr>
    </c:plotArea>
    <c:legend>
      <c:legendPos val="b"/>
      <c:overlay val="0"/>
      <c:spPr>
        <a:noFill/>
        <a:ln>
          <a:noFill/>
        </a:ln>
        <a:effectLst/>
      </c:spPr>
      <c:txPr>
        <a:bodyPr rot="0"/>
        <a:lstStyle/>
        <a:p>
          <a:pPr rtl="0">
            <a:defRPr/>
          </a:pPr>
          <a:endParaRPr lang="en-US"/>
        </a:p>
      </c:txPr>
    </c:legend>
    <c:plotVisOnly val="1"/>
    <c:dispBlanksAs val="zero"/>
    <c:showDLblsOverMax val="0"/>
  </c:chart>
  <c:spPr>
    <a:solidFill>
      <a:schemeClr val="bg1"/>
    </a:solidFill>
    <a:ln w="9525" cap="flat" cmpd="sng" algn="ctr">
      <a:noFill/>
      <a:prstDash val="solid"/>
      <a:round/>
    </a:ln>
    <a:effectLst/>
  </c:spPr>
  <c:txPr>
    <a:bodyPr/>
    <a:lstStyle/>
    <a:p>
      <a:pPr>
        <a:defRPr sz="800" b="0">
          <a:solidFill>
            <a:schemeClr val="tx1"/>
          </a:solidFill>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0.05414</cdr:x>
      <cdr:y>0.89521</cdr:y>
    </cdr:from>
    <cdr:to>
      <cdr:x>0.30559</cdr:x>
      <cdr:y>0.97709</cdr:y>
    </cdr:to>
    <cdr:sp macro="" textlink="">
      <cdr:nvSpPr>
        <cdr:cNvPr id="2" name="TextBox 1"/>
        <cdr:cNvSpPr txBox="1"/>
      </cdr:nvSpPr>
      <cdr:spPr>
        <a:xfrm xmlns:a="http://schemas.openxmlformats.org/drawingml/2006/main">
          <a:off x="110492" y="2431418"/>
          <a:ext cx="513142" cy="2223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800" b="0" i="0" u="none" strike="noStrike">
              <a:effectLst/>
              <a:latin typeface="Arial" panose="020B0604020202020204" pitchFamily="34" charset="0"/>
              <a:ea typeface="+mn-ea"/>
              <a:cs typeface="Arial" panose="020B0604020202020204" pitchFamily="34" charset="0"/>
            </a:rPr>
            <a:t>C, </a:t>
          </a:r>
          <a:r>
            <a:rPr lang="el-GR" sz="800" b="0" i="0" u="none" strike="noStrike">
              <a:effectLst/>
              <a:latin typeface="Arial" panose="020B0604020202020204" pitchFamily="34" charset="0"/>
              <a:ea typeface="+mn-ea"/>
              <a:cs typeface="Arial" panose="020B0604020202020204" pitchFamily="34" charset="0"/>
            </a:rPr>
            <a:t>μ</a:t>
          </a:r>
          <a:r>
            <a:rPr lang="en-US" sz="800" b="0" i="0" u="none" strike="noStrike">
              <a:effectLst/>
              <a:latin typeface="Arial" panose="020B0604020202020204" pitchFamily="34" charset="0"/>
              <a:ea typeface="+mn-ea"/>
              <a:cs typeface="Arial" panose="020B0604020202020204" pitchFamily="34" charset="0"/>
            </a:rPr>
            <a:t>M:</a:t>
          </a:r>
          <a:r>
            <a:rPr lang="en-US" sz="800"/>
            <a:t> </a:t>
          </a:r>
        </a:p>
      </cdr:txBody>
    </cdr:sp>
  </cdr:relSizeAnchor>
</c:userShapes>
</file>

<file path=word/drawings/drawing2.xml><?xml version="1.0" encoding="utf-8"?>
<c:userShapes xmlns:c="http://schemas.openxmlformats.org/drawingml/2006/chart">
  <cdr:relSizeAnchor xmlns:cdr="http://schemas.openxmlformats.org/drawingml/2006/chartDrawing">
    <cdr:from>
      <cdr:x>0.03815</cdr:x>
      <cdr:y>0.89566</cdr:y>
    </cdr:from>
    <cdr:to>
      <cdr:x>0.29804</cdr:x>
      <cdr:y>0.97753</cdr:y>
    </cdr:to>
    <cdr:sp macro="" textlink="">
      <cdr:nvSpPr>
        <cdr:cNvPr id="2" name="TextBox 1"/>
        <cdr:cNvSpPr txBox="1"/>
      </cdr:nvSpPr>
      <cdr:spPr>
        <a:xfrm xmlns:a="http://schemas.openxmlformats.org/drawingml/2006/main">
          <a:off x="77850" y="2433080"/>
          <a:ext cx="530365" cy="2224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800" b="0" i="0" u="none" strike="noStrike">
              <a:effectLst/>
              <a:latin typeface="Arial" panose="020B0604020202020204" pitchFamily="34" charset="0"/>
              <a:ea typeface="+mn-ea"/>
              <a:cs typeface="Arial" panose="020B0604020202020204" pitchFamily="34" charset="0"/>
            </a:rPr>
            <a:t>C, </a:t>
          </a:r>
          <a:r>
            <a:rPr lang="el-GR" sz="800" b="0" i="0" u="none" strike="noStrike">
              <a:effectLst/>
              <a:latin typeface="Arial" panose="020B0604020202020204" pitchFamily="34" charset="0"/>
              <a:ea typeface="+mn-ea"/>
              <a:cs typeface="Arial" panose="020B0604020202020204" pitchFamily="34" charset="0"/>
            </a:rPr>
            <a:t>μ</a:t>
          </a:r>
          <a:r>
            <a:rPr lang="en-US" sz="800" b="0" i="0" u="none" strike="noStrike">
              <a:effectLst/>
              <a:latin typeface="Arial" panose="020B0604020202020204" pitchFamily="34" charset="0"/>
              <a:ea typeface="+mn-ea"/>
              <a:cs typeface="Arial" panose="020B0604020202020204" pitchFamily="34" charset="0"/>
            </a:rPr>
            <a:t>M:</a:t>
          </a:r>
          <a:r>
            <a:rPr lang="en-US" sz="800"/>
            <a:t> </a:t>
          </a:r>
        </a:p>
      </cdr:txBody>
    </cdr:sp>
  </cdr:relSizeAnchor>
</c:userShapes>
</file>

<file path=word/drawings/drawing3.xml><?xml version="1.0" encoding="utf-8"?>
<c:userShapes xmlns:c="http://schemas.openxmlformats.org/drawingml/2006/chart">
  <cdr:relSizeAnchor xmlns:cdr="http://schemas.openxmlformats.org/drawingml/2006/chartDrawing">
    <cdr:from>
      <cdr:x>0.03794</cdr:x>
      <cdr:y>0.89936</cdr:y>
    </cdr:from>
    <cdr:to>
      <cdr:x>0.28937</cdr:x>
      <cdr:y>0.98123</cdr:y>
    </cdr:to>
    <cdr:sp macro="" textlink="">
      <cdr:nvSpPr>
        <cdr:cNvPr id="3" name="TextBox 1"/>
        <cdr:cNvSpPr txBox="1"/>
      </cdr:nvSpPr>
      <cdr:spPr>
        <a:xfrm xmlns:a="http://schemas.openxmlformats.org/drawingml/2006/main">
          <a:off x="77434" y="2443138"/>
          <a:ext cx="513101" cy="2224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800" b="0" i="0" u="none" strike="noStrike">
              <a:effectLst/>
              <a:latin typeface="Arial" panose="020B0604020202020204" pitchFamily="34" charset="0"/>
              <a:ea typeface="+mn-ea"/>
              <a:cs typeface="Arial" panose="020B0604020202020204" pitchFamily="34" charset="0"/>
            </a:rPr>
            <a:t>C, </a:t>
          </a:r>
          <a:r>
            <a:rPr lang="el-GR" sz="800" b="0" i="0" u="none" strike="noStrike">
              <a:effectLst/>
              <a:latin typeface="Arial" panose="020B0604020202020204" pitchFamily="34" charset="0"/>
              <a:ea typeface="+mn-ea"/>
              <a:cs typeface="Arial" panose="020B0604020202020204" pitchFamily="34" charset="0"/>
            </a:rPr>
            <a:t>μ</a:t>
          </a:r>
          <a:r>
            <a:rPr lang="en-US" sz="800" b="0" i="0" u="none" strike="noStrike">
              <a:effectLst/>
              <a:latin typeface="Arial" panose="020B0604020202020204" pitchFamily="34" charset="0"/>
              <a:ea typeface="+mn-ea"/>
              <a:cs typeface="Arial" panose="020B0604020202020204" pitchFamily="34" charset="0"/>
            </a:rPr>
            <a:t>M:</a:t>
          </a:r>
          <a:r>
            <a:rPr lang="en-US" sz="800"/>
            <a:t> </a:t>
          </a:r>
        </a:p>
      </cdr:txBody>
    </cdr:sp>
  </cdr:relSizeAnchor>
</c:userShape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598543-EC60-40F5-8F81-64D42050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3959</Words>
  <Characters>22572</Characters>
  <Application>Microsoft Office Word</Application>
  <DocSecurity>0</DocSecurity>
  <Lines>188</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Kravos, Aleksander</dc:creator>
  <cp:keywords/>
  <dc:description/>
  <cp:lastModifiedBy>Анна Будашева</cp:lastModifiedBy>
  <cp:revision>5</cp:revision>
  <dcterms:created xsi:type="dcterms:W3CDTF">2018-11-13T08:52:00Z</dcterms:created>
  <dcterms:modified xsi:type="dcterms:W3CDTF">2018-11-13T10:46:00Z</dcterms:modified>
</cp:coreProperties>
</file>