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875B2" w14:textId="6434EC24" w:rsidR="00E679A5" w:rsidRPr="00383A89" w:rsidRDefault="00E679A5" w:rsidP="00E679A5">
      <w:pPr>
        <w:jc w:val="center"/>
        <w:rPr>
          <w:b/>
          <w:sz w:val="28"/>
          <w:lang w:val="en-GB"/>
        </w:rPr>
      </w:pPr>
      <w:r w:rsidRPr="00383A89">
        <w:rPr>
          <w:b/>
          <w:sz w:val="28"/>
          <w:lang w:val="en-GB"/>
        </w:rPr>
        <w:t xml:space="preserve">Computational modelling of liver metabolism and its applications in research and </w:t>
      </w:r>
      <w:r w:rsidR="00C21940" w:rsidRPr="00383A89">
        <w:rPr>
          <w:b/>
          <w:sz w:val="28"/>
          <w:lang w:val="en-GB"/>
        </w:rPr>
        <w:t xml:space="preserve">the </w:t>
      </w:r>
      <w:r w:rsidR="00E41BFB" w:rsidRPr="00383A89">
        <w:rPr>
          <w:b/>
          <w:sz w:val="28"/>
          <w:lang w:val="en-GB"/>
        </w:rPr>
        <w:t>clinics</w:t>
      </w:r>
    </w:p>
    <w:p w14:paraId="7D27E5B5" w14:textId="41E87B21" w:rsidR="00E679A5" w:rsidRPr="00383A89" w:rsidRDefault="00D32EC1" w:rsidP="00D32EC1">
      <w:pPr>
        <w:jc w:val="center"/>
        <w:rPr>
          <w:b/>
          <w:vertAlign w:val="superscript"/>
          <w:lang w:val="en-GB"/>
        </w:rPr>
      </w:pPr>
      <w:r w:rsidRPr="00383A89">
        <w:rPr>
          <w:b/>
          <w:lang w:val="en-GB"/>
        </w:rPr>
        <w:t>Tanja Cvitanović Tomaš</w:t>
      </w:r>
      <w:r w:rsidRPr="00383A89">
        <w:rPr>
          <w:b/>
          <w:vertAlign w:val="superscript"/>
          <w:lang w:val="en-GB"/>
        </w:rPr>
        <w:t>1</w:t>
      </w:r>
      <w:r w:rsidRPr="00383A89">
        <w:rPr>
          <w:b/>
          <w:lang w:val="en-GB"/>
        </w:rPr>
        <w:t>, Miha Moškon</w:t>
      </w:r>
      <w:r w:rsidRPr="00383A89">
        <w:rPr>
          <w:b/>
          <w:vertAlign w:val="superscript"/>
          <w:lang w:val="en-GB"/>
        </w:rPr>
        <w:t>2</w:t>
      </w:r>
      <w:r w:rsidRPr="00383A89">
        <w:rPr>
          <w:b/>
          <w:lang w:val="en-GB"/>
        </w:rPr>
        <w:t>, Miha Mraz</w:t>
      </w:r>
      <w:r w:rsidRPr="00383A89">
        <w:rPr>
          <w:b/>
          <w:vertAlign w:val="superscript"/>
          <w:lang w:val="en-GB"/>
        </w:rPr>
        <w:t>2</w:t>
      </w:r>
      <w:r w:rsidRPr="00383A89">
        <w:rPr>
          <w:b/>
          <w:lang w:val="en-GB"/>
        </w:rPr>
        <w:t>, Damjana Rozman</w:t>
      </w:r>
      <w:r w:rsidRPr="00383A89">
        <w:rPr>
          <w:b/>
          <w:vertAlign w:val="superscript"/>
          <w:lang w:val="en-GB"/>
        </w:rPr>
        <w:t>1</w:t>
      </w:r>
      <w:r w:rsidR="00793628">
        <w:rPr>
          <w:b/>
          <w:vertAlign w:val="superscript"/>
          <w:lang w:val="en-GB"/>
        </w:rPr>
        <w:t>,*</w:t>
      </w:r>
    </w:p>
    <w:p w14:paraId="7EA44BDC" w14:textId="2B688C3E" w:rsidR="00D32EC1" w:rsidRPr="00383A89" w:rsidRDefault="00D32EC1" w:rsidP="00D32EC1">
      <w:pPr>
        <w:jc w:val="center"/>
        <w:rPr>
          <w:i/>
          <w:lang w:val="en-GB"/>
        </w:rPr>
      </w:pPr>
      <w:r w:rsidRPr="00383A89">
        <w:rPr>
          <w:vertAlign w:val="superscript"/>
          <w:lang w:val="en-GB"/>
        </w:rPr>
        <w:t>1</w:t>
      </w:r>
      <w:r w:rsidRPr="00383A89">
        <w:rPr>
          <w:i/>
          <w:lang w:val="en-GB"/>
        </w:rPr>
        <w:t>Centre for Functional Genomics and Bio-chips, Insti</w:t>
      </w:r>
      <w:r w:rsidR="00EB6B4F" w:rsidRPr="00383A89">
        <w:rPr>
          <w:i/>
          <w:lang w:val="en-GB"/>
        </w:rPr>
        <w:t>t</w:t>
      </w:r>
      <w:r w:rsidRPr="00383A89">
        <w:rPr>
          <w:i/>
          <w:lang w:val="en-GB"/>
        </w:rPr>
        <w:t xml:space="preserve">ute of Biochemistry, Faculty of Medicine, University of Ljubljana, </w:t>
      </w:r>
      <w:r w:rsidR="00793628">
        <w:rPr>
          <w:i/>
          <w:lang w:val="en-GB"/>
        </w:rPr>
        <w:t xml:space="preserve">Zaloška 4, SI-1000 Ljubljana, </w:t>
      </w:r>
      <w:r w:rsidRPr="00383A89">
        <w:rPr>
          <w:i/>
          <w:lang w:val="en-GB"/>
        </w:rPr>
        <w:t>Slovenia</w:t>
      </w:r>
    </w:p>
    <w:p w14:paraId="7FFF218B" w14:textId="02BA9EEC" w:rsidR="00D32EC1" w:rsidRDefault="00D32EC1" w:rsidP="00D32EC1">
      <w:pPr>
        <w:jc w:val="center"/>
        <w:rPr>
          <w:i/>
          <w:lang w:val="en-GB"/>
        </w:rPr>
      </w:pPr>
      <w:r w:rsidRPr="00383A89">
        <w:rPr>
          <w:vertAlign w:val="superscript"/>
          <w:lang w:val="en-GB"/>
        </w:rPr>
        <w:t>2</w:t>
      </w:r>
      <w:r w:rsidRPr="00383A89">
        <w:rPr>
          <w:i/>
          <w:lang w:val="en-GB"/>
        </w:rPr>
        <w:t xml:space="preserve">Faculty of Computer and Information Science, University of Ljubljana, </w:t>
      </w:r>
      <w:r w:rsidR="00793628">
        <w:rPr>
          <w:i/>
          <w:lang w:val="en-GB"/>
        </w:rPr>
        <w:t xml:space="preserve">Večna pot 113, SI-1000 Ljubljana, </w:t>
      </w:r>
      <w:r w:rsidRPr="00383A89">
        <w:rPr>
          <w:i/>
          <w:lang w:val="en-GB"/>
        </w:rPr>
        <w:t>Slovenia</w:t>
      </w:r>
    </w:p>
    <w:p w14:paraId="559A24BF" w14:textId="3692E6C3" w:rsidR="00793628" w:rsidRPr="00383A89" w:rsidRDefault="00793628" w:rsidP="00D32EC1">
      <w:pPr>
        <w:jc w:val="center"/>
        <w:rPr>
          <w:i/>
          <w:lang w:val="en-GB"/>
        </w:rPr>
      </w:pPr>
      <w:r>
        <w:rPr>
          <w:i/>
          <w:lang w:val="en-GB"/>
        </w:rPr>
        <w:t xml:space="preserve">*Corresponding author: E-mail: </w:t>
      </w:r>
      <w:hyperlink r:id="rId8" w:history="1">
        <w:r w:rsidRPr="00BE0552">
          <w:rPr>
            <w:rStyle w:val="Hiperpovezava"/>
            <w:i/>
            <w:lang w:val="en-GB"/>
          </w:rPr>
          <w:t>damjana.rozman@mf.uni-lj.si</w:t>
        </w:r>
      </w:hyperlink>
      <w:r>
        <w:rPr>
          <w:i/>
          <w:lang w:val="en-GB"/>
        </w:rPr>
        <w:t>, phone</w:t>
      </w:r>
      <w:r>
        <w:t>: (</w:t>
      </w:r>
      <w:r>
        <w:t>+</w:t>
      </w:r>
      <w:r>
        <w:t>386)-1-543-7591</w:t>
      </w:r>
      <w:r>
        <w:t xml:space="preserve">, </w:t>
      </w:r>
      <w:r w:rsidRPr="00793628">
        <w:rPr>
          <w:i/>
        </w:rPr>
        <w:t>fax</w:t>
      </w:r>
      <w:r>
        <w:t>: (</w:t>
      </w:r>
      <w:r>
        <w:t>+</w:t>
      </w:r>
      <w:r>
        <w:t>386)-1-543-7588</w:t>
      </w:r>
    </w:p>
    <w:p w14:paraId="79B6BD9D" w14:textId="77777777" w:rsidR="00D32EC1" w:rsidRPr="00383A89" w:rsidRDefault="00D32EC1" w:rsidP="00D32EC1">
      <w:pPr>
        <w:jc w:val="center"/>
        <w:rPr>
          <w:b/>
          <w:lang w:val="en-GB"/>
        </w:rPr>
      </w:pPr>
    </w:p>
    <w:p w14:paraId="7295346E" w14:textId="77777777" w:rsidR="00932D0B" w:rsidRPr="00383A89" w:rsidRDefault="00E679A5" w:rsidP="00932D0B">
      <w:pPr>
        <w:rPr>
          <w:b/>
          <w:sz w:val="24"/>
          <w:lang w:val="en-GB"/>
        </w:rPr>
      </w:pPr>
      <w:r w:rsidRPr="00383A89">
        <w:rPr>
          <w:b/>
          <w:sz w:val="24"/>
          <w:lang w:val="en-GB"/>
        </w:rPr>
        <w:t>Abstract</w:t>
      </w:r>
    </w:p>
    <w:p w14:paraId="3F817F97" w14:textId="2C4BD63B" w:rsidR="00E679A5" w:rsidRDefault="00AA1FA9" w:rsidP="00F01DD6">
      <w:pPr>
        <w:jc w:val="both"/>
        <w:rPr>
          <w:lang w:val="en-GB"/>
        </w:rPr>
      </w:pPr>
      <w:r w:rsidRPr="00383A89">
        <w:rPr>
          <w:lang w:val="en-GB"/>
        </w:rPr>
        <w:t>Computational models of liv</w:t>
      </w:r>
      <w:r w:rsidR="00392906" w:rsidRPr="00383A89">
        <w:rPr>
          <w:lang w:val="en-GB"/>
        </w:rPr>
        <w:t xml:space="preserve">er metabolism are gaining an increasing </w:t>
      </w:r>
      <w:r w:rsidRPr="00383A89">
        <w:rPr>
          <w:lang w:val="en-GB"/>
        </w:rPr>
        <w:t xml:space="preserve">importance within the research community. Moreover, their first clinical applications have been reported in recent years in the context of personalised and systems </w:t>
      </w:r>
      <w:r w:rsidR="00B074FF">
        <w:rPr>
          <w:lang w:val="en-GB"/>
        </w:rPr>
        <w:t xml:space="preserve">medicine. Herein, we survey selected </w:t>
      </w:r>
      <w:r w:rsidR="00F84C9D">
        <w:rPr>
          <w:lang w:val="en-GB"/>
        </w:rPr>
        <w:t xml:space="preserve">experimental models together with the </w:t>
      </w:r>
      <w:r w:rsidRPr="00383A89">
        <w:rPr>
          <w:lang w:val="en-GB"/>
        </w:rPr>
        <w:t xml:space="preserve">computational modelling </w:t>
      </w:r>
      <w:r w:rsidR="00633A0F" w:rsidRPr="00383A89">
        <w:rPr>
          <w:lang w:val="en-GB"/>
        </w:rPr>
        <w:t>approaches that are used to describe the</w:t>
      </w:r>
      <w:r w:rsidR="00392906" w:rsidRPr="00383A89">
        <w:rPr>
          <w:lang w:val="en-GB"/>
        </w:rPr>
        <w:t xml:space="preserve"> metabolic processes of </w:t>
      </w:r>
      <w:r w:rsidR="000F43BA" w:rsidRPr="00383A89">
        <w:rPr>
          <w:lang w:val="en-GB"/>
        </w:rPr>
        <w:t>the liver</w:t>
      </w:r>
      <w:r w:rsidRPr="00383A89">
        <w:rPr>
          <w:lang w:val="en-GB"/>
        </w:rPr>
        <w:t xml:space="preserve"> </w:t>
      </w:r>
      <w:r w:rsidR="00633A0F" w:rsidRPr="00383A89">
        <w:rPr>
          <w:i/>
          <w:lang w:val="en-GB"/>
        </w:rPr>
        <w:t>in silico</w:t>
      </w:r>
      <w:r w:rsidR="000F43BA" w:rsidRPr="00383A89">
        <w:rPr>
          <w:lang w:val="en-GB"/>
        </w:rPr>
        <w:t>. We also</w:t>
      </w:r>
      <w:r w:rsidRPr="00383A89">
        <w:rPr>
          <w:lang w:val="en-GB"/>
        </w:rPr>
        <w:t xml:space="preserve"> </w:t>
      </w:r>
      <w:r w:rsidR="00633A0F" w:rsidRPr="00383A89">
        <w:rPr>
          <w:lang w:val="en-GB"/>
        </w:rPr>
        <w:t xml:space="preserve">review </w:t>
      </w:r>
      <w:r w:rsidRPr="00383A89">
        <w:rPr>
          <w:lang w:val="en-GB"/>
        </w:rPr>
        <w:t>the recent development</w:t>
      </w:r>
      <w:r w:rsidR="000F43BA" w:rsidRPr="00383A89">
        <w:rPr>
          <w:lang w:val="en-GB"/>
        </w:rPr>
        <w:t xml:space="preserve">s in </w:t>
      </w:r>
      <w:r w:rsidRPr="00383A89">
        <w:rPr>
          <w:lang w:val="en-GB"/>
        </w:rPr>
        <w:t>the large-scale h</w:t>
      </w:r>
      <w:r w:rsidR="000F43BA" w:rsidRPr="00383A89">
        <w:rPr>
          <w:lang w:val="en-GB"/>
        </w:rPr>
        <w:t xml:space="preserve">epatic computational models where we focus </w:t>
      </w:r>
      <w:r w:rsidR="00392906" w:rsidRPr="00383A89">
        <w:rPr>
          <w:lang w:val="en-GB"/>
        </w:rPr>
        <w:t>on object</w:t>
      </w:r>
      <w:r w:rsidR="00FB2CD5">
        <w:rPr>
          <w:lang w:val="en-GB"/>
        </w:rPr>
        <w:t>-</w:t>
      </w:r>
      <w:r w:rsidR="00392906" w:rsidRPr="00383A89">
        <w:rPr>
          <w:lang w:val="en-GB"/>
        </w:rPr>
        <w:t>oriented models as</w:t>
      </w:r>
      <w:r w:rsidR="000F43BA" w:rsidRPr="00383A89">
        <w:rPr>
          <w:lang w:val="en-GB"/>
        </w:rPr>
        <w:t xml:space="preserve"> </w:t>
      </w:r>
      <w:r w:rsidR="00392906" w:rsidRPr="00383A89">
        <w:rPr>
          <w:lang w:val="en-GB"/>
        </w:rPr>
        <w:t xml:space="preserve">a </w:t>
      </w:r>
      <w:r w:rsidR="000F43BA" w:rsidRPr="00383A89">
        <w:rPr>
          <w:lang w:val="en-GB"/>
        </w:rPr>
        <w:t>p</w:t>
      </w:r>
      <w:r w:rsidR="00FB2CD5">
        <w:rPr>
          <w:lang w:val="en-GB"/>
        </w:rPr>
        <w:t>art of our research. The object-</w:t>
      </w:r>
      <w:r w:rsidR="000F43BA" w:rsidRPr="00383A89">
        <w:rPr>
          <w:lang w:val="en-GB"/>
        </w:rPr>
        <w:t>oriented modelling approach is beneficial in efforts to</w:t>
      </w:r>
      <w:r w:rsidRPr="00383A89">
        <w:rPr>
          <w:lang w:val="en-GB"/>
        </w:rPr>
        <w:t xml:space="preserve"> describe the interaction</w:t>
      </w:r>
      <w:r w:rsidR="000F43BA" w:rsidRPr="00383A89">
        <w:rPr>
          <w:lang w:val="en-GB"/>
        </w:rPr>
        <w:t xml:space="preserve">s between the tissues, such as how metabolism of the liver interacts with metabolism of other tissues </w:t>
      </w:r>
      <w:r w:rsidR="00392906" w:rsidRPr="00383A89">
        <w:rPr>
          <w:i/>
          <w:lang w:val="en-GB"/>
        </w:rPr>
        <w:t>via</w:t>
      </w:r>
      <w:r w:rsidR="000F43BA" w:rsidRPr="00383A89">
        <w:rPr>
          <w:lang w:val="en-GB"/>
        </w:rPr>
        <w:t xml:space="preserve"> </w:t>
      </w:r>
      <w:r w:rsidR="00392906" w:rsidRPr="00383A89">
        <w:rPr>
          <w:lang w:val="en-GB"/>
        </w:rPr>
        <w:t>blood. Importantly, this modelling approach can</w:t>
      </w:r>
      <w:r w:rsidRPr="00383A89">
        <w:rPr>
          <w:lang w:val="en-GB"/>
        </w:rPr>
        <w:t xml:space="preserve"> account </w:t>
      </w:r>
      <w:r w:rsidR="00392906" w:rsidRPr="00383A89">
        <w:rPr>
          <w:lang w:val="en-GB"/>
        </w:rPr>
        <w:t xml:space="preserve">as well </w:t>
      </w:r>
      <w:r w:rsidR="001E5BFB" w:rsidRPr="00383A89">
        <w:rPr>
          <w:lang w:val="en-GB"/>
        </w:rPr>
        <w:t>for transcriptional</w:t>
      </w:r>
      <w:r w:rsidRPr="00383A89">
        <w:rPr>
          <w:lang w:val="en-GB"/>
        </w:rPr>
        <w:t xml:space="preserve"> and post-translational regulation of m</w:t>
      </w:r>
      <w:r w:rsidR="00392906" w:rsidRPr="00383A89">
        <w:rPr>
          <w:lang w:val="en-GB"/>
        </w:rPr>
        <w:t>etabolic reactions which is a difficult task to achieve. T</w:t>
      </w:r>
      <w:r w:rsidRPr="00383A89">
        <w:rPr>
          <w:lang w:val="en-GB"/>
        </w:rPr>
        <w:t xml:space="preserve">he current and potential clinical applications of </w:t>
      </w:r>
      <w:r w:rsidR="00FE2A9A" w:rsidRPr="00383A89">
        <w:rPr>
          <w:lang w:val="en-GB"/>
        </w:rPr>
        <w:t>large-scale hepatic</w:t>
      </w:r>
      <w:r w:rsidRPr="00383A89">
        <w:rPr>
          <w:lang w:val="en-GB"/>
        </w:rPr>
        <w:t xml:space="preserve"> models</w:t>
      </w:r>
      <w:r w:rsidR="00597BC7" w:rsidRPr="00383A89">
        <w:rPr>
          <w:lang w:val="en-GB"/>
        </w:rPr>
        <w:t xml:space="preserve"> are also discussed. We</w:t>
      </w:r>
      <w:r w:rsidR="00FE2A9A" w:rsidRPr="00383A89">
        <w:rPr>
          <w:lang w:val="en-GB"/>
        </w:rPr>
        <w:t xml:space="preserve"> </w:t>
      </w:r>
      <w:r w:rsidRPr="00383A89">
        <w:rPr>
          <w:lang w:val="en-GB"/>
        </w:rPr>
        <w:t>conclude with the future perspectives within the systems and translational medicine research community.</w:t>
      </w:r>
    </w:p>
    <w:p w14:paraId="6608A9E8" w14:textId="7A65A063" w:rsidR="00723843" w:rsidRPr="00383A89" w:rsidRDefault="000B6CBC" w:rsidP="000B6CBC">
      <w:pPr>
        <w:jc w:val="both"/>
        <w:rPr>
          <w:lang w:val="en-GB"/>
        </w:rPr>
      </w:pPr>
      <w:r w:rsidRPr="000B6CBC">
        <w:rPr>
          <w:b/>
          <w:lang w:val="en-GB"/>
        </w:rPr>
        <w:t>Keywords</w:t>
      </w:r>
      <w:r>
        <w:rPr>
          <w:lang w:val="en-GB"/>
        </w:rPr>
        <w:t xml:space="preserve">: </w:t>
      </w:r>
      <w:bookmarkStart w:id="0" w:name="_GoBack"/>
      <w:r w:rsidRPr="000B6CBC">
        <w:rPr>
          <w:lang w:val="en-GB"/>
        </w:rPr>
        <w:t xml:space="preserve">hepatic metabolism, systems medicine, </w:t>
      </w:r>
      <w:r>
        <w:rPr>
          <w:lang w:val="en-GB"/>
        </w:rPr>
        <w:t xml:space="preserve">modelling and simulation, </w:t>
      </w:r>
      <w:r w:rsidRPr="000B6CBC">
        <w:rPr>
          <w:lang w:val="en-GB"/>
        </w:rPr>
        <w:t>large-scale metabolic model</w:t>
      </w:r>
      <w:r>
        <w:rPr>
          <w:lang w:val="en-GB"/>
        </w:rPr>
        <w:t>s</w:t>
      </w:r>
      <w:r w:rsidR="00CC7F34">
        <w:rPr>
          <w:lang w:val="en-GB"/>
        </w:rPr>
        <w:t>, NAFLD</w:t>
      </w:r>
      <w:r w:rsidR="00AA2642">
        <w:rPr>
          <w:lang w:val="en-GB"/>
        </w:rPr>
        <w:t>, liver</w:t>
      </w:r>
    </w:p>
    <w:bookmarkEnd w:id="0"/>
    <w:p w14:paraId="27620D9A" w14:textId="6E6E7ADF" w:rsidR="00F01DD6" w:rsidRPr="00383A89" w:rsidRDefault="00F01DD6" w:rsidP="00E679A5">
      <w:pPr>
        <w:rPr>
          <w:lang w:val="en-GB"/>
        </w:rPr>
      </w:pPr>
    </w:p>
    <w:p w14:paraId="1F6CB486" w14:textId="73D9520A" w:rsidR="00F01DD6" w:rsidRPr="00383A89" w:rsidRDefault="00F01DD6" w:rsidP="00E679A5">
      <w:pPr>
        <w:rPr>
          <w:lang w:val="en-GB"/>
        </w:rPr>
      </w:pPr>
    </w:p>
    <w:p w14:paraId="732D37ED" w14:textId="38B122EE" w:rsidR="00F01DD6" w:rsidRPr="00383A89" w:rsidRDefault="00F01DD6" w:rsidP="00E679A5">
      <w:pPr>
        <w:rPr>
          <w:lang w:val="en-GB"/>
        </w:rPr>
      </w:pPr>
    </w:p>
    <w:p w14:paraId="7E95D3F5" w14:textId="10789A0A" w:rsidR="00F01DD6" w:rsidRPr="00383A89" w:rsidRDefault="00F01DD6" w:rsidP="00E679A5">
      <w:pPr>
        <w:rPr>
          <w:lang w:val="en-GB"/>
        </w:rPr>
      </w:pPr>
    </w:p>
    <w:p w14:paraId="7DBA31FE" w14:textId="3D97B01F" w:rsidR="00F01DD6" w:rsidRPr="00383A89" w:rsidRDefault="00F01DD6" w:rsidP="00E679A5">
      <w:pPr>
        <w:rPr>
          <w:lang w:val="en-GB"/>
        </w:rPr>
      </w:pPr>
    </w:p>
    <w:p w14:paraId="4528997D" w14:textId="2273F3AB" w:rsidR="00F01DD6" w:rsidRPr="00383A89" w:rsidRDefault="00484219" w:rsidP="00484219">
      <w:pPr>
        <w:spacing w:line="259" w:lineRule="auto"/>
        <w:rPr>
          <w:lang w:val="en-GB"/>
        </w:rPr>
      </w:pPr>
      <w:r w:rsidRPr="00383A89">
        <w:rPr>
          <w:lang w:val="en-GB"/>
        </w:rPr>
        <w:lastRenderedPageBreak/>
        <w:br w:type="page"/>
      </w:r>
    </w:p>
    <w:p w14:paraId="2E4FE4D2" w14:textId="04E873BB" w:rsidR="008E3171" w:rsidRPr="00383A89" w:rsidRDefault="00723843" w:rsidP="008E3171">
      <w:pPr>
        <w:pStyle w:val="Naslov1"/>
        <w:rPr>
          <w:lang w:val="en-GB"/>
        </w:rPr>
      </w:pPr>
      <w:r w:rsidRPr="00383A89">
        <w:rPr>
          <w:lang w:val="en-GB"/>
        </w:rPr>
        <w:lastRenderedPageBreak/>
        <w:t>Introduction</w:t>
      </w:r>
    </w:p>
    <w:p w14:paraId="332A8FA7" w14:textId="3E8B5BC0" w:rsidR="004C6DB0" w:rsidRPr="00383A89" w:rsidRDefault="00484219" w:rsidP="00484219">
      <w:pPr>
        <w:shd w:val="clear" w:color="auto" w:fill="FFFFFF"/>
        <w:spacing w:before="240" w:after="120"/>
        <w:jc w:val="both"/>
        <w:outlineLvl w:val="0"/>
        <w:rPr>
          <w:rFonts w:eastAsia="Times New Roman"/>
          <w:lang w:val="en-GB"/>
        </w:rPr>
      </w:pPr>
      <w:r w:rsidRPr="00383A89">
        <w:rPr>
          <w:rFonts w:eastAsia="Times New Roman"/>
          <w:lang w:val="en-GB"/>
        </w:rPr>
        <w:t>Novel high throughput technologies and</w:t>
      </w:r>
      <w:r w:rsidRPr="00383A89">
        <w:rPr>
          <w:lang w:val="en-GB"/>
        </w:rPr>
        <w:t xml:space="preserve"> advanced computation </w:t>
      </w:r>
      <w:r w:rsidRPr="00383A89">
        <w:rPr>
          <w:rFonts w:eastAsia="Times New Roman"/>
          <w:lang w:val="en-GB"/>
        </w:rPr>
        <w:t xml:space="preserve">impact the medicine quickly and influentially. Despite this, we still face a number of multifactorial diseases where the diagnosis and treatment remain a hurdle. This is the case as well for the multifactorial liver pathologies where the combinations of poorly defined genetic factors, together with environmental factors, interplay with each other and result in distinct disease phenotypes. </w:t>
      </w:r>
    </w:p>
    <w:p w14:paraId="4FBDC946" w14:textId="0D34774F" w:rsidR="004C6DB0" w:rsidRPr="00383A89" w:rsidRDefault="00A13C5A" w:rsidP="004C6DB0">
      <w:pPr>
        <w:jc w:val="both"/>
        <w:rPr>
          <w:lang w:val="en-GB"/>
        </w:rPr>
      </w:pPr>
      <w:r w:rsidRPr="00383A89">
        <w:rPr>
          <w:lang w:val="en-GB"/>
        </w:rPr>
        <w:t>Non-</w:t>
      </w:r>
      <w:r w:rsidR="00A46EE3" w:rsidRPr="00383A89">
        <w:rPr>
          <w:lang w:val="en-GB"/>
        </w:rPr>
        <w:t>alcoholic</w:t>
      </w:r>
      <w:r w:rsidRPr="00383A89">
        <w:rPr>
          <w:lang w:val="en-GB"/>
        </w:rPr>
        <w:t xml:space="preserve"> fatty liver disease</w:t>
      </w:r>
      <w:r w:rsidR="004C6DB0" w:rsidRPr="00383A89">
        <w:rPr>
          <w:lang w:val="en-GB"/>
        </w:rPr>
        <w:t xml:space="preserve"> </w:t>
      </w:r>
      <w:r w:rsidRPr="00383A89">
        <w:rPr>
          <w:lang w:val="en-GB"/>
        </w:rPr>
        <w:t xml:space="preserve">(NAFLD) </w:t>
      </w:r>
      <w:r w:rsidR="004C6DB0" w:rsidRPr="00383A89">
        <w:rPr>
          <w:lang w:val="en-GB"/>
        </w:rPr>
        <w:t>is the most prevalent form of chronic liver disease in the world. It affects 25% of the global adult population</w:t>
      </w:r>
      <w:r w:rsidRPr="00383A89">
        <w:rPr>
          <w:lang w:val="en-GB"/>
        </w:rPr>
        <w:t xml:space="preserve"> </w:t>
      </w:r>
      <w:r w:rsidR="004C6DB0" w:rsidRPr="00383A89">
        <w:rPr>
          <w:lang w:val="en-GB"/>
        </w:rPr>
        <w:t>and as many as 1/3 of people in the developed world</w:t>
      </w:r>
      <w:r w:rsidR="00A34EF8">
        <w:rPr>
          <w:lang w:val="en-GB"/>
        </w:rPr>
        <w:t>.</w:t>
      </w:r>
      <w:r w:rsidR="00417B1D">
        <w:rPr>
          <w:lang w:val="en-GB"/>
        </w:rPr>
        <w:fldChar w:fldCharType="begin" w:fldLock="1"/>
      </w:r>
      <w:r w:rsidR="001C27E1">
        <w:rPr>
          <w:lang w:val="en-GB"/>
        </w:rPr>
        <w:instrText>ADDIN CSL_CITATION { "citationItems" : [ { "id" : "ITEM-1", "itemData" : { "DOI" : "10.1053/j.gastro.2016.03.005", "ISBN" : "1528-0012 (Electronic) 0016-5085 (Linking)", "ISSN" : "15280012", "PMID" : "26980624", "abstract" : "Nonalcoholic fatty liver disease (NAFLD) and alcoholic liver disease (ALD) are common causes of chronic liver disease. NAFLD is associated with obesity and metabolic syndrome whereas ALD is associated with excessive alcohol consumption. Both diseases can progress to cirrhosis, hepatocellular carcinoma, and liver-related death. A higher proportion of patients with NAFLD die from cardiovascular disorders than patients with ALD, whereas a higher proportion of patients with ALD die from liver disease. NAFLD and ALD each are associated with significant morbidity, impairment to health-related quality of life, and economic costs to society.", "author" : [ { "dropping-particle" : "", "family" : "Younossi", "given" : "Zobair", "non-dropping-particle" : "", "parse-names" : false, "suffix" : "" }, { "dropping-particle" : "", "family" : "Henry", "given" : "Linda", "non-dropping-particle" : "", "parse-names" : false, "suffix" : "" } ], "container-title" : "Gastroenterology", "id" : "ITEM-1", "issue" : "8", "issued" : { "date-parts" : [ [ "2016" ] ] }, "page" : "1778-1785", "title" : "Contribution of Alcoholic and Nonalcoholic Fatty Liver Disease to the Burden of Liver-Related Morbidity and Mortality", "type" : "article-journal", "volume" : "150" }, "uris" : [ "http://www.mendeley.com/documents/?uuid=83261179-4a77-4039-b8c7-9b1d12d6a2a4" ] } ], "mendeley" : { "formattedCitation" : "&lt;sup&gt;&lt;sup&gt;1&lt;/sup&gt;&lt;/sup&gt;", "plainTextFormattedCitation" : "1", "previouslyFormattedCitation" : "&lt;sup&gt;&lt;sup&gt;1&lt;/sup&gt;&lt;/sup&gt;" }, "properties" : { "noteIndex" : 0 }, "schema" : "https://github.com/citation-style-language/schema/raw/master/csl-citation.json" }</w:instrText>
      </w:r>
      <w:r w:rsidR="00417B1D">
        <w:rPr>
          <w:lang w:val="en-GB"/>
        </w:rPr>
        <w:fldChar w:fldCharType="separate"/>
      </w:r>
      <w:r w:rsidR="00A34EF8" w:rsidRPr="00A34EF8">
        <w:rPr>
          <w:noProof/>
          <w:vertAlign w:val="superscript"/>
          <w:lang w:val="en-GB"/>
        </w:rPr>
        <w:t>1</w:t>
      </w:r>
      <w:r w:rsidR="00417B1D">
        <w:rPr>
          <w:lang w:val="en-GB"/>
        </w:rPr>
        <w:fldChar w:fldCharType="end"/>
      </w:r>
      <w:r w:rsidR="004C6DB0" w:rsidRPr="00383A89">
        <w:rPr>
          <w:lang w:val="en-GB"/>
        </w:rPr>
        <w:t xml:space="preserve"> The disease is manifested by a spectrum of liver pathologies ranging from simple steatosis </w:t>
      </w:r>
      <w:r w:rsidRPr="00383A89">
        <w:rPr>
          <w:lang w:val="en-GB"/>
        </w:rPr>
        <w:t xml:space="preserve">(fatty liver) </w:t>
      </w:r>
      <w:r w:rsidR="004C6DB0" w:rsidRPr="00383A89">
        <w:rPr>
          <w:lang w:val="en-GB"/>
        </w:rPr>
        <w:t>to liver cell injury with fibrosis and can end in cirrhosis or liver cancer (</w:t>
      </w:r>
      <w:r w:rsidR="00706E26">
        <w:rPr>
          <w:lang w:val="en-GB"/>
        </w:rPr>
        <w:t>hepatocellular c</w:t>
      </w:r>
      <w:r w:rsidR="004C6DB0" w:rsidRPr="00383A89">
        <w:rPr>
          <w:lang w:val="en-GB"/>
        </w:rPr>
        <w:t xml:space="preserve">arcinoma, HCC). The rising incidence of NAFLD </w:t>
      </w:r>
      <w:r w:rsidR="00044FF2" w:rsidRPr="00383A89">
        <w:rPr>
          <w:lang w:val="en-GB"/>
        </w:rPr>
        <w:t xml:space="preserve">has </w:t>
      </w:r>
      <w:r w:rsidR="004C6DB0" w:rsidRPr="00383A89">
        <w:rPr>
          <w:lang w:val="en-GB"/>
        </w:rPr>
        <w:t xml:space="preserve">led to dramatic rise of liver cancer, a disease with poor outcomes and limited therapeutic options. Without treatment, HCC is fatal, with a 5-year survival of only five percent. </w:t>
      </w:r>
    </w:p>
    <w:p w14:paraId="7F82ACD1" w14:textId="79A68690" w:rsidR="00484219" w:rsidRPr="00383A89" w:rsidRDefault="00A13C5A" w:rsidP="00484219">
      <w:pPr>
        <w:shd w:val="clear" w:color="auto" w:fill="FFFFFF"/>
        <w:spacing w:before="240" w:after="120"/>
        <w:jc w:val="both"/>
        <w:outlineLvl w:val="0"/>
        <w:rPr>
          <w:lang w:val="en-GB"/>
        </w:rPr>
      </w:pPr>
      <w:r w:rsidRPr="00383A89">
        <w:rPr>
          <w:rFonts w:eastAsia="Times New Roman"/>
          <w:lang w:val="en-GB"/>
        </w:rPr>
        <w:t>Du</w:t>
      </w:r>
      <w:r w:rsidR="00484219" w:rsidRPr="00383A89">
        <w:rPr>
          <w:rFonts w:eastAsia="Times New Roman"/>
          <w:lang w:val="en-GB"/>
        </w:rPr>
        <w:t>e to individuality of humans and the combinatorial effects, it is virtually impossible to predict all combinations that can lead to a liver disease phenotype. I</w:t>
      </w:r>
      <w:r w:rsidR="00484219" w:rsidRPr="00383A89">
        <w:rPr>
          <w:lang w:val="en-GB"/>
        </w:rPr>
        <w:t>t appears that in each individual a different combination of genetic and environmental factors might be responsible for the multifactorial dise</w:t>
      </w:r>
      <w:r w:rsidR="00095BEC" w:rsidRPr="00383A89">
        <w:rPr>
          <w:lang w:val="en-GB"/>
        </w:rPr>
        <w:t xml:space="preserve">ase appearance and progression. In addition, </w:t>
      </w:r>
      <w:r w:rsidR="00484219" w:rsidRPr="00383A89">
        <w:rPr>
          <w:lang w:val="en-GB"/>
        </w:rPr>
        <w:t>such</w:t>
      </w:r>
      <w:r w:rsidR="00095BEC" w:rsidRPr="00383A89">
        <w:rPr>
          <w:lang w:val="en-GB"/>
        </w:rPr>
        <w:t xml:space="preserve"> multifactorial conditions </w:t>
      </w:r>
      <w:r w:rsidR="00484219" w:rsidRPr="00383A89">
        <w:rPr>
          <w:lang w:val="en-GB"/>
        </w:rPr>
        <w:t xml:space="preserve">combine during </w:t>
      </w:r>
      <w:r w:rsidR="00095BEC" w:rsidRPr="00383A89">
        <w:rPr>
          <w:lang w:val="en-GB"/>
        </w:rPr>
        <w:t xml:space="preserve">the </w:t>
      </w:r>
      <w:r w:rsidR="00484219" w:rsidRPr="00383A89">
        <w:rPr>
          <w:lang w:val="en-GB"/>
        </w:rPr>
        <w:t xml:space="preserve">aging. </w:t>
      </w:r>
      <w:r w:rsidR="00484219" w:rsidRPr="00383A89">
        <w:rPr>
          <w:rFonts w:eastAsia="Times New Roman"/>
          <w:lang w:val="en-GB"/>
        </w:rPr>
        <w:t xml:space="preserve">This limits the ability to predict the individuals’ disease progression and to discover and/or apply efficient individualized treatments.  </w:t>
      </w:r>
    </w:p>
    <w:p w14:paraId="532CC8E2" w14:textId="008FD30C" w:rsidR="00484219" w:rsidRPr="00383A89" w:rsidRDefault="00484219" w:rsidP="00484219">
      <w:pPr>
        <w:spacing w:after="200"/>
        <w:jc w:val="both"/>
        <w:rPr>
          <w:color w:val="000000"/>
          <w:lang w:val="en-GB"/>
        </w:rPr>
      </w:pPr>
      <w:r w:rsidRPr="00383A89">
        <w:rPr>
          <w:lang w:val="en-GB"/>
        </w:rPr>
        <w:t xml:space="preserve">We are </w:t>
      </w:r>
      <w:r w:rsidR="00095BEC" w:rsidRPr="00383A89">
        <w:rPr>
          <w:lang w:val="en-GB"/>
        </w:rPr>
        <w:t xml:space="preserve">thus </w:t>
      </w:r>
      <w:r w:rsidRPr="00383A89">
        <w:rPr>
          <w:lang w:val="en-GB"/>
        </w:rPr>
        <w:t>faced with a challenging situation where on one hand there is a large progress in understanding the molecular players of the liver disease stages and the overlap with other diseases</w:t>
      </w:r>
      <w:r w:rsidR="003722E6">
        <w:rPr>
          <w:lang w:val="en-GB"/>
        </w:rPr>
        <w:t xml:space="preserve"> </w:t>
      </w:r>
      <w:r w:rsidRPr="00383A89">
        <w:rPr>
          <w:lang w:val="en-GB"/>
        </w:rPr>
        <w:t xml:space="preserve">while the inconsistencies from different studies and different populations leave the impression that we are close to the starting point. </w:t>
      </w:r>
      <w:r w:rsidRPr="00383A89">
        <w:rPr>
          <w:rFonts w:eastAsia="Times New Roman"/>
          <w:lang w:val="en-GB"/>
        </w:rPr>
        <w:t xml:space="preserve">A major challenge of today’s medicine is thus to incorporate the technological revolution accompanied with expansion of various data into the everyday clinical practice. </w:t>
      </w:r>
      <w:r w:rsidRPr="00383A89">
        <w:rPr>
          <w:lang w:val="en-GB"/>
        </w:rPr>
        <w:t xml:space="preserve">One example is the knowledge regarding the genetic bases of liver diseases. Despite multiple studies and numerous potentially involved genes, the polymorphisms of a single gene </w:t>
      </w:r>
      <w:r w:rsidRPr="00383A89">
        <w:rPr>
          <w:i/>
          <w:lang w:val="en-GB"/>
        </w:rPr>
        <w:t>PNPLA3</w:t>
      </w:r>
      <w:r w:rsidRPr="00383A89">
        <w:rPr>
          <w:lang w:val="en-GB"/>
        </w:rPr>
        <w:t xml:space="preserve"> named also adiponutrin, correlate with the non-alcoholic fatty liver disease progression to later disease stages, including the hepatocellular </w:t>
      </w:r>
      <w:r w:rsidR="00750527">
        <w:rPr>
          <w:lang w:val="en-GB"/>
        </w:rPr>
        <w:t>carcinoma (reviewed in</w:t>
      </w:r>
      <w:r w:rsidR="00A34EF8">
        <w:rPr>
          <w:lang w:val="en-GB"/>
        </w:rPr>
        <w:t xml:space="preserve"> </w:t>
      </w:r>
      <w:r w:rsidR="00750527">
        <w:rPr>
          <w:lang w:val="en-GB"/>
        </w:rPr>
        <w:fldChar w:fldCharType="begin" w:fldLock="1"/>
      </w:r>
      <w:r w:rsidR="001C27E1">
        <w:rPr>
          <w:lang w:val="en-GB"/>
        </w:rPr>
        <w:instrText>ADDIN CSL_CITATION { "citationItems" : [ { "id" : "ITEM-1", "itemData" : { "DOI" : "10.1016/j.ygeno.2013.03.007", "ISBN" : "1089-8646 (Electronic) 0888-7543 (Linking)", "ISSN" : "08887543", "PMID" : "23545492", "abstract" : "Non-alcoholic fatty liver disease (NAFLD) is the most predominant liver disease worldwide and hepatic manifestation of the metabolic syndrome. Its histology spectrum ranges from steatosis, to steatohepatitis (NASH) that can further progress to cirrhosis and hepatocellular carcinoma (HCC). The increasing incidence of NAFLD has contributed to rising numbers of HCC occurrences. NAFLD progression is governed by genetic susceptibility, environmental factors, lifestyle and features of the metabolic syndrome, many of which overlap with HCC. Gene expression profiling and genome wide association studies have identified novel disease pathways and polymorphisms in genes that may be potential biomarkers of NAFLD progression. However, the multifactorial nature of NAFLD and the limited number of sufficiently powered studies are among the current limitations for validated biomarkers of clinical utility. Further studies incorporating the links between circadian regulation and hepatic metabolism might represent an additional direction in the search for predictive biomarkers of liver disease progression and treatment outcomes copy; 2013 Elsevier Inc.", "author" : [ { "dropping-particle" : "", "family" : "Naik", "given" : "Adviti", "non-dropping-particle" : "", "parse-names" : false, "suffix" : "" }, { "dropping-particle" : "", "family" : "Ko\u0161ir", "given" : "Rok", "non-dropping-particle" : "", "parse-names" : false, "suffix" : "" }, { "dropping-particle" : "", "family" : "Rozman", "given" : "Damjana", "non-dropping-particle" : "", "parse-names" : false, "suffix" : "" } ], "container-title" : "Genomics", "id" : "ITEM-1", "issue" : "2", "issued" : { "date-parts" : [ [ "2013" ] ] }, "page" : "84-95", "title" : "Genomic aspects of NAFLD pathogenesis", "type" : "article-journal", "volume" : "102" }, "uris" : [ "http://www.mendeley.com/documents/?uuid=61365b42-bef2-4017-ae12-2d90df8366c2" ] }, { "id" : "ITEM-2", "itemData" : { "DOI" : "10.2174/1381612822666161006160005", "ISBN" : "1381612822", "ISSN" : "13816128", "PMID" : "27719638", "abstract" : "BACKGROUND Hepatocellular carcinoma (HCC) represents the most common malignant liver tumor in humans, which incidence and mortality have increased in Europe and United States in the last years. Most patients are diagnosed at an advanced stage, when it is not amenable to curative therapies, so there is an urgent need for new, more effective therapeutic tools and strategies. The molecular mechanisms of hepatocarinogenesis and HCC progression have been increasingly understood with intense research in recent years. METHODS The goal of this work is to discuss the different signalling pathways as important potential therapeutic targets. RESULTS Disruption of pathways known to play roles in HCC, such as Wnt/\u03b2-catenin, Hedgehog, RAF/MEK/ERK, tryosine kinase receptor-related pathway, Met-HGF, VEGF/ VEGF and ROR signalling pathways may be seminal for liver oncogenesis. CONCLUSION This review reveals that oncogenes, especially microRNAs that are conserved across species and interfere with signalling pathways might be used as promising strategies for halting or reversing the progression of HCC.", "author" : [ { "dropping-particle" : "", "family" : "Blagotin\u0161ek", "given" : "Kaja", "non-dropping-particle" : "", "parse-names" : false, "suffix" : "" }, { "dropping-particle" : "", "family" : "Rozman", "given" : "Damjana", "non-dropping-particle" : "", "parse-names" : false, "suffix" : "" } ], "container-title" : "Current Pharmaceutical Design", "id" : "ITEM-2", "issue" : "1", "issued" : { "date-parts" : [ [ "2017" ] ] }, "page" : "170-175", "title" : "Targeting Signalling Pathways in Hepatocellular carcinoma", "type" : "article-journal", "volume" : "23" }, "uris" : [ "http://www.mendeley.com/documents/?uuid=4d469b67-05d2-4e42-98d2-2caee49d8047" ] } ], "mendeley" : { "formattedCitation" : "&lt;sup&gt;&lt;sup&gt;2&lt;/sup&gt;,&lt;sup&gt;3&lt;/sup&gt;&lt;/sup&gt;", "plainTextFormattedCitation" : "2,3", "previouslyFormattedCitation" : "&lt;sup&gt;&lt;sup&gt;2&lt;/sup&gt;,&lt;sup&gt;3&lt;/sup&gt;&lt;/sup&gt;" }, "properties" : { "noteIndex" : 0 }, "schema" : "https://github.com/citation-style-language/schema/raw/master/csl-citation.json" }</w:instrText>
      </w:r>
      <w:r w:rsidR="00750527">
        <w:rPr>
          <w:lang w:val="en-GB"/>
        </w:rPr>
        <w:fldChar w:fldCharType="separate"/>
      </w:r>
      <w:r w:rsidR="00A34EF8" w:rsidRPr="00A34EF8">
        <w:rPr>
          <w:noProof/>
          <w:vertAlign w:val="superscript"/>
          <w:lang w:val="en-GB"/>
        </w:rPr>
        <w:t>2,3</w:t>
      </w:r>
      <w:r w:rsidR="00750527">
        <w:rPr>
          <w:lang w:val="en-GB"/>
        </w:rPr>
        <w:fldChar w:fldCharType="end"/>
      </w:r>
      <w:r w:rsidR="00750527">
        <w:rPr>
          <w:lang w:val="en-GB"/>
        </w:rPr>
        <w:t>).</w:t>
      </w:r>
    </w:p>
    <w:p w14:paraId="5D2E8096" w14:textId="4B6F009F" w:rsidR="00A13C5A" w:rsidRPr="00383A89" w:rsidRDefault="004C6DB0" w:rsidP="00A13C5A">
      <w:pPr>
        <w:jc w:val="both"/>
        <w:rPr>
          <w:lang w:val="en-GB"/>
        </w:rPr>
      </w:pPr>
      <w:r w:rsidRPr="00383A89">
        <w:rPr>
          <w:lang w:val="en-GB"/>
        </w:rPr>
        <w:t xml:space="preserve">At present we do not understand the mechanisms and pathways that define a particular liver disease stage, we cannot predict the fate of disease progression nor can we treat NAFLD. </w:t>
      </w:r>
      <w:r w:rsidR="00A13C5A" w:rsidRPr="00383A89">
        <w:rPr>
          <w:lang w:val="en-GB"/>
        </w:rPr>
        <w:t xml:space="preserve">To solve such complex </w:t>
      </w:r>
      <w:r w:rsidR="00044FF2" w:rsidRPr="00383A89">
        <w:rPr>
          <w:lang w:val="en-GB"/>
        </w:rPr>
        <w:t>questions we</w:t>
      </w:r>
      <w:r w:rsidR="00A13C5A" w:rsidRPr="00383A89">
        <w:rPr>
          <w:lang w:val="en-GB"/>
        </w:rPr>
        <w:t xml:space="preserve"> must apply innovative systems solutions that in addition to experimentation</w:t>
      </w:r>
      <w:r w:rsidR="00750527">
        <w:rPr>
          <w:lang w:val="en-GB"/>
        </w:rPr>
        <w:t xml:space="preserve"> </w:t>
      </w:r>
      <w:r w:rsidR="00A13C5A" w:rsidRPr="00383A89">
        <w:rPr>
          <w:lang w:val="en-GB"/>
        </w:rPr>
        <w:t>include also modelling and validation in clinical samples.</w:t>
      </w:r>
      <w:r w:rsidR="00044FF2" w:rsidRPr="00383A89">
        <w:rPr>
          <w:lang w:val="en-GB"/>
        </w:rPr>
        <w:t xml:space="preserve"> The</w:t>
      </w:r>
      <w:r w:rsidR="00612394" w:rsidRPr="00383A89">
        <w:rPr>
          <w:lang w:val="en-GB"/>
        </w:rPr>
        <w:t>s</w:t>
      </w:r>
      <w:r w:rsidR="00044FF2" w:rsidRPr="00383A89">
        <w:rPr>
          <w:lang w:val="en-GB"/>
        </w:rPr>
        <w:t>e</w:t>
      </w:r>
      <w:r w:rsidR="00612394" w:rsidRPr="00383A89">
        <w:rPr>
          <w:lang w:val="en-GB"/>
        </w:rPr>
        <w:t xml:space="preserve"> will be described in more details in the following chapters of the paper.  </w:t>
      </w:r>
    </w:p>
    <w:p w14:paraId="73EA7474" w14:textId="2AC9C74E" w:rsidR="00484219" w:rsidRPr="00383A89" w:rsidRDefault="00484219" w:rsidP="00612394">
      <w:pPr>
        <w:pStyle w:val="Naslov1"/>
        <w:rPr>
          <w:lang w:val="en-GB"/>
        </w:rPr>
      </w:pPr>
      <w:r w:rsidRPr="00383A89">
        <w:rPr>
          <w:rFonts w:cs="Times New Roman"/>
          <w:lang w:val="en-GB"/>
        </w:rPr>
        <w:br w:type="page"/>
      </w:r>
      <w:r w:rsidR="00B074FF">
        <w:rPr>
          <w:lang w:val="en-GB"/>
        </w:rPr>
        <w:lastRenderedPageBreak/>
        <w:t>Selected</w:t>
      </w:r>
      <w:r w:rsidR="00D564E2">
        <w:rPr>
          <w:lang w:val="en-GB"/>
        </w:rPr>
        <w:t xml:space="preserve"> </w:t>
      </w:r>
      <w:r w:rsidR="00612394" w:rsidRPr="00D564E2">
        <w:rPr>
          <w:lang w:val="en-GB"/>
        </w:rPr>
        <w:t>liver disease models that produce data for computation</w:t>
      </w:r>
    </w:p>
    <w:p w14:paraId="35F83068" w14:textId="66D71A1E" w:rsidR="00940DFF" w:rsidRPr="00383A89" w:rsidRDefault="00383A89" w:rsidP="00940DFF">
      <w:pPr>
        <w:rPr>
          <w:color w:val="222222"/>
          <w:spacing w:val="3"/>
          <w:lang w:val="en-GB"/>
        </w:rPr>
      </w:pPr>
      <w:r>
        <w:rPr>
          <w:lang w:val="en-GB"/>
        </w:rPr>
        <w:t xml:space="preserve">Cholesterol presents one of the most important metabolites synthesized within liver. </w:t>
      </w:r>
      <w:r w:rsidR="00940DFF" w:rsidRPr="00383A89">
        <w:rPr>
          <w:lang w:val="en-GB"/>
        </w:rPr>
        <w:t>Starting point of cholesterol biosynthesis is an acetyl-CoA molecule</w:t>
      </w:r>
      <w:r w:rsidR="00AA1B79">
        <w:rPr>
          <w:lang w:val="en-GB"/>
        </w:rPr>
        <w:t>.</w:t>
      </w:r>
      <w:r w:rsidR="00D16C1F">
        <w:rPr>
          <w:lang w:val="en-GB"/>
        </w:rPr>
        <w:t xml:space="preserve"> The pathway</w:t>
      </w:r>
      <w:r w:rsidR="00940DFF" w:rsidRPr="00383A89">
        <w:rPr>
          <w:lang w:val="en-GB"/>
        </w:rPr>
        <w:t xml:space="preserve"> consists of more than 20 </w:t>
      </w:r>
      <w:r w:rsidR="00D16C1F">
        <w:rPr>
          <w:lang w:val="en-GB"/>
        </w:rPr>
        <w:t>enzyme catalysed reactions</w:t>
      </w:r>
      <w:r w:rsidR="00A34EF8">
        <w:rPr>
          <w:lang w:val="en-GB"/>
        </w:rPr>
        <w:t>.</w:t>
      </w:r>
      <w:r w:rsidR="00750527">
        <w:rPr>
          <w:lang w:val="en-GB"/>
        </w:rPr>
        <w:fldChar w:fldCharType="begin" w:fldLock="1"/>
      </w:r>
      <w:r w:rsidR="00843C61">
        <w:rPr>
          <w:lang w:val="en-GB"/>
        </w:rPr>
        <w:instrText>ADDIN CSL_CITATION { "citationItems" : [ { "id" : "ITEM-1", "itemData" : { "DOI" : "10.3390/molecules18044002", "ISBN" : "1420-3049 (Electronic)\\r1420-3049 (Linking)", "ISSN" : "14203049", "PMID" : "23558541", "abstract" : "Cholesterol synthesis is a ubiquitous and housekeeping metabolic pathway that leads to cholesterol, an essential structural component of mammalian cell membranes, required for proper membrane permeability and fluidity. The last part of the pathway involves steroidal triterpenes with cholestane ring structures. It starts by conversion of acyclic squalene into lanosterol, the first sterol intermediate of the pathway, followed by production of 20 structurally very similar steroidal triterpene molecules in over 11 complex enzyme reactions. Due to the structural similarities of sterol intermediates and the broad substrate specificity of the enzymes involved (especially sterol-\u039424-reductase; DHCR24) the exact sequence of the reactions between lanosterol and cholesterol remains undefined. This article reviews all hitherto known structures of post-squalene steroidal triterpenes of cholesterol synthesis, their biological roles and the enzymes responsible for their synthesis. Furthermore, it summarises kinetic parameters of enzymes (Vmax and Km) and sterol intermediate concentrations from various tissues. Due to the complexity of the post-squalene cholesterol synthesis pathway, future studies will require a comprehensive meta-analysis of the pathway to elucidate the exact reaction sequence in different tissues, physiological or disease conditions. A major reason for the standstill of detailed late cholesterol synthesis research was the lack of several steroidal triterpene standards. We aid to this efforts by summarizing commercial and laboratory standards, referring also to chemical syntheses of meiosis-activating sterols.", "author" : [ { "dropping-particle" : "", "family" : "A\u010dimovi\u010d", "given" : "Jure", "non-dropping-particle" : "", "parse-names" : false, "suffix" : "" }, { "dropping-particle" : "", "family" : "Rozman", "given" : "Damjana", "non-dropping-particle" : "", "parse-names" : false, "suffix" : "" } ], "container-title" : "Molecules", "id" : "ITEM-1", "issue" : "4", "issued" : { "date-parts" : [ [ "2013" ] ] }, "page" : "4002-4017", "title" : "Steroidal triterpenes of cholesterol synthesis", "type" : "article-journal", "volume" : "18" }, "uris" : [ "http://www.mendeley.com/documents/?uuid=76f313aa-7277-4e8e-b403-769e867462b7" ] } ], "mendeley" : { "formattedCitation" : "&lt;sup&gt;&lt;sup&gt;4&lt;/sup&gt;&lt;/sup&gt;", "plainTextFormattedCitation" : "4", "previouslyFormattedCitation" : "&lt;sup&gt;&lt;sup&gt;4&lt;/sup&gt;&lt;/sup&gt;" }, "properties" : { "noteIndex" : 0 }, "schema" : "https://github.com/citation-style-language/schema/raw/master/csl-citation.json" }</w:instrText>
      </w:r>
      <w:r w:rsidR="00750527">
        <w:rPr>
          <w:lang w:val="en-GB"/>
        </w:rPr>
        <w:fldChar w:fldCharType="separate"/>
      </w:r>
      <w:r w:rsidR="00A34EF8" w:rsidRPr="00A34EF8">
        <w:rPr>
          <w:noProof/>
          <w:vertAlign w:val="superscript"/>
          <w:lang w:val="en-GB"/>
        </w:rPr>
        <w:t>4</w:t>
      </w:r>
      <w:r w:rsidR="00750527">
        <w:rPr>
          <w:lang w:val="en-GB"/>
        </w:rPr>
        <w:fldChar w:fldCharType="end"/>
      </w:r>
      <w:r w:rsidR="00940DFF" w:rsidRPr="00383A89">
        <w:rPr>
          <w:lang w:val="en-GB"/>
        </w:rPr>
        <w:t xml:space="preserve"> Unlike the pre-squalene </w:t>
      </w:r>
      <w:r w:rsidR="00BA25BE">
        <w:rPr>
          <w:lang w:val="en-GB"/>
        </w:rPr>
        <w:t>part of the cholesterol biosynthesis</w:t>
      </w:r>
      <w:r w:rsidR="00940DFF" w:rsidRPr="00383A89">
        <w:rPr>
          <w:lang w:val="en-GB"/>
        </w:rPr>
        <w:t xml:space="preserve"> the exact order of reactions in </w:t>
      </w:r>
      <w:r w:rsidR="00D16C1F">
        <w:rPr>
          <w:lang w:val="en-GB"/>
        </w:rPr>
        <w:t xml:space="preserve">the </w:t>
      </w:r>
      <w:r w:rsidR="00940DFF" w:rsidRPr="00383A89">
        <w:rPr>
          <w:lang w:val="en-GB"/>
        </w:rPr>
        <w:t xml:space="preserve">post-squalene part has not yet been clarified. Enzyme lanosterol 14α-demethylase </w:t>
      </w:r>
      <w:r w:rsidR="00BA25BE">
        <w:rPr>
          <w:lang w:val="en-GB"/>
        </w:rPr>
        <w:t>i.e</w:t>
      </w:r>
      <w:r w:rsidR="00940DFF" w:rsidRPr="00383A89">
        <w:rPr>
          <w:lang w:val="en-GB"/>
        </w:rPr>
        <w:t xml:space="preserve">. CYP51, the evolutionary most conserved member of the cytochrome P450 family, catalyses </w:t>
      </w:r>
      <w:r w:rsidR="00BA25BE" w:rsidRPr="00BA25BE">
        <w:rPr>
          <w:lang w:val="en-GB"/>
        </w:rPr>
        <w:t xml:space="preserve">the conversion of lanosterol to </w:t>
      </w:r>
      <w:r w:rsidR="008A3E19" w:rsidRPr="008A3E19">
        <w:rPr>
          <w:lang w:val="en-GB"/>
        </w:rPr>
        <w:t>FF-MAS</w:t>
      </w:r>
      <w:r w:rsidR="000D6701">
        <w:rPr>
          <w:lang w:val="en-GB"/>
        </w:rPr>
        <w:t xml:space="preserve"> </w:t>
      </w:r>
      <w:r w:rsidR="000D6701" w:rsidRPr="00383A89">
        <w:rPr>
          <w:lang w:val="en-GB"/>
        </w:rPr>
        <w:t xml:space="preserve">in the post-squalene part of </w:t>
      </w:r>
      <w:r w:rsidR="004D2CA9">
        <w:rPr>
          <w:lang w:val="en-GB"/>
        </w:rPr>
        <w:t xml:space="preserve">cholesterol </w:t>
      </w:r>
      <w:r w:rsidR="000D6701" w:rsidRPr="00383A89">
        <w:rPr>
          <w:lang w:val="en-GB"/>
        </w:rPr>
        <w:t>biosynthesis</w:t>
      </w:r>
      <w:r w:rsidR="00A34EF8">
        <w:rPr>
          <w:lang w:val="en-GB"/>
        </w:rPr>
        <w:t>.</w:t>
      </w:r>
      <w:r w:rsidR="00750527">
        <w:rPr>
          <w:lang w:val="en-GB"/>
        </w:rPr>
        <w:fldChar w:fldCharType="begin" w:fldLock="1"/>
      </w:r>
      <w:r w:rsidR="001C27E1">
        <w:rPr>
          <w:lang w:val="en-GB"/>
        </w:rPr>
        <w:instrText>ADDIN CSL_CITATION { "citationItems" : [ { "id" : "ITEM-1", "itemData" : { "DOI" : "10.1016/j.bbagen.2006.09.016", "ISBN" : "0304-4165", "PMID" : "17097232", "abstract" : "Mammals express multiple cytochromes P450 simultaneously in a variety\\nof tissues, including the liver, kidney, lung, adrenal, gonads, brain,\\nand most others. For cytochromes P450 that are expressed in many\\ntissues or cell types, the tissue/cell type-specific expression might\\nbe associated with their special physiological roles. Several cytochrome\\nP450 enzymes are found not only in different cell types and tissues,\\nbut also in different subcellular compartments. Generally, all mammalian\\ncytochrome P450 enzymes are membrane bound. The two major groups\\nare represented by microsomal cytochromes P450 that reside in the\\nendoplasmic reticulum, and mitochondrial cytochromes P450, that reside\\nin the inner mitochondrial membrane. However, the outer nuclear membrane,\\ndifferent Golgi compartments, peroxisomes and the plasma membrane\\nare also sites where cytochromes P450 were observed. For example,\\nCYP51 is an ER enzyme in majority of tissues but in male germ cells\\nit trafficks through the Golgi to acrosome, where it is stabilized\\nfor several weeks. Surprisingly, in brains of heme synthesis deficient\\nmice, a soluble form of CYP1A1 was detected whose activity has been\\nrestored by the addition of heme. In the majority of cases each cytochrome\\nP450 enzyme resides in a single subcellular compartment in a certain\\ncell, however, examples of simultaneous localization in different\\nsubcellular compartments have also been described, such as endoplasmic\\nreticulum, Golgi and plasma membrane for CYP2E1. This review will\\nfocus on the physiological importance of mammalian cytochrome P450\\nexpression and localization in different tissues or cell types and\\nsubcellular compartments.", "author" : [ { "dropping-particle" : "", "family" : "Seliskar", "given" : "Matej", "non-dropping-particle" : "", "parse-names" : false, "suffix" : "" }, { "dropping-particle" : "", "family" : "Rozman", "given" : "Damjana", "non-dropping-particle" : "", "parse-names" : false, "suffix" : "" } ], "container-title" : "Biochim Biophys Acta", "id" : "ITEM-1", "issue" : "3", "issued" : { "date-parts" : [ [ "2007" ] ] }, "page" : "458-466", "title" : "Mammalian cytochromes P450 -importance of tissue specificity", "type" : "article-journal", "volume" : "1770" }, "uris" : [ "http://www.mendeley.com/documents/?uuid=3b452af6-e302-4266-b16c-126cf92bd82f" ] } ], "mendeley" : { "formattedCitation" : "&lt;sup&gt;&lt;sup&gt;5&lt;/sup&gt;&lt;/sup&gt;", "plainTextFormattedCitation" : "5", "previouslyFormattedCitation" : "&lt;sup&gt;&lt;sup&gt;5&lt;/sup&gt;&lt;/sup&gt;" }, "properties" : { "noteIndex" : 0 }, "schema" : "https://github.com/citation-style-language/schema/raw/master/csl-citation.json" }</w:instrText>
      </w:r>
      <w:r w:rsidR="00750527">
        <w:rPr>
          <w:lang w:val="en-GB"/>
        </w:rPr>
        <w:fldChar w:fldCharType="separate"/>
      </w:r>
      <w:r w:rsidR="00A34EF8" w:rsidRPr="00A34EF8">
        <w:rPr>
          <w:noProof/>
          <w:vertAlign w:val="superscript"/>
          <w:lang w:val="en-GB"/>
        </w:rPr>
        <w:t>5</w:t>
      </w:r>
      <w:r w:rsidR="00750527">
        <w:rPr>
          <w:lang w:val="en-GB"/>
        </w:rPr>
        <w:fldChar w:fldCharType="end"/>
      </w:r>
      <w:r w:rsidR="00940DFF" w:rsidRPr="00383A89">
        <w:rPr>
          <w:lang w:val="en-GB"/>
        </w:rPr>
        <w:t xml:space="preserve"> </w:t>
      </w:r>
      <w:r w:rsidR="00940DFF" w:rsidRPr="00383A89">
        <w:rPr>
          <w:i/>
          <w:lang w:val="en-GB"/>
        </w:rPr>
        <w:t>Cyp51</w:t>
      </w:r>
      <w:r w:rsidR="00D16C1F">
        <w:rPr>
          <w:lang w:val="en-GB"/>
        </w:rPr>
        <w:t xml:space="preserve"> is regulated by transcription factor SREBP, </w:t>
      </w:r>
      <w:r w:rsidR="00940DFF" w:rsidRPr="00383A89">
        <w:rPr>
          <w:lang w:val="en-GB"/>
        </w:rPr>
        <w:t>via cyclic adenosine monophosphate (cAMP)</w:t>
      </w:r>
      <w:r w:rsidR="00750527">
        <w:rPr>
          <w:lang w:val="en-GB"/>
        </w:rPr>
        <w:fldChar w:fldCharType="begin" w:fldLock="1"/>
      </w:r>
      <w:r w:rsidR="001C27E1">
        <w:rPr>
          <w:lang w:val="en-GB"/>
        </w:rPr>
        <w:instrText>ADDIN CSL_CITATION { "citationItems" : [ { "id" : "ITEM-1", "itemData" : { "DOI" : "10.1210/en.2005-0781", "ISBN" : "0013-7227 (Print)", "ISSN" : "0013-7227", "PMID" : "16123160", "abstract" : "Lanosterol 14alpha-demethylase (CYP51) responds to cholesterol feedback regulation through sterol regulatory element binding proteins (SREBPs). The proximal promoter of CYP51 contains a conserved region with clustered regulatory elements: GC box, cAMP-response elements (CRE-like), and sterol regulatory element (SRE). In lipid-rich (SREBP-poor) conditions, the CYP51 mRNA drops gradually, the promoter activity is diminished, and no DNA-protein complex is observed at the CYP51-SRE1 site. The majority of cAMP-dependent transactivation is mediated through a single CRE (CYP51-CRE2). Exposure of JEG-3 cells to forskolin, a mediator of the cAMP-dependent signaling pathway, provokes an immediate early response of CYP51, which has not been described before for any cholesterogenic gene. The CYP51 mRNA increases up to 4-fold in 2 h and drops to basal level after 4 h. The inducible cAMP early repressor (ICER) is involved in attenuation of transcription. Overexpressed CRE-binding protein (CREB)/CRE modulator (CREM) transactivates the mouse/human CYP51 promoters containing CYP51-CRE2 independently of SREBPs, and ICER decreases the CREB-induced transcription. Besides the increased CYP51 mRNA, forskolin affects the de novo sterol biosynthesis in JEG-3 cells. An increased consumption of lanosterol, a substrate of CYP51, is observed together with modulation of the postlanosterol cholesterogenesis, indicating that cAMP-dependent stimuli cross-talk with cholesterol feedback regulation. CRE-2 is essential for cAMP-dependent transactivation, whereas SRE seems to be less important. Interestingly, when CREB is not limiting, the increasing amounts of SREBP-1a fail to transactivate the CYP51 promoter above the CREB-only level, suggesting that hormones might have an important role in regulating cholesterogenesis in vivo.", "author" : [ { "dropping-particle" : "", "family" : "Fink", "given" : "Martina", "non-dropping-particle" : "", "parse-names" : false, "suffix" : "" }, { "dropping-particle" : "", "family" : "Acimovic", "given" : "Jure", "non-dropping-particle" : "", "parse-names" : false, "suffix" : "" }, { "dropping-particle" : "", "family" : "Rezen", "given" : "Tadeja", "non-dropping-particle" : "", "parse-names" : false, "suffix" : "" }, { "dropping-particle" : "", "family" : "Tansek", "given" : "Natasa", "non-dropping-particle" : "", "parse-names" : false, "suffix" : "" }, { "dropping-particle" : "", "family" : "Rozman", "given" : "Damjana", "non-dropping-particle" : "", "parse-names" : false, "suffix" : "" } ], "container-title" : "Endocrinology", "id" : "ITEM-1", "issue" : "12", "issued" : { "date-parts" : [ [ "2005" ] ] }, "page" : "5321-31", "title" : "Cholesterogenic lanosterol 14alpha-demethylase (CYP51) is an immediate early response gene.", "type" : "article-journal", "volume" : "146" }, "uris" : [ "http://www.mendeley.com/documents/?uuid=70d09b21-ff96-40a3-9c34-f66a2bf448a0" ] } ], "mendeley" : { "formattedCitation" : "&lt;sup&gt;&lt;sup&gt;6&lt;/sup&gt;&lt;/sup&gt;", "plainTextFormattedCitation" : "6", "previouslyFormattedCitation" : "&lt;sup&gt;&lt;sup&gt;6&lt;/sup&gt;&lt;/sup&gt;" }, "properties" : { "noteIndex" : 0 }, "schema" : "https://github.com/citation-style-language/schema/raw/master/csl-citation.json" }</w:instrText>
      </w:r>
      <w:r w:rsidR="00750527">
        <w:rPr>
          <w:lang w:val="en-GB"/>
        </w:rPr>
        <w:fldChar w:fldCharType="separate"/>
      </w:r>
      <w:r w:rsidR="00A34EF8" w:rsidRPr="00A34EF8">
        <w:rPr>
          <w:noProof/>
          <w:vertAlign w:val="superscript"/>
          <w:lang w:val="en-GB"/>
        </w:rPr>
        <w:t>6</w:t>
      </w:r>
      <w:r w:rsidR="00750527">
        <w:rPr>
          <w:lang w:val="en-GB"/>
        </w:rPr>
        <w:fldChar w:fldCharType="end"/>
      </w:r>
      <w:r w:rsidR="00940DFF" w:rsidRPr="00383A89">
        <w:rPr>
          <w:lang w:val="en-GB"/>
        </w:rPr>
        <w:t xml:space="preserve"> </w:t>
      </w:r>
      <w:r w:rsidR="000F103D">
        <w:rPr>
          <w:lang w:val="en-GB"/>
        </w:rPr>
        <w:t>and by</w:t>
      </w:r>
      <w:r w:rsidR="00940DFF" w:rsidRPr="00383A89">
        <w:rPr>
          <w:lang w:val="en-GB"/>
        </w:rPr>
        <w:t xml:space="preserve"> the circadian </w:t>
      </w:r>
      <w:r w:rsidR="000F103D">
        <w:rPr>
          <w:lang w:val="en-GB"/>
        </w:rPr>
        <w:t>regulation</w:t>
      </w:r>
      <w:r w:rsidR="00A34EF8">
        <w:rPr>
          <w:lang w:val="en-GB"/>
        </w:rPr>
        <w:t>.</w:t>
      </w:r>
      <w:r w:rsidR="00750527">
        <w:rPr>
          <w:lang w:val="en-GB"/>
        </w:rPr>
        <w:fldChar w:fldCharType="begin" w:fldLock="1"/>
      </w:r>
      <w:r w:rsidR="00843C61">
        <w:rPr>
          <w:lang w:val="en-GB"/>
        </w:rPr>
        <w:instrText>ADDIN CSL_CITATION { "citationItems" : [ { "id" : "ITEM-1", "itemData" : { "DOI" : "10.1038/srep31955", "ISSN" : "20452322", "PMID" : "27535584", "abstract" : "Circadian rhythms regulate a plethora of physiological processes. Perturbations of the rhythm can result in pathologies which are frequently studied in inbred mouse strains. We show that the genotype of mouse lines defines the circadian gene expression patterns. Expression of majority of core clock and output metabolic genes are phase delayed in the C56BL/6J line compared to 129S2 in the adrenal glands and the liver. Circadian amplitudes are generally higher in the 129S2 line. Experiments in dark - dark (DD) and light - dark conditions (LD), exome sequencing and data mining proposed that mouse lines differ in single nucleotide variants in the binding regions of clock related transcription factors in open chromatin regions. A possible mechanisms of differential circadian expression could be the entrainment and transmission of the light signal to peripheral organs. This is supported by the genotype effect in adrenal glands that is largest under LD, and by the high number of single nucleotide variants in the Receptor, Kinase and G-protein coupled receptor Panther molecular function categories. Different phenotypes of the two mouse lines and changed amino acid sequence of the Period 2 protein possibly contribute further to the observed differences in circadian gene expression.", "author" : [ { "dropping-particle" : "", "family" : "Kosir", "given" : "Rok", "non-dropping-particle" : "", "parse-names" : false, "suffix" : "" }, { "dropping-particle" : "", "family" : "Prosenc Zmrzljak", "given" : "Ursula", "non-dropping-particle" : "", "parse-names" : false, "suffix" : "" }, { "dropping-particle" : "", "family" : "Korencic", "given" : "Anja", "non-dropping-particle" : "", "parse-names" : false, "suffix" : "" }, { "dropping-particle" : "", "family" : "Juvan", "given" : "Peter", "non-dropping-particle" : "", "parse-names" : false, "suffix" : "" }, { "dropping-particle" : "", "family" : "Acimovic", "given" : "Jure", "non-dropping-particle" : "", "parse-names" : false, "suffix" : "" }, { "dropping-particle" : "", "family" : "Rozman", "given" : "Damjana", "non-dropping-particle" : "", "parse-names" : false, "suffix" : "" } ], "container-title" : "Scientific Reports", "id" : "ITEM-1", "issued" : { "date-parts" : [ [ "2016" ] ] }, "page" : "31955", "title" : "Mouse genotypes drive the liver and adrenal gland clocks", "type" : "article-journal", "volume" : "6" }, "uris" : [ "http://www.mendeley.com/documents/?uuid=56ea4295-26b1-4e71-927c-767d01ffce7c" ] } ], "mendeley" : { "formattedCitation" : "&lt;sup&gt;&lt;sup&gt;7&lt;/sup&gt;&lt;/sup&gt;", "plainTextFormattedCitation" : "7", "previouslyFormattedCitation" : "&lt;sup&gt;&lt;sup&gt;7&lt;/sup&gt;&lt;/sup&gt;" }, "properties" : { "noteIndex" : 0 }, "schema" : "https://github.com/citation-style-language/schema/raw/master/csl-citation.json" }</w:instrText>
      </w:r>
      <w:r w:rsidR="00750527">
        <w:rPr>
          <w:lang w:val="en-GB"/>
        </w:rPr>
        <w:fldChar w:fldCharType="separate"/>
      </w:r>
      <w:r w:rsidR="00A34EF8" w:rsidRPr="00A34EF8">
        <w:rPr>
          <w:noProof/>
          <w:vertAlign w:val="superscript"/>
          <w:lang w:val="en-GB"/>
        </w:rPr>
        <w:t>7</w:t>
      </w:r>
      <w:r w:rsidR="00750527">
        <w:rPr>
          <w:lang w:val="en-GB"/>
        </w:rPr>
        <w:fldChar w:fldCharType="end"/>
      </w:r>
      <w:r w:rsidR="000F103D">
        <w:rPr>
          <w:lang w:val="en-GB"/>
        </w:rPr>
        <w:t xml:space="preserve"> </w:t>
      </w:r>
      <w:r w:rsidR="00940DFF" w:rsidRPr="00383A89">
        <w:rPr>
          <w:lang w:val="en-GB"/>
        </w:rPr>
        <w:t xml:space="preserve">Liver disease mouse model </w:t>
      </w:r>
      <w:r w:rsidR="008C74DA">
        <w:rPr>
          <w:lang w:val="en-GB"/>
        </w:rPr>
        <w:t>in which</w:t>
      </w:r>
      <w:r w:rsidR="00940DFF" w:rsidRPr="00383A89">
        <w:rPr>
          <w:lang w:val="en-GB"/>
        </w:rPr>
        <w:t xml:space="preserve"> CYP51 </w:t>
      </w:r>
      <w:r w:rsidR="008C74DA">
        <w:rPr>
          <w:lang w:val="en-GB"/>
        </w:rPr>
        <w:t>was</w:t>
      </w:r>
      <w:r w:rsidR="00940DFF" w:rsidRPr="00383A89">
        <w:rPr>
          <w:lang w:val="en-GB"/>
        </w:rPr>
        <w:t xml:space="preserve"> blocked as the rate limiting enzyme of the post-lanosterol part of cholesterol biosynthesis</w:t>
      </w:r>
      <w:r w:rsidR="008C74DA">
        <w:rPr>
          <w:lang w:val="en-GB"/>
        </w:rPr>
        <w:t>,</w:t>
      </w:r>
      <w:r w:rsidR="00940DFF" w:rsidRPr="00383A89">
        <w:rPr>
          <w:lang w:val="en-GB"/>
        </w:rPr>
        <w:t xml:space="preserve"> </w:t>
      </w:r>
      <w:r w:rsidR="008C74DA">
        <w:rPr>
          <w:lang w:val="en-GB"/>
        </w:rPr>
        <w:t>exposed</w:t>
      </w:r>
      <w:r w:rsidR="00940DFF" w:rsidRPr="00383A89">
        <w:rPr>
          <w:lang w:val="en-GB"/>
        </w:rPr>
        <w:t xml:space="preserve"> the progression of NAFLD in mice</w:t>
      </w:r>
      <w:r w:rsidR="008C74DA">
        <w:rPr>
          <w:lang w:val="en-GB"/>
        </w:rPr>
        <w:t>,</w:t>
      </w:r>
      <w:r w:rsidR="00940DFF" w:rsidRPr="00383A89">
        <w:rPr>
          <w:lang w:val="en-GB"/>
        </w:rPr>
        <w:t xml:space="preserve"> and </w:t>
      </w:r>
      <w:r w:rsidR="008C74DA">
        <w:rPr>
          <w:lang w:val="en-GB"/>
        </w:rPr>
        <w:t xml:space="preserve">resulted in a phenotype </w:t>
      </w:r>
      <w:r w:rsidR="00940DFF" w:rsidRPr="00383A89">
        <w:rPr>
          <w:lang w:val="en-GB"/>
        </w:rPr>
        <w:t>similar to the metabolic progression of NAFLD towards HCC in humans</w:t>
      </w:r>
      <w:r w:rsidR="00A34EF8">
        <w:rPr>
          <w:lang w:val="en-GB"/>
        </w:rPr>
        <w:t>.</w:t>
      </w:r>
      <w:r w:rsidR="00750527">
        <w:rPr>
          <w:lang w:val="en-GB"/>
        </w:rPr>
        <w:fldChar w:fldCharType="begin" w:fldLock="1"/>
      </w:r>
      <w:r w:rsidR="001C27E1">
        <w:rPr>
          <w:lang w:val="en-GB"/>
        </w:rPr>
        <w:instrText>ADDIN CSL_CITATION { "citationItems" : [ { "id" : "ITEM-1", "itemData" : { "ISBN" : "2045-2322", "author" : [ { "dropping-particle" : "", "family" : "Lorbek", "given" : "Gregor", "non-dropping-particle" : "", "parse-names" : false, "suffix" : "" }, { "dropping-particle" : "", "family" : "Per\u0161e", "given" : "Martina", "non-dropping-particle" : "", "parse-names" : false, "suffix" : "" }, { "dropping-particle" : "", "family" : "Jeruc", "given" : "Jera", "non-dropping-particle" : "", "parse-names" : false, "suffix" : "" }, { "dropping-particle" : "", "family" : "Juvan", "given" : "Peter", "non-dropping-particle" : "", "parse-names" : false, "suffix" : "" }, { "dropping-particle" : "", "family" : "Gutierrez-Mariscal", "given" : "Francisco M", "non-dropping-particle" : "", "parse-names" : false, "suffix" : "" }, { "dropping-particle" : "", "family" : "Lewinska", "given" : "Monika", "non-dropping-particle" : "", "parse-names" : false, "suffix" : "" }, { "dropping-particle" : "", "family" : "Gebhardt", "given" : "Rolf", "non-dropping-particle" : "", "parse-names" : false, "suffix" : "" }, { "dropping-particle" : "", "family" : "Horvat", "given" : "Simon", "non-dropping-particle" : "", "parse-names" : false, "suffix" : "" }, { "dropping-particle" : "", "family" : "Bj\u00f6rkhem", "given" : "Ingemar", "non-dropping-particle" : "", "parse-names" : false, "suffix" : "" }, { "dropping-particle" : "", "family" : "Rozman", "given" : "Damjana", "non-dropping-particle" : "", "parse-names" : false, "suffix" : "" } ], "container-title" : "Scientific Reports", "id" : "ITEM-1", "issued" : { "date-parts" : [ [ "2015" ] ] }, "page" : "8777", "title" : "Lessons from hepatocyte-specific Cyp51 knockout mice: impaired cholesterol synthesis leads to oval cell-driven liver injury", "type" : "article-journal", "volume" : "5" }, "uris" : [ "http://www.mendeley.com/documents/?uuid=a78f519d-54e0-4aa0-ade9-b93c032cd609" ] } ], "mendeley" : { "formattedCitation" : "&lt;sup&gt;&lt;sup&gt;8&lt;/sup&gt;&lt;/sup&gt;", "plainTextFormattedCitation" : "8", "previouslyFormattedCitation" : "&lt;sup&gt;&lt;sup&gt;8&lt;/sup&gt;&lt;/sup&gt;" }, "properties" : { "noteIndex" : 0 }, "schema" : "https://github.com/citation-style-language/schema/raw/master/csl-citation.json" }</w:instrText>
      </w:r>
      <w:r w:rsidR="00750527">
        <w:rPr>
          <w:lang w:val="en-GB"/>
        </w:rPr>
        <w:fldChar w:fldCharType="separate"/>
      </w:r>
      <w:r w:rsidR="00A34EF8" w:rsidRPr="00A34EF8">
        <w:rPr>
          <w:noProof/>
          <w:vertAlign w:val="superscript"/>
          <w:lang w:val="en-GB"/>
        </w:rPr>
        <w:t>8</w:t>
      </w:r>
      <w:r w:rsidR="00750527">
        <w:rPr>
          <w:lang w:val="en-GB"/>
        </w:rPr>
        <w:fldChar w:fldCharType="end"/>
      </w:r>
      <w:r w:rsidR="00940DFF" w:rsidRPr="00383A89">
        <w:rPr>
          <w:lang w:val="en-GB"/>
        </w:rPr>
        <w:t xml:space="preserve"> It is impossible to monitor the long-term metabolic progression of NAFLD in human individuals since repetitive liver biopsies are strictly avoided</w:t>
      </w:r>
      <w:r w:rsidR="00551CD7">
        <w:rPr>
          <w:lang w:val="en-GB"/>
        </w:rPr>
        <w:t xml:space="preserve"> in practice</w:t>
      </w:r>
      <w:r w:rsidR="00940DFF" w:rsidRPr="00383A89">
        <w:rPr>
          <w:lang w:val="en-GB"/>
        </w:rPr>
        <w:t xml:space="preserve">. The </w:t>
      </w:r>
      <w:r w:rsidR="00551CD7">
        <w:rPr>
          <w:lang w:val="en-GB"/>
        </w:rPr>
        <w:t xml:space="preserve">complete </w:t>
      </w:r>
      <w:r w:rsidR="00940DFF" w:rsidRPr="00383A89">
        <w:rPr>
          <w:lang w:val="en-GB"/>
        </w:rPr>
        <w:t xml:space="preserve">removal of </w:t>
      </w:r>
      <w:r w:rsidR="00551CD7">
        <w:rPr>
          <w:lang w:val="en-GB"/>
        </w:rPr>
        <w:t>b</w:t>
      </w:r>
      <w:r w:rsidR="00940DFF" w:rsidRPr="00383A89">
        <w:rPr>
          <w:lang w:val="en-GB"/>
        </w:rPr>
        <w:t xml:space="preserve">oth </w:t>
      </w:r>
      <w:r w:rsidR="00940DFF" w:rsidRPr="00383A89">
        <w:rPr>
          <w:i/>
          <w:lang w:val="en-GB"/>
        </w:rPr>
        <w:t>Cyp51</w:t>
      </w:r>
      <w:r w:rsidR="00940DFF" w:rsidRPr="00383A89">
        <w:rPr>
          <w:lang w:val="en-GB"/>
        </w:rPr>
        <w:t xml:space="preserve"> gene allele</w:t>
      </w:r>
      <w:r w:rsidR="00551CD7">
        <w:rPr>
          <w:lang w:val="en-GB"/>
        </w:rPr>
        <w:t>s</w:t>
      </w:r>
      <w:r w:rsidR="00940DFF" w:rsidRPr="00383A89">
        <w:rPr>
          <w:lang w:val="en-GB"/>
        </w:rPr>
        <w:t xml:space="preserve"> in mice causes death of the embryo in the 15th day of development, which indicates the importance of cholesterol in embryogenesis</w:t>
      </w:r>
      <w:r w:rsidR="00A34EF8">
        <w:rPr>
          <w:lang w:val="en-GB"/>
        </w:rPr>
        <w:t>.</w:t>
      </w:r>
      <w:r w:rsidR="00750527">
        <w:rPr>
          <w:lang w:val="en-GB"/>
        </w:rPr>
        <w:fldChar w:fldCharType="begin" w:fldLock="1"/>
      </w:r>
      <w:r w:rsidR="001C27E1">
        <w:rPr>
          <w:lang w:val="en-GB"/>
        </w:rPr>
        <w:instrText>ADDIN CSL_CITATION { "citationItems" : [ { "id" : "ITEM-1", "itemData" : { "DOI" : "10.1074/jbc.M111.253245", "ISBN" : "2908629097", "ISSN" : "00219258", "PMID" : "21705796", "abstract" : "Antley-Bixler syndrome (ABS) represents a group of heterogeneous disorders characterized by skeletal, cardiac, and urogenital abnormalities that have frequently been associated with mutations in fibroblast growth factor receptor 2 or cytochrome P450 reductase genes. In some ABS patients, reduced activity of the cholesterogenic cytochrome P450 CYP51A1, an ortholog of the mouse CYP51, and accumulation of lanosterol and 24,25-dihydrolanosterol has been reported, but the role of CYP51A1 in the ABS etiology has remained obscure. To test whether Cyp51 could be involved in generating an ABS-like phenotype, a mouse knock-out model was developed that exhibited several prenatal ABS-like features leading to lethality at embryonic day 15. Cyp51(-/-) mice had no functional Cyp51 mRNA and no immunodetectable CYP51 protein. The two CYP51 enzyme substrates (lanosterol and 24,25-dihydrolanosterol) were markedly accumulated. Cholesterol precursors downstream of the CYP51 enzymatic step were not detected, indicating that the targeting in this study blocked de novo cholesterol synthesis. This was reflected in the up-regulation of 10 cholesterol synthesis genes, with the exception of 7-dehydrocholesterol reductase. Lethality was ascribed to heart failure due to hypoplasia, ventricle septum, and epicardial and vasculogenesis defects, suggesting that Cyp51 deficiency was involved in heart development and coronary vessel formation. As the most likely downstream molecular mechanisms, alterations were identified in the sonic hedgehog and retinoic acid signaling pathways. Cyp51 knock-out mice provide evidence that Cyp51 is essential for embryogenesis and present a potential animal model for studying ABS syndrome in humans.", "author" : [ { "dropping-particle" : "", "family" : "Keber", "given" : "Rok", "non-dropping-particle" : "", "parse-names" : false, "suffix" : "" }, { "dropping-particle" : "", "family" : "Motaln", "given" : "Helena", "non-dropping-particle" : "", "parse-names" : false, "suffix" : "" }, { "dropping-particle" : "", "family" : "Wagner", "given" : "Kay D.", "non-dropping-particle" : "", "parse-names" : false, "suffix" : "" }, { "dropping-particle" : "", "family" : "Debeljak", "given" : "Nata\u0161a", "non-dropping-particle" : "", "parse-names" : false, "suffix" : "" }, { "dropping-particle" : "", "family" : "Rassoulzadegan", "given" : "Minoo", "non-dropping-particle" : "", "parse-names" : false, "suffix" : "" }, { "dropping-particle" : "", "family" : "A\u010dimovi\u010d", "given" : "Jure", "non-dropping-particle" : "", "parse-names" : false, "suffix" : "" }, { "dropping-particle" : "", "family" : "Rozman", "given" : "Damjana", "non-dropping-particle" : "", "parse-names" : false, "suffix" : "" }, { "dropping-particle" : "", "family" : "Horvat", "given" : "Simon", "non-dropping-particle" : "", "parse-names" : false, "suffix" : "" } ], "container-title" : "Journal of Biological Chemistry", "id" : "ITEM-1", "issue" : "33", "issued" : { "date-parts" : [ [ "2011" ] ] }, "page" : "29086-29097", "title" : "Mouse knockout of the cholesterogenic cytochrome p450 lanosterol 14\u03b1-demethylase (Cyp51) resembles antley-bixler syndrome", "type" : "article-journal", "volume" : "286" }, "uris" : [ "http://www.mendeley.com/documents/?uuid=a2fe9c42-69c9-43c5-8847-4501a2373f98" ] } ], "mendeley" : { "formattedCitation" : "&lt;sup&gt;&lt;sup&gt;9&lt;/sup&gt;&lt;/sup&gt;", "plainTextFormattedCitation" : "9", "previouslyFormattedCitation" : "&lt;sup&gt;&lt;sup&gt;9&lt;/sup&gt;&lt;/sup&gt;" }, "properties" : { "noteIndex" : 0 }, "schema" : "https://github.com/citation-style-language/schema/raw/master/csl-citation.json" }</w:instrText>
      </w:r>
      <w:r w:rsidR="00750527">
        <w:rPr>
          <w:lang w:val="en-GB"/>
        </w:rPr>
        <w:fldChar w:fldCharType="separate"/>
      </w:r>
      <w:r w:rsidR="00A34EF8" w:rsidRPr="00A34EF8">
        <w:rPr>
          <w:noProof/>
          <w:vertAlign w:val="superscript"/>
          <w:lang w:val="en-GB"/>
        </w:rPr>
        <w:t>9</w:t>
      </w:r>
      <w:r w:rsidR="00750527">
        <w:rPr>
          <w:lang w:val="en-GB"/>
        </w:rPr>
        <w:fldChar w:fldCharType="end"/>
      </w:r>
      <w:r w:rsidR="00940DFF" w:rsidRPr="00383A89">
        <w:rPr>
          <w:lang w:val="en-GB"/>
        </w:rPr>
        <w:t xml:space="preserve"> </w:t>
      </w:r>
      <w:r w:rsidR="00551CD7">
        <w:rPr>
          <w:lang w:val="en-GB"/>
        </w:rPr>
        <w:t>C</w:t>
      </w:r>
      <w:r w:rsidR="00551CD7" w:rsidRPr="00383A89">
        <w:rPr>
          <w:lang w:val="en-GB"/>
        </w:rPr>
        <w:t xml:space="preserve">holesterol synthesis </w:t>
      </w:r>
      <w:r w:rsidR="00551CD7">
        <w:rPr>
          <w:lang w:val="en-GB"/>
        </w:rPr>
        <w:t>mutations may cause s</w:t>
      </w:r>
      <w:r w:rsidR="00940DFF" w:rsidRPr="00383A89">
        <w:rPr>
          <w:lang w:val="en-GB"/>
        </w:rPr>
        <w:t xml:space="preserve">evere defects such as </w:t>
      </w:r>
      <w:r w:rsidR="00940DFF" w:rsidRPr="00551CD7">
        <w:rPr>
          <w:i/>
          <w:lang w:val="en-GB"/>
        </w:rPr>
        <w:t>Antley-Bixler syndrome</w:t>
      </w:r>
      <w:r w:rsidR="00551CD7" w:rsidRPr="00551CD7">
        <w:rPr>
          <w:lang w:val="en-GB"/>
        </w:rPr>
        <w:t xml:space="preserve">, </w:t>
      </w:r>
      <w:r w:rsidR="00940DFF" w:rsidRPr="00551CD7">
        <w:rPr>
          <w:i/>
          <w:lang w:val="en-GB"/>
        </w:rPr>
        <w:t>Smith-Lemli-Opitz syndrome</w:t>
      </w:r>
      <w:r w:rsidR="00940DFF" w:rsidRPr="00383A89">
        <w:rPr>
          <w:lang w:val="en-GB"/>
        </w:rPr>
        <w:t xml:space="preserve"> </w:t>
      </w:r>
      <w:r w:rsidR="00551CD7">
        <w:rPr>
          <w:lang w:val="en-GB"/>
        </w:rPr>
        <w:t>and several other genetic diseases</w:t>
      </w:r>
      <w:r w:rsidR="00A34EF8">
        <w:rPr>
          <w:lang w:val="en-GB"/>
        </w:rPr>
        <w:t>.</w:t>
      </w:r>
      <w:r w:rsidR="00750527">
        <w:rPr>
          <w:lang w:val="en-GB"/>
        </w:rPr>
        <w:fldChar w:fldCharType="begin" w:fldLock="1"/>
      </w:r>
      <w:r w:rsidR="001C27E1">
        <w:rPr>
          <w:lang w:val="en-GB"/>
        </w:rPr>
        <w:instrText>ADDIN CSL_CITATION { "citationItems" : [ { "id" : "ITEM-1", "itemData" : { "ISBN" : "2045-2322", "author" : [ { "dropping-particle" : "", "family" : "Urlep", "given" : "\u017diga", "non-dropping-particle" : "", "parse-names" : false, "suffix" : "" }, { "dropping-particle" : "", "family" : "Lorbek", "given" : "Gregor", "non-dropping-particle" : "", "parse-names" : false, "suffix" : "" }, { "dropping-particle" : "", "family" : "Per\u0161e", "given" : "Martina", "non-dropping-particle" : "", "parse-names" : false, "suffix" : "" }, { "dropping-particle" : "", "family" : "Jeruc", "given" : "Jera", "non-dropping-particle" : "", "parse-names" : false, "suffix" : "" }, { "dropping-particle" : "", "family" : "Juvan", "given" : "Peter", "non-dropping-particle" : "", "parse-names" : false, "suffix" : "" }, { "dropping-particle" : "", "family" : "Matz-Soja", "given" : "Madlen", "non-dropping-particle" : "", "parse-names" : false, "suffix" : "" }, { "dropping-particle" : "", "family" : "Gebhardt", "given" : "Rolf", "non-dropping-particle" : "", "parse-names" : false, "suffix" : "" }, { "dropping-particle" : "", "family" : "Bj\u00f6rkhem", "given" : "Ingemar", "non-dropping-particle" : "", "parse-names" : false, "suffix" : "" }, { "dropping-particle" : "", "family" : "Hall", "given" : "Jason A", "non-dropping-particle" : "", "parse-names" : false, "suffix" : "" }, { "dropping-particle" : "", "family" : "Bonneau", "given" : "Richard", "non-dropping-particle" : "", "parse-names" : false, "suffix" : "" } ], "container-title" : "Scientific Reports", "id" : "ITEM-1", "issued" : { "date-parts" : [ [ "2017" ] ] }, "page" : "40775", "title" : "Disrupting hepatocyte Cyp51 from cholesterol synthesis leads to progressive liver Injury in the developing mouse and decreases RORC signalling", "type" : "article-journal", "volume" : "7" }, "uris" : [ "http://www.mendeley.com/documents/?uuid=5bcaf696-6960-47ba-80cc-3469c342be5a" ] } ], "mendeley" : { "formattedCitation" : "&lt;sup&gt;&lt;sup&gt;10&lt;/sup&gt;&lt;/sup&gt;", "plainTextFormattedCitation" : "10", "previouslyFormattedCitation" : "&lt;sup&gt;&lt;sup&gt;10&lt;/sup&gt;&lt;/sup&gt;" }, "properties" : { "noteIndex" : 0 }, "schema" : "https://github.com/citation-style-language/schema/raw/master/csl-citation.json" }</w:instrText>
      </w:r>
      <w:r w:rsidR="00750527">
        <w:rPr>
          <w:lang w:val="en-GB"/>
        </w:rPr>
        <w:fldChar w:fldCharType="separate"/>
      </w:r>
      <w:r w:rsidR="00A34EF8" w:rsidRPr="00A34EF8">
        <w:rPr>
          <w:noProof/>
          <w:vertAlign w:val="superscript"/>
          <w:lang w:val="en-GB"/>
        </w:rPr>
        <w:t>10</w:t>
      </w:r>
      <w:r w:rsidR="00750527">
        <w:rPr>
          <w:lang w:val="en-GB"/>
        </w:rPr>
        <w:fldChar w:fldCharType="end"/>
      </w:r>
    </w:p>
    <w:p w14:paraId="0D65DFA0" w14:textId="4691571D" w:rsidR="00940DFF" w:rsidRPr="00383A89" w:rsidRDefault="00940DFF" w:rsidP="00940DFF">
      <w:pPr>
        <w:rPr>
          <w:rFonts w:eastAsiaTheme="minorEastAsia"/>
          <w:highlight w:val="yellow"/>
          <w:lang w:val="en-GB"/>
        </w:rPr>
      </w:pPr>
      <w:r w:rsidRPr="00383A89">
        <w:rPr>
          <w:rFonts w:eastAsiaTheme="minorEastAsia"/>
          <w:lang w:val="en-GB"/>
        </w:rPr>
        <w:t>There are still no approved therapies for NAFLD, which is becoming a major health concern due to increasing incidence of obesity in Europe. The problem of NAFLD is its multifactorial nature, with a largely uncharacterized genetic basis and only a few</w:t>
      </w:r>
      <w:r w:rsidR="00BB0EB9">
        <w:rPr>
          <w:rFonts w:eastAsiaTheme="minorEastAsia"/>
          <w:lang w:val="en-GB"/>
        </w:rPr>
        <w:t xml:space="preserve"> known</w:t>
      </w:r>
      <w:r w:rsidRPr="00383A89">
        <w:rPr>
          <w:rFonts w:eastAsiaTheme="minorEastAsia"/>
          <w:lang w:val="en-GB"/>
        </w:rPr>
        <w:t xml:space="preserve"> associated genes</w:t>
      </w:r>
      <w:r w:rsidR="00A34EF8">
        <w:rPr>
          <w:rFonts w:eastAsiaTheme="minorEastAsia"/>
          <w:lang w:val="en-GB"/>
        </w:rPr>
        <w:t>.</w:t>
      </w:r>
      <w:r w:rsidR="00750527">
        <w:rPr>
          <w:rFonts w:eastAsiaTheme="minorEastAsia"/>
          <w:lang w:val="en-GB"/>
        </w:rPr>
        <w:fldChar w:fldCharType="begin" w:fldLock="1"/>
      </w:r>
      <w:r w:rsidR="001C27E1">
        <w:rPr>
          <w:rFonts w:eastAsiaTheme="minorEastAsia"/>
          <w:lang w:val="en-GB"/>
        </w:rPr>
        <w:instrText>ADDIN CSL_CITATION { "citationItems" : [ { "id" : "ITEM-1", "itemData" : { "author" : [ { "dropping-particle" : "", "family" : "Kova\u010d", "given" : "Ur\u0161a", "non-dropping-particle" : "", "parse-names" : false, "suffix" : "" }, { "dropping-particle" : "", "family" : "Rozman", "given" : "Damjana", "non-dropping-particle" : "", "parse-names" : false, "suffix" : "" } ], "container-title" : "eLS", "id" : "ITEM-1", "issued" : { "date-parts" : [ [ "2015" ] ] }, "publisher" : "John Wiley &amp; Sons, Ltd", "title" : "Genetics of Non\u2010alcoholic Fatty Liver Disease", "type" : "chapter" }, "uris" : [ "http://www.mendeley.com/documents/?uuid=139956eb-9fdb-40b9-b80a-273ba63b4187" ] } ], "mendeley" : { "formattedCitation" : "&lt;sup&gt;&lt;sup&gt;11&lt;/sup&gt;&lt;/sup&gt;", "plainTextFormattedCitation" : "11", "previouslyFormattedCitation" : "&lt;sup&gt;&lt;sup&gt;11&lt;/sup&gt;&lt;/sup&gt;" }, "properties" : { "noteIndex" : 0 }, "schema" : "https://github.com/citation-style-language/schema/raw/master/csl-citation.json" }</w:instrText>
      </w:r>
      <w:r w:rsidR="00750527">
        <w:rPr>
          <w:rFonts w:eastAsiaTheme="minorEastAsia"/>
          <w:lang w:val="en-GB"/>
        </w:rPr>
        <w:fldChar w:fldCharType="separate"/>
      </w:r>
      <w:r w:rsidR="00A34EF8" w:rsidRPr="00A34EF8">
        <w:rPr>
          <w:rFonts w:eastAsiaTheme="minorEastAsia"/>
          <w:noProof/>
          <w:vertAlign w:val="superscript"/>
          <w:lang w:val="en-GB"/>
        </w:rPr>
        <w:t>11</w:t>
      </w:r>
      <w:r w:rsidR="00750527">
        <w:rPr>
          <w:rFonts w:eastAsiaTheme="minorEastAsia"/>
          <w:lang w:val="en-GB"/>
        </w:rPr>
        <w:fldChar w:fldCharType="end"/>
      </w:r>
      <w:r w:rsidR="00BB0EB9">
        <w:rPr>
          <w:rFonts w:eastAsiaTheme="minorEastAsia"/>
          <w:lang w:val="en-GB"/>
        </w:rPr>
        <w:t xml:space="preserve"> For several patients</w:t>
      </w:r>
      <w:r w:rsidRPr="00383A89">
        <w:rPr>
          <w:rFonts w:eastAsiaTheme="minorEastAsia"/>
          <w:lang w:val="en-GB"/>
        </w:rPr>
        <w:t xml:space="preserve">, </w:t>
      </w:r>
      <w:r w:rsidR="00BB0EB9">
        <w:rPr>
          <w:rFonts w:eastAsiaTheme="minorEastAsia"/>
          <w:lang w:val="en-GB"/>
        </w:rPr>
        <w:t xml:space="preserve">NAFLD presents an initial step </w:t>
      </w:r>
      <w:r w:rsidRPr="00383A89">
        <w:rPr>
          <w:rFonts w:eastAsiaTheme="minorEastAsia"/>
          <w:lang w:val="en-GB"/>
        </w:rPr>
        <w:t>of a serious condition called non</w:t>
      </w:r>
      <w:r w:rsidR="00D3614E">
        <w:rPr>
          <w:rFonts w:eastAsiaTheme="minorEastAsia"/>
          <w:lang w:val="en-GB"/>
        </w:rPr>
        <w:t>-</w:t>
      </w:r>
      <w:r w:rsidRPr="00383A89">
        <w:rPr>
          <w:rFonts w:eastAsiaTheme="minorEastAsia"/>
          <w:lang w:val="en-GB"/>
        </w:rPr>
        <w:t>alcoholic steatohepatitis (NASH), which includes fibrosis and is the fastest growing cause</w:t>
      </w:r>
      <w:r w:rsidR="00DF1342">
        <w:rPr>
          <w:rFonts w:eastAsiaTheme="minorEastAsia"/>
          <w:lang w:val="en-GB"/>
        </w:rPr>
        <w:t xml:space="preserve"> of HCC</w:t>
      </w:r>
      <w:r w:rsidR="00A34EF8">
        <w:rPr>
          <w:rFonts w:eastAsiaTheme="minorEastAsia"/>
          <w:lang w:val="en-GB"/>
        </w:rPr>
        <w:t>.</w:t>
      </w:r>
      <w:r w:rsidR="00750527">
        <w:rPr>
          <w:rFonts w:eastAsiaTheme="minorEastAsia"/>
          <w:lang w:val="en-GB"/>
        </w:rPr>
        <w:fldChar w:fldCharType="begin" w:fldLock="1"/>
      </w:r>
      <w:r w:rsidR="001C27E1">
        <w:rPr>
          <w:rFonts w:eastAsiaTheme="minorEastAsia"/>
          <w:lang w:val="en-GB"/>
        </w:rPr>
        <w:instrText>ADDIN CSL_CITATION { "citationItems" : [ { "id" : "ITEM-1", "itemData" : { "DOI" : "10.2174/1381612822666161006160005", "ISBN" : "1381612822", "ISSN" : "13816128", "PMID" : "27719638", "abstract" : "BACKGROUND Hepatocellular carcinoma (HCC) represents the most common malignant liver tumor in humans, which incidence and mortality have increased in Europe and United States in the last years. Most patients are diagnosed at an advanced stage, when it is not amenable to curative therapies, so there is an urgent need for new, more effective therapeutic tools and strategies. The molecular mechanisms of hepatocarinogenesis and HCC progression have been increasingly understood with intense research in recent years. METHODS The goal of this work is to discuss the different signalling pathways as important potential therapeutic targets. RESULTS Disruption of pathways known to play roles in HCC, such as Wnt/\u03b2-catenin, Hedgehog, RAF/MEK/ERK, tryosine kinase receptor-related pathway, Met-HGF, VEGF/ VEGF and ROR signalling pathways may be seminal for liver oncogenesis. CONCLUSION This review reveals that oncogenes, especially microRNAs that are conserved across species and interfere with signalling pathways might be used as promising strategies for halting or reversing the progression of HCC.", "author" : [ { "dropping-particle" : "", "family" : "Blagotin\u0161ek", "given" : "Kaja", "non-dropping-particle" : "", "parse-names" : false, "suffix" : "" }, { "dropping-particle" : "", "family" : "Rozman", "given" : "Damjana", "non-dropping-particle" : "", "parse-names" : false, "suffix" : "" } ], "container-title" : "Current Pharmaceutical Design", "id" : "ITEM-1", "issue" : "1", "issued" : { "date-parts" : [ [ "2017" ] ] }, "page" : "170-175", "title" : "Targeting Signalling Pathways in Hepatocellular carcinoma", "type" : "article-journal", "volume" : "23" }, "uris" : [ "http://www.mendeley.com/documents/?uuid=4d469b67-05d2-4e42-98d2-2caee49d8047" ] } ], "mendeley" : { "formattedCitation" : "&lt;sup&gt;&lt;sup&gt;3&lt;/sup&gt;&lt;/sup&gt;", "plainTextFormattedCitation" : "3", "previouslyFormattedCitation" : "&lt;sup&gt;&lt;sup&gt;3&lt;/sup&gt;&lt;/sup&gt;" }, "properties" : { "noteIndex" : 0 }, "schema" : "https://github.com/citation-style-language/schema/raw/master/csl-citation.json" }</w:instrText>
      </w:r>
      <w:r w:rsidR="00750527">
        <w:rPr>
          <w:rFonts w:eastAsiaTheme="minorEastAsia"/>
          <w:lang w:val="en-GB"/>
        </w:rPr>
        <w:fldChar w:fldCharType="separate"/>
      </w:r>
      <w:r w:rsidR="00A34EF8" w:rsidRPr="00A34EF8">
        <w:rPr>
          <w:rFonts w:eastAsiaTheme="minorEastAsia"/>
          <w:noProof/>
          <w:vertAlign w:val="superscript"/>
          <w:lang w:val="en-GB"/>
        </w:rPr>
        <w:t>3</w:t>
      </w:r>
      <w:r w:rsidR="00750527">
        <w:rPr>
          <w:rFonts w:eastAsiaTheme="minorEastAsia"/>
          <w:lang w:val="en-GB"/>
        </w:rPr>
        <w:fldChar w:fldCharType="end"/>
      </w:r>
      <w:r w:rsidRPr="00383A89">
        <w:rPr>
          <w:rFonts w:eastAsiaTheme="minorEastAsia"/>
          <w:lang w:val="en-GB"/>
        </w:rPr>
        <w:t xml:space="preserve"> While HCC prevails in males and is increased in postmenopausal females, the sex-based metabolic cues have not been investigated</w:t>
      </w:r>
      <w:r w:rsidR="00A34EF8">
        <w:rPr>
          <w:rFonts w:eastAsiaTheme="minorEastAsia"/>
          <w:lang w:val="en-GB"/>
        </w:rPr>
        <w:t>.</w:t>
      </w:r>
      <w:r w:rsidR="00750527">
        <w:rPr>
          <w:rFonts w:eastAsiaTheme="minorEastAsia"/>
          <w:lang w:val="en-GB"/>
        </w:rPr>
        <w:fldChar w:fldCharType="begin" w:fldLock="1"/>
      </w:r>
      <w:r w:rsidR="001A5608">
        <w:rPr>
          <w:rFonts w:eastAsiaTheme="minorEastAsia"/>
          <w:lang w:val="en-GB"/>
        </w:rPr>
        <w:instrText>ADDIN CSL_CITATION { "citationItems" : [ { "id" : "ITEM-1", "itemData" : { "author" : [ { "dropping-particle" : "", "family" : "Skubic", "given" : "Cene", "non-dropping-particle" : "", "parse-names" : false, "suffix" : "" }, { "dropping-particle" : "", "family" : "Drakuli\u0107", "given" : "\u017diva", "non-dropping-particle" : "", "parse-names" : false, "suffix" : "" }, { "dropping-particle" : "", "family" : "Rozman", "given" : "Damjana", "non-dropping-particle" : "", "parse-names" : false, "suffix" : "" } ], "container-title" : "Submitted", "id" : "ITEM-1", "issued" : { "date-parts" : [ [ "2018" ] ] }, "title" : "Pharmacogenetic considerations for personalized therapy when tackling nonalcoholic fatty liver disease: the perspective of genes, drugs, and the sex", "type" : "article-journal" }, "uris" : [ "http://www.mendeley.com/documents/?uuid=748180f9-6220-483a-905d-4df1575f153f" ] } ], "mendeley" : { "formattedCitation" : "&lt;sup&gt;&lt;sup&gt;12&lt;/sup&gt;&lt;/sup&gt;", "plainTextFormattedCitation" : "12", "previouslyFormattedCitation" : "&lt;sup&gt;&lt;sup&gt;12&lt;/sup&gt;&lt;/sup&gt;" }, "properties" : { "noteIndex" : 0 }, "schema" : "https://github.com/citation-style-language/schema/raw/master/csl-citation.json" }</w:instrText>
      </w:r>
      <w:r w:rsidR="00750527">
        <w:rPr>
          <w:rFonts w:eastAsiaTheme="minorEastAsia"/>
          <w:lang w:val="en-GB"/>
        </w:rPr>
        <w:fldChar w:fldCharType="separate"/>
      </w:r>
      <w:r w:rsidR="00A34EF8" w:rsidRPr="00A34EF8">
        <w:rPr>
          <w:rFonts w:eastAsiaTheme="minorEastAsia"/>
          <w:noProof/>
          <w:vertAlign w:val="superscript"/>
          <w:lang w:val="en-GB"/>
        </w:rPr>
        <w:t>12</w:t>
      </w:r>
      <w:r w:rsidR="00750527">
        <w:rPr>
          <w:rFonts w:eastAsiaTheme="minorEastAsia"/>
          <w:lang w:val="en-GB"/>
        </w:rPr>
        <w:fldChar w:fldCharType="end"/>
      </w:r>
      <w:r w:rsidRPr="00383A89">
        <w:rPr>
          <w:rFonts w:eastAsiaTheme="minorEastAsia"/>
          <w:lang w:val="en-GB"/>
        </w:rPr>
        <w:t xml:space="preserve"> Clinical research and more individualized disease progression monitoring is thus hampered by a lack of reliable non-invasive biomarkers. It currently seems impossible to predict all genetic and environmental factors and their combinations that leads to NAFLD phenotypes. To bridge this gap it is timely to apply a multidisciplinary systems medicine approach to combine experimentation and clinical work with the state-o</w:t>
      </w:r>
      <w:r w:rsidR="00DF1342">
        <w:rPr>
          <w:rFonts w:eastAsiaTheme="minorEastAsia"/>
          <w:lang w:val="en-GB"/>
        </w:rPr>
        <w:t>f-the-art multiscale and spatio-</w:t>
      </w:r>
      <w:r w:rsidRPr="00383A89">
        <w:rPr>
          <w:rFonts w:eastAsiaTheme="minorEastAsia"/>
          <w:lang w:val="en-GB"/>
        </w:rPr>
        <w:t>temporal liver models</w:t>
      </w:r>
      <w:r w:rsidR="00A34EF8">
        <w:rPr>
          <w:rFonts w:eastAsiaTheme="minorEastAsia"/>
          <w:lang w:val="en-GB"/>
        </w:rPr>
        <w:t>.</w:t>
      </w:r>
      <w:r w:rsidR="00750527">
        <w:rPr>
          <w:rFonts w:eastAsiaTheme="minorEastAsia"/>
          <w:lang w:val="en-GB"/>
        </w:rPr>
        <w:fldChar w:fldCharType="begin" w:fldLock="1"/>
      </w:r>
      <w:r w:rsidR="001A5608">
        <w:rPr>
          <w:rFonts w:eastAsiaTheme="minorEastAsia"/>
          <w:lang w:val="en-GB"/>
        </w:rPr>
        <w:instrText>ADDIN CSL_CITATION { "citationItems" : [ { "id" : "ITEM-1", "itemData" : { "DOI" : "10.1002/hep.29268", "ISSN" : "15273350", "abstract" : "\u00a9 2017 by the American Association for the Study of Liver Diseases. Understanding the dynamics of human liver metabolism is fundamental for effective diagnosis and treatment of liver diseases. This knowledge can be obtained with systems biology/medicine approaches that account for the complexity of hepatic responses and their systemic consequences in other organs. Computational modeling can reveal hidden principles of the system by classification of individual components, analyzing their interactions and simulating the effects that are difficult to investigate experimentally. Herein, we review the state-of-the-art computational models that describe liver dynamics from metabolic, gene regulatory, and signal transduction perspectives. We focus especially on large-scale liver models described either by genome scale metabolic networks or an object-oriented approach. We also discuss the benefits and limitations of each modeling approach and their value for clinical applications in diagnosis, therapy, and prevention of liver diseases as well as precision medicine in hepatology. (Hepatology 2017;66:1323-1334).", "author" : [ { "dropping-particle" : "", "family" : "Cvitanovi\u0107", "given" : "T.", "non-dropping-particle" : "", "parse-names" : false, "suffix" : "" }, { "dropping-particle" : "", "family" : "Reichert", "given" : "M.C.", "non-dropping-particle" : "", "parse-names" : false, "suffix" : "" }, { "dropping-particle" : "", "family" : "Mo\u0161kon", "given" : "M.", "non-dropping-particle" : "", "parse-names" : false, "suffix" : "" }, { "dropping-particle" : "", "family" : "Mraz", "given" : "M.", "non-dropping-particle" : "", "parse-names" : false, "suffix" : "" }, { "dropping-particle" : "", "family" : "Lammert", "given" : "F.", "non-dropping-particle" : "", "parse-names" : false, "suffix" : "" }, { "dropping-particle" : "", "family" : "Rozman", "given" : "D.", "non-dropping-particle" : "", "parse-names" : false, "suffix" : "" } ], "container-title" : "Hepatology", "id" : "ITEM-1", "issue" : "4", "issued" : { "date-parts" : [ [ "2017" ] ] }, "page" : "1323-1334", "title" : "Large-scale computational models of liver metabolism: How far from the clinics?", "type" : "article-journal", "volume" : "66" }, "uris" : [ "http://www.mendeley.com/documents/?uuid=edff70b2-bf05-3e16-8155-872b3018aa77" ] } ], "mendeley" : { "formattedCitation" : "&lt;sup&gt;&lt;sup&gt;13&lt;/sup&gt;&lt;/sup&gt;", "plainTextFormattedCitation" : "13", "previouslyFormattedCitation" : "&lt;sup&gt;&lt;sup&gt;13&lt;/sup&gt;&lt;/sup&gt;" }, "properties" : { "noteIndex" : 0 }, "schema" : "https://github.com/citation-style-language/schema/raw/master/csl-citation.json" }</w:instrText>
      </w:r>
      <w:r w:rsidR="00750527">
        <w:rPr>
          <w:rFonts w:eastAsiaTheme="minorEastAsia"/>
          <w:lang w:val="en-GB"/>
        </w:rPr>
        <w:fldChar w:fldCharType="separate"/>
      </w:r>
      <w:r w:rsidR="00A34EF8" w:rsidRPr="00A34EF8">
        <w:rPr>
          <w:rFonts w:eastAsiaTheme="minorEastAsia"/>
          <w:noProof/>
          <w:vertAlign w:val="superscript"/>
          <w:lang w:val="en-GB"/>
        </w:rPr>
        <w:t>13</w:t>
      </w:r>
      <w:r w:rsidR="00750527">
        <w:rPr>
          <w:rFonts w:eastAsiaTheme="minorEastAsia"/>
          <w:lang w:val="en-GB"/>
        </w:rPr>
        <w:fldChar w:fldCharType="end"/>
      </w:r>
      <w:r w:rsidRPr="00383A89">
        <w:rPr>
          <w:rFonts w:eastAsiaTheme="minorEastAsia"/>
          <w:lang w:val="en-GB"/>
        </w:rPr>
        <w:t xml:space="preserve"> Only in this </w:t>
      </w:r>
      <w:r w:rsidR="006047EF">
        <w:rPr>
          <w:rFonts w:eastAsiaTheme="minorEastAsia"/>
          <w:lang w:val="en-GB"/>
        </w:rPr>
        <w:t>way</w:t>
      </w:r>
      <w:r w:rsidRPr="00383A89">
        <w:rPr>
          <w:rFonts w:eastAsiaTheme="minorEastAsia"/>
          <w:lang w:val="en-GB"/>
        </w:rPr>
        <w:t xml:space="preserve"> we will be able to</w:t>
      </w:r>
      <w:r w:rsidR="006047EF">
        <w:rPr>
          <w:rFonts w:eastAsiaTheme="minorEastAsia"/>
          <w:lang w:val="en-GB"/>
        </w:rPr>
        <w:t xml:space="preserve"> fully</w:t>
      </w:r>
      <w:r w:rsidRPr="00383A89">
        <w:rPr>
          <w:rFonts w:eastAsiaTheme="minorEastAsia"/>
          <w:lang w:val="en-GB"/>
        </w:rPr>
        <w:t xml:space="preserve"> understand NAFLD as a multifactorial condition and deduce metabolic causes and risk factors in females and males. </w:t>
      </w:r>
      <w:r w:rsidRPr="00383A89">
        <w:rPr>
          <w:lang w:val="en-GB"/>
        </w:rPr>
        <w:t xml:space="preserve">This article will </w:t>
      </w:r>
      <w:r w:rsidR="00AB3A76">
        <w:rPr>
          <w:lang w:val="en-GB"/>
        </w:rPr>
        <w:t>survey</w:t>
      </w:r>
      <w:r w:rsidRPr="00383A89">
        <w:rPr>
          <w:lang w:val="en-GB"/>
        </w:rPr>
        <w:t xml:space="preserve"> </w:t>
      </w:r>
      <w:r w:rsidR="00AB3A76">
        <w:rPr>
          <w:lang w:val="en-GB"/>
        </w:rPr>
        <w:t xml:space="preserve">the </w:t>
      </w:r>
      <w:r w:rsidRPr="00383A89">
        <w:rPr>
          <w:lang w:val="en-GB"/>
        </w:rPr>
        <w:t>combination of experimental, clinical, bioinformatics and modelling approaches that present the state-of-the art in identifying potential targets of complex multifactorial NAFLD</w:t>
      </w:r>
      <w:r w:rsidR="00AB3A76">
        <w:rPr>
          <w:lang w:val="en-GB"/>
        </w:rPr>
        <w:t xml:space="preserve"> and other complex liver diseases</w:t>
      </w:r>
      <w:r w:rsidRPr="00383A89">
        <w:rPr>
          <w:lang w:val="en-GB"/>
        </w:rPr>
        <w:t xml:space="preserve">. </w:t>
      </w:r>
    </w:p>
    <w:p w14:paraId="0655839F" w14:textId="77777777" w:rsidR="00940DFF" w:rsidRPr="00383A89" w:rsidRDefault="00940DFF" w:rsidP="00940DFF">
      <w:pPr>
        <w:rPr>
          <w:lang w:val="en-GB"/>
        </w:rPr>
      </w:pPr>
    </w:p>
    <w:p w14:paraId="4A0A20A8" w14:textId="77777777" w:rsidR="00797138" w:rsidRPr="00383A89" w:rsidRDefault="00797138" w:rsidP="00797138">
      <w:pPr>
        <w:pStyle w:val="Naslov1"/>
        <w:rPr>
          <w:lang w:val="en-GB"/>
        </w:rPr>
      </w:pPr>
      <w:r w:rsidRPr="00383A89">
        <w:rPr>
          <w:lang w:val="en-GB"/>
        </w:rPr>
        <w:t xml:space="preserve">From </w:t>
      </w:r>
      <w:r w:rsidR="00731A72" w:rsidRPr="00383A89">
        <w:rPr>
          <w:lang w:val="en-GB"/>
        </w:rPr>
        <w:t xml:space="preserve">dynamical models of </w:t>
      </w:r>
      <w:r w:rsidRPr="00383A89">
        <w:rPr>
          <w:lang w:val="en-GB"/>
        </w:rPr>
        <w:t>biochemical reactions to virtual organisms</w:t>
      </w:r>
    </w:p>
    <w:p w14:paraId="1B10B002" w14:textId="0E307424" w:rsidR="00F3530F" w:rsidRPr="00383A89" w:rsidRDefault="00F3530F" w:rsidP="00F3530F">
      <w:pPr>
        <w:rPr>
          <w:lang w:val="en-GB"/>
        </w:rPr>
      </w:pPr>
      <w:r w:rsidRPr="00383A89">
        <w:rPr>
          <w:lang w:val="en-GB"/>
        </w:rPr>
        <w:t>Computational modelling approaches that are currently used in the systems biology and systems medicine research communities can be differen</w:t>
      </w:r>
      <w:r w:rsidR="00F01DD6" w:rsidRPr="00383A89">
        <w:rPr>
          <w:lang w:val="en-GB"/>
        </w:rPr>
        <w:t xml:space="preserve">tiated into two main groups. First are the </w:t>
      </w:r>
      <w:r w:rsidR="00F01DD6" w:rsidRPr="00383A89">
        <w:rPr>
          <w:i/>
          <w:lang w:val="en-GB"/>
        </w:rPr>
        <w:t>bioinformatic approaches</w:t>
      </w:r>
      <w:r w:rsidR="00EA0989" w:rsidRPr="00383A89">
        <w:rPr>
          <w:lang w:val="en-GB"/>
        </w:rPr>
        <w:t>,</w:t>
      </w:r>
      <w:r w:rsidR="00F01DD6" w:rsidRPr="00383A89">
        <w:rPr>
          <w:lang w:val="en-GB"/>
        </w:rPr>
        <w:t xml:space="preserve"> </w:t>
      </w:r>
      <w:r w:rsidRPr="00383A89">
        <w:rPr>
          <w:lang w:val="en-GB"/>
        </w:rPr>
        <w:t>which allow us to analyse the experimental data, perform statistical analyses and con</w:t>
      </w:r>
      <w:r w:rsidR="00F01DD6" w:rsidRPr="00383A89">
        <w:rPr>
          <w:lang w:val="en-GB"/>
        </w:rPr>
        <w:t xml:space="preserve">duct statistical modelling. The second are </w:t>
      </w:r>
      <w:r w:rsidR="00E5486D" w:rsidRPr="00383A89">
        <w:rPr>
          <w:i/>
          <w:lang w:val="en-GB"/>
        </w:rPr>
        <w:t>computational biology</w:t>
      </w:r>
      <w:r w:rsidR="00E5486D" w:rsidRPr="00383A89">
        <w:rPr>
          <w:lang w:val="en-GB"/>
        </w:rPr>
        <w:t xml:space="preserve"> also known as </w:t>
      </w:r>
      <w:r w:rsidRPr="00383A89">
        <w:rPr>
          <w:i/>
          <w:lang w:val="en-GB"/>
        </w:rPr>
        <w:t>mechanistic</w:t>
      </w:r>
      <w:r w:rsidR="00E5486D" w:rsidRPr="00383A89">
        <w:rPr>
          <w:i/>
          <w:lang w:val="en-GB"/>
        </w:rPr>
        <w:t xml:space="preserve"> </w:t>
      </w:r>
      <w:r w:rsidR="00E5486D" w:rsidRPr="00383A89">
        <w:rPr>
          <w:lang w:val="en-GB"/>
        </w:rPr>
        <w:t xml:space="preserve">or </w:t>
      </w:r>
      <w:r w:rsidR="00E5486D" w:rsidRPr="00383A89">
        <w:rPr>
          <w:i/>
          <w:lang w:val="en-GB"/>
        </w:rPr>
        <w:t>dynamical modelling</w:t>
      </w:r>
      <w:r w:rsidRPr="00383A89">
        <w:rPr>
          <w:lang w:val="en-GB"/>
        </w:rPr>
        <w:t xml:space="preserve"> approaches, which allow us to perform dynamical modelling and execute computational simulations of the systems under </w:t>
      </w:r>
      <w:r w:rsidR="00F01DD6" w:rsidRPr="00383A89">
        <w:rPr>
          <w:lang w:val="en-GB"/>
        </w:rPr>
        <w:t xml:space="preserve">the </w:t>
      </w:r>
      <w:r w:rsidRPr="00383A89">
        <w:rPr>
          <w:lang w:val="en-GB"/>
        </w:rPr>
        <w:t>study</w:t>
      </w:r>
      <w:r w:rsidR="00A34EF8">
        <w:rPr>
          <w:lang w:val="en-GB"/>
        </w:rPr>
        <w:t>.</w:t>
      </w:r>
      <w:r w:rsidR="00B4415E" w:rsidRPr="00383A89">
        <w:rPr>
          <w:lang w:val="en-GB"/>
        </w:rPr>
        <w:fldChar w:fldCharType="begin" w:fldLock="1"/>
      </w:r>
      <w:r w:rsidR="001C27E1">
        <w:rPr>
          <w:lang w:val="en-GB"/>
        </w:rPr>
        <w:instrText>ADDIN CSL_CITATION { "citationItems" : [ { "id" : "ITEM-1", "itemData" : { "DOI" : "10.1093/bib/bbv060", "ISBN" : "10.1073/pnas.1508425112", "ISSN" : "14774054", "PMID" : "26249224", "abstract" : "The 'precision medicine (systems medicine)' concept promises to achieve a shift to future healthcare systems with a more proactive and predictive approach to medicine, where the emphasis is on disease prevention rather than the treatment of symptoms. The individualization of treatment for each patient will be at the centre of this approach, with all of a patient's medical data being computationally integrated and accessible. Precision medicine is being rapidly embraced by biomedical researchers, pioneering clinicians and scientific funding programmes in both the European Union (EU) and USA. Precision medicine is a key component of both Horizon 2020 (the EU Framework Programme for Research and Innovation) and the White House's Precision Medicine Initiative. Precision medicine promises to revolutionize patient care and treatment decisions. However, the participants in precision medicine are faced with a considerable central challenge. Greater volumes of data from a wider variety of sources are being generated and analysed than ever before; yet, this heterogeneous information must be integrated and incorporated into personalized predictive models, the output of which must be intelligible to non-computationally trained clinicians. Drawing primarily from the field of 'oncology', this article will introduce key concepts and challenges of precision medicine and some of the approaches currently being implemented to overcome these challenges. Finally, this article also covers the criticisms of precision medicine overpromising on its potential to transform patient care.", "author" : [ { "dropping-particle" : "", "family" : "Duffy", "given" : "David J.", "non-dropping-particle" : "", "parse-names" : false, "suffix" : "" } ], "container-title" : "Briefings in Bioinformatics", "id" : "ITEM-1", "issue" : "3", "issued" : { "date-parts" : [ [ "2016" ] ] }, "page" : "494-504", "title" : "Problems, challenges and promises: Perspectives on precision medicine", "type" : "article-journal", "volume" : "17" }, "uris" : [ "http://www.mendeley.com/documents/?uuid=22adcb28-185f-4694-947a-e877d3e7f4c3" ] } ], "mendeley" : { "formattedCitation" : "&lt;sup&gt;&lt;sup&gt;14&lt;/sup&gt;&lt;/sup&gt;", "plainTextFormattedCitation" : "14", "previouslyFormattedCitation" : "&lt;sup&gt;&lt;sup&gt;14&lt;/sup&gt;&lt;/sup&gt;" }, "properties" : { "noteIndex" : 0 }, "schema" : "https://github.com/citation-style-language/schema/raw/master/csl-citation.json" }</w:instrText>
      </w:r>
      <w:r w:rsidR="00B4415E" w:rsidRPr="00383A89">
        <w:rPr>
          <w:lang w:val="en-GB"/>
        </w:rPr>
        <w:fldChar w:fldCharType="separate"/>
      </w:r>
      <w:r w:rsidR="00A34EF8" w:rsidRPr="00A34EF8">
        <w:rPr>
          <w:noProof/>
          <w:vertAlign w:val="superscript"/>
          <w:lang w:val="en-GB"/>
        </w:rPr>
        <w:t>14</w:t>
      </w:r>
      <w:r w:rsidR="00B4415E" w:rsidRPr="00383A89">
        <w:rPr>
          <w:lang w:val="en-GB"/>
        </w:rPr>
        <w:fldChar w:fldCharType="end"/>
      </w:r>
      <w:r w:rsidRPr="00383A89">
        <w:rPr>
          <w:lang w:val="en-GB"/>
        </w:rPr>
        <w:t xml:space="preserve"> Even though bioinformatic approaches serve to be complementary to the dynamical modelling approaches, the focus of this paper will be made solely on the later.</w:t>
      </w:r>
    </w:p>
    <w:p w14:paraId="6A3CEFC0" w14:textId="35093F39" w:rsidR="00F3530F" w:rsidRPr="00383A89" w:rsidRDefault="00F01DD6" w:rsidP="00F3530F">
      <w:pPr>
        <w:rPr>
          <w:lang w:val="en-GB"/>
        </w:rPr>
      </w:pPr>
      <w:r w:rsidRPr="00383A89">
        <w:rPr>
          <w:lang w:val="en-GB"/>
        </w:rPr>
        <w:t>Dynamical modelling approaches</w:t>
      </w:r>
      <w:r w:rsidR="00F3530F" w:rsidRPr="00383A89">
        <w:rPr>
          <w:lang w:val="en-GB"/>
        </w:rPr>
        <w:t xml:space="preserve"> differ in dependence on the data that are available</w:t>
      </w:r>
      <w:r w:rsidRPr="00383A89">
        <w:rPr>
          <w:lang w:val="en-GB"/>
        </w:rPr>
        <w:t xml:space="preserve"> either from experimentalists or already in published literature. They differ as well based </w:t>
      </w:r>
      <w:r w:rsidR="00F3530F" w:rsidRPr="00383A89">
        <w:rPr>
          <w:lang w:val="en-GB"/>
        </w:rPr>
        <w:t xml:space="preserve">on the type and scale of the system </w:t>
      </w:r>
      <w:r w:rsidRPr="00383A89">
        <w:rPr>
          <w:lang w:val="en-GB"/>
        </w:rPr>
        <w:t xml:space="preserve">we are investigating and also on the </w:t>
      </w:r>
      <w:r w:rsidR="00F3530F" w:rsidRPr="00383A89">
        <w:rPr>
          <w:lang w:val="en-GB"/>
        </w:rPr>
        <w:t xml:space="preserve">level of details we are aiming to describe </w:t>
      </w:r>
      <w:r w:rsidR="00F3530F" w:rsidRPr="00383A89">
        <w:rPr>
          <w:i/>
          <w:lang w:val="en-GB"/>
        </w:rPr>
        <w:t>in silico</w:t>
      </w:r>
      <w:r w:rsidR="00B4415E" w:rsidRPr="00383A89">
        <w:rPr>
          <w:lang w:val="en-GB"/>
        </w:rPr>
        <w:fldChar w:fldCharType="begin" w:fldLock="1"/>
      </w:r>
      <w:r w:rsidR="001A5608">
        <w:rPr>
          <w:lang w:val="en-GB"/>
        </w:rPr>
        <w:instrText>ADDIN CSL_CITATION { "citationItems" : [ { "id" : "ITEM-1", "itemData" : { "DOI" : "10.3389/fphys.2014.00021", "ISBN" : "1664-042X (Print)\\n1664-042X (Linking)", "ISSN" : "1664042X", "PMID" : "24478728", "abstract" : "Next generation sequencing technologies are bringing about a renaissance of mining approaches. A comprehensive picture of the genetic landscape of an individual patient will be useful, for example, to identify groups of patients that do or do not respond to certain therapies. The high expectations may however not be satisfied if the number of patient groups with similar characteristics is going to be very large. I therefore doubt that mining sequence data will give us an understanding of why and when therapies work. For understanding the mechanisms underlying diseases, an alternative approach is to model small networks in quantitative mechanistic detail, to elucidate the role of gene and proteins in dynamically changing the functioning of cells. Here an obvious critique is that these models consider too few components, compared to what might be relevant for any particular cell function. I show here that mining approaches and dynamical systems theory are two ends of a spectrum of methodologies to choose from. Drawing upon personal experience in numerous interdisciplinary collaborations, I provide guidance on how to model by discussing the question \"Why model?\"", "author" : [ { "dropping-particle" : "", "family" : "Wolkenhauer", "given" : "Olaf", "non-dropping-particle" : "", "parse-names" : false, "suffix" : "" } ], "container-title" : "Frontiers in Physiology", "id" : "ITEM-1", "issue" : "January", "issued" : { "date-parts" : [ [ "2014" ] ] }, "page" : "21", "title" : "Why model?", "type" : "article-journal", "volume" : "5" }, "uris" : [ "http://www.mendeley.com/documents/?uuid=7f7457b9-893a-4263-bf2c-77d854c1ffa0" ] } ], "mendeley" : { "formattedCitation" : "&lt;sup&gt;&lt;sup&gt;15&lt;/sup&gt;&lt;/sup&gt;", "plainTextFormattedCitation" : "15", "previouslyFormattedCitation" : "&lt;sup&gt;&lt;sup&gt;15&lt;/sup&gt;&lt;/sup&gt;" }, "properties" : { "noteIndex" : 0 }, "schema" : "https://github.com/citation-style-language/schema/raw/master/csl-citation.json" }</w:instrText>
      </w:r>
      <w:r w:rsidR="00B4415E" w:rsidRPr="00383A89">
        <w:rPr>
          <w:lang w:val="en-GB"/>
        </w:rPr>
        <w:fldChar w:fldCharType="separate"/>
      </w:r>
      <w:r w:rsidR="00A34EF8" w:rsidRPr="00A34EF8">
        <w:rPr>
          <w:noProof/>
          <w:vertAlign w:val="superscript"/>
          <w:lang w:val="en-GB"/>
        </w:rPr>
        <w:t>15</w:t>
      </w:r>
      <w:r w:rsidR="00B4415E" w:rsidRPr="00383A89">
        <w:rPr>
          <w:lang w:val="en-GB"/>
        </w:rPr>
        <w:fldChar w:fldCharType="end"/>
      </w:r>
      <w:r w:rsidR="00F3530F" w:rsidRPr="00383A89">
        <w:rPr>
          <w:i/>
          <w:lang w:val="en-GB"/>
        </w:rPr>
        <w:t xml:space="preserve"> </w:t>
      </w:r>
      <w:r w:rsidR="00F3530F" w:rsidRPr="00383A89">
        <w:rPr>
          <w:lang w:val="en-GB"/>
        </w:rPr>
        <w:t xml:space="preserve">(see </w:t>
      </w:r>
      <w:r w:rsidR="00F3530F" w:rsidRPr="00383A89">
        <w:rPr>
          <w:lang w:val="en-GB"/>
        </w:rPr>
        <w:fldChar w:fldCharType="begin"/>
      </w:r>
      <w:r w:rsidR="00F3530F" w:rsidRPr="00383A89">
        <w:rPr>
          <w:lang w:val="en-GB"/>
        </w:rPr>
        <w:instrText xml:space="preserve"> REF _Ref510192144 \h </w:instrText>
      </w:r>
      <w:r w:rsidR="00E03882" w:rsidRPr="00383A89">
        <w:rPr>
          <w:lang w:val="en-GB"/>
        </w:rPr>
        <w:instrText xml:space="preserve"> \* MERGEFORMAT </w:instrText>
      </w:r>
      <w:r w:rsidR="00F3530F" w:rsidRPr="00383A89">
        <w:rPr>
          <w:lang w:val="en-GB"/>
        </w:rPr>
      </w:r>
      <w:r w:rsidR="00F3530F" w:rsidRPr="00383A89">
        <w:rPr>
          <w:lang w:val="en-GB"/>
        </w:rPr>
        <w:fldChar w:fldCharType="separate"/>
      </w:r>
      <w:r w:rsidR="006869C6" w:rsidRPr="00383A89">
        <w:rPr>
          <w:lang w:val="en-GB"/>
        </w:rPr>
        <w:t xml:space="preserve">Table </w:t>
      </w:r>
      <w:r w:rsidR="006869C6" w:rsidRPr="006869C6">
        <w:rPr>
          <w:noProof/>
          <w:lang w:val="en-GB"/>
        </w:rPr>
        <w:t>1</w:t>
      </w:r>
      <w:r w:rsidR="00F3530F" w:rsidRPr="00383A89">
        <w:rPr>
          <w:lang w:val="en-GB"/>
        </w:rPr>
        <w:fldChar w:fldCharType="end"/>
      </w:r>
      <w:r w:rsidR="00507DE5" w:rsidRPr="00383A89">
        <w:rPr>
          <w:lang w:val="en-GB"/>
        </w:rPr>
        <w:t xml:space="preserve"> and </w:t>
      </w:r>
      <w:r w:rsidR="00BE2AA1" w:rsidRPr="00383A89">
        <w:rPr>
          <w:lang w:val="en-GB"/>
        </w:rPr>
        <w:fldChar w:fldCharType="begin"/>
      </w:r>
      <w:r w:rsidR="00BE2AA1" w:rsidRPr="00383A89">
        <w:rPr>
          <w:lang w:val="en-GB"/>
        </w:rPr>
        <w:instrText xml:space="preserve"> REF _Ref511723919 \h </w:instrText>
      </w:r>
      <w:r w:rsidR="00E03882" w:rsidRPr="00383A89">
        <w:rPr>
          <w:lang w:val="en-GB"/>
        </w:rPr>
        <w:instrText xml:space="preserve"> \* MERGEFORMAT </w:instrText>
      </w:r>
      <w:r w:rsidR="00BE2AA1" w:rsidRPr="00383A89">
        <w:rPr>
          <w:lang w:val="en-GB"/>
        </w:rPr>
      </w:r>
      <w:r w:rsidR="00BE2AA1" w:rsidRPr="00383A89">
        <w:rPr>
          <w:lang w:val="en-GB"/>
        </w:rPr>
        <w:fldChar w:fldCharType="separate"/>
      </w:r>
      <w:r w:rsidR="006869C6" w:rsidRPr="00383A89">
        <w:rPr>
          <w:lang w:val="en-GB"/>
        </w:rPr>
        <w:t xml:space="preserve">Figure </w:t>
      </w:r>
      <w:r w:rsidR="006869C6" w:rsidRPr="006869C6">
        <w:rPr>
          <w:noProof/>
          <w:lang w:val="en-GB"/>
        </w:rPr>
        <w:t>1</w:t>
      </w:r>
      <w:r w:rsidR="00BE2AA1" w:rsidRPr="00383A89">
        <w:rPr>
          <w:lang w:val="en-GB"/>
        </w:rPr>
        <w:fldChar w:fldCharType="end"/>
      </w:r>
      <w:r w:rsidR="00F3530F" w:rsidRPr="00383A89">
        <w:rPr>
          <w:lang w:val="en-GB"/>
        </w:rPr>
        <w:t xml:space="preserve">). </w:t>
      </w:r>
    </w:p>
    <w:p w14:paraId="3EC68D57" w14:textId="77777777" w:rsidR="00F3530F" w:rsidRPr="00383A89" w:rsidRDefault="00F3530F" w:rsidP="00F3530F">
      <w:pPr>
        <w:spacing w:line="259" w:lineRule="auto"/>
        <w:rPr>
          <w:lang w:val="en-GB"/>
        </w:rPr>
      </w:pPr>
      <w:r w:rsidRPr="00383A89">
        <w:rPr>
          <w:lang w:val="en-GB"/>
        </w:rPr>
        <w:br w:type="page"/>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304"/>
        <w:gridCol w:w="1510"/>
        <w:gridCol w:w="1510"/>
        <w:gridCol w:w="1597"/>
        <w:gridCol w:w="1511"/>
      </w:tblGrid>
      <w:tr w:rsidR="00F3530F" w:rsidRPr="00383A89" w14:paraId="64F05257" w14:textId="77777777" w:rsidTr="00BB6A57">
        <w:tc>
          <w:tcPr>
            <w:tcW w:w="1510" w:type="dxa"/>
            <w:tcBorders>
              <w:bottom w:val="single" w:sz="4" w:space="0" w:color="auto"/>
              <w:right w:val="single" w:sz="4" w:space="0" w:color="auto"/>
            </w:tcBorders>
          </w:tcPr>
          <w:p w14:paraId="62290E5B" w14:textId="77777777" w:rsidR="00F3530F" w:rsidRPr="00383A89" w:rsidRDefault="00F3530F" w:rsidP="00BB6A57">
            <w:pPr>
              <w:rPr>
                <w:b/>
                <w:lang w:val="en-GB"/>
              </w:rPr>
            </w:pPr>
            <w:r w:rsidRPr="00383A89">
              <w:rPr>
                <w:b/>
                <w:lang w:val="en-GB"/>
              </w:rPr>
              <w:lastRenderedPageBreak/>
              <w:t>Focus</w:t>
            </w:r>
          </w:p>
        </w:tc>
        <w:tc>
          <w:tcPr>
            <w:tcW w:w="1304" w:type="dxa"/>
            <w:tcBorders>
              <w:left w:val="single" w:sz="4" w:space="0" w:color="auto"/>
              <w:bottom w:val="single" w:sz="4" w:space="0" w:color="auto"/>
            </w:tcBorders>
          </w:tcPr>
          <w:p w14:paraId="5C18AB66" w14:textId="77777777" w:rsidR="00F3530F" w:rsidRPr="00383A89" w:rsidRDefault="00F3530F" w:rsidP="00BB6A57">
            <w:pPr>
              <w:rPr>
                <w:b/>
                <w:lang w:val="en-GB"/>
              </w:rPr>
            </w:pPr>
            <w:r w:rsidRPr="00383A89">
              <w:rPr>
                <w:b/>
                <w:lang w:val="en-GB"/>
              </w:rPr>
              <w:t>Parameters</w:t>
            </w:r>
          </w:p>
        </w:tc>
        <w:tc>
          <w:tcPr>
            <w:tcW w:w="1510" w:type="dxa"/>
            <w:tcBorders>
              <w:bottom w:val="single" w:sz="4" w:space="0" w:color="auto"/>
            </w:tcBorders>
          </w:tcPr>
          <w:p w14:paraId="397448F0" w14:textId="77777777" w:rsidR="00F3530F" w:rsidRPr="00383A89" w:rsidRDefault="00F3530F" w:rsidP="00BB6A57">
            <w:pPr>
              <w:rPr>
                <w:b/>
                <w:lang w:val="en-GB"/>
              </w:rPr>
            </w:pPr>
            <w:r w:rsidRPr="00383A89">
              <w:rPr>
                <w:b/>
                <w:lang w:val="en-GB"/>
              </w:rPr>
              <w:t>Multi-scale</w:t>
            </w:r>
          </w:p>
        </w:tc>
        <w:tc>
          <w:tcPr>
            <w:tcW w:w="1510" w:type="dxa"/>
            <w:tcBorders>
              <w:bottom w:val="single" w:sz="4" w:space="0" w:color="auto"/>
            </w:tcBorders>
          </w:tcPr>
          <w:p w14:paraId="3D1EF3B5" w14:textId="77777777" w:rsidR="00F3530F" w:rsidRPr="00383A89" w:rsidRDefault="00F3530F" w:rsidP="00BB6A57">
            <w:pPr>
              <w:rPr>
                <w:b/>
                <w:lang w:val="en-GB"/>
              </w:rPr>
            </w:pPr>
            <w:r w:rsidRPr="00383A89">
              <w:rPr>
                <w:b/>
                <w:lang w:val="en-GB"/>
              </w:rPr>
              <w:t>Size</w:t>
            </w:r>
          </w:p>
        </w:tc>
        <w:tc>
          <w:tcPr>
            <w:tcW w:w="1512" w:type="dxa"/>
            <w:tcBorders>
              <w:bottom w:val="single" w:sz="4" w:space="0" w:color="auto"/>
            </w:tcBorders>
          </w:tcPr>
          <w:p w14:paraId="67783C65" w14:textId="77777777" w:rsidR="00F3530F" w:rsidRPr="00383A89" w:rsidRDefault="00F3530F" w:rsidP="00BB6A57">
            <w:pPr>
              <w:rPr>
                <w:b/>
                <w:lang w:val="en-GB"/>
              </w:rPr>
            </w:pPr>
            <w:r w:rsidRPr="00383A89">
              <w:rPr>
                <w:b/>
                <w:lang w:val="en-GB"/>
              </w:rPr>
              <w:t>Examples (applications)</w:t>
            </w:r>
          </w:p>
        </w:tc>
        <w:tc>
          <w:tcPr>
            <w:tcW w:w="1511" w:type="dxa"/>
            <w:tcBorders>
              <w:bottom w:val="single" w:sz="4" w:space="0" w:color="auto"/>
            </w:tcBorders>
          </w:tcPr>
          <w:p w14:paraId="0AB1E023" w14:textId="77777777" w:rsidR="00F3530F" w:rsidRPr="00383A89" w:rsidRDefault="00F3530F" w:rsidP="00BB6A57">
            <w:pPr>
              <w:rPr>
                <w:b/>
                <w:lang w:val="en-GB"/>
              </w:rPr>
            </w:pPr>
            <w:r w:rsidRPr="00383A89">
              <w:rPr>
                <w:b/>
                <w:lang w:val="en-GB"/>
              </w:rPr>
              <w:t>Examples (approaches)</w:t>
            </w:r>
          </w:p>
        </w:tc>
      </w:tr>
      <w:tr w:rsidR="00F3530F" w:rsidRPr="00383A89" w14:paraId="59443BA4" w14:textId="77777777" w:rsidTr="00BB6A57">
        <w:tc>
          <w:tcPr>
            <w:tcW w:w="1510" w:type="dxa"/>
            <w:tcBorders>
              <w:top w:val="single" w:sz="4" w:space="0" w:color="auto"/>
              <w:bottom w:val="single" w:sz="4" w:space="0" w:color="auto"/>
              <w:right w:val="single" w:sz="4" w:space="0" w:color="auto"/>
            </w:tcBorders>
          </w:tcPr>
          <w:p w14:paraId="7293B336" w14:textId="6032E853" w:rsidR="00F3530F" w:rsidRPr="00383A89" w:rsidRDefault="00F3530F" w:rsidP="00BB6A57">
            <w:pPr>
              <w:rPr>
                <w:b/>
                <w:lang w:val="en-GB"/>
              </w:rPr>
            </w:pPr>
            <w:r w:rsidRPr="00383A89">
              <w:rPr>
                <w:b/>
                <w:lang w:val="en-GB"/>
              </w:rPr>
              <w:t xml:space="preserve">molecular modelling, isolated </w:t>
            </w:r>
            <w:r w:rsidR="009E66E3" w:rsidRPr="00383A89">
              <w:rPr>
                <w:b/>
                <w:lang w:val="en-GB"/>
              </w:rPr>
              <w:t>segments, only vital reactions</w:t>
            </w:r>
          </w:p>
        </w:tc>
        <w:tc>
          <w:tcPr>
            <w:tcW w:w="1304" w:type="dxa"/>
            <w:tcBorders>
              <w:top w:val="single" w:sz="4" w:space="0" w:color="auto"/>
              <w:left w:val="single" w:sz="4" w:space="0" w:color="auto"/>
              <w:bottom w:val="single" w:sz="4" w:space="0" w:color="auto"/>
            </w:tcBorders>
          </w:tcPr>
          <w:p w14:paraId="274F1621" w14:textId="77777777" w:rsidR="00F3530F" w:rsidRPr="00383A89" w:rsidRDefault="00F3530F" w:rsidP="00BB6A57">
            <w:pPr>
              <w:rPr>
                <w:lang w:val="en-GB"/>
              </w:rPr>
            </w:pPr>
            <w:r w:rsidRPr="00383A89">
              <w:rPr>
                <w:lang w:val="en-GB"/>
              </w:rPr>
              <w:t>needed</w:t>
            </w:r>
          </w:p>
        </w:tc>
        <w:tc>
          <w:tcPr>
            <w:tcW w:w="1510" w:type="dxa"/>
            <w:tcBorders>
              <w:top w:val="single" w:sz="4" w:space="0" w:color="auto"/>
              <w:bottom w:val="single" w:sz="4" w:space="0" w:color="auto"/>
            </w:tcBorders>
          </w:tcPr>
          <w:p w14:paraId="2010BF0A" w14:textId="557192B4" w:rsidR="00F3530F" w:rsidRPr="00383A89" w:rsidRDefault="00A34EF8" w:rsidP="00BB6A57">
            <w:pPr>
              <w:rPr>
                <w:lang w:val="en-GB"/>
              </w:rPr>
            </w:pPr>
            <w:r w:rsidRPr="00383A89">
              <w:rPr>
                <w:lang w:val="en-GB"/>
              </w:rPr>
              <w:t>N</w:t>
            </w:r>
            <w:r w:rsidR="00F3530F" w:rsidRPr="00383A89">
              <w:rPr>
                <w:lang w:val="en-GB"/>
              </w:rPr>
              <w:t>o</w:t>
            </w:r>
          </w:p>
        </w:tc>
        <w:tc>
          <w:tcPr>
            <w:tcW w:w="1510" w:type="dxa"/>
            <w:tcBorders>
              <w:top w:val="single" w:sz="4" w:space="0" w:color="auto"/>
              <w:bottom w:val="single" w:sz="4" w:space="0" w:color="auto"/>
            </w:tcBorders>
          </w:tcPr>
          <w:p w14:paraId="3D7DAE50" w14:textId="77777777" w:rsidR="00F3530F" w:rsidRPr="00383A89" w:rsidRDefault="00F3530F" w:rsidP="00BB6A57">
            <w:pPr>
              <w:rPr>
                <w:lang w:val="en-GB"/>
              </w:rPr>
            </w:pPr>
            <w:r w:rsidRPr="00383A89">
              <w:rPr>
                <w:lang w:val="en-GB"/>
              </w:rPr>
              <w:t>small</w:t>
            </w:r>
          </w:p>
        </w:tc>
        <w:tc>
          <w:tcPr>
            <w:tcW w:w="1512" w:type="dxa"/>
            <w:tcBorders>
              <w:top w:val="single" w:sz="4" w:space="0" w:color="auto"/>
              <w:bottom w:val="single" w:sz="4" w:space="0" w:color="auto"/>
            </w:tcBorders>
          </w:tcPr>
          <w:p w14:paraId="1994F813" w14:textId="672EFCEB" w:rsidR="00F3530F" w:rsidRPr="00383A89" w:rsidRDefault="00F3530F" w:rsidP="00A34EF8">
            <w:pPr>
              <w:rPr>
                <w:lang w:val="en-GB"/>
              </w:rPr>
            </w:pPr>
            <w:r w:rsidRPr="00383A89">
              <w:rPr>
                <w:lang w:val="en-GB"/>
              </w:rPr>
              <w:t>oscillatory network of transcription factor NF-kB</w:t>
            </w:r>
            <w:r w:rsidR="00A34EF8">
              <w:rPr>
                <w:lang w:val="en-GB"/>
              </w:rPr>
              <w:t xml:space="preserve"> </w:t>
            </w:r>
            <w:r w:rsidR="00B4415E" w:rsidRPr="00383A89">
              <w:rPr>
                <w:lang w:val="en-GB"/>
              </w:rPr>
              <w:fldChar w:fldCharType="begin" w:fldLock="1"/>
            </w:r>
            <w:r w:rsidR="001C27E1">
              <w:rPr>
                <w:lang w:val="en-GB"/>
              </w:rPr>
              <w:instrText>ADDIN CSL_CITATION { "citationItems" : [ { "id" : "ITEM-1", "itemData" : { "DOI" : "10.1016/j.gde.2010.08.008", "ISBN" : "0959-437X", "ISSN" : "0959437X", "PMID" : "20934871", "abstract" : "Oscillations are commonly observed in cellular behavior and span a wide range of timescales, from seconds in calcium signaling to 24 hours in circadian rhythms. In between lie oscillations with time periods of 1-5 hours seen in NF-??B, p53 and Wnt signaling, which play key roles in the immune system, cell growth/death and embryo development, respectively. In the first part of this article, we provide a brief overview of simple deterministic models of oscillations. In particular, we explain the mechanism of saturated degradation that has been used to model oscillations in the NF-??B, p53 and Wnt systems. The second part deals with the potential physiological role of oscillations. We use the simple models described earlier to explore whether oscillatory signals can encode more information than steady-state signals. We then discuss a few simple genetic circuits that could decode information stored in the average, amplitude or frequency of oscillations. The presence of frequency-detector circuit downstream of NF-??B or p53 would be a strong clue that oscillations are important for the physiological response of these signaling systems. ?? 2010 Elsevier Ltd.", "author" : [ { "dropping-particle" : "", "family" : "Mengel", "given" : "Benedicte", "non-dropping-particle" : "", "parse-names" : false, "suffix" : "" }, { "dropping-particle" : "", "family" : "Hunziker", "given" : "Alexander", "non-dropping-particle" : "", "parse-names" : false, "suffix" : "" }, { "dropping-particle" : "", "family" : "Pedersen", "given" : "Lykke", "non-dropping-particle" : "", "parse-names" : false, "suffix" : "" }, { "dropping-particle" : "", "family" : "Trusina", "given" : "Ala", "non-dropping-particle" : "", "parse-names" : false, "suffix" : "" }, { "dropping-particle" : "", "family" : "Jensen", "given" : "Mogens H.", "non-dropping-particle" : "", "parse-names" : false, "suffix" : "" }, { "dropping-particle" : "", "family" : "Krishna", "given" : "Sandeep", "non-dropping-particle" : "", "parse-names" : false, "suffix" : "" } ], "container-title" : "Current Opinion in Genetics and Development", "id" : "ITEM-1", "issue" : "6", "issued" : { "date-parts" : [ [ "2010" ] ] }, "page" : "656-664", "publisher" : "Elsevier Ltd", "title" : "Modeling oscillatory control in NF-kB, p53 and Wnt signaling", "type" : "article-journal", "volume" : "20" }, "uris" : [ "http://www.mendeley.com/documents/?uuid=1a90e22b-abd4-445d-baac-2649674392d6" ] } ], "mendeley" : { "formattedCitation" : "&lt;sup&gt;&lt;sup&gt;16&lt;/sup&gt;&lt;/sup&gt;", "plainTextFormattedCitation" : "16", "previouslyFormattedCitation" : "&lt;sup&gt;&lt;sup&gt;16&lt;/sup&gt;&lt;/sup&gt;" }, "properties" : { "noteIndex" : 0 }, "schema" : "https://github.com/citation-style-language/schema/raw/master/csl-citation.json" }</w:instrText>
            </w:r>
            <w:r w:rsidR="00B4415E" w:rsidRPr="00383A89">
              <w:rPr>
                <w:lang w:val="en-GB"/>
              </w:rPr>
              <w:fldChar w:fldCharType="separate"/>
            </w:r>
            <w:r w:rsidR="00A34EF8" w:rsidRPr="00A34EF8">
              <w:rPr>
                <w:noProof/>
                <w:vertAlign w:val="superscript"/>
                <w:lang w:val="en-GB"/>
              </w:rPr>
              <w:t>16</w:t>
            </w:r>
            <w:r w:rsidR="00B4415E" w:rsidRPr="00383A89">
              <w:rPr>
                <w:lang w:val="en-GB"/>
              </w:rPr>
              <w:fldChar w:fldCharType="end"/>
            </w:r>
          </w:p>
        </w:tc>
        <w:tc>
          <w:tcPr>
            <w:tcW w:w="1511" w:type="dxa"/>
            <w:tcBorders>
              <w:top w:val="single" w:sz="4" w:space="0" w:color="auto"/>
              <w:bottom w:val="single" w:sz="4" w:space="0" w:color="auto"/>
            </w:tcBorders>
          </w:tcPr>
          <w:p w14:paraId="02FDAF8C" w14:textId="77777777" w:rsidR="00F3530F" w:rsidRPr="00383A89" w:rsidRDefault="00F3530F" w:rsidP="00BB6A57">
            <w:pPr>
              <w:rPr>
                <w:lang w:val="en-GB"/>
              </w:rPr>
            </w:pPr>
            <w:r w:rsidRPr="00383A89">
              <w:rPr>
                <w:lang w:val="en-GB"/>
              </w:rPr>
              <w:t>ODEs, PDEs, SSA</w:t>
            </w:r>
          </w:p>
        </w:tc>
      </w:tr>
      <w:tr w:rsidR="00F3530F" w:rsidRPr="00383A89" w14:paraId="1FC342DB" w14:textId="77777777" w:rsidTr="00BB6A57">
        <w:tc>
          <w:tcPr>
            <w:tcW w:w="1510" w:type="dxa"/>
            <w:tcBorders>
              <w:top w:val="single" w:sz="4" w:space="0" w:color="auto"/>
              <w:bottom w:val="single" w:sz="4" w:space="0" w:color="auto"/>
              <w:right w:val="single" w:sz="4" w:space="0" w:color="auto"/>
            </w:tcBorders>
          </w:tcPr>
          <w:p w14:paraId="29B0DBBF" w14:textId="3599C22C" w:rsidR="00F3530F" w:rsidRPr="00383A89" w:rsidRDefault="00F3530F" w:rsidP="00BB6A57">
            <w:pPr>
              <w:rPr>
                <w:b/>
                <w:lang w:val="en-GB"/>
              </w:rPr>
            </w:pPr>
            <w:r w:rsidRPr="00383A89">
              <w:rPr>
                <w:b/>
                <w:lang w:val="en-GB"/>
              </w:rPr>
              <w:t>subcellular processes</w:t>
            </w:r>
            <w:r w:rsidR="00507DE5" w:rsidRPr="00383A89">
              <w:rPr>
                <w:b/>
                <w:lang w:val="en-GB"/>
              </w:rPr>
              <w:t xml:space="preserve"> / reaction networks</w:t>
            </w:r>
          </w:p>
        </w:tc>
        <w:tc>
          <w:tcPr>
            <w:tcW w:w="1304" w:type="dxa"/>
            <w:tcBorders>
              <w:top w:val="single" w:sz="4" w:space="0" w:color="auto"/>
              <w:left w:val="single" w:sz="4" w:space="0" w:color="auto"/>
              <w:bottom w:val="single" w:sz="4" w:space="0" w:color="auto"/>
            </w:tcBorders>
          </w:tcPr>
          <w:p w14:paraId="00EAFEB7" w14:textId="77777777" w:rsidR="00F3530F" w:rsidRPr="00383A89" w:rsidRDefault="00F3530F" w:rsidP="00BB6A57">
            <w:pPr>
              <w:rPr>
                <w:lang w:val="en-GB"/>
              </w:rPr>
            </w:pPr>
            <w:r w:rsidRPr="00383A89">
              <w:rPr>
                <w:lang w:val="en-GB"/>
              </w:rPr>
              <w:t>not needed</w:t>
            </w:r>
          </w:p>
        </w:tc>
        <w:tc>
          <w:tcPr>
            <w:tcW w:w="1510" w:type="dxa"/>
            <w:tcBorders>
              <w:top w:val="single" w:sz="4" w:space="0" w:color="auto"/>
              <w:bottom w:val="single" w:sz="4" w:space="0" w:color="auto"/>
            </w:tcBorders>
          </w:tcPr>
          <w:p w14:paraId="523A5B2A" w14:textId="77777777" w:rsidR="00F3530F" w:rsidRPr="00383A89" w:rsidRDefault="00F3530F" w:rsidP="00BB6A57">
            <w:pPr>
              <w:rPr>
                <w:lang w:val="en-GB"/>
              </w:rPr>
            </w:pPr>
            <w:r w:rsidRPr="00383A89">
              <w:rPr>
                <w:lang w:val="en-GB"/>
              </w:rPr>
              <w:t>no</w:t>
            </w:r>
          </w:p>
        </w:tc>
        <w:tc>
          <w:tcPr>
            <w:tcW w:w="1510" w:type="dxa"/>
            <w:tcBorders>
              <w:top w:val="single" w:sz="4" w:space="0" w:color="auto"/>
              <w:bottom w:val="single" w:sz="4" w:space="0" w:color="auto"/>
            </w:tcBorders>
          </w:tcPr>
          <w:p w14:paraId="23C84C4D" w14:textId="77777777" w:rsidR="00F3530F" w:rsidRPr="00383A89" w:rsidRDefault="00F3530F" w:rsidP="00BB6A57">
            <w:pPr>
              <w:rPr>
                <w:lang w:val="en-GB"/>
              </w:rPr>
            </w:pPr>
            <w:r w:rsidRPr="00383A89">
              <w:rPr>
                <w:lang w:val="en-GB"/>
              </w:rPr>
              <w:t>large</w:t>
            </w:r>
          </w:p>
        </w:tc>
        <w:tc>
          <w:tcPr>
            <w:tcW w:w="1512" w:type="dxa"/>
            <w:tcBorders>
              <w:top w:val="single" w:sz="4" w:space="0" w:color="auto"/>
              <w:bottom w:val="single" w:sz="4" w:space="0" w:color="auto"/>
            </w:tcBorders>
          </w:tcPr>
          <w:p w14:paraId="5623F672" w14:textId="34D2A2B2" w:rsidR="00F3530F" w:rsidRPr="00383A89" w:rsidRDefault="00F3530F" w:rsidP="00A34EF8">
            <w:pPr>
              <w:rPr>
                <w:lang w:val="en-GB"/>
              </w:rPr>
            </w:pPr>
            <w:r w:rsidRPr="00383A89">
              <w:rPr>
                <w:lang w:val="en-GB"/>
              </w:rPr>
              <w:t xml:space="preserve">Comprehensive model of human metabolism </w:t>
            </w:r>
            <w:r w:rsidR="00B4415E" w:rsidRPr="00383A89">
              <w:rPr>
                <w:lang w:val="en-GB"/>
              </w:rPr>
              <w:fldChar w:fldCharType="begin" w:fldLock="1"/>
            </w:r>
            <w:r w:rsidR="001C27E1">
              <w:rPr>
                <w:lang w:val="en-GB"/>
              </w:rPr>
              <w:instrText>ADDIN CSL_CITATION { "citationItems" : [ { "id" : "ITEM-1", "itemData" : { "DOI" : "10.1038/nbt.4072", "ISSN" : "15461696", "PMID" : "29457794", "abstract" : "Large-scale integration of metabolite and protein structural data with existing networks of human metabolism provides insights into gene function and how drugs affect metabolic response.", "author" : [ { "dropping-particle" : "", "family" : "Brunk", "given" : "Elizabeth", "non-dropping-particle" : "", "parse-names" : false, "suffix" : "" }, { "dropping-particle" : "", "family" : "Sahoo", "given" : "Swagatika", "non-dropping-particle" : "", "parse-names" : false, "suffix" : "" }, { "dropping-particle" : "", "family" : "Zielinski", "given" : "Daniel C.", "non-dropping-particle" : "", "parse-names" : false, "suffix" : "" }, { "dropping-particle" : "", "family" : "Altunkaya", "given" : "Ali", "non-dropping-particle" : "", "parse-names" : false, "suffix" : "" }, { "dropping-particle" : "", "family" : "Dr\u00e4ger", "given" : "Andreas", "non-dropping-particle" : "", "parse-names" : false, "suffix" : "" }, { "dropping-particle" : "", "family" : "Mih", "given" : "Nathan", "non-dropping-particle" : "", "parse-names" : false, "suffix" : "" }, { "dropping-particle" : "", "family" : "Gatto", "given" : "Francesco", "non-dropping-particle" : "", "parse-names" : false, "suffix" : "" }, { "dropping-particle" : "", "family" : "Nilsson", "given" : "Avlant", "non-dropping-particle" : "", "parse-names" : false, "suffix" : "" }, { "dropping-particle" : "", "family" : "Preciat Gonzalez", "given" : "German Andres", "non-dropping-particle" : "", "parse-names" : false, "suffix" : "" }, { "dropping-particle" : "", "family" : "Aurich", "given" : "Maike Kathrin", "non-dropping-particle" : "", "parse-names" : false, "suffix" : "" }, { "dropping-particle" : "", "family" : "Prlic", "given" : "Andreas", "non-dropping-particle" : "", "parse-names" : false, "suffix" : "" }, { "dropping-particle" : "", "family" : "Sastry", "given" : "Anand", "non-dropping-particle" : "", "parse-names" : false, "suffix" : "" }, { "dropping-particle" : "", "family" : "Danielsdottir", "given" : "Anna D.", "non-dropping-particle" : "", "parse-names" : false, "suffix" : "" }, { "dropping-particle" : "", "family" : "Heinken", "given" : "Almut", "non-dropping-particle" : "", "parse-names" : false, "suffix" : "" }, { "dropping-particle" : "", "family" : "Noronha", "given" : "Alberto", "non-dropping-particle" : "", "parse-names" : false, "suffix" : "" }, { "dropping-particle" : "", "family" : "Rose", "given" : "Peter W.", "non-dropping-particle" : "", "parse-names" : false, "suffix" : "" }, { "dropping-particle" : "", "family" : "Burley", "given" : "Stephen K.", "non-dropping-particle" : "", "parse-names" : false, "suffix" : "" }, { "dropping-particle" : "", "family" : "Fleming", "given" : "Ronan M.T.", "non-dropping-particle" : "", "parse-names" : false, "suffix" : "" }, { "dropping-particle" : "", "family" : "Nielsen", "given" : "Jens", "non-dropping-particle" : "", "parse-names" : false, "suffix" : "" }, { "dropping-particle" : "", "family" : "Thiele", "given" : "Ines", "non-dropping-particle" : "", "parse-names" : false, "suffix" : "" }, { "dropping-particle" : "", "family" : "Palsson", "given" : "Bernhard O.", "non-dropping-particle" : "", "parse-names" : false, "suffix" : "" } ], "container-title" : "Nature Biotechnology", "id" : "ITEM-1", "issue" : "3", "issued" : { "date-parts" : [ [ "2018" ] ] }, "page" : "272-281", "title" : "Recon3D enables a three-dimensional view of gene variation in human metabolism", "type" : "article-journal", "volume" : "36" }, "uris" : [ "http://www.mendeley.com/documents/?uuid=bcd750be-79f3-4688-a733-7c853aa3f06e" ] } ], "mendeley" : { "formattedCitation" : "&lt;sup&gt;&lt;sup&gt;17&lt;/sup&gt;&lt;/sup&gt;", "plainTextFormattedCitation" : "17", "previouslyFormattedCitation" : "&lt;sup&gt;&lt;sup&gt;17&lt;/sup&gt;&lt;/sup&gt;" }, "properties" : { "noteIndex" : 0 }, "schema" : "https://github.com/citation-style-language/schema/raw/master/csl-citation.json" }</w:instrText>
            </w:r>
            <w:r w:rsidR="00B4415E" w:rsidRPr="00383A89">
              <w:rPr>
                <w:lang w:val="en-GB"/>
              </w:rPr>
              <w:fldChar w:fldCharType="separate"/>
            </w:r>
            <w:r w:rsidR="00A34EF8" w:rsidRPr="00A34EF8">
              <w:rPr>
                <w:noProof/>
                <w:vertAlign w:val="superscript"/>
                <w:lang w:val="en-GB"/>
              </w:rPr>
              <w:t>17</w:t>
            </w:r>
            <w:r w:rsidR="00B4415E" w:rsidRPr="00383A89">
              <w:rPr>
                <w:lang w:val="en-GB"/>
              </w:rPr>
              <w:fldChar w:fldCharType="end"/>
            </w:r>
          </w:p>
        </w:tc>
        <w:tc>
          <w:tcPr>
            <w:tcW w:w="1511" w:type="dxa"/>
            <w:tcBorders>
              <w:top w:val="single" w:sz="4" w:space="0" w:color="auto"/>
              <w:bottom w:val="single" w:sz="4" w:space="0" w:color="auto"/>
            </w:tcBorders>
          </w:tcPr>
          <w:p w14:paraId="3CB25067" w14:textId="77777777" w:rsidR="00F3530F" w:rsidRPr="00383A89" w:rsidRDefault="00F3530F" w:rsidP="00BB6A57">
            <w:pPr>
              <w:rPr>
                <w:lang w:val="en-GB"/>
              </w:rPr>
            </w:pPr>
            <w:r w:rsidRPr="00383A89">
              <w:rPr>
                <w:lang w:val="en-GB"/>
              </w:rPr>
              <w:t>Boolean networks, GEMs</w:t>
            </w:r>
          </w:p>
        </w:tc>
      </w:tr>
      <w:tr w:rsidR="00F3530F" w:rsidRPr="00383A89" w14:paraId="4CA73162" w14:textId="77777777" w:rsidTr="00BB6A57">
        <w:tc>
          <w:tcPr>
            <w:tcW w:w="1510" w:type="dxa"/>
            <w:tcBorders>
              <w:top w:val="single" w:sz="4" w:space="0" w:color="auto"/>
              <w:bottom w:val="single" w:sz="4" w:space="0" w:color="auto"/>
              <w:right w:val="single" w:sz="4" w:space="0" w:color="auto"/>
            </w:tcBorders>
          </w:tcPr>
          <w:p w14:paraId="20E89152" w14:textId="77777777" w:rsidR="00F3530F" w:rsidRPr="00383A89" w:rsidRDefault="00F3530F" w:rsidP="00BB6A57">
            <w:pPr>
              <w:rPr>
                <w:b/>
                <w:lang w:val="en-GB"/>
              </w:rPr>
            </w:pPr>
            <w:r w:rsidRPr="00383A89">
              <w:rPr>
                <w:b/>
                <w:lang w:val="en-GB"/>
              </w:rPr>
              <w:t>integration of subcellular processes,</w:t>
            </w:r>
          </w:p>
          <w:p w14:paraId="151BAE64" w14:textId="77777777" w:rsidR="00F3530F" w:rsidRPr="00383A89" w:rsidRDefault="00F3530F" w:rsidP="00BB6A57">
            <w:pPr>
              <w:rPr>
                <w:b/>
                <w:lang w:val="en-GB"/>
              </w:rPr>
            </w:pPr>
            <w:r w:rsidRPr="00383A89">
              <w:rPr>
                <w:b/>
                <w:lang w:val="en-GB"/>
              </w:rPr>
              <w:t>whole-cells</w:t>
            </w:r>
          </w:p>
        </w:tc>
        <w:tc>
          <w:tcPr>
            <w:tcW w:w="1304" w:type="dxa"/>
            <w:tcBorders>
              <w:top w:val="single" w:sz="4" w:space="0" w:color="auto"/>
              <w:left w:val="single" w:sz="4" w:space="0" w:color="auto"/>
              <w:bottom w:val="single" w:sz="4" w:space="0" w:color="auto"/>
            </w:tcBorders>
          </w:tcPr>
          <w:p w14:paraId="61FDDD43" w14:textId="77777777" w:rsidR="00F3530F" w:rsidRPr="00383A89" w:rsidRDefault="00F3530F" w:rsidP="00BB6A57">
            <w:pPr>
              <w:rPr>
                <w:lang w:val="en-GB"/>
              </w:rPr>
            </w:pPr>
            <w:r w:rsidRPr="00383A89">
              <w:rPr>
                <w:lang w:val="en-GB"/>
              </w:rPr>
              <w:t>needed</w:t>
            </w:r>
          </w:p>
        </w:tc>
        <w:tc>
          <w:tcPr>
            <w:tcW w:w="1510" w:type="dxa"/>
            <w:tcBorders>
              <w:top w:val="single" w:sz="4" w:space="0" w:color="auto"/>
              <w:bottom w:val="single" w:sz="4" w:space="0" w:color="auto"/>
            </w:tcBorders>
          </w:tcPr>
          <w:p w14:paraId="631E3040" w14:textId="77777777" w:rsidR="00F3530F" w:rsidRPr="00383A89" w:rsidRDefault="00F3530F" w:rsidP="00BB6A57">
            <w:pPr>
              <w:rPr>
                <w:lang w:val="en-GB"/>
              </w:rPr>
            </w:pPr>
            <w:r w:rsidRPr="00383A89">
              <w:rPr>
                <w:lang w:val="en-GB"/>
              </w:rPr>
              <w:t>yes</w:t>
            </w:r>
          </w:p>
        </w:tc>
        <w:tc>
          <w:tcPr>
            <w:tcW w:w="1510" w:type="dxa"/>
            <w:tcBorders>
              <w:top w:val="single" w:sz="4" w:space="0" w:color="auto"/>
              <w:bottom w:val="single" w:sz="4" w:space="0" w:color="auto"/>
            </w:tcBorders>
          </w:tcPr>
          <w:p w14:paraId="182DEA15" w14:textId="77777777" w:rsidR="00F3530F" w:rsidRPr="00383A89" w:rsidRDefault="00F3530F" w:rsidP="00BB6A57">
            <w:pPr>
              <w:rPr>
                <w:lang w:val="en-GB"/>
              </w:rPr>
            </w:pPr>
            <w:r w:rsidRPr="00383A89">
              <w:rPr>
                <w:lang w:val="en-GB"/>
              </w:rPr>
              <w:t>large</w:t>
            </w:r>
          </w:p>
        </w:tc>
        <w:tc>
          <w:tcPr>
            <w:tcW w:w="1512" w:type="dxa"/>
            <w:tcBorders>
              <w:top w:val="single" w:sz="4" w:space="0" w:color="auto"/>
              <w:bottom w:val="single" w:sz="4" w:space="0" w:color="auto"/>
            </w:tcBorders>
          </w:tcPr>
          <w:p w14:paraId="3479F182" w14:textId="71ED6F53" w:rsidR="00F3530F" w:rsidRPr="00383A89" w:rsidRDefault="00F3530F" w:rsidP="00A34EF8">
            <w:pPr>
              <w:rPr>
                <w:lang w:val="en-GB"/>
              </w:rPr>
            </w:pPr>
            <w:r w:rsidRPr="00383A89">
              <w:rPr>
                <w:lang w:val="en-GB"/>
              </w:rPr>
              <w:t xml:space="preserve">WCM of </w:t>
            </w:r>
            <w:r w:rsidRPr="00383A89">
              <w:rPr>
                <w:i/>
                <w:lang w:val="en-GB"/>
              </w:rPr>
              <w:t>M. genitalium</w:t>
            </w:r>
            <w:r w:rsidRPr="00383A89">
              <w:rPr>
                <w:lang w:val="en-GB"/>
              </w:rPr>
              <w:t xml:space="preserve"> </w:t>
            </w:r>
            <w:r w:rsidR="00B4415E" w:rsidRPr="00383A89">
              <w:rPr>
                <w:lang w:val="en-GB"/>
              </w:rPr>
              <w:fldChar w:fldCharType="begin" w:fldLock="1"/>
            </w:r>
            <w:r w:rsidR="001C27E1">
              <w:rPr>
                <w:lang w:val="en-GB"/>
              </w:rPr>
              <w:instrText>ADDIN CSL_CITATION { "citationItems" : [ { "id" : "ITEM-1", "itemData" : { "DOI" : "10.1016/j.cell.2012.05.044", "ISBN" : "0092-8674", "ISSN" : "00928674", "PMID" : "22817898", "abstract" : "Understanding how complex phenotypes arise from individual molecules and their interactions is a primary challenge in biology that computational approaches are poised to tackle. We report a whole-cell computational model of the life cycle of the human pathogen Mycoplasma genitalium that includes all of its molecular components and their interactions. An integrative approach to modeling that combines diverse mathematics enabled the simultaneous inclusion of fundamentally different cellular processes and experimental measurements. Our whole-cell model accounts for all annotated gene functions and was validated against a broad range of data. The model provides insights into many previously unobserved cellular behaviors, including in vivo rates of protein-DNA association and an inverse relationship between the durations of DNA replication initiation and replication. In addition, experimental analysis directed by model predictions identified previously undetected kinetic parameters and biological functions. We conclude that comprehensive whole-cell models can be used to facilitate biological discovery. \u00a9 2012 Elsevier Inc.", "author" : [ { "dropping-particle" : "", "family" : "Karr", "given" : "Jonathan R.", "non-dropping-particle" : "", "parse-names" : false, "suffix" : "" }, { "dropping-particle" : "", "family" : "Sanghvi", "given" : "Jayodita C.", "non-dropping-particle" : "", "parse-names" : false, "suffix" : "" }, { "dropping-particle" : "", "family" : "MacKlin", "given" : "Derek N.", "non-dropping-particle" : "", "parse-names" : false, "suffix" : "" }, { "dropping-particle" : "V.", "family" : "Gutschow", "given" : "Miriam", "non-dropping-particle" : "", "parse-names" : false, "suffix" : "" }, { "dropping-particle" : "", "family" : "Jacobs", "given" : "Jared M.", "non-dropping-particle" : "", "parse-names" : false, "suffix" : "" }, { "dropping-particle" : "", "family" : "Bolival", "given" : "Benjamin", "non-dropping-particle" : "", "parse-names" : false, "suffix" : "" }, { "dropping-particle" : "", "family" : "Assad-Garcia", "given" : "Nacyra", "non-dropping-particle" : "", "parse-names" : false, "suffix" : "" }, { "dropping-particle" : "", "family" : "Glass", "given" : "John I.", "non-dropping-particle" : "", "parse-names" : false, "suffix" : "" }, { "dropping-particle" : "", "family" : "Covert", "given" : "Markus W.", "non-dropping-particle" : "", "parse-names" : false, "suffix" : "" } ], "container-title" : "Cell", "id" : "ITEM-1", "issue" : "2", "issued" : { "date-parts" : [ [ "2012" ] ] }, "page" : "389-401", "title" : "A whole-cell computational model predicts phenotype from genotype", "type" : "article-journal", "volume" : "150" }, "uris" : [ "http://www.mendeley.com/documents/?uuid=62a8d809-0ac7-4c10-b121-a54d1a4b2e0f" ] } ], "mendeley" : { "formattedCitation" : "&lt;sup&gt;&lt;sup&gt;18&lt;/sup&gt;&lt;/sup&gt;", "plainTextFormattedCitation" : "18", "previouslyFormattedCitation" : "&lt;sup&gt;&lt;sup&gt;18&lt;/sup&gt;&lt;/sup&gt;" }, "properties" : { "noteIndex" : 0 }, "schema" : "https://github.com/citation-style-language/schema/raw/master/csl-citation.json" }</w:instrText>
            </w:r>
            <w:r w:rsidR="00B4415E" w:rsidRPr="00383A89">
              <w:rPr>
                <w:lang w:val="en-GB"/>
              </w:rPr>
              <w:fldChar w:fldCharType="separate"/>
            </w:r>
            <w:r w:rsidR="00A34EF8" w:rsidRPr="00A34EF8">
              <w:rPr>
                <w:noProof/>
                <w:vertAlign w:val="superscript"/>
                <w:lang w:val="en-GB"/>
              </w:rPr>
              <w:t>18</w:t>
            </w:r>
            <w:r w:rsidR="00B4415E" w:rsidRPr="00383A89">
              <w:rPr>
                <w:lang w:val="en-GB"/>
              </w:rPr>
              <w:fldChar w:fldCharType="end"/>
            </w:r>
          </w:p>
        </w:tc>
        <w:tc>
          <w:tcPr>
            <w:tcW w:w="1511" w:type="dxa"/>
            <w:tcBorders>
              <w:top w:val="single" w:sz="4" w:space="0" w:color="auto"/>
              <w:bottom w:val="single" w:sz="4" w:space="0" w:color="auto"/>
            </w:tcBorders>
          </w:tcPr>
          <w:p w14:paraId="4532E5D0" w14:textId="158BFF4D" w:rsidR="00F3530F" w:rsidRPr="00383A89" w:rsidRDefault="00F3530F" w:rsidP="00CE4252">
            <w:pPr>
              <w:rPr>
                <w:lang w:val="en-GB"/>
              </w:rPr>
            </w:pPr>
            <w:r w:rsidRPr="00383A89">
              <w:rPr>
                <w:lang w:val="en-GB"/>
              </w:rPr>
              <w:t>integrated models, WC</w:t>
            </w:r>
            <w:r w:rsidR="00CE4252" w:rsidRPr="00383A89">
              <w:rPr>
                <w:lang w:val="en-GB"/>
              </w:rPr>
              <w:t>M</w:t>
            </w:r>
            <w:r w:rsidR="00E03882" w:rsidRPr="00383A89">
              <w:rPr>
                <w:lang w:val="en-GB"/>
              </w:rPr>
              <w:t>s</w:t>
            </w:r>
          </w:p>
        </w:tc>
      </w:tr>
      <w:tr w:rsidR="00F3530F" w:rsidRPr="00383A89" w14:paraId="4AD72B02" w14:textId="77777777" w:rsidTr="00BB6A57">
        <w:tc>
          <w:tcPr>
            <w:tcW w:w="1510" w:type="dxa"/>
            <w:tcBorders>
              <w:top w:val="single" w:sz="4" w:space="0" w:color="auto"/>
              <w:bottom w:val="single" w:sz="4" w:space="0" w:color="auto"/>
              <w:right w:val="single" w:sz="4" w:space="0" w:color="auto"/>
            </w:tcBorders>
          </w:tcPr>
          <w:p w14:paraId="451E47C1" w14:textId="77777777" w:rsidR="00F3530F" w:rsidRPr="00383A89" w:rsidRDefault="00F3530F" w:rsidP="00BB6A57">
            <w:pPr>
              <w:rPr>
                <w:b/>
                <w:lang w:val="en-GB"/>
              </w:rPr>
            </w:pPr>
            <w:r w:rsidRPr="00383A89">
              <w:rPr>
                <w:b/>
                <w:lang w:val="en-GB"/>
              </w:rPr>
              <w:t>tissues, organs, cell populations</w:t>
            </w:r>
          </w:p>
        </w:tc>
        <w:tc>
          <w:tcPr>
            <w:tcW w:w="1304" w:type="dxa"/>
            <w:tcBorders>
              <w:top w:val="single" w:sz="4" w:space="0" w:color="auto"/>
              <w:left w:val="single" w:sz="4" w:space="0" w:color="auto"/>
              <w:bottom w:val="single" w:sz="4" w:space="0" w:color="auto"/>
            </w:tcBorders>
          </w:tcPr>
          <w:p w14:paraId="35B39812" w14:textId="77777777" w:rsidR="00F3530F" w:rsidRPr="00383A89" w:rsidRDefault="00F3530F" w:rsidP="00BB6A57">
            <w:pPr>
              <w:rPr>
                <w:lang w:val="en-GB"/>
              </w:rPr>
            </w:pPr>
            <w:r w:rsidRPr="00383A89">
              <w:rPr>
                <w:lang w:val="en-GB"/>
              </w:rPr>
              <w:t>needed</w:t>
            </w:r>
          </w:p>
        </w:tc>
        <w:tc>
          <w:tcPr>
            <w:tcW w:w="1510" w:type="dxa"/>
            <w:tcBorders>
              <w:top w:val="single" w:sz="4" w:space="0" w:color="auto"/>
              <w:bottom w:val="single" w:sz="4" w:space="0" w:color="auto"/>
            </w:tcBorders>
          </w:tcPr>
          <w:p w14:paraId="45DDC607" w14:textId="77777777" w:rsidR="00F3530F" w:rsidRPr="00383A89" w:rsidRDefault="00F3530F" w:rsidP="00BB6A57">
            <w:pPr>
              <w:rPr>
                <w:lang w:val="en-GB"/>
              </w:rPr>
            </w:pPr>
            <w:r w:rsidRPr="00383A89">
              <w:rPr>
                <w:lang w:val="en-GB"/>
              </w:rPr>
              <w:t>yes</w:t>
            </w:r>
          </w:p>
        </w:tc>
        <w:tc>
          <w:tcPr>
            <w:tcW w:w="1510" w:type="dxa"/>
            <w:tcBorders>
              <w:top w:val="single" w:sz="4" w:space="0" w:color="auto"/>
              <w:bottom w:val="single" w:sz="4" w:space="0" w:color="auto"/>
            </w:tcBorders>
          </w:tcPr>
          <w:p w14:paraId="6802CC10" w14:textId="77777777" w:rsidR="00F3530F" w:rsidRPr="00383A89" w:rsidRDefault="00F3530F" w:rsidP="00BB6A57">
            <w:pPr>
              <w:rPr>
                <w:lang w:val="en-GB"/>
              </w:rPr>
            </w:pPr>
            <w:r w:rsidRPr="00383A89">
              <w:rPr>
                <w:lang w:val="en-GB"/>
              </w:rPr>
              <w:t>from small to large</w:t>
            </w:r>
          </w:p>
        </w:tc>
        <w:tc>
          <w:tcPr>
            <w:tcW w:w="1512" w:type="dxa"/>
            <w:tcBorders>
              <w:top w:val="single" w:sz="4" w:space="0" w:color="auto"/>
              <w:bottom w:val="single" w:sz="4" w:space="0" w:color="auto"/>
            </w:tcBorders>
          </w:tcPr>
          <w:p w14:paraId="4E5B73A1" w14:textId="7210F42C" w:rsidR="00F3530F" w:rsidRPr="00383A89" w:rsidRDefault="00F3530F" w:rsidP="00A34EF8">
            <w:pPr>
              <w:rPr>
                <w:lang w:val="en-GB"/>
              </w:rPr>
            </w:pPr>
            <w:r w:rsidRPr="00383A89">
              <w:rPr>
                <w:lang w:val="en-GB"/>
              </w:rPr>
              <w:t xml:space="preserve">3D liver tissue models </w:t>
            </w:r>
            <w:r w:rsidR="00B4415E" w:rsidRPr="00383A89">
              <w:rPr>
                <w:lang w:val="en-GB"/>
              </w:rPr>
              <w:fldChar w:fldCharType="begin" w:fldLock="1"/>
            </w:r>
            <w:r w:rsidR="001A5608">
              <w:rPr>
                <w:lang w:val="en-GB"/>
              </w:rPr>
              <w:instrText>ADDIN CSL_CITATION { "citationItems" : [ { "id" : "ITEM-1", "itemData" : { "DOI" : "10.1007/978-1-4939-6506-9_22", "ISSN" : "10643745", "abstract" : "\u00a9 Springer Science+Business Media New York 2017. In this chapter, we illustrate how three-dimensional liver tissue models can be created from experimental image modalities by utilizing a well-established processing chain of experiments, microscopic imaging, image processing, image analysis and model construction. We describe how key features of liver tissue architecture are quantified and translated into model parameterizations, and show how a systematic iteration of experiments and model simulations often leads to a better understanding of biological phenomena in systems biology and systems medicine.", "author" : [ { "dropping-particle" : "", "family" : "Hoehme", "given" : "Stefan", "non-dropping-particle" : "", "parse-names" : false, "suffix" : "" }, { "dropping-particle" : "", "family" : "Friebel", "given" : "Adrian", "non-dropping-particle" : "", "parse-names" : false, "suffix" : "" }, { "dropping-particle" : "", "family" : "Hammad", "given" : "Seddik", "non-dropping-particle" : "", "parse-names" : false, "suffix" : "" }, { "dropping-particle" : "", "family" : "Drasdo", "given" : "Dirk", "non-dropping-particle" : "", "parse-names" : false, "suffix" : "" }, { "dropping-particle" : "", "family" : "Hengstler", "given" : "Jan G.", "non-dropping-particle" : "", "parse-names" : false, "suffix" : "" } ], "container-title" : "Methods in Molecular Biology", "id" : "ITEM-1", "issued" : { "date-parts" : [ [ "2017" ] ] }, "page" : "319-362", "title" : "Creation of three-dimensional liver tissue models from experimental images for systems medicine", "type" : "article-journal", "volume" : "1506" }, "uris" : [ "http://www.mendeley.com/documents/?uuid=97905f11-563a-4fd2-b803-24880d573d37" ] } ], "mendeley" : { "formattedCitation" : "&lt;sup&gt;&lt;sup&gt;19&lt;/sup&gt;&lt;/sup&gt;", "plainTextFormattedCitation" : "19", "previouslyFormattedCitation" : "&lt;sup&gt;&lt;sup&gt;19&lt;/sup&gt;&lt;/sup&gt;" }, "properties" : { "noteIndex" : 0 }, "schema" : "https://github.com/citation-style-language/schema/raw/master/csl-citation.json" }</w:instrText>
            </w:r>
            <w:r w:rsidR="00B4415E" w:rsidRPr="00383A89">
              <w:rPr>
                <w:lang w:val="en-GB"/>
              </w:rPr>
              <w:fldChar w:fldCharType="separate"/>
            </w:r>
            <w:r w:rsidR="00A34EF8" w:rsidRPr="00A34EF8">
              <w:rPr>
                <w:noProof/>
                <w:vertAlign w:val="superscript"/>
                <w:lang w:val="en-GB"/>
              </w:rPr>
              <w:t>19</w:t>
            </w:r>
            <w:r w:rsidR="00B4415E" w:rsidRPr="00383A89">
              <w:rPr>
                <w:lang w:val="en-GB"/>
              </w:rPr>
              <w:fldChar w:fldCharType="end"/>
            </w:r>
          </w:p>
        </w:tc>
        <w:tc>
          <w:tcPr>
            <w:tcW w:w="1511" w:type="dxa"/>
            <w:tcBorders>
              <w:top w:val="single" w:sz="4" w:space="0" w:color="auto"/>
              <w:bottom w:val="single" w:sz="4" w:space="0" w:color="auto"/>
            </w:tcBorders>
          </w:tcPr>
          <w:p w14:paraId="256FBDF5" w14:textId="77777777" w:rsidR="00F3530F" w:rsidRPr="00383A89" w:rsidRDefault="00F3530F" w:rsidP="00BB6A57">
            <w:pPr>
              <w:rPr>
                <w:lang w:val="en-GB"/>
              </w:rPr>
            </w:pPr>
            <w:r w:rsidRPr="00383A89">
              <w:rPr>
                <w:lang w:val="en-GB"/>
              </w:rPr>
              <w:t>ABM, coupled ODEs and/or PDEs</w:t>
            </w:r>
          </w:p>
        </w:tc>
      </w:tr>
      <w:tr w:rsidR="00F3530F" w:rsidRPr="00383A89" w14:paraId="5E51D559" w14:textId="77777777" w:rsidTr="00BB6A57">
        <w:tc>
          <w:tcPr>
            <w:tcW w:w="1510" w:type="dxa"/>
            <w:tcBorders>
              <w:top w:val="single" w:sz="4" w:space="0" w:color="auto"/>
              <w:right w:val="single" w:sz="4" w:space="0" w:color="auto"/>
            </w:tcBorders>
          </w:tcPr>
          <w:p w14:paraId="3B99BEBF" w14:textId="77777777" w:rsidR="00F3530F" w:rsidRPr="00383A89" w:rsidRDefault="00F3530F" w:rsidP="00BB6A57">
            <w:pPr>
              <w:rPr>
                <w:b/>
                <w:lang w:val="en-GB"/>
              </w:rPr>
            </w:pPr>
            <w:r w:rsidRPr="00383A89">
              <w:rPr>
                <w:b/>
                <w:lang w:val="en-GB"/>
              </w:rPr>
              <w:t>all of the above</w:t>
            </w:r>
          </w:p>
        </w:tc>
        <w:tc>
          <w:tcPr>
            <w:tcW w:w="1304" w:type="dxa"/>
            <w:tcBorders>
              <w:top w:val="single" w:sz="4" w:space="0" w:color="auto"/>
              <w:left w:val="single" w:sz="4" w:space="0" w:color="auto"/>
            </w:tcBorders>
          </w:tcPr>
          <w:p w14:paraId="1437891F" w14:textId="77777777" w:rsidR="00F3530F" w:rsidRPr="00383A89" w:rsidRDefault="00F3530F" w:rsidP="00BB6A57">
            <w:pPr>
              <w:rPr>
                <w:lang w:val="en-GB"/>
              </w:rPr>
            </w:pPr>
            <w:r w:rsidRPr="00383A89">
              <w:rPr>
                <w:lang w:val="en-GB"/>
              </w:rPr>
              <w:t>partially needed</w:t>
            </w:r>
          </w:p>
        </w:tc>
        <w:tc>
          <w:tcPr>
            <w:tcW w:w="1510" w:type="dxa"/>
            <w:tcBorders>
              <w:top w:val="single" w:sz="4" w:space="0" w:color="auto"/>
            </w:tcBorders>
          </w:tcPr>
          <w:p w14:paraId="319414AC" w14:textId="77777777" w:rsidR="00F3530F" w:rsidRPr="00383A89" w:rsidRDefault="00F3530F" w:rsidP="00BB6A57">
            <w:pPr>
              <w:rPr>
                <w:lang w:val="en-GB"/>
              </w:rPr>
            </w:pPr>
            <w:r w:rsidRPr="00383A89">
              <w:rPr>
                <w:lang w:val="en-GB"/>
              </w:rPr>
              <w:t>yes</w:t>
            </w:r>
          </w:p>
        </w:tc>
        <w:tc>
          <w:tcPr>
            <w:tcW w:w="1510" w:type="dxa"/>
            <w:tcBorders>
              <w:top w:val="single" w:sz="4" w:space="0" w:color="auto"/>
            </w:tcBorders>
          </w:tcPr>
          <w:p w14:paraId="18E9DCFC" w14:textId="77777777" w:rsidR="00F3530F" w:rsidRPr="00383A89" w:rsidRDefault="00F3530F" w:rsidP="00BB6A57">
            <w:pPr>
              <w:rPr>
                <w:lang w:val="en-GB"/>
              </w:rPr>
            </w:pPr>
            <w:r w:rsidRPr="00383A89">
              <w:rPr>
                <w:lang w:val="en-GB"/>
              </w:rPr>
              <w:t>large</w:t>
            </w:r>
          </w:p>
        </w:tc>
        <w:tc>
          <w:tcPr>
            <w:tcW w:w="1512" w:type="dxa"/>
            <w:tcBorders>
              <w:top w:val="single" w:sz="4" w:space="0" w:color="auto"/>
            </w:tcBorders>
          </w:tcPr>
          <w:p w14:paraId="5ECF627F" w14:textId="326E6F6E" w:rsidR="00F3530F" w:rsidRPr="00383A89" w:rsidRDefault="00F3530F" w:rsidP="00A34EF8">
            <w:pPr>
              <w:rPr>
                <w:lang w:val="en-GB"/>
              </w:rPr>
            </w:pPr>
            <w:r w:rsidRPr="00331376">
              <w:rPr>
                <w:i/>
                <w:lang w:val="en-GB"/>
              </w:rPr>
              <w:t>LiverSex</w:t>
            </w:r>
            <w:r w:rsidRPr="00383A89">
              <w:rPr>
                <w:lang w:val="en-GB"/>
              </w:rPr>
              <w:t xml:space="preserve"> model </w:t>
            </w:r>
            <w:r w:rsidR="00B4415E" w:rsidRPr="00383A89">
              <w:rPr>
                <w:lang w:val="en-GB"/>
              </w:rPr>
              <w:fldChar w:fldCharType="begin" w:fldLock="1"/>
            </w:r>
            <w:r w:rsidR="001C27E1">
              <w:rPr>
                <w:lang w:val="en-GB"/>
              </w:rPr>
              <w:instrText>ADDIN CSL_CITATION { "citationItems" : [ { "id" : "ITEM-1", "itemData" : { "DOI" : "10.3389/fphys.2018.00360", "author" : [ { "dropping-particle" : "", "family" : "Cvitanovi\u0107 Toma\u0161", "given" : "Tanja", "non-dropping-particle" : "", "parse-names" : false, "suffix" : "" }, { "dropping-particle" : "", "family" : "Urlep", "given" : "\u017diga", "non-dropping-particle" : "", "parse-names" : false, "suffix" : "" }, { "dropping-particle" : "", "family" : "Mo\u0161kon", "given" : "Miha", "non-dropping-particle" : "", "parse-names" : false, "suffix" : "" }, { "dropping-particle" : "", "family" : "Mraz", "given" : "Miha", "non-dropping-particle" : "", "parse-names" : false, "suffix" : "" }, { "dropping-particle" : "", "family" : "Rozman", "given" : "Damjana", "non-dropping-particle" : "", "parse-names" : false, "suffix" : "" } ], "container-title" : "Frontiers in Physiology", "id" : "ITEM-1", "issued" : { "date-parts" : [ [ "2018" ] ] }, "page" : "360", "title" : "LiverSex Computational Model: Sexual Aspects in Hepatic Metabolism and Abnormalities", "type" : "article-journal", "volume" : "9" }, "uris" : [ "http://www.mendeley.com/documents/?uuid=41f34267-9a78-4e01-8a45-47913b721216" ] } ], "mendeley" : { "formattedCitation" : "&lt;sup&gt;&lt;sup&gt;20&lt;/sup&gt;&lt;/sup&gt;", "plainTextFormattedCitation" : "20", "previouslyFormattedCitation" : "&lt;sup&gt;&lt;sup&gt;20&lt;/sup&gt;&lt;/sup&gt;" }, "properties" : { "noteIndex" : 0 }, "schema" : "https://github.com/citation-style-language/schema/raw/master/csl-citation.json" }</w:instrText>
            </w:r>
            <w:r w:rsidR="00B4415E" w:rsidRPr="00383A89">
              <w:rPr>
                <w:lang w:val="en-GB"/>
              </w:rPr>
              <w:fldChar w:fldCharType="separate"/>
            </w:r>
            <w:r w:rsidR="00A34EF8" w:rsidRPr="00A34EF8">
              <w:rPr>
                <w:noProof/>
                <w:vertAlign w:val="superscript"/>
                <w:lang w:val="en-GB"/>
              </w:rPr>
              <w:t>20</w:t>
            </w:r>
            <w:r w:rsidR="00B4415E" w:rsidRPr="00383A89">
              <w:rPr>
                <w:lang w:val="en-GB"/>
              </w:rPr>
              <w:fldChar w:fldCharType="end"/>
            </w:r>
          </w:p>
        </w:tc>
        <w:tc>
          <w:tcPr>
            <w:tcW w:w="1511" w:type="dxa"/>
            <w:tcBorders>
              <w:top w:val="single" w:sz="4" w:space="0" w:color="auto"/>
            </w:tcBorders>
          </w:tcPr>
          <w:p w14:paraId="55028FC1" w14:textId="77777777" w:rsidR="00F3530F" w:rsidRPr="00383A89" w:rsidRDefault="00F3530F" w:rsidP="00BB6A57">
            <w:pPr>
              <w:rPr>
                <w:lang w:val="en-GB"/>
              </w:rPr>
            </w:pPr>
            <w:r w:rsidRPr="00383A89">
              <w:rPr>
                <w:lang w:val="en-GB"/>
              </w:rPr>
              <w:t>OOM</w:t>
            </w:r>
          </w:p>
        </w:tc>
      </w:tr>
    </w:tbl>
    <w:p w14:paraId="0472A94D" w14:textId="77777777" w:rsidR="00F3530F" w:rsidRPr="00383A89" w:rsidRDefault="00F3530F" w:rsidP="00F3530F">
      <w:pPr>
        <w:pStyle w:val="Napis"/>
        <w:rPr>
          <w:i w:val="0"/>
          <w:color w:val="auto"/>
          <w:lang w:val="en-GB"/>
        </w:rPr>
      </w:pPr>
    </w:p>
    <w:p w14:paraId="3DD5AD04" w14:textId="553C131F" w:rsidR="00F3530F" w:rsidRPr="00383A89" w:rsidRDefault="00F3530F" w:rsidP="00F3530F">
      <w:pPr>
        <w:pStyle w:val="Napis"/>
        <w:rPr>
          <w:i w:val="0"/>
          <w:color w:val="auto"/>
          <w:sz w:val="22"/>
          <w:szCs w:val="22"/>
          <w:lang w:val="en-GB"/>
        </w:rPr>
      </w:pPr>
      <w:bookmarkStart w:id="1" w:name="_Ref510192144"/>
      <w:r w:rsidRPr="00383A89">
        <w:rPr>
          <w:i w:val="0"/>
          <w:color w:val="auto"/>
          <w:sz w:val="22"/>
          <w:szCs w:val="22"/>
          <w:lang w:val="en-GB"/>
        </w:rPr>
        <w:t xml:space="preserve">Table </w:t>
      </w:r>
      <w:r w:rsidRPr="00383A89">
        <w:rPr>
          <w:i w:val="0"/>
          <w:color w:val="auto"/>
          <w:sz w:val="22"/>
          <w:szCs w:val="22"/>
          <w:lang w:val="en-GB"/>
        </w:rPr>
        <w:fldChar w:fldCharType="begin"/>
      </w:r>
      <w:r w:rsidRPr="00383A89">
        <w:rPr>
          <w:i w:val="0"/>
          <w:color w:val="auto"/>
          <w:sz w:val="22"/>
          <w:szCs w:val="22"/>
          <w:lang w:val="en-GB"/>
        </w:rPr>
        <w:instrText xml:space="preserve"> SEQ Table \* ARABIC </w:instrText>
      </w:r>
      <w:r w:rsidRPr="00383A89">
        <w:rPr>
          <w:i w:val="0"/>
          <w:color w:val="auto"/>
          <w:sz w:val="22"/>
          <w:szCs w:val="22"/>
          <w:lang w:val="en-GB"/>
        </w:rPr>
        <w:fldChar w:fldCharType="separate"/>
      </w:r>
      <w:r w:rsidR="006869C6">
        <w:rPr>
          <w:i w:val="0"/>
          <w:noProof/>
          <w:color w:val="auto"/>
          <w:sz w:val="22"/>
          <w:szCs w:val="22"/>
          <w:lang w:val="en-GB"/>
        </w:rPr>
        <w:t>1</w:t>
      </w:r>
      <w:r w:rsidRPr="00383A89">
        <w:rPr>
          <w:i w:val="0"/>
          <w:color w:val="auto"/>
          <w:sz w:val="22"/>
          <w:szCs w:val="22"/>
          <w:lang w:val="en-GB"/>
        </w:rPr>
        <w:fldChar w:fldCharType="end"/>
      </w:r>
      <w:bookmarkEnd w:id="1"/>
      <w:r w:rsidRPr="00383A89">
        <w:rPr>
          <w:i w:val="0"/>
          <w:color w:val="auto"/>
          <w:sz w:val="22"/>
          <w:szCs w:val="22"/>
          <w:lang w:val="en-GB"/>
        </w:rPr>
        <w:t xml:space="preserve">: Dynamical modelling approaches depend on the focus, </w:t>
      </w:r>
      <w:r w:rsidR="009E66E3" w:rsidRPr="00383A89">
        <w:rPr>
          <w:i w:val="0"/>
          <w:color w:val="auto"/>
          <w:sz w:val="22"/>
          <w:szCs w:val="22"/>
          <w:lang w:val="en-GB"/>
        </w:rPr>
        <w:t xml:space="preserve">the </w:t>
      </w:r>
      <w:r w:rsidRPr="00383A89">
        <w:rPr>
          <w:i w:val="0"/>
          <w:color w:val="auto"/>
          <w:sz w:val="22"/>
          <w:szCs w:val="22"/>
          <w:lang w:val="en-GB"/>
        </w:rPr>
        <w:t xml:space="preserve">data and </w:t>
      </w:r>
      <w:r w:rsidR="009E66E3" w:rsidRPr="00383A89">
        <w:rPr>
          <w:i w:val="0"/>
          <w:color w:val="auto"/>
          <w:sz w:val="22"/>
          <w:szCs w:val="22"/>
          <w:lang w:val="en-GB"/>
        </w:rPr>
        <w:t xml:space="preserve">the </w:t>
      </w:r>
      <w:r w:rsidRPr="00383A89">
        <w:rPr>
          <w:i w:val="0"/>
          <w:color w:val="auto"/>
          <w:sz w:val="22"/>
          <w:szCs w:val="22"/>
          <w:lang w:val="en-GB"/>
        </w:rPr>
        <w:t xml:space="preserve">size of the observed (sub)system. Abbreviations: NF-kB – nuclear factor kappa beta, ODEs – ordinary differential equations, PDEs – partial differential equations, SSA – stochastic simulation algorithm, GEMs – genome scale metabolic models, WCM – whole-cell model, </w:t>
      </w:r>
      <w:r w:rsidRPr="00383A89">
        <w:rPr>
          <w:color w:val="auto"/>
          <w:sz w:val="22"/>
          <w:szCs w:val="22"/>
          <w:lang w:val="en-GB"/>
        </w:rPr>
        <w:t>M. genitalium</w:t>
      </w:r>
      <w:r w:rsidRPr="00383A89">
        <w:rPr>
          <w:i w:val="0"/>
          <w:color w:val="auto"/>
          <w:sz w:val="22"/>
          <w:szCs w:val="22"/>
          <w:lang w:val="en-GB"/>
        </w:rPr>
        <w:t xml:space="preserve"> – </w:t>
      </w:r>
      <w:r w:rsidRPr="00383A89">
        <w:rPr>
          <w:color w:val="auto"/>
          <w:sz w:val="22"/>
          <w:szCs w:val="22"/>
          <w:lang w:val="en-GB"/>
        </w:rPr>
        <w:t>Mycoplasma genitalium</w:t>
      </w:r>
      <w:r w:rsidRPr="00383A89">
        <w:rPr>
          <w:i w:val="0"/>
          <w:color w:val="auto"/>
          <w:sz w:val="22"/>
          <w:szCs w:val="22"/>
          <w:lang w:val="en-GB"/>
        </w:rPr>
        <w:t xml:space="preserve">,  3D – three dimensional, ABM – </w:t>
      </w:r>
      <w:r w:rsidR="00FB2CD5">
        <w:rPr>
          <w:i w:val="0"/>
          <w:color w:val="auto"/>
          <w:sz w:val="22"/>
          <w:szCs w:val="22"/>
          <w:lang w:val="en-GB"/>
        </w:rPr>
        <w:t>agent-based model, OOM – object-</w:t>
      </w:r>
      <w:r w:rsidRPr="00383A89">
        <w:rPr>
          <w:i w:val="0"/>
          <w:color w:val="auto"/>
          <w:sz w:val="22"/>
          <w:szCs w:val="22"/>
          <w:lang w:val="en-GB"/>
        </w:rPr>
        <w:t>oriented modelling.</w:t>
      </w:r>
    </w:p>
    <w:p w14:paraId="19B80758" w14:textId="4487FB4D" w:rsidR="006D3A11" w:rsidRPr="00383A89" w:rsidRDefault="00011A07" w:rsidP="006D3A11">
      <w:pPr>
        <w:pStyle w:val="Napis"/>
        <w:jc w:val="center"/>
        <w:rPr>
          <w:i w:val="0"/>
          <w:color w:val="auto"/>
          <w:lang w:val="en-GB"/>
        </w:rPr>
      </w:pPr>
      <w:r w:rsidRPr="00383A89">
        <w:rPr>
          <w:i w:val="0"/>
          <w:noProof/>
          <w:color w:val="auto"/>
          <w:lang w:val="en-GB" w:eastAsia="en-GB"/>
        </w:rPr>
        <w:lastRenderedPageBreak/>
        <w:drawing>
          <wp:inline distT="0" distB="0" distL="0" distR="0" wp14:anchorId="2FC0930A" wp14:editId="42A960B7">
            <wp:extent cx="4338637" cy="36872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ng"/>
                    <pic:cNvPicPr/>
                  </pic:nvPicPr>
                  <pic:blipFill>
                    <a:blip r:embed="rId9">
                      <a:extLst>
                        <a:ext uri="{28A0092B-C50C-407E-A947-70E740481C1C}">
                          <a14:useLocalDpi xmlns:a14="http://schemas.microsoft.com/office/drawing/2010/main" val="0"/>
                        </a:ext>
                      </a:extLst>
                    </a:blip>
                    <a:stretch>
                      <a:fillRect/>
                    </a:stretch>
                  </pic:blipFill>
                  <pic:spPr>
                    <a:xfrm>
                      <a:off x="0" y="0"/>
                      <a:ext cx="4353105" cy="3699564"/>
                    </a:xfrm>
                    <a:prstGeom prst="rect">
                      <a:avLst/>
                    </a:prstGeom>
                  </pic:spPr>
                </pic:pic>
              </a:graphicData>
            </a:graphic>
          </wp:inline>
        </w:drawing>
      </w:r>
    </w:p>
    <w:p w14:paraId="73250871" w14:textId="634DC2FD" w:rsidR="00E03882" w:rsidRPr="00383A89" w:rsidRDefault="00507DE5" w:rsidP="00E03882">
      <w:pPr>
        <w:pStyle w:val="Napis"/>
        <w:rPr>
          <w:i w:val="0"/>
          <w:color w:val="auto"/>
          <w:lang w:val="en-GB"/>
        </w:rPr>
      </w:pPr>
      <w:bookmarkStart w:id="2" w:name="_Ref511723919"/>
      <w:r w:rsidRPr="00383A89">
        <w:rPr>
          <w:i w:val="0"/>
          <w:color w:val="auto"/>
          <w:sz w:val="22"/>
          <w:szCs w:val="22"/>
          <w:lang w:val="en-GB"/>
        </w:rPr>
        <w:t xml:space="preserve">Figure </w:t>
      </w:r>
      <w:r w:rsidRPr="00383A89">
        <w:rPr>
          <w:i w:val="0"/>
          <w:color w:val="auto"/>
          <w:sz w:val="22"/>
          <w:szCs w:val="22"/>
          <w:lang w:val="en-GB"/>
        </w:rPr>
        <w:fldChar w:fldCharType="begin"/>
      </w:r>
      <w:r w:rsidRPr="00383A89">
        <w:rPr>
          <w:i w:val="0"/>
          <w:color w:val="auto"/>
          <w:sz w:val="22"/>
          <w:szCs w:val="22"/>
          <w:lang w:val="en-GB"/>
        </w:rPr>
        <w:instrText xml:space="preserve"> SEQ Figure \* ARABIC </w:instrText>
      </w:r>
      <w:r w:rsidRPr="00383A89">
        <w:rPr>
          <w:i w:val="0"/>
          <w:color w:val="auto"/>
          <w:sz w:val="22"/>
          <w:szCs w:val="22"/>
          <w:lang w:val="en-GB"/>
        </w:rPr>
        <w:fldChar w:fldCharType="separate"/>
      </w:r>
      <w:r w:rsidR="006869C6">
        <w:rPr>
          <w:i w:val="0"/>
          <w:noProof/>
          <w:color w:val="auto"/>
          <w:sz w:val="22"/>
          <w:szCs w:val="22"/>
          <w:lang w:val="en-GB"/>
        </w:rPr>
        <w:t>1</w:t>
      </w:r>
      <w:r w:rsidRPr="00383A89">
        <w:rPr>
          <w:i w:val="0"/>
          <w:color w:val="auto"/>
          <w:sz w:val="22"/>
          <w:szCs w:val="22"/>
          <w:lang w:val="en-GB"/>
        </w:rPr>
        <w:fldChar w:fldCharType="end"/>
      </w:r>
      <w:bookmarkEnd w:id="2"/>
      <w:r w:rsidRPr="00383A89">
        <w:rPr>
          <w:i w:val="0"/>
          <w:color w:val="auto"/>
          <w:sz w:val="22"/>
          <w:szCs w:val="22"/>
          <w:lang w:val="en-GB"/>
        </w:rPr>
        <w:t xml:space="preserve">: The focus of computational models scales from simple models describing </w:t>
      </w:r>
      <w:r w:rsidR="006D3A11" w:rsidRPr="00383A89">
        <w:rPr>
          <w:i w:val="0"/>
          <w:color w:val="auto"/>
          <w:sz w:val="22"/>
          <w:szCs w:val="22"/>
          <w:lang w:val="en-GB"/>
        </w:rPr>
        <w:t>selected</w:t>
      </w:r>
      <w:r w:rsidRPr="00383A89">
        <w:rPr>
          <w:i w:val="0"/>
          <w:color w:val="auto"/>
          <w:sz w:val="22"/>
          <w:szCs w:val="22"/>
          <w:lang w:val="en-GB"/>
        </w:rPr>
        <w:t xml:space="preserve"> chemical reactions to complex models describing reaction networks </w:t>
      </w:r>
      <w:r w:rsidR="006D3A11" w:rsidRPr="00383A89">
        <w:rPr>
          <w:i w:val="0"/>
          <w:color w:val="auto"/>
          <w:sz w:val="22"/>
          <w:szCs w:val="22"/>
          <w:lang w:val="en-GB"/>
        </w:rPr>
        <w:t>and finally organs and tissues.</w:t>
      </w:r>
      <w:r w:rsidRPr="00383A89">
        <w:rPr>
          <w:i w:val="0"/>
          <w:color w:val="auto"/>
          <w:sz w:val="22"/>
          <w:szCs w:val="22"/>
          <w:lang w:val="en-GB"/>
        </w:rPr>
        <w:t xml:space="preserve"> </w:t>
      </w:r>
      <w:r w:rsidR="00E03882" w:rsidRPr="00383A89">
        <w:rPr>
          <w:i w:val="0"/>
          <w:color w:val="auto"/>
          <w:sz w:val="22"/>
          <w:szCs w:val="22"/>
          <w:lang w:val="en-GB"/>
        </w:rPr>
        <w:t>Abbreviations: ODEs – ordinary differential equations, PDEs – partial differential equations, SSA – stochastic simulation algorithm, GEMs – genome scale metabolic models, WCMs – whole-cell models, ABM</w:t>
      </w:r>
      <w:r w:rsidR="00E32826" w:rsidRPr="00383A89">
        <w:rPr>
          <w:i w:val="0"/>
          <w:color w:val="auto"/>
          <w:sz w:val="22"/>
          <w:szCs w:val="22"/>
          <w:lang w:val="en-GB"/>
        </w:rPr>
        <w:t>s</w:t>
      </w:r>
      <w:r w:rsidR="00E03882" w:rsidRPr="00383A89">
        <w:rPr>
          <w:i w:val="0"/>
          <w:color w:val="auto"/>
          <w:sz w:val="22"/>
          <w:szCs w:val="22"/>
          <w:lang w:val="en-GB"/>
        </w:rPr>
        <w:t xml:space="preserve"> – agent-based model</w:t>
      </w:r>
      <w:r w:rsidR="00E32826" w:rsidRPr="00383A89">
        <w:rPr>
          <w:i w:val="0"/>
          <w:color w:val="auto"/>
          <w:sz w:val="22"/>
          <w:szCs w:val="22"/>
          <w:lang w:val="en-GB"/>
        </w:rPr>
        <w:t>s</w:t>
      </w:r>
      <w:r w:rsidR="00E03882" w:rsidRPr="00383A89">
        <w:rPr>
          <w:i w:val="0"/>
          <w:color w:val="auto"/>
          <w:sz w:val="22"/>
          <w:szCs w:val="22"/>
          <w:lang w:val="en-GB"/>
        </w:rPr>
        <w:t>, OOM – object</w:t>
      </w:r>
      <w:r w:rsidR="00FB2CD5">
        <w:rPr>
          <w:i w:val="0"/>
          <w:color w:val="auto"/>
          <w:sz w:val="22"/>
          <w:szCs w:val="22"/>
          <w:lang w:val="en-GB"/>
        </w:rPr>
        <w:t>-</w:t>
      </w:r>
      <w:r w:rsidR="00E03882" w:rsidRPr="00383A89">
        <w:rPr>
          <w:i w:val="0"/>
          <w:color w:val="auto"/>
          <w:sz w:val="22"/>
          <w:szCs w:val="22"/>
          <w:lang w:val="en-GB"/>
        </w:rPr>
        <w:t>oriented modelling</w:t>
      </w:r>
      <w:r w:rsidR="00E03882" w:rsidRPr="00383A89">
        <w:rPr>
          <w:i w:val="0"/>
          <w:color w:val="auto"/>
          <w:lang w:val="en-GB"/>
        </w:rPr>
        <w:t>.</w:t>
      </w:r>
    </w:p>
    <w:p w14:paraId="53B1BD4E" w14:textId="147702CB" w:rsidR="00507DE5" w:rsidRPr="00383A89" w:rsidRDefault="00507DE5" w:rsidP="00507DE5">
      <w:pPr>
        <w:pStyle w:val="Napis"/>
        <w:rPr>
          <w:i w:val="0"/>
          <w:color w:val="auto"/>
          <w:lang w:val="en-GB"/>
        </w:rPr>
      </w:pPr>
    </w:p>
    <w:p w14:paraId="571C1750" w14:textId="3623E800" w:rsidR="00EB02C0" w:rsidRDefault="00F3530F" w:rsidP="00EB02C0">
      <w:pPr>
        <w:rPr>
          <w:lang w:val="en-GB"/>
        </w:rPr>
      </w:pPr>
      <w:r w:rsidRPr="00383A89">
        <w:rPr>
          <w:lang w:val="en-GB"/>
        </w:rPr>
        <w:t xml:space="preserve">Isolated segments of gene regulatory, signalling or metabolic networks are usually described with </w:t>
      </w:r>
      <w:r w:rsidRPr="00383A89">
        <w:rPr>
          <w:i/>
          <w:lang w:val="en-GB"/>
        </w:rPr>
        <w:t>ordinary differential equations</w:t>
      </w:r>
      <w:r w:rsidR="00964B0E" w:rsidRPr="00383A89">
        <w:rPr>
          <w:lang w:val="en-GB"/>
        </w:rPr>
        <w:t xml:space="preserve"> (ODEs). ODEs </w:t>
      </w:r>
      <w:r w:rsidRPr="00383A89">
        <w:rPr>
          <w:lang w:val="en-GB"/>
        </w:rPr>
        <w:t xml:space="preserve">are composed of </w:t>
      </w:r>
      <w:r w:rsidR="00964B0E" w:rsidRPr="00383A89">
        <w:rPr>
          <w:lang w:val="en-GB"/>
        </w:rPr>
        <w:t xml:space="preserve">the classical </w:t>
      </w:r>
      <w:r w:rsidRPr="00383A89">
        <w:rPr>
          <w:lang w:val="en-GB"/>
        </w:rPr>
        <w:t>Michaelis-Menten equations for modelling</w:t>
      </w:r>
      <w:r w:rsidR="00964B0E" w:rsidRPr="00383A89">
        <w:rPr>
          <w:lang w:val="en-GB"/>
        </w:rPr>
        <w:t xml:space="preserve"> </w:t>
      </w:r>
      <w:r w:rsidR="004971E1" w:rsidRPr="00383A89">
        <w:rPr>
          <w:lang w:val="en-GB"/>
        </w:rPr>
        <w:t>the enzymatic</w:t>
      </w:r>
      <w:r w:rsidR="00964B0E" w:rsidRPr="00383A89">
        <w:rPr>
          <w:lang w:val="en-GB"/>
        </w:rPr>
        <w:t xml:space="preserve"> reactions. They contain as well</w:t>
      </w:r>
      <w:r w:rsidRPr="00383A89">
        <w:rPr>
          <w:lang w:val="en-GB"/>
        </w:rPr>
        <w:t xml:space="preserve"> Hill equations for modelling </w:t>
      </w:r>
      <w:r w:rsidR="00964B0E" w:rsidRPr="00383A89">
        <w:rPr>
          <w:lang w:val="en-GB"/>
        </w:rPr>
        <w:t xml:space="preserve">the gene regulation and expression,  and also </w:t>
      </w:r>
      <w:r w:rsidRPr="00383A89">
        <w:rPr>
          <w:lang w:val="en-GB"/>
        </w:rPr>
        <w:t xml:space="preserve"> first order differential equations for modelling </w:t>
      </w:r>
      <w:r w:rsidR="00964B0E" w:rsidRPr="00383A89">
        <w:rPr>
          <w:lang w:val="en-GB"/>
        </w:rPr>
        <w:t>the protein degradation and similar processes</w:t>
      </w:r>
      <w:r w:rsidR="00A34EF8">
        <w:rPr>
          <w:lang w:val="en-GB"/>
        </w:rPr>
        <w:t>.</w:t>
      </w:r>
      <w:r w:rsidR="00E8653E">
        <w:rPr>
          <w:lang w:val="en-GB"/>
        </w:rPr>
        <w:fldChar w:fldCharType="begin" w:fldLock="1"/>
      </w:r>
      <w:r w:rsidR="00E8653E">
        <w:rPr>
          <w:lang w:val="en-GB"/>
        </w:rPr>
        <w:instrText>ADDIN CSL_CITATION { "citationItems" : [ { "id" : "ITEM-1", "itemData" : { "author" : [ { "dropping-particle" : "", "family" : "Ingalls", "given" : "Brian P.", "non-dropping-particle" : "", "parse-names" : false, "suffix" : "" } ], "id" : "ITEM-1", "issued" : { "date-parts" : [ [ "2014" ] ] }, "publisher" : "MIT Press", "title" : "Mathematical Modelling in Systems Biology: An Introduction", "type" : "book" }, "uris" : [ "http://www.mendeley.com/documents/?uuid=65e54e7e-f13e-4d71-8c32-07b20c3a9f59" ] } ], "mendeley" : { "formattedCitation" : "&lt;sup&gt;&lt;sup&gt;21&lt;/sup&gt;&lt;/sup&gt;", "plainTextFormattedCitation" : "21", "previouslyFormattedCitation" : "&lt;sup&gt;&lt;sup&gt;21&lt;/sup&gt;&lt;/sup&gt;" }, "properties" : { "noteIndex" : 0 }, "schema" : "https://github.com/citation-style-language/schema/raw/master/csl-citation.json" }</w:instrText>
      </w:r>
      <w:r w:rsidR="00E8653E">
        <w:rPr>
          <w:lang w:val="en-GB"/>
        </w:rPr>
        <w:fldChar w:fldCharType="separate"/>
      </w:r>
      <w:r w:rsidR="00E8653E" w:rsidRPr="00E8653E">
        <w:rPr>
          <w:noProof/>
          <w:vertAlign w:val="superscript"/>
          <w:lang w:val="en-GB"/>
        </w:rPr>
        <w:t>21</w:t>
      </w:r>
      <w:r w:rsidR="00E8653E">
        <w:rPr>
          <w:lang w:val="en-GB"/>
        </w:rPr>
        <w:fldChar w:fldCharType="end"/>
      </w:r>
      <w:r w:rsidR="00E8653E">
        <w:rPr>
          <w:lang w:val="en-GB"/>
        </w:rPr>
        <w:t xml:space="preserve"> </w:t>
      </w:r>
      <w:r w:rsidRPr="00383A89">
        <w:rPr>
          <w:lang w:val="en-GB"/>
        </w:rPr>
        <w:t xml:space="preserve">Models based on ODEs usually present the basis for the so called </w:t>
      </w:r>
      <w:r w:rsidRPr="00383A89">
        <w:rPr>
          <w:i/>
          <w:lang w:val="en-GB"/>
        </w:rPr>
        <w:t>deterministic modelling</w:t>
      </w:r>
      <w:r w:rsidRPr="00383A89">
        <w:rPr>
          <w:lang w:val="en-GB"/>
        </w:rPr>
        <w:t xml:space="preserve">, which describes the average </w:t>
      </w:r>
      <w:r w:rsidR="00964B0E" w:rsidRPr="00383A89">
        <w:rPr>
          <w:lang w:val="en-GB"/>
        </w:rPr>
        <w:t xml:space="preserve">of the </w:t>
      </w:r>
      <w:r w:rsidRPr="00383A89">
        <w:rPr>
          <w:lang w:val="en-GB"/>
        </w:rPr>
        <w:t>system’s response</w:t>
      </w:r>
      <w:r w:rsidR="00964B0E" w:rsidRPr="00383A89">
        <w:rPr>
          <w:lang w:val="en-GB"/>
        </w:rPr>
        <w:t xml:space="preserve">. Deterministic modelling also presumes a </w:t>
      </w:r>
      <w:r w:rsidRPr="00383A89">
        <w:rPr>
          <w:lang w:val="en-GB"/>
        </w:rPr>
        <w:t xml:space="preserve">homogeneous distribution of </w:t>
      </w:r>
      <w:r w:rsidR="00964B0E" w:rsidRPr="00383A89">
        <w:rPr>
          <w:lang w:val="en-GB"/>
        </w:rPr>
        <w:t xml:space="preserve">the </w:t>
      </w:r>
      <w:r w:rsidRPr="00383A89">
        <w:rPr>
          <w:lang w:val="en-GB"/>
        </w:rPr>
        <w:t xml:space="preserve">observed entities through the constant volume of </w:t>
      </w:r>
      <w:r w:rsidR="00964B0E" w:rsidRPr="00383A89">
        <w:rPr>
          <w:lang w:val="en-GB"/>
        </w:rPr>
        <w:t xml:space="preserve">the </w:t>
      </w:r>
      <w:r w:rsidRPr="00383A89">
        <w:rPr>
          <w:lang w:val="en-GB"/>
        </w:rPr>
        <w:t>observed molecular space</w:t>
      </w:r>
      <w:r w:rsidR="00A34EF8">
        <w:rPr>
          <w:lang w:val="en-GB"/>
        </w:rPr>
        <w:t>.</w:t>
      </w:r>
      <w:r w:rsidR="00B4415E" w:rsidRPr="00383A89">
        <w:rPr>
          <w:lang w:val="en-GB"/>
        </w:rPr>
        <w:fldChar w:fldCharType="begin" w:fldLock="1"/>
      </w:r>
      <w:r w:rsidR="00E8653E">
        <w:rPr>
          <w:lang w:val="en-GB"/>
        </w:rPr>
        <w:instrText>ADDIN CSL_CITATION { "citationItems" : [ { "id" : "ITEM-1", "itemData" : { "DOI" : "10.1146/annurev.bioeng.5.040202.121553", "ISBN" : "1523-9829", "ISSN" : "1523-9829", "PMID" : "14527313", "abstract" : "\u25aa Abstract\u2002 The rapid accumulation of genetic information and advancement of experimental techniques have opened a new frontier in biomedical engineering. With the availability of well-characterized components from natural gene networks, the stage has been set for the engineering of artificial gene regulatory networks with sophisticated computational and functional capabilities. In these efforts, the ability to construct, analyze, and interpret qualitative and quantitative models is becoming increasingly important. In this review, we consider the current state of gene network engineering from a combined experimental and modeling perspective. We discuss how networks with increased complexity are being constructed from simple modular components and how quantitative deterministic and stochastic modeling of these modules may provide the foundation for accurate in silico representations of gene regulatory network function in vivo.", "author" : [ { "dropping-particle" : "", "family" : "K\u00e6rn", "given" : "Mads", "non-dropping-particle" : "", "parse-names" : false, "suffix" : "" }, { "dropping-particle" : "", "family" : "Blake", "given" : "William J.", "non-dropping-particle" : "", "parse-names" : false, "suffix" : "" }, { "dropping-particle" : "", "family" : "Collins", "given" : "J.J.", "non-dropping-particle" : "", "parse-names" : false, "suffix" : "" } ], "container-title" : "Annual Review of Biomedical Engineering", "id" : "ITEM-1", "issue" : "1", "issued" : { "date-parts" : [ [ "2003" ] ] }, "page" : "179-206", "title" : "The Engineering of Gene Regulatory Networks", "type" : "article-journal", "volume" : "5" }, "uris" : [ "http://www.mendeley.com/documents/?uuid=a0749103-065b-47b5-9846-47925b6a5468" ] } ], "mendeley" : { "formattedCitation" : "&lt;sup&gt;&lt;sup&gt;22&lt;/sup&gt;&lt;/sup&gt;", "plainTextFormattedCitation" : "22", "previouslyFormattedCitation" : "&lt;sup&gt;&lt;sup&gt;22&lt;/sup&gt;&lt;/sup&gt;" }, "properties" : { "noteIndex" : 0 }, "schema" : "https://github.com/citation-style-language/schema/raw/master/csl-citation.json" }</w:instrText>
      </w:r>
      <w:r w:rsidR="00B4415E" w:rsidRPr="00383A89">
        <w:rPr>
          <w:lang w:val="en-GB"/>
        </w:rPr>
        <w:fldChar w:fldCharType="separate"/>
      </w:r>
      <w:r w:rsidR="00E8653E" w:rsidRPr="00E8653E">
        <w:rPr>
          <w:noProof/>
          <w:vertAlign w:val="superscript"/>
          <w:lang w:val="en-GB"/>
        </w:rPr>
        <w:t>22</w:t>
      </w:r>
      <w:r w:rsidR="00B4415E" w:rsidRPr="00383A89">
        <w:rPr>
          <w:lang w:val="en-GB"/>
        </w:rPr>
        <w:fldChar w:fldCharType="end"/>
      </w:r>
      <w:r w:rsidRPr="00383A89">
        <w:rPr>
          <w:lang w:val="en-GB"/>
        </w:rPr>
        <w:t xml:space="preserve"> </w:t>
      </w:r>
      <w:r w:rsidR="00964B0E" w:rsidRPr="004971E1">
        <w:rPr>
          <w:lang w:val="en-GB"/>
        </w:rPr>
        <w:t xml:space="preserve">An entity can be anything, from </w:t>
      </w:r>
      <w:r w:rsidR="00A54D29" w:rsidRPr="004971E1">
        <w:rPr>
          <w:lang w:val="en-GB"/>
        </w:rPr>
        <w:t>small molecules</w:t>
      </w:r>
      <w:r w:rsidR="004971E1" w:rsidRPr="004971E1">
        <w:rPr>
          <w:lang w:val="en-GB"/>
        </w:rPr>
        <w:t xml:space="preserve"> to proteins and </w:t>
      </w:r>
      <w:r w:rsidR="008A4D74" w:rsidRPr="004971E1">
        <w:rPr>
          <w:lang w:val="en-GB"/>
        </w:rPr>
        <w:t>genes</w:t>
      </w:r>
      <w:r w:rsidR="00964B0E" w:rsidRPr="004971E1">
        <w:rPr>
          <w:lang w:val="en-GB"/>
        </w:rPr>
        <w:t>.</w:t>
      </w:r>
      <w:r w:rsidR="00964B0E" w:rsidRPr="00383A89">
        <w:rPr>
          <w:lang w:val="en-GB"/>
        </w:rPr>
        <w:t xml:space="preserve"> </w:t>
      </w:r>
      <w:r w:rsidRPr="00383A89">
        <w:rPr>
          <w:lang w:val="en-GB"/>
        </w:rPr>
        <w:t xml:space="preserve">When concentrations of </w:t>
      </w:r>
      <w:r w:rsidR="00964B0E" w:rsidRPr="00383A89">
        <w:rPr>
          <w:lang w:val="en-GB"/>
        </w:rPr>
        <w:t xml:space="preserve">the </w:t>
      </w:r>
      <w:r w:rsidRPr="00383A89">
        <w:rPr>
          <w:lang w:val="en-GB"/>
        </w:rPr>
        <w:t xml:space="preserve">observed chemical species become small, </w:t>
      </w:r>
      <w:r w:rsidR="00964B0E" w:rsidRPr="00383A89">
        <w:rPr>
          <w:lang w:val="en-GB"/>
        </w:rPr>
        <w:t xml:space="preserve">the </w:t>
      </w:r>
      <w:r w:rsidRPr="00383A89">
        <w:rPr>
          <w:lang w:val="en-GB"/>
        </w:rPr>
        <w:t>noise influences become too large to be simply omitted from the models</w:t>
      </w:r>
      <w:r w:rsidR="00A34EF8">
        <w:rPr>
          <w:lang w:val="en-GB"/>
        </w:rPr>
        <w:t>.</w:t>
      </w:r>
      <w:r w:rsidR="00B4415E" w:rsidRPr="00383A89">
        <w:rPr>
          <w:lang w:val="en-GB"/>
        </w:rPr>
        <w:fldChar w:fldCharType="begin" w:fldLock="1"/>
      </w:r>
      <w:r w:rsidR="00E8653E">
        <w:rPr>
          <w:lang w:val="en-GB"/>
        </w:rPr>
        <w:instrText>ADDIN CSL_CITATION { "citationItems" : [ { "id" : "ITEM-1", "itemData" : { "DOI" : "10.1016/j.compbiolchem.2004.05.001", "ISSN" : "1476-9271", "PMID" : "15261147", "abstract" : "In recent years, stochastic modelling has emerged as a physically more realistic alternative for modelling in vivo reactions. There are numerous stochastic approaches available in the literature; most of these assume that observed random fluctuations are a consequence of the small number of reacting molecules. We review some important developments of the stochastic approach and consider its suitability for modelling intracellular reactions. We then describe recent efforts to include the fluctuation effects caused by the structural organisation of the cytoplasm and the limited diffusion of molecules due to macromolecular crowding.", "author" : [ { "dropping-particle" : "", "family" : "Turner", "given" : "T E", "non-dropping-particle" : "", "parse-names" : false, "suffix" : "" }, { "dropping-particle" : "", "family" : "Schnell", "given" : "S", "non-dropping-particle" : "", "parse-names" : false, "suffix" : "" }, { "dropping-particle" : "", "family" : "Burrage", "given" : "K", "non-dropping-particle" : "", "parse-names" : false, "suffix" : "" } ], "container-title" : "Computational biology and chemistry", "id" : "ITEM-1", "issue" : "3", "issued" : { "date-parts" : [ [ "2004", "7" ] ] }, "page" : "165-78", "title" : "Stochastic approaches for modelling in vivo reactions.", "type" : "article-journal", "volume" : "28" }, "uris" : [ "http://www.mendeley.com/documents/?uuid=0b319150-f147-41a8-a660-2c1946d63cf4" ] }, { "id" : "ITEM-2", "itemData" : { "author" : [ { "dropping-particle" : "", "family" : "Gillespie", "given" : "D T", "non-dropping-particle" : "", "parse-names" : false, "suffix" : "" } ], "container-title" : "J. Phys. Chem. B", "id" : "ITEM-2", "issued" : { "date-parts" : [ [ "2009" ] ] }, "page" : "1640-1644", "title" : "Deterministic Limit of Stochastical Chemical Kinetics", "type" : "article-journal", "volume" : "113" }, "uris" : [ "http://www.mendeley.com/documents/?uuid=f18de0f5-f744-46ca-95ab-a30f6adeae1c" ] } ], "mendeley" : { "formattedCitation" : "&lt;sup&gt;&lt;sup&gt;23&lt;/sup&gt;,&lt;sup&gt;24&lt;/sup&gt;&lt;/sup&gt;", "plainTextFormattedCitation" : "23,24", "previouslyFormattedCitation" : "&lt;sup&gt;&lt;sup&gt;23&lt;/sup&gt;,&lt;sup&gt;24&lt;/sup&gt;&lt;/sup&gt;" }, "properties" : { "noteIndex" : 0 }, "schema" : "https://github.com/citation-style-language/schema/raw/master/csl-citation.json" }</w:instrText>
      </w:r>
      <w:r w:rsidR="00B4415E" w:rsidRPr="00383A89">
        <w:rPr>
          <w:lang w:val="en-GB"/>
        </w:rPr>
        <w:fldChar w:fldCharType="separate"/>
      </w:r>
      <w:r w:rsidR="00E8653E" w:rsidRPr="00E8653E">
        <w:rPr>
          <w:noProof/>
          <w:vertAlign w:val="superscript"/>
          <w:lang w:val="en-GB"/>
        </w:rPr>
        <w:t>23,24</w:t>
      </w:r>
      <w:r w:rsidR="00B4415E" w:rsidRPr="00383A89">
        <w:rPr>
          <w:lang w:val="en-GB"/>
        </w:rPr>
        <w:fldChar w:fldCharType="end"/>
      </w:r>
      <w:r w:rsidR="00964B0E" w:rsidRPr="00383A89">
        <w:rPr>
          <w:lang w:val="en-GB"/>
        </w:rPr>
        <w:t xml:space="preserve"> In such</w:t>
      </w:r>
      <w:r w:rsidRPr="00383A89">
        <w:rPr>
          <w:lang w:val="en-GB"/>
        </w:rPr>
        <w:t xml:space="preserve"> case</w:t>
      </w:r>
      <w:r w:rsidR="00964B0E" w:rsidRPr="00383A89">
        <w:rPr>
          <w:lang w:val="en-GB"/>
        </w:rPr>
        <w:t>s a</w:t>
      </w:r>
      <w:r w:rsidRPr="00383A89">
        <w:rPr>
          <w:lang w:val="en-GB"/>
        </w:rPr>
        <w:t xml:space="preserve"> single-molecule level </w:t>
      </w:r>
      <w:r w:rsidR="00964B0E" w:rsidRPr="00383A89">
        <w:rPr>
          <w:lang w:val="en-GB"/>
        </w:rPr>
        <w:t xml:space="preserve">which is named  also the </w:t>
      </w:r>
      <w:r w:rsidRPr="00383A89">
        <w:rPr>
          <w:i/>
          <w:lang w:val="en-GB"/>
        </w:rPr>
        <w:t>stochastic modelling</w:t>
      </w:r>
      <w:r w:rsidR="00D7179B" w:rsidRPr="00383A89">
        <w:rPr>
          <w:lang w:val="en-GB"/>
        </w:rPr>
        <w:t xml:space="preserve"> approach,</w:t>
      </w:r>
      <w:r w:rsidR="00B4415E" w:rsidRPr="00383A89">
        <w:rPr>
          <w:lang w:val="en-GB"/>
        </w:rPr>
        <w:t xml:space="preserve"> need to be applied</w:t>
      </w:r>
      <w:r w:rsidR="00A34EF8">
        <w:rPr>
          <w:lang w:val="en-GB"/>
        </w:rPr>
        <w:t>.</w:t>
      </w:r>
      <w:r w:rsidR="00B4415E" w:rsidRPr="00383A89">
        <w:rPr>
          <w:lang w:val="en-GB"/>
        </w:rPr>
        <w:fldChar w:fldCharType="begin" w:fldLock="1"/>
      </w:r>
      <w:r w:rsidR="00E8653E">
        <w:rPr>
          <w:lang w:val="en-GB"/>
        </w:rPr>
        <w:instrText>ADDIN CSL_CITATION { "citationItems" : [ { "id" : "ITEM-1", "itemData" : { "DOI" : "10.1038/nrm2503", "ISBN" : "1471-0080 (Electronic)\\r1471-0072 (Linking)", "ISSN" : "14710072", "PMID" : "18797474", "abstract" : "Gene regulatory networks have an important role in every process of life, including cell differentiation, metabolism, the cell cycle and signal transduction. By understanding the dynamics of these networks we can shed light on the mechanisms of diseases that occur when these cellular processes are dysregulated. Accurate prediction of the behaviour of regulatory networks will also speed up biotechnological projects, as such predictions are quicker and cheaper than lab experiments. Computational methods, both for supporting the development of network models and for the analysis of their functionality, have already proved to be a valuable research tool.", "author" : [ { "dropping-particle" : "", "family" : "Karlebach", "given" : "Guy", "non-dropping-particle" : "", "parse-names" : false, "suffix" : "" }, { "dropping-particle" : "", "family" : "Shamir", "given" : "Ron", "non-dropping-particle" : "", "parse-names" : false, "suffix" : "" } ], "container-title" : "Nature Reviews Molecular Cell Biology", "id" : "ITEM-1", "issue" : "10", "issued" : { "date-parts" : [ [ "2008" ] ] }, "page" : "770-780", "title" : "Modelling and analysis of gene regulatory networks", "type" : "article-journal", "volume" : "9" }, "uris" : [ "http://www.mendeley.com/documents/?uuid=68677552-a7a9-4789-b502-946a30c859d7" ] }, { "id" : "ITEM-2", "itemData" : { "DOI" : "10.1089/10665270252833208", "ISSN" : "1066-5277", "PMID" : "11911796", "abstract" : "In order to understand the functioning of organisms on the molecular level, we need to know which genes are expressed, when and where in the organism, and to which extent. The regulation of gene expression is achieved through genetic regulatory systems structured by networks of interactions between DNA, RNA, proteins, and small molecules. As most genetic regulatory networks of interest involve many components connected through interlocking positive and negative feedback loops, an intuitive understanding of their dynamics is hard to obtain. As a consequence, formal methods and computer tools for the modeling and simulation of genetic regulatory networks will be indispensable. This paper reviews formalisms that have been employed in mathematical biology and bioinformatics to describe genetic regulatory systems, in particular directed graphs, Bayesian networks, Boolean networks and their generalizations, ordinary and partial differential equations, qualitative differential equations, stochastic equations, and rule-based formalisms. In addition, the paper discusses how these formalisms have been used in the simulation of the behavior of actual regulatory systems", "author" : [ { "dropping-particle" : "", "family" : "Jong", "given" : "H", "non-dropping-particle" : "De", "parse-names" : false, "suffix" : "" } ], "container-title" : "Journal of Computational Biology", "id" : "ITEM-2", "issue" : "1", "issued" : { "date-parts" : [ [ "2002" ] ] }, "page" : "67-103", "title" : "Modeling and simulation of genetic regulatory systems: A literature review", "type" : "article-journal", "volume" : "9" }, "uris" : [ "http://www.mendeley.com/documents/?uuid=d26d3b13-56c0-4274-87d0-706c3d16ff3a" ] }, { "id" : "ITEM-3", "itemData" : { "DOI" : "10.1016/j.compbiolchem.2004.05.001", "ISSN" : "1476-9271", "PMID" : "15261147", "abstract" : "In recent years, stochastic modelling has emerged as a physically more realistic alternative for modelling in vivo reactions. There are numerous stochastic approaches available in the literature; most of these assume that observed random fluctuations are a consequence of the small number of reacting molecules. We review some important developments of the stochastic approach and consider its suitability for modelling intracellular reactions. We then describe recent efforts to include the fluctuation effects caused by the structural organisation of the cytoplasm and the limited diffusion of molecules due to macromolecular crowding.", "author" : [ { "dropping-particle" : "", "family" : "Turner", "given" : "T E", "non-dropping-particle" : "", "parse-names" : false, "suffix" : "" }, { "dropping-particle" : "", "family" : "Schnell", "given" : "S", "non-dropping-particle" : "", "parse-names" : false, "suffix" : "" }, { "dropping-particle" : "", "family" : "Burrage", "given" : "K", "non-dropping-particle" : "", "parse-names" : false, "suffix" : "" } ], "container-title" : "Computational biology and chemistry", "id" : "ITEM-3", "issue" : "3", "issued" : { "date-parts" : [ [ "2004", "7" ] ] }, "page" : "165-78", "title" : "Stochastic approaches for modelling in vivo reactions.", "type" : "article-journal", "volume" : "28" }, "uris" : [ "http://www.mendeley.com/documents/?uuid=0b319150-f147-41a8-a660-2c1946d63cf4" ] } ], "mendeley" : { "formattedCitation" : "&lt;sup&gt;&lt;sup&gt;23&lt;/sup&gt;,&lt;sup&gt;25&lt;/sup&gt;,&lt;sup&gt;26&lt;/sup&gt;&lt;/sup&gt;", "plainTextFormattedCitation" : "23,25,26", "previouslyFormattedCitation" : "&lt;sup&gt;&lt;sup&gt;23&lt;/sup&gt;,&lt;sup&gt;25&lt;/sup&gt;,&lt;sup&gt;26&lt;/sup&gt;&lt;/sup&gt;" }, "properties" : { "noteIndex" : 0 }, "schema" : "https://github.com/citation-style-language/schema/raw/master/csl-citation.json" }</w:instrText>
      </w:r>
      <w:r w:rsidR="00B4415E" w:rsidRPr="00383A89">
        <w:rPr>
          <w:lang w:val="en-GB"/>
        </w:rPr>
        <w:fldChar w:fldCharType="separate"/>
      </w:r>
      <w:r w:rsidR="00E8653E" w:rsidRPr="00E8653E">
        <w:rPr>
          <w:noProof/>
          <w:vertAlign w:val="superscript"/>
          <w:lang w:val="en-GB"/>
        </w:rPr>
        <w:t>23,25,26</w:t>
      </w:r>
      <w:r w:rsidR="00B4415E" w:rsidRPr="00383A89">
        <w:rPr>
          <w:lang w:val="en-GB"/>
        </w:rPr>
        <w:fldChar w:fldCharType="end"/>
      </w:r>
      <w:r w:rsidR="00964B0E" w:rsidRPr="00383A89">
        <w:rPr>
          <w:lang w:val="en-GB"/>
        </w:rPr>
        <w:t xml:space="preserve"> The stochastic modelling  bases</w:t>
      </w:r>
      <w:r w:rsidRPr="00383A89">
        <w:rPr>
          <w:lang w:val="en-GB"/>
        </w:rPr>
        <w:t xml:space="preserve"> on the </w:t>
      </w:r>
      <w:r w:rsidRPr="00383A89">
        <w:rPr>
          <w:i/>
          <w:lang w:val="en-GB"/>
        </w:rPr>
        <w:t>Stochastic Simulation Algorithm</w:t>
      </w:r>
      <w:r w:rsidRPr="00383A89">
        <w:rPr>
          <w:lang w:val="en-GB"/>
        </w:rPr>
        <w:t xml:space="preserve"> (SSA)</w:t>
      </w:r>
      <w:r w:rsidR="00B4415E" w:rsidRPr="00383A89">
        <w:rPr>
          <w:lang w:val="en-GB"/>
        </w:rPr>
        <w:fldChar w:fldCharType="begin" w:fldLock="1"/>
      </w:r>
      <w:r w:rsidR="00E8653E">
        <w:rPr>
          <w:lang w:val="en-GB"/>
        </w:rPr>
        <w:instrText>ADDIN CSL_CITATION { "citationItems" : [ { "id" : "ITEM-1", "itemData" : { "DOI" : "10.1021/j100540a008", "ISBN" : "1749810441", "ISSN" : "00223654", "PMID" : "17411109", "abstract" : "There are two formalisms for mathematically describing the time behavior of a spatially homogeneous chemical system: The deterministic approach regards the time evolution as a continuous, wholly predictable process which is governed by a set of coupled, ordinary differential equations (the reaction-rate equations); the stochastic approach regards the time evolution as a kind of random-walk process which is governed by a single dif- ferential-difference equation (the master equation). Fairly simple kinetic theory arguments show that the stochastic formulation of chemical kinetics has a firmer physical basis than the deterministic formulation, but unfortunately the stochastic master equation is often mathematically intractable. There is, however, a way to make exact numerical calculations within the framework of the stochastic formulation without having to deal with the master equation directly. It is a relatively simple digital computer algorithm which uses a rigorously derived Monte Carlo procedure to numerically simulate the time evolution of the given chemical system. Like the master equation, this stochastic simulation algorithm correctly accounts for the inherent fluctuations and correlations that are necessarily ignored in the deterministic formulation. In addition, unlike most procedures for numerically solving the deterministic reaction-rate equations, this algorithm never approximates infinitesimal time increments dt by finite time steps At. The feasibility and utility of the simulation algorithm are demonstrated by applying it to several well-known model chemical systems, including the Lotka model, the Brusselator, and the Oregonator.", "author" : [ { "dropping-particle" : "", "family" : "Gillespie", "given" : "Daniel T.", "non-dropping-particle" : "", "parse-names" : false, "suffix" : "" } ], "container-title" : "Journal of Physical Chemistry", "id" : "ITEM-1", "issue" : "25", "issued" : { "date-parts" : [ [ "1977" ] ] }, "page" : "2340-2361", "title" : "Exact stochastic simulation of coupled chemical reactions", "type" : "article-journal", "volume" : "81" }, "uris" : [ "http://www.mendeley.com/documents/?uuid=287b36f5-fa05-421b-a544-f3d7c3147f22" ] } ], "mendeley" : { "formattedCitation" : "&lt;sup&gt;&lt;sup&gt;27&lt;/sup&gt;&lt;/sup&gt;", "plainTextFormattedCitation" : "27", "previouslyFormattedCitation" : "&lt;sup&gt;&lt;sup&gt;27&lt;/sup&gt;&lt;/sup&gt;" }, "properties" : { "noteIndex" : 0 }, "schema" : "https://github.com/citation-style-language/schema/raw/master/csl-citation.json" }</w:instrText>
      </w:r>
      <w:r w:rsidR="00B4415E" w:rsidRPr="00383A89">
        <w:rPr>
          <w:lang w:val="en-GB"/>
        </w:rPr>
        <w:fldChar w:fldCharType="separate"/>
      </w:r>
      <w:r w:rsidR="00E8653E" w:rsidRPr="00E8653E">
        <w:rPr>
          <w:noProof/>
          <w:vertAlign w:val="superscript"/>
          <w:lang w:val="en-GB"/>
        </w:rPr>
        <w:t>27</w:t>
      </w:r>
      <w:r w:rsidR="00B4415E" w:rsidRPr="00383A89">
        <w:rPr>
          <w:lang w:val="en-GB"/>
        </w:rPr>
        <w:fldChar w:fldCharType="end"/>
      </w:r>
      <w:r w:rsidRPr="00383A89">
        <w:rPr>
          <w:lang w:val="en-GB"/>
        </w:rPr>
        <w:t xml:space="preserve"> and </w:t>
      </w:r>
      <w:r w:rsidR="00964B0E" w:rsidRPr="00383A89">
        <w:rPr>
          <w:lang w:val="en-GB"/>
        </w:rPr>
        <w:t xml:space="preserve">on </w:t>
      </w:r>
      <w:r w:rsidRPr="00383A89">
        <w:rPr>
          <w:lang w:val="en-GB"/>
        </w:rPr>
        <w:t xml:space="preserve">its variations (e.g., see </w:t>
      </w:r>
      <w:r w:rsidR="00B4415E" w:rsidRPr="00383A89">
        <w:rPr>
          <w:lang w:val="en-GB"/>
        </w:rPr>
        <w:fldChar w:fldCharType="begin" w:fldLock="1"/>
      </w:r>
      <w:r w:rsidR="00E8653E">
        <w:rPr>
          <w:lang w:val="en-GB"/>
        </w:rPr>
        <w:instrText>ADDIN CSL_CITATION { "citationItems" : [ { "id" : "ITEM-1", "itemData" : { "DOI" : "10.1089/cmb.2014.0064", "ISSN" : "1066-5277", "author" : [ { "dropping-particle" : "", "family" : "Petroni", "given" : "Mattia", "non-dropping-particle" : "", "parse-names" : false, "suffix" : "" }, { "dropping-particle" : "", "family" : "Zimic", "given" : "Nikolaj", "non-dropping-particle" : "", "parse-names" : false, "suffix" : "" }, { "dropping-particle" : "", "family" : "Mraz", "given" : "Miha", "non-dropping-particle" : "", "parse-names" : false, "suffix" : "" }, { "dropping-particle" : "", "family" : "Mo\u0161kon", "given" : "Miha", "non-dropping-particle" : "", "parse-names" : false, "suffix" : "" } ], "container-title" : "Journal of Computational Biology", "id" : "ITEM-1", "issue" : "3", "issued" : { "date-parts" : [ [ "2015" ] ] }, "page" : "218-226", "title" : "Stochastic Simulation Algorithm for Gene Regulatory Networks with Multiple Binding Sites", "type" : "article-journal", "volume" : "22" }, "uris" : [ "http://www.mendeley.com/documents/?uuid=2cef63c9-0471-4e67-b84a-3473bd23de00" ] } ], "mendeley" : { "formattedCitation" : "&lt;sup&gt;&lt;sup&gt;28&lt;/sup&gt;&lt;/sup&gt;", "plainTextFormattedCitation" : "28", "previouslyFormattedCitation" : "&lt;sup&gt;&lt;sup&gt;28&lt;/sup&gt;&lt;/sup&gt;" }, "properties" : { "noteIndex" : 0 }, "schema" : "https://github.com/citation-style-language/schema/raw/master/csl-citation.json" }</w:instrText>
      </w:r>
      <w:r w:rsidR="00B4415E" w:rsidRPr="00383A89">
        <w:rPr>
          <w:lang w:val="en-GB"/>
        </w:rPr>
        <w:fldChar w:fldCharType="separate"/>
      </w:r>
      <w:r w:rsidR="00E8653E" w:rsidRPr="00E8653E">
        <w:rPr>
          <w:noProof/>
          <w:vertAlign w:val="superscript"/>
          <w:lang w:val="en-GB"/>
        </w:rPr>
        <w:t>28</w:t>
      </w:r>
      <w:r w:rsidR="00B4415E" w:rsidRPr="00383A89">
        <w:rPr>
          <w:lang w:val="en-GB"/>
        </w:rPr>
        <w:fldChar w:fldCharType="end"/>
      </w:r>
      <w:r w:rsidR="00964B0E" w:rsidRPr="00383A89">
        <w:rPr>
          <w:lang w:val="en-GB"/>
        </w:rPr>
        <w:t xml:space="preserve">). It </w:t>
      </w:r>
      <w:r w:rsidRPr="00383A89">
        <w:rPr>
          <w:lang w:val="en-GB"/>
        </w:rPr>
        <w:t>can ac</w:t>
      </w:r>
      <w:r w:rsidR="00D7179B" w:rsidRPr="00383A89">
        <w:rPr>
          <w:lang w:val="en-GB"/>
        </w:rPr>
        <w:t>count for the stochasticity</w:t>
      </w:r>
      <w:r w:rsidR="006D0EAE" w:rsidRPr="00383A89">
        <w:rPr>
          <w:lang w:val="en-GB"/>
        </w:rPr>
        <w:t xml:space="preserve"> of</w:t>
      </w:r>
      <w:r w:rsidR="000248F9" w:rsidRPr="00383A89">
        <w:rPr>
          <w:lang w:val="en-GB"/>
        </w:rPr>
        <w:t xml:space="preserve"> </w:t>
      </w:r>
      <w:r w:rsidR="00D7179B" w:rsidRPr="00383A89">
        <w:rPr>
          <w:lang w:val="en-GB"/>
        </w:rPr>
        <w:t>the</w:t>
      </w:r>
      <w:r w:rsidRPr="00383A89">
        <w:rPr>
          <w:lang w:val="en-GB"/>
        </w:rPr>
        <w:t xml:space="preserve"> observed biochemical reactions on the account of </w:t>
      </w:r>
      <w:r w:rsidR="00D7179B" w:rsidRPr="00383A89">
        <w:rPr>
          <w:lang w:val="en-GB"/>
        </w:rPr>
        <w:t xml:space="preserve">a </w:t>
      </w:r>
      <w:r w:rsidRPr="00383A89">
        <w:rPr>
          <w:lang w:val="en-GB"/>
        </w:rPr>
        <w:t>la</w:t>
      </w:r>
      <w:r w:rsidR="00EB02C0">
        <w:rPr>
          <w:lang w:val="en-GB"/>
        </w:rPr>
        <w:t xml:space="preserve">rger computational complexity. </w:t>
      </w:r>
    </w:p>
    <w:p w14:paraId="2FC5AB44" w14:textId="286A1026" w:rsidR="00924726" w:rsidRPr="00383A89" w:rsidRDefault="00F3530F" w:rsidP="00EB02C0">
      <w:pPr>
        <w:rPr>
          <w:lang w:val="en-GB"/>
        </w:rPr>
      </w:pPr>
      <w:r w:rsidRPr="00383A89">
        <w:rPr>
          <w:lang w:val="en-GB"/>
        </w:rPr>
        <w:t>Stochastic as well as deterministic modelling approaches described above require the estimation of biologically relevant parameter values</w:t>
      </w:r>
      <w:r w:rsidR="00D7179B" w:rsidRPr="00383A89">
        <w:rPr>
          <w:lang w:val="en-GB"/>
        </w:rPr>
        <w:t>. Parameters are values (numbers)</w:t>
      </w:r>
      <w:r w:rsidRPr="00383A89">
        <w:rPr>
          <w:lang w:val="en-GB"/>
        </w:rPr>
        <w:t xml:space="preserve"> that</w:t>
      </w:r>
      <w:r w:rsidR="00D7179B" w:rsidRPr="00383A89">
        <w:rPr>
          <w:lang w:val="en-GB"/>
        </w:rPr>
        <w:t xml:space="preserve"> are mostly</w:t>
      </w:r>
      <w:r w:rsidRPr="00383A89">
        <w:rPr>
          <w:lang w:val="en-GB"/>
        </w:rPr>
        <w:t xml:space="preserve"> based on the </w:t>
      </w:r>
      <w:r w:rsidRPr="00383A89">
        <w:rPr>
          <w:lang w:val="en-GB"/>
        </w:rPr>
        <w:lastRenderedPageBreak/>
        <w:t xml:space="preserve">rate constants </w:t>
      </w:r>
      <w:r w:rsidR="00D7179B" w:rsidRPr="00383A89">
        <w:rPr>
          <w:i/>
          <w:lang w:val="en-GB"/>
        </w:rPr>
        <w:t xml:space="preserve">k </w:t>
      </w:r>
      <w:r w:rsidRPr="00383A89">
        <w:rPr>
          <w:lang w:val="en-GB"/>
        </w:rPr>
        <w:t xml:space="preserve">for the observed biochemical reactions. It is the fact that these models </w:t>
      </w:r>
      <w:r w:rsidR="00D7179B" w:rsidRPr="004971E1">
        <w:rPr>
          <w:lang w:val="en-GB"/>
        </w:rPr>
        <w:t>(stochastic and deterministic)</w:t>
      </w:r>
      <w:r w:rsidR="00D7179B" w:rsidRPr="00383A89">
        <w:rPr>
          <w:lang w:val="en-GB"/>
        </w:rPr>
        <w:t xml:space="preserve"> </w:t>
      </w:r>
      <w:r w:rsidRPr="00383A89">
        <w:rPr>
          <w:lang w:val="en-GB"/>
        </w:rPr>
        <w:t>are useful only with realistic parameter values</w:t>
      </w:r>
      <w:r w:rsidR="00A34EF8">
        <w:rPr>
          <w:lang w:val="en-GB"/>
        </w:rPr>
        <w:t>.</w:t>
      </w:r>
      <w:r w:rsidR="001731E8" w:rsidRPr="00383A89">
        <w:rPr>
          <w:lang w:val="en-GB"/>
        </w:rPr>
        <w:fldChar w:fldCharType="begin" w:fldLock="1"/>
      </w:r>
      <w:r w:rsidR="00E8653E">
        <w:rPr>
          <w:lang w:val="en-GB"/>
        </w:rPr>
        <w:instrText>ADDIN CSL_CITATION { "citationItems" : [ { "id" : "ITEM-1", "itemData" : { "DOI" : "10.1098/rsif.2017.0237", "ISSN" : "1742-5689", "PMID" : "28768879", "abstract" : "Dynamical systems describing whole cells are on the verge of becoming a rea-lity. But as models of reality, they are only useful if we have realistic parameters for the molecular reaction rates and cell physiological processes. There is currently no suitable framework to reliably estimate hundreds, let alone thousands, of reaction rate parameters. Here, we map out the relative weaknesses and promises of different approaches aimed at redressing this issue. While suitable procedures for estimation or inference of the whole (vast) set of parameters will, in all likelihood, remain elusive, some hope can be drawn from the fact that much of the cellular behaviour may be explained in terms of smaller sets of parameters. Identifying such parameter sets and assessing their behaviour is now becoming possible even for very large sys-tems of equations, and we expect such methods to become central tools in the development and analysis of whole-cell models.", "author" : [ { "dropping-particle" : "", "family" : "Babtie", "given" : "Ann C.", "non-dropping-particle" : "", "parse-names" : false, "suffix" : "" }, { "dropping-particle" : "", "family" : "Stumpf", "given" : "Michael P. H.", "non-dropping-particle" : "", "parse-names" : false, "suffix" : "" } ], "container-title" : "Journal of The Royal Society Interface", "id" : "ITEM-1", "issue" : "133", "issued" : { "date-parts" : [ [ "2017" ] ] }, "page" : "20170237", "title" : "How to deal with parameters for whole-cell modelling", "type" : "article-journal", "volume" : "14" }, "uris" : [ "http://www.mendeley.com/documents/?uuid=0bb9c7a0-cb98-4014-9010-925ee9ed219a" ] } ], "mendeley" : { "formattedCitation" : "&lt;sup&gt;&lt;sup&gt;29&lt;/sup&gt;&lt;/sup&gt;", "plainTextFormattedCitation" : "29", "previouslyFormattedCitation" : "&lt;sup&gt;&lt;sup&gt;29&lt;/sup&gt;&lt;/sup&gt;"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29</w:t>
      </w:r>
      <w:r w:rsidR="001731E8" w:rsidRPr="00383A89">
        <w:rPr>
          <w:lang w:val="en-GB"/>
        </w:rPr>
        <w:fldChar w:fldCharType="end"/>
      </w:r>
      <w:r w:rsidR="00F421C4" w:rsidRPr="00383A89">
        <w:rPr>
          <w:lang w:val="en-GB"/>
        </w:rPr>
        <w:t xml:space="preserve"> This means that the simulations that would produce biologically </w:t>
      </w:r>
      <w:r w:rsidR="00C43D6C" w:rsidRPr="00383A89">
        <w:rPr>
          <w:lang w:val="en-GB"/>
        </w:rPr>
        <w:t>relevant</w:t>
      </w:r>
      <w:r w:rsidR="00F421C4" w:rsidRPr="00383A89">
        <w:rPr>
          <w:lang w:val="en-GB"/>
        </w:rPr>
        <w:t xml:space="preserve"> results cannot be performed without </w:t>
      </w:r>
      <w:r w:rsidR="00492A50" w:rsidRPr="00383A89">
        <w:rPr>
          <w:lang w:val="en-GB"/>
        </w:rPr>
        <w:t xml:space="preserve">the evaluation of </w:t>
      </w:r>
      <w:r w:rsidR="00A52176" w:rsidRPr="00383A89">
        <w:rPr>
          <w:lang w:val="en-GB"/>
        </w:rPr>
        <w:t>kinetic</w:t>
      </w:r>
      <w:r w:rsidR="00F421C4" w:rsidRPr="00383A89">
        <w:rPr>
          <w:lang w:val="en-GB"/>
        </w:rPr>
        <w:t xml:space="preserve"> parameter values. </w:t>
      </w:r>
      <w:r w:rsidRPr="00383A89">
        <w:rPr>
          <w:lang w:val="en-GB"/>
        </w:rPr>
        <w:t>Specific parameter values</w:t>
      </w:r>
      <w:r w:rsidR="008D2BE2" w:rsidRPr="00383A89">
        <w:rPr>
          <w:lang w:val="en-GB"/>
        </w:rPr>
        <w:t xml:space="preserve">, such as </w:t>
      </w:r>
      <w:r w:rsidR="00F421C4" w:rsidRPr="00383A89">
        <w:rPr>
          <w:lang w:val="en-GB"/>
        </w:rPr>
        <w:t xml:space="preserve">protein binding affinities or their degradation rates, </w:t>
      </w:r>
      <w:r w:rsidRPr="00383A89">
        <w:rPr>
          <w:lang w:val="en-GB"/>
        </w:rPr>
        <w:t>can be experimentally measured. However, several pitfalls exist here. For example, (1) mathematical models usually describe complex processes in a simplified manner, which do not necessarily corres</w:t>
      </w:r>
      <w:r w:rsidR="008D2BE2" w:rsidRPr="00383A89">
        <w:rPr>
          <w:lang w:val="en-GB"/>
        </w:rPr>
        <w:t xml:space="preserve">pond to the measured biochemical constants </w:t>
      </w:r>
      <w:r w:rsidR="00E1710B" w:rsidRPr="00EB02C0">
        <w:rPr>
          <w:lang w:val="en-GB"/>
        </w:rPr>
        <w:t xml:space="preserve">(for example, multiple reactions can be lumped into a single </w:t>
      </w:r>
      <w:r w:rsidR="00E1710B" w:rsidRPr="00EB02C0">
        <w:rPr>
          <w:i/>
          <w:lang w:val="en-GB"/>
        </w:rPr>
        <w:t>virtual</w:t>
      </w:r>
      <w:r w:rsidR="00E1710B" w:rsidRPr="00EB02C0">
        <w:rPr>
          <w:lang w:val="en-GB"/>
        </w:rPr>
        <w:t xml:space="preserve"> reaction)</w:t>
      </w:r>
      <w:r w:rsidRPr="00383A89">
        <w:rPr>
          <w:lang w:val="en-GB"/>
        </w:rPr>
        <w:t xml:space="preserve"> (2) reaction rates may strongly dep</w:t>
      </w:r>
      <w:r w:rsidR="008D2BE2" w:rsidRPr="00383A89">
        <w:rPr>
          <w:lang w:val="en-GB"/>
        </w:rPr>
        <w:t xml:space="preserve">end on environmental conditions </w:t>
      </w:r>
      <w:r w:rsidR="009867F1" w:rsidRPr="00EB02C0">
        <w:rPr>
          <w:lang w:val="en-GB"/>
        </w:rPr>
        <w:t xml:space="preserve">(for example, </w:t>
      </w:r>
      <w:r w:rsidR="000B4A64" w:rsidRPr="00EB02C0">
        <w:rPr>
          <w:lang w:val="en-GB"/>
        </w:rPr>
        <w:t>reaction</w:t>
      </w:r>
      <w:r w:rsidR="009867F1" w:rsidRPr="00EB02C0">
        <w:rPr>
          <w:lang w:val="en-GB"/>
        </w:rPr>
        <w:t xml:space="preserve"> </w:t>
      </w:r>
      <w:r w:rsidR="000B4A64" w:rsidRPr="00EB02C0">
        <w:rPr>
          <w:lang w:val="en-GB"/>
        </w:rPr>
        <w:t>rates increase</w:t>
      </w:r>
      <w:r w:rsidR="009867F1" w:rsidRPr="00EB02C0">
        <w:rPr>
          <w:lang w:val="en-GB"/>
        </w:rPr>
        <w:t xml:space="preserve"> at higher temperatures)</w:t>
      </w:r>
      <w:r w:rsidR="009867F1" w:rsidRPr="00383A89">
        <w:rPr>
          <w:lang w:val="en-GB"/>
        </w:rPr>
        <w:t xml:space="preserve"> </w:t>
      </w:r>
      <w:r w:rsidRPr="00383A89">
        <w:rPr>
          <w:lang w:val="en-GB"/>
        </w:rPr>
        <w:t>(3) variations of evaluated pa</w:t>
      </w:r>
      <w:r w:rsidR="008D2BE2" w:rsidRPr="00383A89">
        <w:rPr>
          <w:lang w:val="en-GB"/>
        </w:rPr>
        <w:t>rameters may be extremely large</w:t>
      </w:r>
      <w:r w:rsidR="009867F1" w:rsidRPr="00383A89">
        <w:rPr>
          <w:lang w:val="en-GB"/>
        </w:rPr>
        <w:t xml:space="preserve"> (for example, reaction rates may differ significantly within the colony of </w:t>
      </w:r>
      <w:r w:rsidR="003E2453" w:rsidRPr="00383A89">
        <w:rPr>
          <w:lang w:val="en-GB"/>
        </w:rPr>
        <w:t>genetically identical cells</w:t>
      </w:r>
      <w:r w:rsidR="009867F1" w:rsidRPr="00383A89">
        <w:rPr>
          <w:lang w:val="en-GB"/>
        </w:rPr>
        <w:t xml:space="preserve">) </w:t>
      </w:r>
      <w:r w:rsidRPr="00383A89">
        <w:rPr>
          <w:lang w:val="en-GB"/>
        </w:rPr>
        <w:t xml:space="preserve">and finally (4) not all parameters can be evaluated neither </w:t>
      </w:r>
      <w:r w:rsidRPr="00383A89">
        <w:rPr>
          <w:i/>
          <w:lang w:val="en-GB"/>
        </w:rPr>
        <w:t xml:space="preserve">in vivo </w:t>
      </w:r>
      <w:r w:rsidRPr="00383A89">
        <w:rPr>
          <w:lang w:val="en-GB"/>
        </w:rPr>
        <w:t xml:space="preserve">nor </w:t>
      </w:r>
      <w:r w:rsidRPr="00383A89">
        <w:rPr>
          <w:i/>
          <w:lang w:val="en-GB"/>
        </w:rPr>
        <w:t>in vitro</w:t>
      </w:r>
      <w:r w:rsidR="00A34EF8">
        <w:rPr>
          <w:i/>
          <w:lang w:val="en-GB"/>
        </w:rPr>
        <w:t>.</w:t>
      </w:r>
      <w:r w:rsidR="001731E8" w:rsidRPr="00383A89">
        <w:rPr>
          <w:lang w:val="en-GB"/>
        </w:rPr>
        <w:fldChar w:fldCharType="begin" w:fldLock="1"/>
      </w:r>
      <w:r w:rsidR="00E8653E">
        <w:rPr>
          <w:lang w:val="en-GB"/>
        </w:rPr>
        <w:instrText>ADDIN CSL_CITATION { "citationItems" : [ { "id" : "ITEM-1", "itemData" : { "DOI" : "10.1098/rsif.2017.0237", "ISSN" : "1742-5689", "PMID" : "28768879", "abstract" : "Dynamical systems describing whole cells are on the verge of becoming a rea-lity. But as models of reality, they are only useful if we have realistic parameters for the molecular reaction rates and cell physiological processes. There is currently no suitable framework to reliably estimate hundreds, let alone thousands, of reaction rate parameters. Here, we map out the relative weaknesses and promises of different approaches aimed at redressing this issue. While suitable procedures for estimation or inference of the whole (vast) set of parameters will, in all likelihood, remain elusive, some hope can be drawn from the fact that much of the cellular behaviour may be explained in terms of smaller sets of parameters. Identifying such parameter sets and assessing their behaviour is now becoming possible even for very large sys-tems of equations, and we expect such methods to become central tools in the development and analysis of whole-cell models.", "author" : [ { "dropping-particle" : "", "family" : "Babtie", "given" : "Ann C.", "non-dropping-particle" : "", "parse-names" : false, "suffix" : "" }, { "dropping-particle" : "", "family" : "Stumpf", "given" : "Michael P. H.", "non-dropping-particle" : "", "parse-names" : false, "suffix" : "" } ], "container-title" : "Journal of The Royal Society Interface", "id" : "ITEM-1", "issue" : "133", "issued" : { "date-parts" : [ [ "2017" ] ] }, "page" : "20170237", "title" : "How to deal with parameters for whole-cell modelling", "type" : "article-journal", "volume" : "14" }, "uris" : [ "http://www.mendeley.com/documents/?uuid=0bb9c7a0-cb98-4014-9010-925ee9ed219a" ] } ], "mendeley" : { "formattedCitation" : "&lt;sup&gt;&lt;sup&gt;29&lt;/sup&gt;&lt;/sup&gt;", "plainTextFormattedCitation" : "29", "previouslyFormattedCitation" : "&lt;sup&gt;&lt;sup&gt;29&lt;/sup&gt;&lt;/sup&gt;"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29</w:t>
      </w:r>
      <w:r w:rsidR="001731E8" w:rsidRPr="00383A89">
        <w:rPr>
          <w:lang w:val="en-GB"/>
        </w:rPr>
        <w:fldChar w:fldCharType="end"/>
      </w:r>
      <w:r w:rsidR="008D2BE2" w:rsidRPr="00383A89">
        <w:rPr>
          <w:lang w:val="en-GB"/>
        </w:rPr>
        <w:t xml:space="preserve"> It can thus happen that the m</w:t>
      </w:r>
      <w:r w:rsidRPr="00383A89">
        <w:rPr>
          <w:lang w:val="en-GB"/>
        </w:rPr>
        <w:t xml:space="preserve">ajority of the parameter values </w:t>
      </w:r>
      <w:r w:rsidR="008D2BE2" w:rsidRPr="00383A89">
        <w:rPr>
          <w:lang w:val="en-GB"/>
        </w:rPr>
        <w:t xml:space="preserve">that are needed in the model, </w:t>
      </w:r>
      <w:r w:rsidRPr="00383A89">
        <w:rPr>
          <w:lang w:val="en-GB"/>
        </w:rPr>
        <w:t xml:space="preserve">have to be </w:t>
      </w:r>
      <w:r w:rsidR="008D2BE2" w:rsidRPr="00383A89">
        <w:rPr>
          <w:lang w:val="en-GB"/>
        </w:rPr>
        <w:t xml:space="preserve">deduced or </w:t>
      </w:r>
      <w:r w:rsidRPr="00383A89">
        <w:rPr>
          <w:lang w:val="en-GB"/>
        </w:rPr>
        <w:t>inferred</w:t>
      </w:r>
      <w:r w:rsidR="008D2BE2" w:rsidRPr="00383A89">
        <w:rPr>
          <w:lang w:val="en-GB"/>
        </w:rPr>
        <w:t xml:space="preserve">. Deduction of the missing parameter values is possible </w:t>
      </w:r>
      <w:r w:rsidRPr="00383A89">
        <w:rPr>
          <w:lang w:val="en-GB"/>
        </w:rPr>
        <w:t xml:space="preserve">with the so called </w:t>
      </w:r>
      <w:r w:rsidRPr="00383A89">
        <w:rPr>
          <w:i/>
          <w:lang w:val="en-GB"/>
        </w:rPr>
        <w:t>parameter estimation techniques</w:t>
      </w:r>
      <w:r w:rsidR="008D2BE2" w:rsidRPr="00383A89">
        <w:rPr>
          <w:i/>
          <w:lang w:val="en-GB"/>
        </w:rPr>
        <w:t xml:space="preserve">. </w:t>
      </w:r>
      <w:r w:rsidR="008D2BE2" w:rsidRPr="00383A89">
        <w:rPr>
          <w:lang w:val="en-GB"/>
        </w:rPr>
        <w:t xml:space="preserve"> These techniques compare </w:t>
      </w:r>
      <w:r w:rsidRPr="00383A89">
        <w:rPr>
          <w:i/>
          <w:lang w:val="en-GB"/>
        </w:rPr>
        <w:t xml:space="preserve"> </w:t>
      </w:r>
      <w:r w:rsidRPr="00383A89">
        <w:rPr>
          <w:lang w:val="en-GB"/>
        </w:rPr>
        <w:t xml:space="preserve">the </w:t>
      </w:r>
      <w:r w:rsidR="008D2BE2" w:rsidRPr="00383A89">
        <w:rPr>
          <w:lang w:val="en-GB"/>
        </w:rPr>
        <w:t xml:space="preserve">available </w:t>
      </w:r>
      <w:r w:rsidRPr="00383A89">
        <w:rPr>
          <w:lang w:val="en-GB"/>
        </w:rPr>
        <w:t xml:space="preserve">experimental results with the simulation results </w:t>
      </w:r>
      <w:r w:rsidR="008D2BE2" w:rsidRPr="00383A89">
        <w:rPr>
          <w:lang w:val="en-GB"/>
        </w:rPr>
        <w:t xml:space="preserve">from the model, and upon that </w:t>
      </w:r>
      <w:r w:rsidRPr="00383A89">
        <w:rPr>
          <w:lang w:val="en-GB"/>
        </w:rPr>
        <w:t>globally minimize the error function</w:t>
      </w:r>
      <w:r w:rsidR="005E0719" w:rsidRPr="00383A89">
        <w:rPr>
          <w:lang w:val="en-GB"/>
        </w:rPr>
        <w:t xml:space="preserve"> </w:t>
      </w:r>
      <w:r w:rsidR="001731E8" w:rsidRPr="00383A89">
        <w:rPr>
          <w:lang w:val="en-GB"/>
        </w:rPr>
        <w:fldChar w:fldCharType="begin" w:fldLock="1"/>
      </w:r>
      <w:r w:rsidR="00BE1F05">
        <w:rPr>
          <w:lang w:val="en-GB"/>
        </w:rPr>
        <w:instrText>ADDIN CSL_CITATION { "citationItems" : [ { "id" : "ITEM-1", "itemData" : { "DOI" : "10.1111/j.1742-4658.2008.06844.x", "ISBN" : "1742-464X", "ISSN" : "1742464X", "PMID" : "19215296", "abstract" : "Mathematical models of biological processes have various applications: to assist in understanding the functioning of a system, to simulate experiments before actually performing them, to study situations that cannot be dealt with experimentally, etc. Some parameters in the model can be directly obtained from experiments or from the literature. Others have to be inferred by comparing model results to experiments. In this minireview, we discuss the identifiability of models, both intrinsic to the model and taking into account the available data. Furthermore, we give an overview of the most frequently used approaches to search the parameter space.", "author" : [ { "dropping-particle" : "", "family" : "Ashyraliyev", "given" : "Maksat", "non-dropping-particle" : "", "parse-names" : false, "suffix" : "" }, { "dropping-particle" : "", "family" : "Fomekong-Nanfack", "given" : "Yves", "non-dropping-particle" : "", "parse-names" : false, "suffix" : "" }, { "dropping-particle" : "", "family" : "Kaandorp", "given" : "Jaap A.", "non-dropping-particle" : "", "parse-names" : false, "suffix" : "" }, { "dropping-particle" : "", "family" : "Blom", "given" : "Joke G.", "non-dropping-particle" : "", "parse-names" : false, "suffix" : "" } ], "container-title" : "FEBS Journal", "id" : "ITEM-1", "issue" : "4", "issued" : { "date-parts" : [ [ "2009" ] ] }, "page" : "886-902", "title" : "Systems biology: Parameter estimation for biochemical models", "type" : "article-journal", "volume" : "276" }, "uris" : [ "http://www.mendeley.com/documents/?uuid=62f8673e-0654-41b2-946e-18f3524adb8e" ] }, { "id" : "ITEM-2", "itemData" : { "DOI" : "10.1186/s12918-015-0219-2", "ISBN" : "10.1186/s12918-015-0219-2", "ISSN" : "17520509", "PMID" : "26515482", "abstract" : "BACKGROUND: Dynamic modelling provides a systematic framework to understand function in biological systems. Parameter estimation in nonlinear dynamic models remains a very challenging inverse problem due to its nonconvexity and ill-conditioning. Associated issues like overfitting and local solutions are usually not properly addressed in the systems biology literature despite their importance. Here we present a method for robust and efficient parameter estimation which uses two main strategies to surmount the aforementioned difficulties: (i) efficient global optimization to deal with nonconvexity, and (ii) proper regularization methods to handle ill-conditioning. In the case of regularization, we present a detailed critical comparison of methods and guidelines for properly tuning them. Further, we show how regularized estimations ensure the best trade-offs between bias and variance, reducing overfitting, and allowing the incorporation of prior knowledge in a systematic way.\\n\\nRESULTS: We illustrate the performance of the presented method with seven case studies of different nature and increasing complexity, considering several scenarios of data availability, measurement noise and prior knowledge. We show how our method ensures improved estimations with faster and more stable convergence. We also show how the calibrated models are more generalizable. Finally, we give a set of simple guidelines to apply this strategy to a wide variety of calibration problems.\\n\\nCONCLUSIONS: Here we provide a parameter estimation strategy which combines efficient global optimization with a regularization scheme. This method is able to calibrate dynamic models in an efficient and robust way, effectively fighting overfitting and allowing the incorporation of prior information.", "author" : [ { "dropping-particle" : "", "family" : "G\u00e1bor", "given" : "Attila", "non-dropping-particle" : "", "parse-names" : false, "suffix" : "" }, { "dropping-particle" : "", "family" : "Banga", "given" : "Julio R.", "non-dropping-particle" : "", "parse-names" : false, "suffix" : "" } ], "container-title" : "BMC systems biology", "id" : "ITEM-2", "issued" : { "date-parts" : [ [ "2015" ] ] }, "page" : "74", "publisher" : "BMC Systems Biology", "title" : "Robust and efficient parameter estimation in dynamic models of biological systems", "type" : "article-journal", "volume" : "9" }, "uris" : [ "http://www.mendeley.com/documents/?uuid=e0e0db1a-b380-4655-b845-7477cb2dafa5" ] } ], "mendeley" : { "formattedCitation" : "&lt;sup&gt;&lt;sup&gt;30&lt;/sup&gt;,&lt;sup&gt;31&lt;/sup&gt;&lt;/sup&gt;", "plainTextFormattedCitation" : "30,31", "previouslyFormattedCitation" : "&lt;sup&gt;&lt;sup&gt;30&lt;/sup&gt;,&lt;sup&gt;31&lt;/sup&gt;&lt;/sup&gt;"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30,31</w:t>
      </w:r>
      <w:r w:rsidR="001731E8" w:rsidRPr="00383A89">
        <w:rPr>
          <w:lang w:val="en-GB"/>
        </w:rPr>
        <w:fldChar w:fldCharType="end"/>
      </w:r>
      <w:r w:rsidRPr="00383A89">
        <w:rPr>
          <w:lang w:val="en-GB"/>
        </w:rPr>
        <w:t xml:space="preserve">. Different parameter estimation techniques that aim to integrate the experimental results within the computational models have already been described (see e.g. </w:t>
      </w:r>
      <w:r w:rsidR="001731E8" w:rsidRPr="00383A89">
        <w:rPr>
          <w:lang w:val="en-GB"/>
        </w:rPr>
        <w:fldChar w:fldCharType="begin" w:fldLock="1"/>
      </w:r>
      <w:r w:rsidR="00BE1F05">
        <w:rPr>
          <w:lang w:val="en-GB"/>
        </w:rPr>
        <w:instrText>ADDIN CSL_CITATION { "citationItems" : [ { "id" : "ITEM-1", "itemData" : { "DOI" : "10.1186/1752-0509-5-14", "ISBN" : "1752-0509 (Electronic)\\r1752-0509 (Linking)", "ISSN" : "17520509", "PMID" : "21255466", "abstract" : "Mathematical modeling is an important tool in systems biology to study the dynamic property of complex biological systems. However, one of the major challenges in systems biology is how to infer unknown parameters in mathematical models based on the experimental data sets, in particular, when the data are sparse and the regulatory network is stochastic. To address this issue, this work proposed a new algorithm to estimate parameters in stochastic models using simulated likelihood density in the framework of approximate Bayesian computation. Two stochastic models were used to demonstrate the efficiency and effectiveness of the proposed method. In addition, we designed another algorithm based on a novel objective function to measure the accuracy of stochastic simulations. Simulation results suggest that the usage of simulated likelihood density improves the accuracy of estimates substantially. When the error is measured at each observation time point individually, the estimated parameters have better accuracy than those obtained by a published method in which the error is measured using simulations over the entire observation time period.", "author" : [ { "dropping-particle" : "", "family" : "Zhan", "given" : "Choujun", "non-dropping-particle" : "", "parse-names" : false, "suffix" : "" }, { "dropping-particle" : "", "family" : "Yeung", "given" : "Lam F.", "non-dropping-particle" : "", "parse-names" : false, "suffix" : "" } ], "container-title" : "BMC Systems Biology", "id" : "ITEM-1", "issued" : { "date-parts" : [ [ "2011" ] ] }, "page" : "14", "title" : "Parameter estimation in systems biology models using spline approximation", "type" : "article-journal", "volume" : "5" }, "uris" : [ "http://www.mendeley.com/documents/?uuid=87382687-598a-48f7-a43b-910ff48a622d" ] }, { "id" : "ITEM-2", "itemData" : { "author" : [ { "dropping-particle" : "", "family" : "Sun", "given" : "Jianyong", "non-dropping-particle" : "", "parse-names" : false, "suffix" : "" }, { "dropping-particle" : "", "family" : "Garibaldi", "given" : "Jonathan M.", "non-dropping-particle" : "", "parse-names" : false, "suffix" : "" }, { "dropping-particle" : "", "family" : "Hodgman", "given" : "Charlie", "non-dropping-particle" : "", "parse-names" : false, "suffix" : "" } ], "container-title" : "IEEE/ACM Transactions on Computational Biology and Bioinformatics", "id" : "ITEM-2", "issue" : "1", "issued" : { "date-parts" : [ [ "2012" ] ] }, "page" : "185-202", "title" : "Parameter Estimation Using Metaheuristics in Systems Biology: A Comprehensive Review", "type" : "article-journal", "volume" : "9" }, "uris" : [ "http://www.mendeley.com/documents/?uuid=2b07ad37-a059-4805-8e8e-a0388b8a5112" ] }, { "id" : "ITEM-3", "itemData" : { "DOI" : "10.1371/journal.pcbi.1000696", "ISSN" : "1553-7358", "PMID" : "20221262", "abstract" : "A central challenge in computational modeling of biological systems is the determination of the model parameters. Typically, only a fraction of the parameters (such as kinetic rate constants) are experimentally measured, while the rest are often fitted. The fitting process is usually based on experimental time course measurements of observables, which are used to assign parameter values that minimize some measure of the error between these measurements and the corresponding model prediction. The measurements, which can come from immunoblotting assays, fluorescent markers, etc., tend to be very noisy and taken at a limited number of time points. In this work we present a new approach to the problem of parameter selection of biological models. We show how one can use a dynamic recursive estimator, known as extended Kalman filter, to arrive at estimates of the model parameters. The proposed method follows. First, we use a variation of the Kalman filter that is particularly well suited to biological applications to obtain a first guess for the unknown parameters. Secondly, we employ an a posteriori identifiability test to check the reliability of the estimates. Finally, we solve an optimization problem to refine the first guess in case it should not be accurate enough. The final estimates are guaranteed to be statistically consistent with the measurements. Furthermore, we show how the same tools can be used to discriminate among alternate models of the same biological process. We demonstrate these ideas by applying our methods to two examples, namely a model of the heat shock response in E. coli, and a model of a synthetic gene regulation system. The methods presented are quite general and may be applied to a wide class of biological systems where noisy measurements are used for parameter estimation or model selection.", "author" : [ { "dropping-particle" : "", "family" : "Lillacci", "given" : "Gabriele", "non-dropping-particle" : "", "parse-names" : false, "suffix" : "" }, { "dropping-particle" : "", "family" : "Khammash", "given" : "Mustafa", "non-dropping-particle" : "", "parse-names" : false, "suffix" : "" } ], "container-title" : "PLoS computational biology", "id" : "ITEM-3", "issue" : "3", "issued" : { "date-parts" : [ [ "2010", "3" ] ] }, "page" : "e1000696", "title" : "Parameter estimation and model selection in computational biology.", "type" : "article-journal", "volume" : "6" }, "uris" : [ "http://www.mendeley.com/documents/?uuid=9742ab18-6005-415a-9aba-6d2ac0878458" ] } ], "mendeley" : { "formattedCitation" : "&lt;sup&gt;&lt;sup&gt;32&lt;/sup&gt;\u2013&lt;sup&gt;34&lt;/sup&gt;&lt;/sup&gt;", "plainTextFormattedCitation" : "32\u201334", "previouslyFormattedCitation" : "&lt;sup&gt;&lt;sup&gt;32&lt;/sup&gt;\u2013&lt;sup&gt;34&lt;/sup&gt;&lt;/sup&gt;"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32–34</w:t>
      </w:r>
      <w:r w:rsidR="001731E8" w:rsidRPr="00383A89">
        <w:rPr>
          <w:lang w:val="en-GB"/>
        </w:rPr>
        <w:fldChar w:fldCharType="end"/>
      </w:r>
      <w:r w:rsidRPr="00383A89">
        <w:rPr>
          <w:lang w:val="en-GB"/>
        </w:rPr>
        <w:t xml:space="preserve">). Even though specific techniques that might be able to cope with the large-scale models have also been proposed recently (see e.g. </w:t>
      </w:r>
      <w:r w:rsidR="001731E8" w:rsidRPr="00383A89">
        <w:rPr>
          <w:lang w:val="en-GB"/>
        </w:rPr>
        <w:fldChar w:fldCharType="begin" w:fldLock="1"/>
      </w:r>
      <w:r w:rsidR="00E8653E">
        <w:rPr>
          <w:lang w:val="en-GB"/>
        </w:rPr>
        <w:instrText>ADDIN CSL_CITATION { "citationItems" : [ { "id" : "ITEM-1", "itemData" : { "DOI" : "10.1186/s12859-016-1452-4", "ISBN" : "1285901614", "ISSN" : "14712105", "PMID" : "28109249", "abstract" : "The development of large-scale kinetic models is one of the current key issues in computational systems biology and bioinformatics. Here we consider the problem of parameter estimation in nonlinear dynamic models. Global optimization methods can be used to solve this type of problems but the associated computational cost is very large. Moreover, many of these methods need the tuning of a number of adjustable search parameters, requiring a number of initial exploratory runs and therefore further increasing the computation times. Here we present a novel parallel method, self-adaptive cooperative enhanced scatter search (saCeSS), to accelerate the solution of this class of problems. The method is based on the scatter search optimization metaheuristic and incorporates several key new mechanisms: (i) asynchronous cooperation between parallel processes, (ii) coarse and fine-grained parallelism, and (iii) self-tuning strategies. The performance and robustness of saCeSS is illustrated by solving a set of challenging parameter estimation problems, including medium and large-scale kinetic models of the bacterium E. coli, baker\u00e9s yeast S. cerevisiae, the vinegar fly D. melanogaster, Chinese Hamster Ovary cells, and a generic signal transduction network. The results consistently show that saCeSS is a robust and efficient method, allowing very significant reduction of computation times with respect to several previous state of the art methods (from days to minutes, in several cases) even when only a small number of processors is used. The new parallel cooperative method presented here allows the solution of medium and large scale parameter estimation problems in reasonable computation times and with small hardware requirements. Further, the method includes self-tuning mechanisms which facilitate its use by non-experts. We believe that this new method can play a key role in the development of large-scale and even whole-cell dynamic models.", "author" : [ { "dropping-particle" : "", "family" : "Penas", "given" : "David R.", "non-dropping-particle" : "", "parse-names" : false, "suffix" : "" }, { "dropping-particle" : "", "family" : "Gonz\u00e1lez", "given" : "Patricia", "non-dropping-particle" : "", "parse-names" : false, "suffix" : "" }, { "dropping-particle" : "", "family" : "Egea", "given" : "Jose A.", "non-dropping-particle" : "", "parse-names" : false, "suffix" : "" }, { "dropping-particle" : "", "family" : "Doallo", "given" : "Ram\u00f3n", "non-dropping-particle" : "", "parse-names" : false, "suffix" : "" }, { "dropping-particle" : "", "family" : "Banga", "given" : "Julio R.", "non-dropping-particle" : "", "parse-names" : false, "suffix" : "" } ], "container-title" : "BMC Bioinformatics", "id" : "ITEM-1", "issue" : "1", "issued" : { "date-parts" : [ [ "2017" ] ] }, "page" : "1-24", "publisher" : "BMC Bioinformatics", "title" : "Parameter estimation in large-scale systems biology models: A parallel and self-adaptive cooperative strategy", "type" : "article-journal", "volume" : "18" }, "uris" : [ "http://www.mendeley.com/documents/?uuid=1054bacb-3800-4d45-8176-6bf91c6372ae" ] } ], "mendeley" : { "formattedCitation" : "&lt;sup&gt;&lt;sup&gt;35&lt;/sup&gt;&lt;/sup&gt;", "plainTextFormattedCitation" : "35", "previouslyFormattedCitation" : "&lt;sup&gt;&lt;sup&gt;35&lt;/sup&gt;&lt;/sup&gt;"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35</w:t>
      </w:r>
      <w:r w:rsidR="001731E8" w:rsidRPr="00383A89">
        <w:rPr>
          <w:lang w:val="en-GB"/>
        </w:rPr>
        <w:fldChar w:fldCharType="end"/>
      </w:r>
      <w:r w:rsidRPr="00383A89">
        <w:rPr>
          <w:lang w:val="en-GB"/>
        </w:rPr>
        <w:t>), they are in general still far from being scalable</w:t>
      </w:r>
      <w:r w:rsidR="00A34EF8">
        <w:rPr>
          <w:lang w:val="en-GB"/>
        </w:rPr>
        <w:t>.</w:t>
      </w:r>
      <w:r w:rsidR="001731E8" w:rsidRPr="00383A89">
        <w:rPr>
          <w:lang w:val="en-GB"/>
        </w:rPr>
        <w:fldChar w:fldCharType="begin" w:fldLock="1"/>
      </w:r>
      <w:r w:rsidR="00E8653E">
        <w:rPr>
          <w:lang w:val="en-GB"/>
        </w:rPr>
        <w:instrText>ADDIN CSL_CITATION { "citationItems" : [ { "id" : "ITEM-1", "itemData" : { "DOI" : "10.1098/rsif.2017.0237", "ISSN" : "1742-5689", "PMID" : "28768879", "abstract" : "Dynamical systems describing whole cells are on the verge of becoming a rea-lity. But as models of reality, they are only useful if we have realistic parameters for the molecular reaction rates and cell physiological processes. There is currently no suitable framework to reliably estimate hundreds, let alone thousands, of reaction rate parameters. Here, we map out the relative weaknesses and promises of different approaches aimed at redressing this issue. While suitable procedures for estimation or inference of the whole (vast) set of parameters will, in all likelihood, remain elusive, some hope can be drawn from the fact that much of the cellular behaviour may be explained in terms of smaller sets of parameters. Identifying such parameter sets and assessing their behaviour is now becoming possible even for very large sys-tems of equations, and we expect such methods to become central tools in the development and analysis of whole-cell models.", "author" : [ { "dropping-particle" : "", "family" : "Babtie", "given" : "Ann C.", "non-dropping-particle" : "", "parse-names" : false, "suffix" : "" }, { "dropping-particle" : "", "family" : "Stumpf", "given" : "Michael P. H.", "non-dropping-particle" : "", "parse-names" : false, "suffix" : "" } ], "container-title" : "Journal of The Royal Society Interface", "id" : "ITEM-1", "issue" : "133", "issued" : { "date-parts" : [ [ "2017" ] ] }, "page" : "20170237", "title" : "How to deal with parameters for whole-cell modelling", "type" : "article-journal", "volume" : "14" }, "uris" : [ "http://www.mendeley.com/documents/?uuid=0bb9c7a0-cb98-4014-9010-925ee9ed219a" ] } ], "mendeley" : { "formattedCitation" : "&lt;sup&gt;&lt;sup&gt;29&lt;/sup&gt;&lt;/sup&gt;", "plainTextFormattedCitation" : "29", "previouslyFormattedCitation" : "&lt;sup&gt;&lt;sup&gt;29&lt;/sup&gt;&lt;/sup&gt;"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29</w:t>
      </w:r>
      <w:r w:rsidR="001731E8" w:rsidRPr="00383A89">
        <w:rPr>
          <w:lang w:val="en-GB"/>
        </w:rPr>
        <w:fldChar w:fldCharType="end"/>
      </w:r>
      <w:r w:rsidRPr="00383A89">
        <w:rPr>
          <w:lang w:val="en-GB"/>
        </w:rPr>
        <w:t xml:space="preserve"> Moreover, comprehensive </w:t>
      </w:r>
      <w:r w:rsidRPr="00383A89">
        <w:rPr>
          <w:i/>
          <w:lang w:val="en-GB"/>
        </w:rPr>
        <w:t>in vivo</w:t>
      </w:r>
      <w:r w:rsidRPr="00383A89">
        <w:rPr>
          <w:lang w:val="en-GB"/>
        </w:rPr>
        <w:t xml:space="preserve"> measurements </w:t>
      </w:r>
      <w:r w:rsidR="008D2BE2" w:rsidRPr="00383A89">
        <w:rPr>
          <w:lang w:val="en-GB"/>
        </w:rPr>
        <w:t xml:space="preserve">in animals </w:t>
      </w:r>
      <w:r w:rsidRPr="00383A89">
        <w:rPr>
          <w:lang w:val="en-GB"/>
        </w:rPr>
        <w:t>are still not available even for the most studied organisms</w:t>
      </w:r>
      <w:r w:rsidR="00A34EF8">
        <w:rPr>
          <w:lang w:val="en-GB"/>
        </w:rPr>
        <w:t>.</w:t>
      </w:r>
      <w:r w:rsidR="001731E8" w:rsidRPr="00383A89">
        <w:rPr>
          <w:lang w:val="en-GB"/>
        </w:rPr>
        <w:fldChar w:fldCharType="begin" w:fldLock="1"/>
      </w:r>
      <w:r w:rsidR="00E8653E">
        <w:rPr>
          <w:lang w:val="en-GB"/>
        </w:rPr>
        <w:instrText>ADDIN CSL_CITATION { "citationItems" : [ { "id" : "ITEM-1", "itemData" : { "DOI" : "10.1098/rsif.2017.0237", "ISSN" : "1742-5689", "PMID" : "28768879", "abstract" : "Dynamical systems describing whole cells are on the verge of becoming a rea-lity. But as models of reality, they are only useful if we have realistic parameters for the molecular reaction rates and cell physiological processes. There is currently no suitable framework to reliably estimate hundreds, let alone thousands, of reaction rate parameters. Here, we map out the relative weaknesses and promises of different approaches aimed at redressing this issue. While suitable procedures for estimation or inference of the whole (vast) set of parameters will, in all likelihood, remain elusive, some hope can be drawn from the fact that much of the cellular behaviour may be explained in terms of smaller sets of parameters. Identifying such parameter sets and assessing their behaviour is now becoming possible even for very large sys-tems of equations, and we expect such methods to become central tools in the development and analysis of whole-cell models.", "author" : [ { "dropping-particle" : "", "family" : "Babtie", "given" : "Ann C.", "non-dropping-particle" : "", "parse-names" : false, "suffix" : "" }, { "dropping-particle" : "", "family" : "Stumpf", "given" : "Michael P. H.", "non-dropping-particle" : "", "parse-names" : false, "suffix" : "" } ], "container-title" : "Journal of The Royal Society Interface", "id" : "ITEM-1", "issue" : "133", "issued" : { "date-parts" : [ [ "2017" ] ] }, "page" : "20170237", "title" : "How to deal with parameters for whole-cell modelling", "type" : "article-journal", "volume" : "14" }, "uris" : [ "http://www.mendeley.com/documents/?uuid=0bb9c7a0-cb98-4014-9010-925ee9ed219a" ] } ], "mendeley" : { "formattedCitation" : "&lt;sup&gt;&lt;sup&gt;29&lt;/sup&gt;&lt;/sup&gt;", "plainTextFormattedCitation" : "29", "previouslyFormattedCitation" : "&lt;sup&gt;&lt;sup&gt;29&lt;/sup&gt;&lt;/sup&gt;"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29</w:t>
      </w:r>
      <w:r w:rsidR="001731E8" w:rsidRPr="00383A89">
        <w:rPr>
          <w:lang w:val="en-GB"/>
        </w:rPr>
        <w:fldChar w:fldCharType="end"/>
      </w:r>
      <w:r w:rsidRPr="00383A89">
        <w:rPr>
          <w:lang w:val="en-GB"/>
        </w:rPr>
        <w:t xml:space="preserve"> </w:t>
      </w:r>
      <w:r w:rsidR="008D2BE2" w:rsidRPr="00383A89">
        <w:rPr>
          <w:lang w:val="en-GB"/>
        </w:rPr>
        <w:t>We must underline at</w:t>
      </w:r>
      <w:r w:rsidR="00DC20BB" w:rsidRPr="00383A89">
        <w:rPr>
          <w:lang w:val="en-GB"/>
        </w:rPr>
        <w:t xml:space="preserve"> this point</w:t>
      </w:r>
      <w:r w:rsidR="008D2BE2" w:rsidRPr="00383A89">
        <w:rPr>
          <w:lang w:val="en-GB"/>
        </w:rPr>
        <w:t xml:space="preserve"> that there are few </w:t>
      </w:r>
      <w:r w:rsidR="008D2BE2" w:rsidRPr="00383A89">
        <w:rPr>
          <w:i/>
          <w:lang w:val="en-GB"/>
        </w:rPr>
        <w:t xml:space="preserve">in vivo </w:t>
      </w:r>
      <w:r w:rsidR="008D2BE2" w:rsidRPr="00383A89">
        <w:rPr>
          <w:lang w:val="en-GB"/>
        </w:rPr>
        <w:t xml:space="preserve">studies in humans that are ethically feasible. </w:t>
      </w:r>
      <w:r w:rsidR="00924726" w:rsidRPr="00383A89">
        <w:rPr>
          <w:rFonts w:eastAsia="Times New Roman"/>
          <w:lang w:val="en-GB"/>
        </w:rPr>
        <w:t>It is, for example, impossible to count on kinetic data from human organs</w:t>
      </w:r>
      <w:r w:rsidR="00924726" w:rsidRPr="00383A89">
        <w:rPr>
          <w:rFonts w:eastAsia="Times New Roman"/>
          <w:i/>
          <w:lang w:val="en-GB"/>
        </w:rPr>
        <w:t xml:space="preserve"> in vivo</w:t>
      </w:r>
      <w:r w:rsidR="00924726" w:rsidRPr="00383A89">
        <w:rPr>
          <w:rFonts w:eastAsia="Times New Roman"/>
          <w:lang w:val="en-GB"/>
        </w:rPr>
        <w:t xml:space="preserve">. Even </w:t>
      </w:r>
      <w:r w:rsidR="00924726" w:rsidRPr="00383A89">
        <w:rPr>
          <w:rFonts w:eastAsia="Times New Roman"/>
          <w:i/>
          <w:lang w:val="en-GB"/>
        </w:rPr>
        <w:t>ex vivo</w:t>
      </w:r>
      <w:r w:rsidR="00924726" w:rsidRPr="00383A89">
        <w:rPr>
          <w:rFonts w:eastAsia="Times New Roman"/>
          <w:lang w:val="en-GB"/>
        </w:rPr>
        <w:t xml:space="preserve">  studies relying on data from  human liver, are frequently small and difficult to compare with one another</w:t>
      </w:r>
      <w:r w:rsidR="00A34EF8">
        <w:rPr>
          <w:rFonts w:eastAsia="Times New Roman"/>
          <w:lang w:val="en-GB"/>
        </w:rPr>
        <w:t>.</w:t>
      </w:r>
      <w:r w:rsidR="00EB02C0">
        <w:rPr>
          <w:rFonts w:eastAsia="Times New Roman"/>
          <w:lang w:val="en-GB"/>
        </w:rPr>
        <w:fldChar w:fldCharType="begin" w:fldLock="1"/>
      </w:r>
      <w:r w:rsidR="00E8653E">
        <w:rPr>
          <w:rFonts w:eastAsia="Times New Roman"/>
          <w:lang w:val="en-GB"/>
        </w:rPr>
        <w:instrText>ADDIN CSL_CITATION { "citationItems" : [ { "id" : "ITEM-1", "itemData" : { "DOI" : "10.1007/s10620-013-2998-x", "author" : [ { "dropping-particle" : "", "family" : "Rozman", "given" : "Damjana", "non-dropping-particle" : "", "parse-names" : false, "suffix" : "" } ], "container-title" : "Digestive Diseases and Sciences", "id" : "ITEM-1", "issue" : "2", "issued" : { "date-parts" : [ [ "2014" ] ] }, "page" : "238\u2013241", "title" : "From Nonalcoholic Fatty Liver Disease to Hepatocellular Carcinoma: A Systems Understanding", "type" : "article-journal", "volume" : "59" }, "uris" : [ "http://www.mendeley.com/documents/?uuid=2591f9b4-d8de-471b-92c9-812fbcc839dc" ] } ], "mendeley" : { "formattedCitation" : "&lt;sup&gt;&lt;sup&gt;36&lt;/sup&gt;&lt;/sup&gt;", "plainTextFormattedCitation" : "36", "previouslyFormattedCitation" : "&lt;sup&gt;&lt;sup&gt;36&lt;/sup&gt;&lt;/sup&gt;" }, "properties" : { "noteIndex" : 0 }, "schema" : "https://github.com/citation-style-language/schema/raw/master/csl-citation.json" }</w:instrText>
      </w:r>
      <w:r w:rsidR="00EB02C0">
        <w:rPr>
          <w:rFonts w:eastAsia="Times New Roman"/>
          <w:lang w:val="en-GB"/>
        </w:rPr>
        <w:fldChar w:fldCharType="separate"/>
      </w:r>
      <w:r w:rsidR="00E8653E" w:rsidRPr="00E8653E">
        <w:rPr>
          <w:rFonts w:eastAsia="Times New Roman"/>
          <w:noProof/>
          <w:vertAlign w:val="superscript"/>
          <w:lang w:val="en-GB"/>
        </w:rPr>
        <w:t>36</w:t>
      </w:r>
      <w:r w:rsidR="00EB02C0">
        <w:rPr>
          <w:rFonts w:eastAsia="Times New Roman"/>
          <w:lang w:val="en-GB"/>
        </w:rPr>
        <w:fldChar w:fldCharType="end"/>
      </w:r>
      <w:r w:rsidR="00924726" w:rsidRPr="00383A89">
        <w:rPr>
          <w:noProof/>
          <w:lang w:val="en-GB"/>
        </w:rPr>
        <w:t xml:space="preserve"> </w:t>
      </w:r>
      <w:r w:rsidR="00924726" w:rsidRPr="00383A89">
        <w:rPr>
          <w:rFonts w:eastAsia="Times New Roman"/>
          <w:lang w:val="en-GB"/>
        </w:rPr>
        <w:t xml:space="preserve"> </w:t>
      </w:r>
      <w:r w:rsidR="008D2BE2" w:rsidRPr="00383A89">
        <w:rPr>
          <w:lang w:val="en-GB"/>
        </w:rPr>
        <w:t xml:space="preserve">Consequently, </w:t>
      </w:r>
      <w:r w:rsidR="00DC20BB" w:rsidRPr="00383A89">
        <w:rPr>
          <w:lang w:val="en-GB"/>
        </w:rPr>
        <w:t>majority of experi</w:t>
      </w:r>
      <w:r w:rsidR="008D2BE2" w:rsidRPr="00383A89">
        <w:rPr>
          <w:lang w:val="en-GB"/>
        </w:rPr>
        <w:t>m</w:t>
      </w:r>
      <w:r w:rsidR="00DC20BB" w:rsidRPr="00383A89">
        <w:rPr>
          <w:lang w:val="en-GB"/>
        </w:rPr>
        <w:t>ents</w:t>
      </w:r>
      <w:r w:rsidR="008D2BE2" w:rsidRPr="00383A89">
        <w:rPr>
          <w:lang w:val="en-GB"/>
        </w:rPr>
        <w:t xml:space="preserve"> that require </w:t>
      </w:r>
      <w:r w:rsidR="00EB02C0">
        <w:rPr>
          <w:lang w:val="en-GB"/>
        </w:rPr>
        <w:t xml:space="preserve">e.g. </w:t>
      </w:r>
      <w:r w:rsidR="008D2BE2" w:rsidRPr="00383A89">
        <w:rPr>
          <w:lang w:val="en-GB"/>
        </w:rPr>
        <w:t xml:space="preserve">a time-series of data, or data from </w:t>
      </w:r>
      <w:r w:rsidR="00DC20BB" w:rsidRPr="00383A89">
        <w:rPr>
          <w:lang w:val="en-GB"/>
        </w:rPr>
        <w:t xml:space="preserve">the </w:t>
      </w:r>
      <w:r w:rsidR="008D2BE2" w:rsidRPr="00383A89">
        <w:rPr>
          <w:lang w:val="en-GB"/>
        </w:rPr>
        <w:t>inner body organs, rel</w:t>
      </w:r>
      <w:r w:rsidR="00DC20BB" w:rsidRPr="00383A89">
        <w:rPr>
          <w:lang w:val="en-GB"/>
        </w:rPr>
        <w:t xml:space="preserve">y on experiments on laboratory animals, in line with ethical considerations for work on laboratory animals, including the 3R (reduce, replace, refine) principles.  </w:t>
      </w:r>
    </w:p>
    <w:p w14:paraId="0C146C71" w14:textId="7DC66FA8" w:rsidR="00F3530F" w:rsidRPr="00383A89" w:rsidRDefault="00F3530F" w:rsidP="00F3530F">
      <w:pPr>
        <w:rPr>
          <w:lang w:val="en-GB"/>
        </w:rPr>
      </w:pPr>
      <w:r w:rsidRPr="00383A89">
        <w:rPr>
          <w:lang w:val="en-GB"/>
        </w:rPr>
        <w:t>Computational approaches that are able to deal with large-scale models have thus evolved into different forms that allow us to fully or partially omit the parameter estimation problem. These approaches are mainly focused to specific segments of observed biological system. For example, gene regulatory or signalling networks can be described with</w:t>
      </w:r>
      <w:r w:rsidRPr="00383A89">
        <w:rPr>
          <w:i/>
          <w:lang w:val="en-GB"/>
        </w:rPr>
        <w:t xml:space="preserve"> Boolean networks </w:t>
      </w:r>
      <w:r w:rsidRPr="00383A89">
        <w:rPr>
          <w:lang w:val="en-GB"/>
        </w:rPr>
        <w:t xml:space="preserve">(see e.g. </w:t>
      </w:r>
      <w:r w:rsidR="001731E8" w:rsidRPr="00383A89">
        <w:rPr>
          <w:lang w:val="en-GB"/>
        </w:rPr>
        <w:fldChar w:fldCharType="begin" w:fldLock="1"/>
      </w:r>
      <w:r w:rsidR="00E8653E">
        <w:rPr>
          <w:lang w:val="en-GB"/>
        </w:rPr>
        <w:instrText>ADDIN CSL_CITATION { "citationItems" : [ { "id" : "ITEM-1", "itemData" : { "DOI" : "10.1016/j.ymeth.2012.10.012", "ISBN" : "1095-9130 (Electronic) 1046-2023 (Linking)", "ISSN" : "10462023", "PMID" : "23142247", "abstract" : "Given the complexity and interactive nature of biological systems, constructing informative and coherent network models of these systems and subsequently developing efficient approaches to analyze the assembled networks is of immense importance. The integration of network analysis and dynamic modeling enables one to investigate the behavior of the underlying system as a whole and to make experimentally testable predictions about less-understood aspects of the processes involved. In this paper, we present a tutorial on the fundamental steps of Boolean modeling of biological regulatory networks. We demonstrate how to infer a Boolean network model from the available experimental data, analyze the network using graph-theoretical measures, and convert it into a predictive dynamic model. For each step, the pitfalls one may encounter and possible ways to circumvent them are also discussed. We illustrate these steps on a toy network as well as in the context of the Drosophila melanogaster segment polarity gene network. \u00a9 2012 Elsevier Inc.", "author" : [ { "dropping-particle" : "", "family" : "Saadatpour", "given" : "Assieh", "non-dropping-particle" : "", "parse-names" : false, "suffix" : "" }, { "dropping-particle" : "", "family" : "R\u00e9ka", "given" : "Albert", "non-dropping-particle" : "", "parse-names" : false, "suffix" : "" } ], "container-title" : "Methods", "id" : "ITEM-1", "issue" : "1", "issued" : { "date-parts" : [ [ "2013" ] ] }, "page" : "3-12", "title" : "Boolean modeling of biological regulatory networks: A methodology tutorial", "type" : "article-journal", "volume" : "62" }, "uris" : [ "http://www.mendeley.com/documents/?uuid=97f0756f-bee2-46a6-aec4-c05eaa84cba0" ] } ], "mendeley" : { "formattedCitation" : "&lt;sup&gt;&lt;sup&gt;37&lt;/sup&gt;&lt;/sup&gt;", "plainTextFormattedCitation" : "37", "previouslyFormattedCitation" : "&lt;sup&gt;&lt;sup&gt;37&lt;/sup&gt;&lt;/sup&gt;"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37</w:t>
      </w:r>
      <w:r w:rsidR="001731E8" w:rsidRPr="00383A89">
        <w:rPr>
          <w:lang w:val="en-GB"/>
        </w:rPr>
        <w:fldChar w:fldCharType="end"/>
      </w:r>
      <w:r w:rsidRPr="00383A89">
        <w:rPr>
          <w:lang w:val="en-GB"/>
        </w:rPr>
        <w:t xml:space="preserve">), while metabolic networks use the stoichiometric description in the form of </w:t>
      </w:r>
      <w:r w:rsidRPr="00383A89">
        <w:rPr>
          <w:i/>
          <w:lang w:val="en-GB"/>
        </w:rPr>
        <w:t>genome-scale metabolic models</w:t>
      </w:r>
      <w:r w:rsidR="00A34EF8">
        <w:rPr>
          <w:i/>
          <w:lang w:val="en-GB"/>
        </w:rPr>
        <w:t>.</w:t>
      </w:r>
      <w:r w:rsidR="001731E8" w:rsidRPr="00383A89">
        <w:rPr>
          <w:i/>
          <w:lang w:val="en-GB"/>
        </w:rPr>
        <w:fldChar w:fldCharType="begin" w:fldLock="1"/>
      </w:r>
      <w:r w:rsidR="00E8653E">
        <w:rPr>
          <w:i/>
          <w:lang w:val="en-GB"/>
        </w:rPr>
        <w:instrText>ADDIN CSL_CITATION { "citationItems" : [ { "id" : "ITEM-1", "itemData" : { "DOI" : "10.1016/j.cell.2015.05.019", "ISBN" : "0092-8674", "ISSN" : "10974172", "PMID" : "26000478", "abstract" : "Constraint-based reconstruction and analysis (COBRA) methods at the genome scale have been under development since the first whole-genome sequences appeared in the mid-1990s. A few years ago, this approach began to demonstrate the ability to predict a range of cellular functions, including cellular growth capabilities on various substrates and the effect of gene knockouts at the genome scale. Thus, much interest has developed in understanding and applying these methods to areas such as metabolic engineering, antibiotic design, and organismal and enzyme evolution. This Primer will get you started.", "author" : [ { "dropping-particle" : "", "family" : "O'Brien", "given" : "Edward J.", "non-dropping-particle" : "", "parse-names" : false, "suffix" : "" }, { "dropping-particle" : "", "family" : "Monk", "given" : "Jonathan M.", "non-dropping-particle" : "", "parse-names" : false, "suffix" : "" }, { "dropping-particle" : "", "family" : "Palsson", "given" : "Bernhard O.", "non-dropping-particle" : "", "parse-names" : false, "suffix" : "" } ], "container-title" : "Cell", "id" : "ITEM-1", "issue" : "5", "issued" : { "date-parts" : [ [ "2015" ] ] }, "page" : "971-987", "title" : "Using genome-scale models to predict biological capabilities", "type" : "article-journal", "volume" : "161" }, "uris" : [ "http://www.mendeley.com/documents/?uuid=26d4314e-2bea-4f99-84c9-8898eb13c53f" ] } ], "mendeley" : { "formattedCitation" : "&lt;sup&gt;&lt;sup&gt;38&lt;/sup&gt;&lt;/sup&gt;", "plainTextFormattedCitation" : "38", "previouslyFormattedCitation" : "&lt;sup&gt;&lt;sup&gt;38&lt;/sup&gt;&lt;/sup&gt;" }, "properties" : { "noteIndex" : 0 }, "schema" : "https://github.com/citation-style-language/schema/raw/master/csl-citation.json" }</w:instrText>
      </w:r>
      <w:r w:rsidR="001731E8" w:rsidRPr="00383A89">
        <w:rPr>
          <w:i/>
          <w:lang w:val="en-GB"/>
        </w:rPr>
        <w:fldChar w:fldCharType="separate"/>
      </w:r>
      <w:r w:rsidR="00E8653E" w:rsidRPr="00E8653E">
        <w:rPr>
          <w:noProof/>
          <w:vertAlign w:val="superscript"/>
          <w:lang w:val="en-GB"/>
        </w:rPr>
        <w:t>38</w:t>
      </w:r>
      <w:r w:rsidR="001731E8" w:rsidRPr="00383A89">
        <w:rPr>
          <w:i/>
          <w:lang w:val="en-GB"/>
        </w:rPr>
        <w:fldChar w:fldCharType="end"/>
      </w:r>
      <w:r w:rsidRPr="00383A89">
        <w:rPr>
          <w:lang w:val="en-GB"/>
        </w:rPr>
        <w:t xml:space="preserve"> </w:t>
      </w:r>
    </w:p>
    <w:p w14:paraId="0690D29E" w14:textId="24527974" w:rsidR="00F3530F" w:rsidRPr="00383A89" w:rsidRDefault="00F3530F" w:rsidP="00F3530F">
      <w:pPr>
        <w:rPr>
          <w:lang w:val="en-GB"/>
        </w:rPr>
      </w:pPr>
      <w:r w:rsidRPr="00383A89">
        <w:rPr>
          <w:lang w:val="en-GB"/>
        </w:rPr>
        <w:t xml:space="preserve">Boolean networks (known also as </w:t>
      </w:r>
      <w:r w:rsidRPr="00383A89">
        <w:rPr>
          <w:i/>
          <w:lang w:val="en-GB"/>
        </w:rPr>
        <w:t>logic models</w:t>
      </w:r>
      <w:r w:rsidRPr="00383A89">
        <w:rPr>
          <w:lang w:val="en-GB"/>
        </w:rPr>
        <w:t>) depict the biological systems as a network of Boolean functions, i.e. functions describing binary relations between inputs and outputs</w:t>
      </w:r>
      <w:r w:rsidR="00A34EF8">
        <w:rPr>
          <w:lang w:val="en-GB"/>
        </w:rPr>
        <w:t>.</w:t>
      </w:r>
      <w:r w:rsidR="001731E8" w:rsidRPr="00383A89">
        <w:rPr>
          <w:lang w:val="en-GB"/>
        </w:rPr>
        <w:fldChar w:fldCharType="begin" w:fldLock="1"/>
      </w:r>
      <w:r w:rsidR="00BE1F05">
        <w:rPr>
          <w:lang w:val="en-GB"/>
        </w:rPr>
        <w:instrText>ADDIN CSL_CITATION { "citationItems" : [ { "id" : "ITEM-1", "itemData" : { "DOI" : "10.1039/c2ib20193c", "ISBN" : "1757-9694 1757-9708", "ISSN" : "1757-9694", "PMID" : "23072820", "abstract" : "Highly complex molecular networks, which play fundamental roles in almost all cellular processes, are known to be dysregulated in a number of diseases, most notably in cancer. As a consequence, there is a critical need to develop practical methodologies for constructing and analysing molecular networks at a systems level. Mathematical models built with continuous differential equations are an ideal methodology because they can provide a detailed picture of a network's dynamics. To be predictive, however, differential equation models require that numerous parameters be known a priori and this information is almost never available. An alternative dynamical approach is the use of discrete logic-based models that can provide a good approximation of the qualitative behaviour of a biochemical system without the burden of a large parameter space. Despite their advantages, there remains significant resistance to the use of logic-based models in biology. Here, we address some common concerns and provide a brief tutorial on the use of logic-based models, which we motivate with biological examples.", "author" : [ { "dropping-particle" : "", "family" : "Wynn", "given" : "Michelle L.", "non-dropping-particle" : "", "parse-names" : false, "suffix" : "" }, { "dropping-particle" : "", "family" : "Consul", "given" : "Nikita", "non-dropping-particle" : "", "parse-names" : false, "suffix" : "" }, { "dropping-particle" : "", "family" : "Merajver", "given" : "Sofia D.", "non-dropping-particle" : "", "parse-names" : false, "suffix" : "" }, { "dropping-particle" : "", "family" : "Schnell", "given" : "Santiago", "non-dropping-particle" : "", "parse-names" : false, "suffix" : "" } ], "container-title" : "Integrative Biology", "id" : "ITEM-1", "issue" : "11", "issued" : { "date-parts" : [ [ "2012" ] ] }, "page" : "1323", "title" : "Logic-based models in systems biology: a predictive and parameter-free network analysis method", "type" : "article-journal", "volume" : "4" }, "uris" : [ "http://www.mendeley.com/documents/?uuid=5c3de400-5226-4ee4-8bfb-9a4015d37f34" ] }, { "id" : "ITEM-2", "itemData" : { "DOI" : "10.1038/nrg3885", "ISBN" : "1471-0056\\r1471-0064", "ISSN" : "14710064", "PMID" : "25645874", "abstract" : "Behaviours of complex biomolecular systems are often irreducible to the elementary properties of their individual components. Explanatory and predictive mathematical models are therefore useful for fully understanding and precisely engineering cellular functions. The development and analyses of these models require their adaptation to the problems that need to be solved and the type and amount of available genetic or molecular data. Quantitative and logic modelling are among the main methods currently used to model molecular and gene networks. Each approach comes with inherent advantages and weaknesses. Recent developments show that hybrid approaches will become essential for further progress in synthetic biology and in the development of virtual organisms.", "author" : [ { "dropping-particle" : "", "family" : "Novere", "given" : "Nicolas", "non-dropping-particle" : "Le", "parse-names" : false, "suffix" : "" } ], "container-title" : "Nature Reviews Genetics", "id" : "ITEM-2", "issue" : "3", "issued" : { "date-parts" : [ [ "2015" ] ] }, "page" : "146-158", "title" : "Quantitative and logic modelling of molecular and gene networks", "type" : "article-journal", "volume" : "16" }, "uris" : [ "http://www.mendeley.com/documents/?uuid=b88fb02d-0db7-4c30-be7f-70e0c3ff80ba" ] } ], "mendeley" : { "formattedCitation" : "&lt;sup&gt;&lt;sup&gt;39&lt;/sup&gt;,&lt;sup&gt;40&lt;/sup&gt;&lt;/sup&gt;", "plainTextFormattedCitation" : "39,40", "previouslyFormattedCitation" : "&lt;sup&gt;&lt;sup&gt;39&lt;/sup&gt;,&lt;sup&gt;40&lt;/sup&gt;&lt;/sup&gt;"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39,40</w:t>
      </w:r>
      <w:r w:rsidR="001731E8" w:rsidRPr="00383A89">
        <w:rPr>
          <w:lang w:val="en-GB"/>
        </w:rPr>
        <w:fldChar w:fldCharType="end"/>
      </w:r>
      <w:r w:rsidRPr="00383A89">
        <w:rPr>
          <w:lang w:val="en-GB"/>
        </w:rPr>
        <w:t xml:space="preserve"> These networks presume that the observed chemical species can take only two possible values, i.e. absent (0) or present (1). Boolean networks are thus only a rough and approximate description of the system under </w:t>
      </w:r>
      <w:r w:rsidRPr="00383A89">
        <w:rPr>
          <w:lang w:val="en-GB"/>
        </w:rPr>
        <w:lastRenderedPageBreak/>
        <w:t xml:space="preserve">study, but circumvent several problems of the approaches mentioned before. Boolean models can be established without any knowledge of kinetic parameter values and, when experimental data describing the system’s response in different conditions are available, also without the knowledge of exact mechanistic description of the system under study. Their structure can be in many cases inferred solely from the characterization of the system’s dynamical response (see e.g. </w:t>
      </w:r>
      <w:r w:rsidR="001731E8" w:rsidRPr="00383A89">
        <w:rPr>
          <w:lang w:val="en-GB"/>
        </w:rPr>
        <w:fldChar w:fldCharType="begin" w:fldLock="1"/>
      </w:r>
      <w:r w:rsidR="00E8653E">
        <w:rPr>
          <w:lang w:val="en-GB"/>
        </w:rPr>
        <w:instrText>ADDIN CSL_CITATION { "citationItems" : [ { "id" : "ITEM-1", "itemData" : { "DOI" : "10.2174/138920209789177584", "ISBN" : "1875-5488 (Electronic)\\r1389-2029 (Linking)", "ISSN" : "1875-5488", "PMID" : "20190953", "abstract" : "Computational modeling of genomic regulation has become an important focus of systems biology and genomic signal processing for the past several years. It holds the promise to uncover both the structure and dynamical properties of the complex gene, protein or metabolic networks responsible for the cell functioning in various contexts and regimes. This, in turn, will lead to the development of optimal intervention strategies for prevention and control of disease. At the same time, constructing such computational models faces several challenges. High complexity is one of the major impediments for the practical applications of the models. Thus, reducing the size/complexity of a model becomes a critical issue in problems such as model selection, construction of tractable subnetwork models, and control of its dynamical behavior. We focus on the reduction problem in the context of two specific models of genomic regulation: Boolean networks with perturbation (BN(P)) and probabilistic Boolean networks (PBN). We also compare and draw a parallel between the reduction problem and two other important problems of computational modeling of genomic networks: the problem of network inference and the problem of designing external control policies for intervention/altering the dynamics of the model.", "author" : [ { "dropping-particle" : "", "family" : "Ivanov", "given" : "Ivan", "non-dropping-particle" : "", "parse-names" : false, "suffix" : "" } ], "container-title" : "Current Genomics", "id" : "ITEM-1", "issue" : "6", "issued" : { "date-parts" : [ [ "2009" ] ] }, "page" : "375-87", "title" : "Boolean models of genomic regulatory networks: reduction mappings, inference, and external control", "type" : "article-journal", "volume" : "10" }, "uris" : [ "http://www.mendeley.com/documents/?uuid=f9a0921d-6276-4c0c-9ef3-be994a409826" ] }, { "id" : "ITEM-2", "itemData" : { "DOI" : "10.1093/bioinformatics/btm021", "ISBN" : "1367-4811 (Electronic)\\r1367-4803 (Linking)", "ISSN" : "13674803", "PMID" : "17267426", "abstract" : "MOTIVATION: Methods available for the inference of genetic regulatory networks strive to produce a single network, usually by optimizing some quantity to fit the experimental observations. In this article we investigate the possibility that multiple networks can be inferred, all resulting in similar dynamics. This idea is motivated by theoretical work which suggests that biological networks are robust and adaptable to change, and that the overall behavior of a genetic regulatory network might be captured in terms of dynamical basins of attraction. RESULTS: We have developed and implemented a method for inferring genetic regulatory networks for time series microarray data. Our method first clusters and discretizes the gene expression data using k-means and support vector regression. We then enumerate Boolean activation-inhibition networks to match the discretized data. Finally, the dynamics of the Boolean networks are examined. We have tested our method on two immunology microarray datasets: an IL-2-stimulated T cell response dataset and a LPS-stimulated macrophage response dataset. In both cases, we discovered that many networks matched the data, and that most of these networks had similar dynamics. SUPPLEMENTARY INFORMATION: Supplementary data are available at Bioinformatics online.", "author" : [ { "dropping-particle" : "", "family" : "Martin", "given" : "Shawn", "non-dropping-particle" : "", "parse-names" : false, "suffix" : "" }, { "dropping-particle" : "", "family" : "Zhang", "given" : "Zhaoduo", "non-dropping-particle" : "", "parse-names" : false, "suffix" : "" }, { "dropping-particle" : "", "family" : "Martino", "given" : "Anthony", "non-dropping-particle" : "", "parse-names" : false, "suffix" : "" }, { "dropping-particle" : "", "family" : "Faulon", "given" : "Jean Loup", "non-dropping-particle" : "", "parse-names" : false, "suffix" : "" } ], "container-title" : "Bioinformatics", "id" : "ITEM-2", "issue" : "7", "issued" : { "date-parts" : [ [ "2007" ] ] }, "page" : "866-874", "title" : "Boolean dynamics of genetic regulatory networks inferred from microarray time series data", "type" : "article-journal", "volume" : "23" }, "uris" : [ "http://www.mendeley.com/documents/?uuid=7fd07393-c68b-499c-b625-5470b3171516" ] } ], "mendeley" : { "formattedCitation" : "&lt;sup&gt;&lt;sup&gt;41&lt;/sup&gt;,&lt;sup&gt;42&lt;/sup&gt;&lt;/sup&gt;", "plainTextFormattedCitation" : "41,42", "previouslyFormattedCitation" : "&lt;sup&gt;&lt;sup&gt;41&lt;/sup&gt;,&lt;sup&gt;42&lt;/sup&gt;&lt;/sup&gt;"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41,42</w:t>
      </w:r>
      <w:r w:rsidR="001731E8" w:rsidRPr="00383A89">
        <w:rPr>
          <w:lang w:val="en-GB"/>
        </w:rPr>
        <w:fldChar w:fldCharType="end"/>
      </w:r>
      <w:r w:rsidRPr="00383A89">
        <w:rPr>
          <w:lang w:val="en-GB"/>
        </w:rPr>
        <w:t>).</w:t>
      </w:r>
    </w:p>
    <w:p w14:paraId="7CECA746" w14:textId="67886606" w:rsidR="00F3530F" w:rsidRPr="00383A89" w:rsidRDefault="00F3530F" w:rsidP="00F3530F">
      <w:pPr>
        <w:rPr>
          <w:lang w:val="en-GB"/>
        </w:rPr>
      </w:pPr>
      <w:r w:rsidRPr="00383A89">
        <w:rPr>
          <w:lang w:val="en-GB"/>
        </w:rPr>
        <w:t xml:space="preserve">Genome-scale metabolic models (GEMs) describe the </w:t>
      </w:r>
      <w:r w:rsidRPr="00383A89">
        <w:rPr>
          <w:i/>
          <w:lang w:val="en-GB"/>
        </w:rPr>
        <w:t xml:space="preserve">in silico </w:t>
      </w:r>
      <w:r w:rsidRPr="00383A89">
        <w:rPr>
          <w:lang w:val="en-GB"/>
        </w:rPr>
        <w:t>relations between the organism’s genome and its metabolic phenotype</w:t>
      </w:r>
      <w:r w:rsidR="00A34EF8">
        <w:rPr>
          <w:lang w:val="en-GB"/>
        </w:rPr>
        <w:t>.</w:t>
      </w:r>
      <w:r w:rsidR="001731E8" w:rsidRPr="00383A89">
        <w:rPr>
          <w:lang w:val="en-GB"/>
        </w:rPr>
        <w:fldChar w:fldCharType="begin" w:fldLock="1"/>
      </w:r>
      <w:r w:rsidR="00E8653E">
        <w:rPr>
          <w:lang w:val="en-GB"/>
        </w:rPr>
        <w:instrText>ADDIN CSL_CITATION { "citationItems" : [ { "id" : "ITEM-1", "itemData" : { "DOI" : "10.1016/j.cell.2015.05.019", "ISBN" : "0092-8674", "ISSN" : "10974172", "PMID" : "26000478", "abstract" : "Constraint-based reconstruction and analysis (COBRA) methods at the genome scale have been under development since the first whole-genome sequences appeared in the mid-1990s. A few years ago, this approach began to demonstrate the ability to predict a range of cellular functions, including cellular growth capabilities on various substrates and the effect of gene knockouts at the genome scale. Thus, much interest has developed in understanding and applying these methods to areas such as metabolic engineering, antibiotic design, and organismal and enzyme evolution. This Primer will get you started.", "author" : [ { "dropping-particle" : "", "family" : "O'Brien", "given" : "Edward J.", "non-dropping-particle" : "", "parse-names" : false, "suffix" : "" }, { "dropping-particle" : "", "family" : "Monk", "given" : "Jonathan M.", "non-dropping-particle" : "", "parse-names" : false, "suffix" : "" }, { "dropping-particle" : "", "family" : "Palsson", "given" : "Bernhard O.", "non-dropping-particle" : "", "parse-names" : false, "suffix" : "" } ], "container-title" : "Cell", "id" : "ITEM-1", "issue" : "5", "issued" : { "date-parts" : [ [ "2015" ] ] }, "page" : "971-987", "title" : "Using genome-scale models to predict biological capabilities", "type" : "article-journal", "volume" : "161" }, "uris" : [ "http://www.mendeley.com/documents/?uuid=26d4314e-2bea-4f99-84c9-8898eb13c53f" ] } ], "mendeley" : { "formattedCitation" : "&lt;sup&gt;&lt;sup&gt;38&lt;/sup&gt;&lt;/sup&gt;", "plainTextFormattedCitation" : "38", "previouslyFormattedCitation" : "&lt;sup&gt;&lt;sup&gt;38&lt;/sup&gt;&lt;/sup&gt;"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38</w:t>
      </w:r>
      <w:r w:rsidR="001731E8" w:rsidRPr="00383A89">
        <w:rPr>
          <w:lang w:val="en-GB"/>
        </w:rPr>
        <w:fldChar w:fldCharType="end"/>
      </w:r>
      <w:r w:rsidRPr="00383A89">
        <w:rPr>
          <w:lang w:val="en-GB"/>
        </w:rPr>
        <w:t xml:space="preserve"> In these models, the organism’s genome and its annotations are applied to the reconstruction of stoichiometric description of the metabolism</w:t>
      </w:r>
      <w:r w:rsidR="00A34EF8">
        <w:rPr>
          <w:lang w:val="en-GB"/>
        </w:rPr>
        <w:t>.</w:t>
      </w:r>
      <w:r w:rsidR="001731E8" w:rsidRPr="00383A89">
        <w:rPr>
          <w:lang w:val="en-GB"/>
        </w:rPr>
        <w:fldChar w:fldCharType="begin" w:fldLock="1"/>
      </w:r>
      <w:r w:rsidR="00BE1F05">
        <w:rPr>
          <w:lang w:val="en-GB"/>
        </w:rPr>
        <w:instrText>ADDIN CSL_CITATION { "citationItems" : [ { "id" : "ITEM-1", "itemData" : { "DOI" : "10.1016/j.compbiomed.2017.07.005", "ISSN" : "18790534", "PMID" : "28732234", "abstract" : "Genome-scale metabolic models (GEMs) have become increasingly important in recent years. Currently, GEMs are the most accurate in silico representation of the genotype-phenotype link. They allow us to study complex networks from the systems perspective. Their application may drastically reduce the amount of experimental and clinical work, improve diagnostic tools and increase our understanding of complex biological phenomena. GEMs have also demonstrated high potential for the optimisation of bio-based production of recombinant proteins. Herein, we review the basic concepts, methods, resources and software tools used for the reconstruction and application of GEMs. We overview the evolution of the modelling efforts devoted to the metabolism of Chinese Hamster Ovary (CHO) cells. We present a case study on CHO cell metabolism under different amino acid depletions. This leads us to the identification of the most influential as well as essential amino acids in selected CHO cell lines.", "author" : [ { "dropping-particle" : "", "family" : "Rejc", "given" : "\u017diva", "non-dropping-particle" : "", "parse-names" : false, "suffix" : "" }, { "dropping-particle" : "", "family" : "Magdevska", "given" : "Lidija", "non-dropping-particle" : "", "parse-names" : false, "suffix" : "" }, { "dropping-particle" : "", "family" : "Tr\u0161eli\u010d", "given" : "Tilen", "non-dropping-particle" : "", "parse-names" : false, "suffix" : "" }, { "dropping-particle" : "", "family" : "Osolin", "given" : "Timotej", "non-dropping-particle" : "", "parse-names" : false, "suffix" : "" }, { "dropping-particle" : "", "family" : "Vodopivec", "given" : "Rok", "non-dropping-particle" : "", "parse-names" : false, "suffix" : "" }, { "dropping-particle" : "", "family" : "Mraz", "given" : "Jakob", "non-dropping-particle" : "", "parse-names" : false, "suffix" : "" }, { "dropping-particle" : "", "family" : "Pavliha", "given" : "Eva", "non-dropping-particle" : "", "parse-names" : false, "suffix" : "" }, { "dropping-particle" : "", "family" : "Zimic", "given" : "Nikolaj", "non-dropping-particle" : "", "parse-names" : false, "suffix" : "" }, { "dropping-particle" : "", "family" : "Cvitanovi\u0107", "given" : "Tanja", "non-dropping-particle" : "", "parse-names" : false, "suffix" : "" }, { "dropping-particle" : "", "family" : "Rozman", "given" : "Damjana", "non-dropping-particle" : "", "parse-names" : false, "suffix" : "" }, { "dropping-particle" : "", "family" : "Mo\u0161kon", "given" : "Miha", "non-dropping-particle" : "", "parse-names" : false, "suffix" : "" }, { "dropping-particle" : "", "family" : "Mraz", "given" : "Miha", "non-dropping-particle" : "", "parse-names" : false, "suffix" : "" } ], "container-title" : "Computers in Biology and Medicine", "id" : "ITEM-1", "issued" : { "date-parts" : [ [ "2017" ] ] }, "page" : "150-160", "title" : "Computational modelling of genome-scale metabolic networks and its application to CHO cell cultures", "type" : "article-journal", "volume" : "88" }, "uris" : [ "http://www.mendeley.com/documents/?uuid=6d68aeb9-04fd-4b48-a3d0-e9cd6c2436e6" ] } ], "mendeley" : { "formattedCitation" : "&lt;sup&gt;&lt;sup&gt;43&lt;/sup&gt;&lt;/sup&gt;", "plainTextFormattedCitation" : "43", "previouslyFormattedCitation" : "&lt;sup&gt;&lt;sup&gt;43&lt;/sup&gt;&lt;/sup&gt;"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43</w:t>
      </w:r>
      <w:r w:rsidR="001731E8" w:rsidRPr="00383A89">
        <w:rPr>
          <w:lang w:val="en-GB"/>
        </w:rPr>
        <w:fldChar w:fldCharType="end"/>
      </w:r>
      <w:r w:rsidRPr="00383A89">
        <w:rPr>
          <w:lang w:val="en-GB"/>
        </w:rPr>
        <w:t xml:space="preserve"> GEMs have already been established for simple prokaryotic organisms (see e.g.</w:t>
      </w:r>
      <w:r w:rsidR="001731E8" w:rsidRPr="00383A89">
        <w:rPr>
          <w:lang w:val="en-GB"/>
        </w:rPr>
        <w:t xml:space="preserve"> </w:t>
      </w:r>
      <w:r w:rsidR="001731E8" w:rsidRPr="00383A89">
        <w:rPr>
          <w:lang w:val="en-GB"/>
        </w:rPr>
        <w:fldChar w:fldCharType="begin" w:fldLock="1"/>
      </w:r>
      <w:r w:rsidR="00BE1F05">
        <w:rPr>
          <w:lang w:val="en-GB"/>
        </w:rPr>
        <w:instrText>ADDIN CSL_CITATION { "citationItems" : [ { "id" : "ITEM-1", "itemData" : { "DOI" : "10.1038/msb.2011.65", "ISBN" : "1744-4292 (Electronic) 1744-4292 (Linking)", "ISSN" : "17444292", "PMID" : "21988831", "abstract" : "The initial genome-scale reconstruction of the metabolic network of Escherichia coli K-12 MG1655 was assembled in 2000. It has been updated and periodically released since then based on new and curated genomic and biochemical knowledge. An update has now been built, named iJO1366, which accounts for 1366 genes, 2251 metabolic reactions, and 1136 unique metabolites. iJO1366 was (1) updated in part using a new experimental screen of 1075 gene knockout strains, illuminating cases where alternative pathways and isozymes are yet to be discovered, (2) compared with its predecessor and to experimental data sets to confirm that it continues to make accurate phenotypic predictions of growth on different substrates and for gene knockout strains, and (3) mapped to the genomes of all available sequenced E. coli strains, including pathogens, leading to the identification of hundreds of unannotated genes in these organisms. Like its predecessors, the iJO1366 reconstruction is expected to be widely deployed for studying the systems biology of E. coli and for metabolic engineering applications.", "author" : [ { "dropping-particle" : "", "family" : "Orth", "given" : "Jeffrey D.", "non-dropping-particle" : "", "parse-names" : false, "suffix" : "" }, { "dropping-particle" : "", "family" : "Conrad", "given" : "Tom M.", "non-dropping-particle" : "", "parse-names" : false, "suffix" : "" }, { "dropping-particle" : "", "family" : "Na", "given" : "Jessica", "non-dropping-particle" : "", "parse-names" : false, "suffix" : "" }, { "dropping-particle" : "", "family" : "Lerman", "given" : "Joshua A.", "non-dropping-particle" : "", "parse-names" : false, "suffix" : "" }, { "dropping-particle" : "", "family" : "Nam", "given" : "Hojung", "non-dropping-particle" : "", "parse-names" : false, "suffix" : "" }, { "dropping-particle" : "", "family" : "Feist", "given" : "Adam M.", "non-dropping-particle" : "", "parse-names" : false, "suffix" : "" }, { "dropping-particle" : "", "family" : "Palsson", "given" : "Bernhard", "non-dropping-particle" : "", "parse-names" : false, "suffix" : "" } ], "container-title" : "Molecular Systems Biology", "id" : "ITEM-1", "issue" : "7", "issued" : { "date-parts" : [ [ "2011" ] ] }, "page" : "535", "title" : "A comprehensive genome-scale reconstruction of Escherichia coli metabolism", "type" : "article-journal", "volume" : "11" }, "uris" : [ "http://www.mendeley.com/documents/?uuid=fe3e99dc-4d60-4c24-806e-5b7e38b44bb4" ] } ], "mendeley" : { "formattedCitation" : "&lt;sup&gt;&lt;sup&gt;44&lt;/sup&gt;&lt;/sup&gt;", "plainTextFormattedCitation" : "44", "previouslyFormattedCitation" : "&lt;sup&gt;&lt;sup&gt;44&lt;/sup&gt;&lt;/sup&gt;"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44</w:t>
      </w:r>
      <w:r w:rsidR="001731E8" w:rsidRPr="00383A89">
        <w:rPr>
          <w:lang w:val="en-GB"/>
        </w:rPr>
        <w:fldChar w:fldCharType="end"/>
      </w:r>
      <w:r w:rsidRPr="00383A89">
        <w:rPr>
          <w:lang w:val="en-GB"/>
        </w:rPr>
        <w:t>) as well as for humans</w:t>
      </w:r>
      <w:r w:rsidR="001731E8" w:rsidRPr="00383A89">
        <w:rPr>
          <w:lang w:val="en-GB"/>
        </w:rPr>
        <w:fldChar w:fldCharType="begin" w:fldLock="1"/>
      </w:r>
      <w:r w:rsidR="001C27E1">
        <w:rPr>
          <w:lang w:val="en-GB"/>
        </w:rPr>
        <w:instrText>ADDIN CSL_CITATION { "citationItems" : [ { "id" : "ITEM-1", "itemData" : { "DOI" : "10.1038/nbt.4072", "ISSN" : "15461696", "PMID" : "29457794", "abstract" : "Large-scale integration of metabolite and protein structural data with existing networks of human metabolism provides insights into gene function and how drugs affect metabolic response.", "author" : [ { "dropping-particle" : "", "family" : "Brunk", "given" : "Elizabeth", "non-dropping-particle" : "", "parse-names" : false, "suffix" : "" }, { "dropping-particle" : "", "family" : "Sahoo", "given" : "Swagatika", "non-dropping-particle" : "", "parse-names" : false, "suffix" : "" }, { "dropping-particle" : "", "family" : "Zielinski", "given" : "Daniel C.", "non-dropping-particle" : "", "parse-names" : false, "suffix" : "" }, { "dropping-particle" : "", "family" : "Altunkaya", "given" : "Ali", "non-dropping-particle" : "", "parse-names" : false, "suffix" : "" }, { "dropping-particle" : "", "family" : "Dr\u00e4ger", "given" : "Andreas", "non-dropping-particle" : "", "parse-names" : false, "suffix" : "" }, { "dropping-particle" : "", "family" : "Mih", "given" : "Nathan", "non-dropping-particle" : "", "parse-names" : false, "suffix" : "" }, { "dropping-particle" : "", "family" : "Gatto", "given" : "Francesco", "non-dropping-particle" : "", "parse-names" : false, "suffix" : "" }, { "dropping-particle" : "", "family" : "Nilsson", "given" : "Avlant", "non-dropping-particle" : "", "parse-names" : false, "suffix" : "" }, { "dropping-particle" : "", "family" : "Preciat Gonzalez", "given" : "German Andres", "non-dropping-particle" : "", "parse-names" : false, "suffix" : "" }, { "dropping-particle" : "", "family" : "Aurich", "given" : "Maike Kathrin", "non-dropping-particle" : "", "parse-names" : false, "suffix" : "" }, { "dropping-particle" : "", "family" : "Prlic", "given" : "Andreas", "non-dropping-particle" : "", "parse-names" : false, "suffix" : "" }, { "dropping-particle" : "", "family" : "Sastry", "given" : "Anand", "non-dropping-particle" : "", "parse-names" : false, "suffix" : "" }, { "dropping-particle" : "", "family" : "Danielsdottir", "given" : "Anna D.", "non-dropping-particle" : "", "parse-names" : false, "suffix" : "" }, { "dropping-particle" : "", "family" : "Heinken", "given" : "Almut", "non-dropping-particle" : "", "parse-names" : false, "suffix" : "" }, { "dropping-particle" : "", "family" : "Noronha", "given" : "Alberto", "non-dropping-particle" : "", "parse-names" : false, "suffix" : "" }, { "dropping-particle" : "", "family" : "Rose", "given" : "Peter W.", "non-dropping-particle" : "", "parse-names" : false, "suffix" : "" }, { "dropping-particle" : "", "family" : "Burley", "given" : "Stephen K.", "non-dropping-particle" : "", "parse-names" : false, "suffix" : "" }, { "dropping-particle" : "", "family" : "Fleming", "given" : "Ronan M.T.", "non-dropping-particle" : "", "parse-names" : false, "suffix" : "" }, { "dropping-particle" : "", "family" : "Nielsen", "given" : "Jens", "non-dropping-particle" : "", "parse-names" : false, "suffix" : "" }, { "dropping-particle" : "", "family" : "Thiele", "given" : "Ines", "non-dropping-particle" : "", "parse-names" : false, "suffix" : "" }, { "dropping-particle" : "", "family" : "Palsson", "given" : "Bernhard O.", "non-dropping-particle" : "", "parse-names" : false, "suffix" : "" } ], "container-title" : "Nature Biotechnology", "id" : "ITEM-1", "issue" : "3", "issued" : { "date-parts" : [ [ "2018" ] ] }, "page" : "272-281", "title" : "Recon3D enables a three-dimensional view of gene variation in human metabolism", "type" : "article-journal", "volume" : "36" }, "uris" : [ "http://www.mendeley.com/documents/?uuid=bcd750be-79f3-4688-a733-7c853aa3f06e" ] } ], "mendeley" : { "formattedCitation" : "&lt;sup&gt;&lt;sup&gt;17&lt;/sup&gt;&lt;/sup&gt;", "plainTextFormattedCitation" : "17", "previouslyFormattedCitation" : "&lt;sup&gt;&lt;sup&gt;17&lt;/sup&gt;&lt;/sup&gt;" }, "properties" : { "noteIndex" : 0 }, "schema" : "https://github.com/citation-style-language/schema/raw/master/csl-citation.json" }</w:instrText>
      </w:r>
      <w:r w:rsidR="001731E8" w:rsidRPr="00383A89">
        <w:rPr>
          <w:lang w:val="en-GB"/>
        </w:rPr>
        <w:fldChar w:fldCharType="separate"/>
      </w:r>
      <w:r w:rsidR="00A34EF8" w:rsidRPr="00A34EF8">
        <w:rPr>
          <w:noProof/>
          <w:vertAlign w:val="superscript"/>
          <w:lang w:val="en-GB"/>
        </w:rPr>
        <w:t>17</w:t>
      </w:r>
      <w:r w:rsidR="001731E8" w:rsidRPr="00383A89">
        <w:rPr>
          <w:lang w:val="en-GB"/>
        </w:rPr>
        <w:fldChar w:fldCharType="end"/>
      </w:r>
      <w:r w:rsidRPr="00383A89">
        <w:rPr>
          <w:lang w:val="en-GB"/>
        </w:rPr>
        <w:t xml:space="preserve"> and other eukaryotes (see e.g. </w:t>
      </w:r>
      <w:r w:rsidR="001731E8" w:rsidRPr="00383A89">
        <w:rPr>
          <w:lang w:val="en-GB"/>
        </w:rPr>
        <w:fldChar w:fldCharType="begin" w:fldLock="1"/>
      </w:r>
      <w:r w:rsidR="00E8653E">
        <w:rPr>
          <w:lang w:val="en-GB"/>
        </w:rPr>
        <w:instrText>ADDIN CSL_CITATION { "citationItems" : [ { "id" : "ITEM-1", "itemData" : { "DOI" : "10.1039/C5IB00083A", "ISBN" : "1757-9708", "ISSN" : "1757-9694", "PMID" : "26079294", "abstract" : "&lt;p&gt;We review genome scale models of yeast, how are they typically evaluated, and how can they be integrated with omic data.&lt;/p&gt;", "author" : [ { "dropping-particle" : "", "family" : "S\u00e1nchez", "given" : "Benjam\u00edn J.", "non-dropping-particle" : "", "parse-names" : false, "suffix" : "" }, { "dropping-particle" : "", "family" : "Nielsen", "given" : "Jens", "non-dropping-particle" : "", "parse-names" : false, "suffix" : "" } ], "container-title" : "Integr. Biol.", "id" : "ITEM-1", "issue" : "8", "issued" : { "date-parts" : [ [ "2015" ] ] }, "page" : "846-858", "title" : "Genome scale models of yeast: towards standardized evaluation and consistent omic integration", "type" : "article-journal", "volume" : "7" }, "uris" : [ "http://www.mendeley.com/documents/?uuid=5a9dc40f-c7c4-4f23-bb44-a6286d948867" ] } ], "mendeley" : { "formattedCitation" : "&lt;sup&gt;&lt;sup&gt;45&lt;/sup&gt;&lt;/sup&gt;", "plainTextFormattedCitation" : "45", "previouslyFormattedCitation" : "&lt;sup&gt;&lt;sup&gt;45&lt;/sup&gt;&lt;/sup&gt;"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45</w:t>
      </w:r>
      <w:r w:rsidR="001731E8" w:rsidRPr="00383A89">
        <w:rPr>
          <w:lang w:val="en-GB"/>
        </w:rPr>
        <w:fldChar w:fldCharType="end"/>
      </w:r>
      <w:r w:rsidR="001731E8" w:rsidRPr="00383A89">
        <w:rPr>
          <w:lang w:val="en-GB"/>
        </w:rPr>
        <w:t xml:space="preserve"> and </w:t>
      </w:r>
      <w:r w:rsidR="001731E8" w:rsidRPr="00383A89">
        <w:rPr>
          <w:lang w:val="en-GB"/>
        </w:rPr>
        <w:fldChar w:fldCharType="begin" w:fldLock="1"/>
      </w:r>
      <w:r w:rsidR="008C6299">
        <w:rPr>
          <w:lang w:val="en-GB"/>
        </w:rPr>
        <w:instrText>ADDIN CSL_CITATION { "citationItems" : [ { "id" : "ITEM-1", "itemData" : { "DOI" : "10.1016/j.cels.2016.10.020", "ISBN" : "1111111111", "ISSN" : "24054720", "PMID" : "27883890", "abstract" : "Chinese hamster ovary (CHO) cells dominate biotherapeutic protein production and are widely used in mammalian cell line engineering research. To elucidate metabolic bottlenecks in protein production and to guide cell engineering and bioprocess optimization, we reconstructed the metabolic pathways in CHO and associated them with &gt;1,700 genes in the Cricetulus griseus genome. The genome-scale metabolic model based on this reconstruction, iCHO1766, and cell-line-specific models for CHO-K1, CHO-S, and CHO-DG44 cells provide the biochemical basis of growth and recombinant protein production. The models accurately predict growth phenotypes and known auxotrophies in CHO cells. With the models, we quantify the protein synthesis capacity of CHO cells and demonstrate that common bioprocess treatments, such as histone deacetylase inhibitors, inefficiently increase product yield. However, our simulations show that the metabolic resources in CHO are more than three times more efficiently utilized for growth or recombinant protein synthesis following targeted efforts to engineer the CHO secretory pathway. This model will further accelerate CHO cell engineering and help optimize bioprocesses.", "author" : [ { "dropping-particle" : "", "family" : "Hefzi", "given" : "Hooman", "non-dropping-particle" : "", "parse-names" : false, "suffix" : "" }, { "dropping-particle" : "", "family" : "Ang", "given" : "Kok Siong", "non-dropping-particle" : "", "parse-names" : false, "suffix" : "" }, { "dropping-particle" : "", "family" : "Hanscho", "given" : "Michael", "non-dropping-particle" : "", "parse-names" : false, "suffix" : "" }, { "dropping-particle" : "", "family" : "Bordbar", "given" : "Aarash", "non-dropping-particle" : "", "parse-names" : false, "suffix" : "" }, { "dropping-particle" : "", "family" : "Ruckerbauer", "given" : "David", "non-dropping-particle" : "", "parse-names" : false, "suffix" : "" }, { "dropping-particle" : "", "family" : "Lakshmanan", "given" : "Meiyappan", "non-dropping-particle" : "", "parse-names" : false, "suffix" : "" }, { "dropping-particle" : "", "family" : "Orellana", "given" : "Camila A.", "non-dropping-particle" : "", "parse-names" : false, "suffix" : "" }, { "dropping-particle" : "", "family" : "Baycin-Hizal", "given" : "Deniz", "non-dropping-particle" : "", "parse-names" : false, "suffix" : "" }, { "dropping-particle" : "", "family" : "Huang", "given" : "Yingxiang", "non-dropping-particle" : "", "parse-names" : false, "suffix" : "" }, { "dropping-particle" : "", "family" : "Ley", "given" : "Daniel", "non-dropping-particle" : "", "parse-names" : false, "suffix" : "" }, { "dropping-particle" : "", "family" : "Martinez", "given" : "Veronica S.", "non-dropping-particle" : "", "parse-names" : false, "suffix" : "" }, { "dropping-particle" : "", "family" : "Kyriakopoulos", "given" : "Sarantos", "non-dropping-particle" : "", "parse-names" : false, "suffix" : "" }, { "dropping-particle" : "", "family" : "Jim\u00e9nez", "given" : "Natalia E.", "non-dropping-particle" : "", "parse-names" : false, "suffix" : "" }, { "dropping-particle" : "", "family" : "Zielinski", "given" : "Daniel C.", "non-dropping-particle" : "", "parse-names" : false, "suffix" : "" }, { "dropping-particle" : "", "family" : "Quek", "given" : "Lake Ee", "non-dropping-particle" : "", "parse-names" : false, "suffix" : "" }, { "dropping-particle" : "", "family" : "Wulff", "given" : "Tune", "non-dropping-particle" : "", "parse-names" : false, "suffix" : "" }, { "dropping-particle" : "", "family" : "Arnsdorf", "given" : "Johnny", "non-dropping-particle" : "", "parse-names" : false, "suffix" : "" }, { "dropping-particle" : "", "family" : "Li", "given" : "Shangzhong", "non-dropping-particle" : "", "parse-names" : false, "suffix" : "" }, { "dropping-particle" : "", "family" : "Lee", "given" : "Jae Seong", "non-dropping-particle" : "", "parse-names" : false, "suffix" : "" }, { "dropping-particle" : "", "family" : "Paglia", "given" : "Giuseppe", "non-dropping-particle" : "", "parse-names" : false, "suffix" : "" }, { "dropping-particle" : "", "family" : "Loira", "given" : "Nicolas", "non-dropping-particle" : "", "parse-names" : false, "suffix" : "" }, { "dropping-particle" : "", "family" : "Spahn", "given" : "Philipp N.", "non-dropping-particle" : "", "parse-names" : false, "suffix" : "" }, { "dropping-particle" : "", "family" : "Pedersen", "given" : "Lasse E.", "non-dropping-particle" : "", "parse-names" : false, "suffix" : "" }, { "dropping-particle" : "", "family" : "Gutierrez", "given" : "Jahir M.", "non-dropping-particle" : "", "parse-names" : false, "suffix" : "" }, { "dropping-particle" : "", "family" : "King", "given" : "Zachary A.", "non-dropping-particle" : "", "parse-names" : false, "suffix" : "" }, { "dropping-particle" : "", "family" : "Lund", "given" : "Anne Mathilde", "non-dropping-particle" : "", "parse-names" : false, "suffix" : "" }, { "dropping-particle" : "", "family" : "Nagarajan", "given" : "Harish", "non-dropping-particle" : "", "parse-names" : false, "suffix" : "" }, { "dropping-particle" : "", "family" : "Thomas", "given" : "Alex", "non-dropping-particle" : "", "parse-names" : false, "suffix" : "" }, { "dropping-particle" : "", "family" : "Abdel-Haleem", "given" : "Alyaa M.", "non-dropping-particle" : "", "parse-names" : false, "suffix" : "" }, { "dropping-particle" : "", "family" : "Zanghellini", "given" : "Juergen", "non-dropping-particle" : "", "parse-names" : false, "suffix" : "" }, { "dropping-particle" : "", "family" : "Kildegaard", "given" : "Helene F.", "non-dropping-particle" : "", "parse-names" : false, "suffix" : "" }, { "dropping-particle" : "", "family" : "Voldborg", "given" : "Bj\u00f8rn G.", "non-dropping-particle" : "", "parse-names" : false, "suffix" : "" }, { "dropping-particle" : "", "family" : "Gerdtzen", "given" : "Ziomara P.", "non-dropping-particle" : "", "parse-names" : false, "suffix" : "" }, { "dropping-particle" : "", "family" : "Betenbaugh", "given" : "Michael J.", "non-dropping-particle" : "", "parse-names" : false, "suffix" : "" }, { "dropping-particle" : "", "family" : "Palsson", "given" : "Bernhard O.", "non-dropping-particle" : "", "parse-names" : false, "suffix" : "" }, { "dropping-particle" : "", "family" : "Andersen", "given" : "Mikael R.", "non-dropping-particle" : "", "parse-names" : false, "suffix" : "" }, { "dropping-particle" : "", "family" : "Nielsen", "given" : "Lars K.", "non-dropping-particle" : "", "parse-names" : false, "suffix" : "" }, { "dropping-particle" : "", "family" : "Borth", "given" : "Nicole", "non-dropping-particle" : "", "parse-names" : false, "suffix" : "" }, { "dropping-particle" : "", "family" : "Lee", "given" : "Dong Yup", "non-dropping-particle" : "", "parse-names" : false, "suffix" : "" }, { "dropping-particle" : "", "family" : "Lewis", "given" : "Nathan E.", "non-dropping-particle" : "", "parse-names" : false, "suffix" : "" } ], "container-title" : "Cell Systems", "id" : "ITEM-1", "issue" : "5", "issued" : { "date-parts" : [ [ "2016" ] ] }, "page" : "434-443", "title" : "A Consensus Genome-scale Reconstruction of Chinese Hamster Ovary Cell Metabolism", "type" : "article-journal", "volume" : "3" }, "uris" : [ "http://www.mendeley.com/documents/?uuid=aa627cbd-2c5a-4cf4-945d-941b30f62e40" ] } ], "mendeley" : { "formattedCitation" : "&lt;sup&gt;&lt;sup&gt;46&lt;/sup&gt;&lt;/sup&gt;", "plainTextFormattedCitation" : "46", "previouslyFormattedCitation" : "&lt;sup&gt;&lt;sup&gt;46&lt;/sup&gt;&lt;/sup&gt;"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46</w:t>
      </w:r>
      <w:r w:rsidR="001731E8" w:rsidRPr="00383A89">
        <w:rPr>
          <w:lang w:val="en-GB"/>
        </w:rPr>
        <w:fldChar w:fldCharType="end"/>
      </w:r>
      <w:r w:rsidRPr="00383A89">
        <w:rPr>
          <w:lang w:val="en-GB"/>
        </w:rPr>
        <w:t xml:space="preserve">). These models represent the general metabolism encoded within the genome of the organism under study and can be further refined to reflect experimental data observed in different environmental conditions, in different cell strains (see e.g. </w:t>
      </w:r>
      <w:r w:rsidR="001731E8" w:rsidRPr="00383A89">
        <w:rPr>
          <w:lang w:val="en-GB"/>
        </w:rPr>
        <w:fldChar w:fldCharType="begin" w:fldLock="1"/>
      </w:r>
      <w:r w:rsidR="008C6299">
        <w:rPr>
          <w:lang w:val="en-GB"/>
        </w:rPr>
        <w:instrText>ADDIN CSL_CITATION { "citationItems" : [ { "id" : "ITEM-1", "itemData" : { "DOI" : "10.1016/j.cels.2016.10.020", "ISBN" : "1111111111", "ISSN" : "24054720", "PMID" : "27883890", "abstract" : "Chinese hamster ovary (CHO) cells dominate biotherapeutic protein production and are widely used in mammalian cell line engineering research. To elucidate metabolic bottlenecks in protein production and to guide cell engineering and bioprocess optimization, we reconstructed the metabolic pathways in CHO and associated them with &gt;1,700 genes in the Cricetulus griseus genome. The genome-scale metabolic model based on this reconstruction, iCHO1766, and cell-line-specific models for CHO-K1, CHO-S, and CHO-DG44 cells provide the biochemical basis of growth and recombinant protein production. The models accurately predict growth phenotypes and known auxotrophies in CHO cells. With the models, we quantify the protein synthesis capacity of CHO cells and demonstrate that common bioprocess treatments, such as histone deacetylase inhibitors, inefficiently increase product yield. However, our simulations show that the metabolic resources in CHO are more than three times more efficiently utilized for growth or recombinant protein synthesis following targeted efforts to engineer the CHO secretory pathway. This model will further accelerate CHO cell engineering and help optimize bioprocesses.", "author" : [ { "dropping-particle" : "", "family" : "Hefzi", "given" : "Hooman", "non-dropping-particle" : "", "parse-names" : false, "suffix" : "" }, { "dropping-particle" : "", "family" : "Ang", "given" : "Kok Siong", "non-dropping-particle" : "", "parse-names" : false, "suffix" : "" }, { "dropping-particle" : "", "family" : "Hanscho", "given" : "Michael", "non-dropping-particle" : "", "parse-names" : false, "suffix" : "" }, { "dropping-particle" : "", "family" : "Bordbar", "given" : "Aarash", "non-dropping-particle" : "", "parse-names" : false, "suffix" : "" }, { "dropping-particle" : "", "family" : "Ruckerbauer", "given" : "David", "non-dropping-particle" : "", "parse-names" : false, "suffix" : "" }, { "dropping-particle" : "", "family" : "Lakshmanan", "given" : "Meiyappan", "non-dropping-particle" : "", "parse-names" : false, "suffix" : "" }, { "dropping-particle" : "", "family" : "Orellana", "given" : "Camila A.", "non-dropping-particle" : "", "parse-names" : false, "suffix" : "" }, { "dropping-particle" : "", "family" : "Baycin-Hizal", "given" : "Deniz", "non-dropping-particle" : "", "parse-names" : false, "suffix" : "" }, { "dropping-particle" : "", "family" : "Huang", "given" : "Yingxiang", "non-dropping-particle" : "", "parse-names" : false, "suffix" : "" }, { "dropping-particle" : "", "family" : "Ley", "given" : "Daniel", "non-dropping-particle" : "", "parse-names" : false, "suffix" : "" }, { "dropping-particle" : "", "family" : "Martinez", "given" : "Veronica S.", "non-dropping-particle" : "", "parse-names" : false, "suffix" : "" }, { "dropping-particle" : "", "family" : "Kyriakopoulos", "given" : "Sarantos", "non-dropping-particle" : "", "parse-names" : false, "suffix" : "" }, { "dropping-particle" : "", "family" : "Jim\u00e9nez", "given" : "Natalia E.", "non-dropping-particle" : "", "parse-names" : false, "suffix" : "" }, { "dropping-particle" : "", "family" : "Zielinski", "given" : "Daniel C.", "non-dropping-particle" : "", "parse-names" : false, "suffix" : "" }, { "dropping-particle" : "", "family" : "Quek", "given" : "Lake Ee", "non-dropping-particle" : "", "parse-names" : false, "suffix" : "" }, { "dropping-particle" : "", "family" : "Wulff", "given" : "Tune", "non-dropping-particle" : "", "parse-names" : false, "suffix" : "" }, { "dropping-particle" : "", "family" : "Arnsdorf", "given" : "Johnny", "non-dropping-particle" : "", "parse-names" : false, "suffix" : "" }, { "dropping-particle" : "", "family" : "Li", "given" : "Shangzhong", "non-dropping-particle" : "", "parse-names" : false, "suffix" : "" }, { "dropping-particle" : "", "family" : "Lee", "given" : "Jae Seong", "non-dropping-particle" : "", "parse-names" : false, "suffix" : "" }, { "dropping-particle" : "", "family" : "Paglia", "given" : "Giuseppe", "non-dropping-particle" : "", "parse-names" : false, "suffix" : "" }, { "dropping-particle" : "", "family" : "Loira", "given" : "Nicolas", "non-dropping-particle" : "", "parse-names" : false, "suffix" : "" }, { "dropping-particle" : "", "family" : "Spahn", "given" : "Philipp N.", "non-dropping-particle" : "", "parse-names" : false, "suffix" : "" }, { "dropping-particle" : "", "family" : "Pedersen", "given" : "Lasse E.", "non-dropping-particle" : "", "parse-names" : false, "suffix" : "" }, { "dropping-particle" : "", "family" : "Gutierrez", "given" : "Jahir M.", "non-dropping-particle" : "", "parse-names" : false, "suffix" : "" }, { "dropping-particle" : "", "family" : "King", "given" : "Zachary A.", "non-dropping-particle" : "", "parse-names" : false, "suffix" : "" }, { "dropping-particle" : "", "family" : "Lund", "given" : "Anne Mathilde", "non-dropping-particle" : "", "parse-names" : false, "suffix" : "" }, { "dropping-particle" : "", "family" : "Nagarajan", "given" : "Harish", "non-dropping-particle" : "", "parse-names" : false, "suffix" : "" }, { "dropping-particle" : "", "family" : "Thomas", "given" : "Alex", "non-dropping-particle" : "", "parse-names" : false, "suffix" : "" }, { "dropping-particle" : "", "family" : "Abdel-Haleem", "given" : "Alyaa M.", "non-dropping-particle" : "", "parse-names" : false, "suffix" : "" }, { "dropping-particle" : "", "family" : "Zanghellini", "given" : "Juergen", "non-dropping-particle" : "", "parse-names" : false, "suffix" : "" }, { "dropping-particle" : "", "family" : "Kildegaard", "given" : "Helene F.", "non-dropping-particle" : "", "parse-names" : false, "suffix" : "" }, { "dropping-particle" : "", "family" : "Voldborg", "given" : "Bj\u00f8rn G.", "non-dropping-particle" : "", "parse-names" : false, "suffix" : "" }, { "dropping-particle" : "", "family" : "Gerdtzen", "given" : "Ziomara P.", "non-dropping-particle" : "", "parse-names" : false, "suffix" : "" }, { "dropping-particle" : "", "family" : "Betenbaugh", "given" : "Michael J.", "non-dropping-particle" : "", "parse-names" : false, "suffix" : "" }, { "dropping-particle" : "", "family" : "Palsson", "given" : "Bernhard O.", "non-dropping-particle" : "", "parse-names" : false, "suffix" : "" }, { "dropping-particle" : "", "family" : "Andersen", "given" : "Mikael R.", "non-dropping-particle" : "", "parse-names" : false, "suffix" : "" }, { "dropping-particle" : "", "family" : "Nielsen", "given" : "Lars K.", "non-dropping-particle" : "", "parse-names" : false, "suffix" : "" }, { "dropping-particle" : "", "family" : "Borth", "given" : "Nicole", "non-dropping-particle" : "", "parse-names" : false, "suffix" : "" }, { "dropping-particle" : "", "family" : "Lee", "given" : "Dong Yup", "non-dropping-particle" : "", "parse-names" : false, "suffix" : "" }, { "dropping-particle" : "", "family" : "Lewis", "given" : "Nathan E.", "non-dropping-particle" : "", "parse-names" : false, "suffix" : "" } ], "container-title" : "Cell Systems", "id" : "ITEM-1", "issue" : "5", "issued" : { "date-parts" : [ [ "2016" ] ] }, "page" : "434-443", "title" : "A Consensus Genome-scale Reconstruction of Chinese Hamster Ovary Cell Metabolism", "type" : "article-journal", "volume" : "3" }, "uris" : [ "http://www.mendeley.com/documents/?uuid=aa627cbd-2c5a-4cf4-945d-941b30f62e40" ] } ], "mendeley" : { "formattedCitation" : "&lt;sup&gt;&lt;sup&gt;46&lt;/sup&gt;&lt;/sup&gt;", "plainTextFormattedCitation" : "46", "previouslyFormattedCitation" : "&lt;sup&gt;&lt;sup&gt;46&lt;/sup&gt;&lt;/sup&gt;"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46</w:t>
      </w:r>
      <w:r w:rsidR="001731E8" w:rsidRPr="00383A89">
        <w:rPr>
          <w:lang w:val="en-GB"/>
        </w:rPr>
        <w:fldChar w:fldCharType="end"/>
      </w:r>
      <w:r w:rsidRPr="00383A89">
        <w:rPr>
          <w:lang w:val="en-GB"/>
        </w:rPr>
        <w:t xml:space="preserve">), in different tissues (see e.g. </w:t>
      </w:r>
      <w:r w:rsidR="001731E8" w:rsidRPr="00383A89">
        <w:rPr>
          <w:lang w:val="en-GB"/>
        </w:rPr>
        <w:fldChar w:fldCharType="begin" w:fldLock="1"/>
      </w:r>
      <w:r w:rsidR="008C6299">
        <w:rPr>
          <w:lang w:val="en-GB"/>
        </w:rPr>
        <w:instrText>ADDIN CSL_CITATION { "citationItems" : [ { "id" : "ITEM-1", "itemData" : { "DOI" : "10.1186/1752-0509-6-153", "ISBN" : "1752-0509 (Electronic)\\r1752-0509 (Linking)", "ISSN" : "17520509", "PMID" : "23234303", "abstract" : "Human tissues perform diverse metabolic functions. Mapping out these tissue-specific functions in genome-scale models will advance our understanding of the metabolic basis of various physiological and pathological processes. The global knowledgebase of metabolic functions categorized for the human genome (Human Recon 1) coupled with abundant high-throughput data now makes possible the reconstruction of tissue-specific metabolic models. However, the number of available tissue-specific models remains incomplete compared with the large diversity of human tissues. We developed a method called metabolic Context-specificity Assessed by Deterministic Reaction Evaluation (mCADRE). mCADRE is able to infer a tissue-specific network based on gene expression data and metabolic network topology, along with evaluation of functional capabilities during model building. mCADRE produces models with similar or better functionality and achieves dramatic computational speed up over existing methods. Using our method, we reconstructed draft genome-scale metabolic models for 126 human tissue and cell types. Among these, there are models for 26 tumor tissues along with their normal counterparts, and 30 different brain tissues. We performed pathway-level analyses of this large collection of tissue-specific models and identified the eicosanoid metabolic pathway, especially reactions catalyzing the production of leukotrienes from arachidnoic acid, as potential drug targets that selectively affect tumor tissues. This large collection of 126 genome-scale draft metabolic models provides a useful resource for studying the metabolic basis for a variety of human diseases across many tissues. The functionality of the resulting models and the fast computational speed of the mCADRE algorithm make it a useful tool to build and update tissue-specific metabolic models.", "author" : [ { "dropping-particle" : "", "family" : "Wang", "given" : "Yuliang", "non-dropping-particle" : "", "parse-names" : false, "suffix" : "" }, { "dropping-particle" : "", "family" : "Eddy", "given" : "James A.", "non-dropping-particle" : "", "parse-names" : false, "suffix" : "" }, { "dropping-particle" : "", "family" : "Price", "given" : "Nathan D.", "non-dropping-particle" : "", "parse-names" : false, "suffix" : "" } ], "container-title" : "BMC Systems Biology", "id" : "ITEM-1", "issued" : { "date-parts" : [ [ "2012" ] ] }, "page" : "153", "title" : "Reconstruction of genome-scale metabolic models for 126 human tissues using mCADRE", "type" : "article-journal", "volume" : "6" }, "uris" : [ "http://www.mendeley.com/documents/?uuid=fc8d94cd-91b9-4f56-aa1d-9d00a0443434" ] } ], "mendeley" : { "formattedCitation" : "&lt;sup&gt;&lt;sup&gt;47&lt;/sup&gt;&lt;/sup&gt;", "plainTextFormattedCitation" : "47", "previouslyFormattedCitation" : "&lt;sup&gt;&lt;sup&gt;47&lt;/sup&gt;&lt;/sup&gt;"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47</w:t>
      </w:r>
      <w:r w:rsidR="001731E8" w:rsidRPr="00383A89">
        <w:rPr>
          <w:lang w:val="en-GB"/>
        </w:rPr>
        <w:fldChar w:fldCharType="end"/>
      </w:r>
      <w:r w:rsidRPr="00383A89">
        <w:rPr>
          <w:lang w:val="en-GB"/>
        </w:rPr>
        <w:t xml:space="preserve">), organs (see e.g. </w:t>
      </w:r>
      <w:r w:rsidR="001731E8" w:rsidRPr="00383A89">
        <w:rPr>
          <w:lang w:val="en-GB"/>
        </w:rPr>
        <w:fldChar w:fldCharType="begin" w:fldLock="1"/>
      </w:r>
      <w:r w:rsidR="00E8653E">
        <w:rPr>
          <w:lang w:val="en-GB"/>
        </w:rPr>
        <w:instrText>ADDIN CSL_CITATION { "citationItems" : [ { "id" : "ITEM-1", "itemData" : { "DOI" : "10.1038/ncomms4083", "ISBN" : "2041-1723 (Electronic) 2041-1723 (Linking)", "ISSN" : "2041-1723", "PMID" : "24419221", "abstract" : "Several liver disorders result from perturbations in the metabolism of hepatocytes, and their underlying mechanisms can be outlined through the use of genome-scale metabolic models (GEMs). Here we reconstruct a consensus GEM for hepatocytes, which we call iHepatocytes2322, that extends previous models by including an extensive description of lipid metabolism. We build iHepatocytes2322 using Human Metabolic Reaction 2.0 database and proteomics data in Human Protein Atlas, which experimentally validates the incorporated reactions. The reconstruction process enables improved annotation of the proteomics data using the network centric view of iHepatocytes2322. We then use iHepatocytes2322 to analyse transcriptomics data obtained from patients with non-alcoholic fatty liver disease. We show that blood concentrations of chondroitin and heparan sulphates are suitable for diagnosing non-alcoholic steatohepatitis and for the staging of non-alcoholic fatty liver disease. Furthermore, we observe serine deficiency in patients with NASH and identify PSPH, SHMT1 and BCAT1 as potential therapeutic targets for the treatment of non-alcoholic steatohepatitis.", "author" : [ { "dropping-particle" : "", "family" : "Mardinoglu", "given" : "A", "non-dropping-particle" : "", "parse-names" : false, "suffix" : "" }, { "dropping-particle" : "", "family" : "Agren", "given" : "R", "non-dropping-particle" : "", "parse-names" : false, "suffix" : "" }, { "dropping-particle" : "", "family" : "Kampf", "given" : "C", "non-dropping-particle" : "", "parse-names" : false, "suffix" : "" }, { "dropping-particle" : "", "family" : "Asplund", "given" : "A", "non-dropping-particle" : "", "parse-names" : false, "suffix" : "" }, { "dropping-particle" : "", "family" : "Uhlen", "given" : "M", "non-dropping-particle" : "", "parse-names" : false, "suffix" : "" }, { "dropping-particle" : "", "family" : "Nielsen", "given" : "J", "non-dropping-particle" : "", "parse-names" : false, "suffix" : "" } ], "container-title" : "Nature Communications", "id" : "ITEM-1", "issue" : "3083", "issued" : { "date-parts" : [ [ "2014" ] ] }, "page" : "1-11", "title" : "Genome-scale metabolic modelling of hepatocytes reveals serine deficiency in patients with non-alcoholic fatty liver disease.", "type" : "article-journal", "volume" : "5" }, "uris" : [ "http://www.mendeley.com/documents/?uuid=598f84bc-0dda-4b35-ad5b-4c2e954097b6" ] } ], "mendeley" : { "formattedCitation" : "&lt;sup&gt;&lt;sup&gt;48&lt;/sup&gt;&lt;/sup&gt;", "plainTextFormattedCitation" : "48", "previouslyFormattedCitation" : "&lt;sup&gt;&lt;sup&gt;48&lt;/sup&gt;&lt;/sup&gt;"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48</w:t>
      </w:r>
      <w:r w:rsidR="001731E8" w:rsidRPr="00383A89">
        <w:rPr>
          <w:lang w:val="en-GB"/>
        </w:rPr>
        <w:fldChar w:fldCharType="end"/>
      </w:r>
      <w:r w:rsidRPr="00383A89">
        <w:rPr>
          <w:lang w:val="en-GB"/>
        </w:rPr>
        <w:t xml:space="preserve">), diseases (see e.g. </w:t>
      </w:r>
      <w:r w:rsidR="001731E8" w:rsidRPr="00383A89">
        <w:rPr>
          <w:lang w:val="en-GB"/>
        </w:rPr>
        <w:fldChar w:fldCharType="begin" w:fldLock="1"/>
      </w:r>
      <w:r w:rsidR="001D38E1">
        <w:rPr>
          <w:lang w:val="en-GB"/>
        </w:rPr>
        <w:instrText>ADDIN CSL_CITATION { "citationItems" : [ { "id" : "ITEM-1", "itemData" : { "DOI" : "10.3389/fphys.2015.00382", "ISSN" : "1664042X", "PMID" : "26733270", "abstract" : "Tumor cells alter their metabolism to maintain unregulated cellular proliferation and survival, but this transformation leaves them reliant on constant supply of nutrients and energy. In addition to the widely studied dysregulated glucose metabolism to fuel tumor cell growth, accumulating evidences suggest that utilization of amino acids and lipids contributes significantly to cancer cell metabolism. Also recent progresses in our understanding of carcinogenesis have revealed that cancer is a complex disease and cannot be understood through simple investigation of genetic mutations of cancerous cells. Cancer cells present in complex tumor tissues communicate with the surrounding microenvironment and develop traits which promote their growth, survival, and metastasis. Decoding the full scope and targeting dysregulated metabolic pathways that support neoplastic transformations and their preservation requires both the advancement of experimental technologies for more comprehensive measurement of omics as well as the advancement of robust computational methods for accurate analysis of the generated data. Here, we review cancer-associated reprogramming of metabolism and highlight the capability of genome-scale metabolic modeling approaches in perceiving a system-level perspective of cancer metabolism and in detecting novel selective drug targets.", "author" : [ { "dropping-particle" : "", "family" : "Ghaffari", "given" : "Pouyan", "non-dropping-particle" : "", "parse-names" : false, "suffix" : "" }, { "dropping-particle" : "", "family" : "Mardinoglu", "given" : "Adil", "non-dropping-particle" : "", "parse-names" : false, "suffix" : "" }, { "dropping-particle" : "", "family" : "Nielsen", "given" : "Jens", "non-dropping-particle" : "", "parse-names" : false, "suffix" : "" } ], "container-title" : "Frontiers in Physiology", "id" : "ITEM-1", "issued" : { "date-parts" : [ [ "2015" ] ] }, "page" : "382", "title" : "Cancer metabolism: A modeling perspective", "type" : "article-journal", "volume" : "6" }, "uris" : [ "http://www.mendeley.com/documents/?uuid=f7d00fdc-9186-4705-872a-51b9cff3f1c2" ] } ], "mendeley" : { "formattedCitation" : "&lt;sup&gt;&lt;sup&gt;49&lt;/sup&gt;&lt;/sup&gt;", "plainTextFormattedCitation" : "49", "previouslyFormattedCitation" : "&lt;sup&gt;&lt;sup&gt;49&lt;/sup&gt;&lt;/sup&gt;"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49</w:t>
      </w:r>
      <w:r w:rsidR="001731E8" w:rsidRPr="00383A89">
        <w:rPr>
          <w:lang w:val="en-GB"/>
        </w:rPr>
        <w:fldChar w:fldCharType="end"/>
      </w:r>
      <w:r w:rsidRPr="00383A89">
        <w:rPr>
          <w:lang w:val="en-GB"/>
        </w:rPr>
        <w:t xml:space="preserve">), as well as within specific individuals (see e.g. </w:t>
      </w:r>
      <w:r w:rsidR="001731E8" w:rsidRPr="00383A89">
        <w:rPr>
          <w:lang w:val="en-GB"/>
        </w:rPr>
        <w:fldChar w:fldCharType="begin" w:fldLock="1"/>
      </w:r>
      <w:r w:rsidR="00E8653E">
        <w:rPr>
          <w:lang w:val="en-GB"/>
        </w:rPr>
        <w:instrText>ADDIN CSL_CITATION { "citationItems" : [ { "id" : "ITEM-1", "itemData" : { "ISBN" : "1744-4292", "author" : [ { "dropping-particle" : "", "family" : "Agren", "given" : "Rasmus", "non-dropping-particle" : "", "parse-names" : false, "suffix" : "" }, { "dropping-particle" : "", "family" : "Mardinoglu", "given" : "Adil", "non-dropping-particle" : "", "parse-names" : false, "suffix" : "" }, { "dropping-particle" : "", "family" : "Asplund", "given" : "Anna", "non-dropping-particle" : "", "parse-names" : false, "suffix" : "" }, { "dropping-particle" : "", "family" : "Kampf", "given" : "Caroline", "non-dropping-particle" : "", "parse-names" : false, "suffix" : "" }, { "dropping-particle" : "", "family" : "Uhlen", "given" : "Mathias", "non-dropping-particle" : "", "parse-names" : false, "suffix" : "" }, { "dropping-particle" : "", "family" : "Nielsen", "given" : "Jens", "non-dropping-particle" : "", "parse-names" : false, "suffix" : "" } ], "container-title" : "Molecular systems biology", "id" : "ITEM-1", "issue" : "3", "issued" : { "date-parts" : [ [ "2014" ] ] }, "page" : "721", "title" : "Identification of anticancer drugs for hepatocellular carcinoma through personalized genome-scale metabolic modeling", "type" : "article-journal", "volume" : "10" }, "uris" : [ "http://www.mendeley.com/documents/?uuid=7ee39ed8-9284-4b1e-94c9-db892de831a9" ] } ], "mendeley" : { "formattedCitation" : "&lt;sup&gt;&lt;sup&gt;50&lt;/sup&gt;&lt;/sup&gt;", "plainTextFormattedCitation" : "50", "previouslyFormattedCitation" : "&lt;sup&gt;&lt;sup&gt;50&lt;/sup&gt;&lt;/sup&gt;"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50</w:t>
      </w:r>
      <w:r w:rsidR="001731E8" w:rsidRPr="00383A89">
        <w:rPr>
          <w:lang w:val="en-GB"/>
        </w:rPr>
        <w:fldChar w:fldCharType="end"/>
      </w:r>
      <w:r w:rsidRPr="00383A89">
        <w:rPr>
          <w:lang w:val="en-GB"/>
        </w:rPr>
        <w:t>), using dedicated computational algorithms, such as GIMME</w:t>
      </w:r>
      <w:r w:rsidR="001731E8" w:rsidRPr="00383A89">
        <w:rPr>
          <w:lang w:val="en-GB"/>
        </w:rPr>
        <w:fldChar w:fldCharType="begin" w:fldLock="1"/>
      </w:r>
      <w:r w:rsidR="008C6299">
        <w:rPr>
          <w:lang w:val="en-GB"/>
        </w:rPr>
        <w:instrText>ADDIN CSL_CITATION { "citationItems" : [ { "id" : "ITEM-1", "itemData" : { "DOI" : "10.1371/journal.pcbi.1000082", "ISBN" : "1553-7358 (Electronic)\\r1553-734X (Linking)", "ISSN" : "1553734X", "PMID" : "18483554", "abstract" : "Reconstructions of cellular metabolism are publicly available for a variety of different microorganisms and some mammalian genomes. To date, these reconstructions are \"genome-scale\" and strive to include all reactions implied by the genome annotation, as well as those with direct experimental evidence. Clearly, many of the reactions in a genome-scale reconstruction will not be active under particular conditions or in a particular cell type. Methods to tailor these comprehensive genome-scale reconstructions into context-specific networks will aid predictive in silico modeling for a particular situation. We present a method called Gene Inactivity Moderated by Metabolism and Expression (GIMME) to achieve this goal. The GIMME algorithm uses quantitative gene expression data and one or more presupposed metabolic objectives to produce the context-specific reconstruction that is most consistent with the available data. Furthermore, the algorithm provides a quantitative inconsistency score indicating how consistent a set of gene expression data is with a particular metabolic objective. We show that this algorithm produces results consistent with biological experiments and intuition for adaptive evolution of bacteria, rational design of metabolic engineering strains, and human skeletal muscle cells. This work represents progress towards producing constraint-based models of metabolism that are specific to the conditions where the expression profiling data is available.", "author" : [ { "dropping-particle" : "", "family" : "Becker", "given" : "Scott A.", "non-dropping-particle" : "", "parse-names" : false, "suffix" : "" }, { "dropping-particle" : "", "family" : "Palsson", "given" : "Bernhard O.", "non-dropping-particle" : "", "parse-names" : false, "suffix" : "" } ], "container-title" : "PLoS Computational Biology", "id" : "ITEM-1", "issue" : "5", "issued" : { "date-parts" : [ [ "2008" ] ] }, "page" : "e1000082", "title" : "Context-specific metabolic networks are consistent with experiments", "type" : "article-journal", "volume" : "4" }, "uris" : [ "http://www.mendeley.com/documents/?uuid=12a6d77d-bba8-4083-89eb-523184838f3d" ] } ], "mendeley" : { "formattedCitation" : "&lt;sup&gt;&lt;sup&gt;51&lt;/sup&gt;&lt;/sup&gt;", "plainTextFormattedCitation" : "51", "previouslyFormattedCitation" : "&lt;sup&gt;&lt;sup&gt;51&lt;/sup&gt;&lt;/sup&gt;"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51</w:t>
      </w:r>
      <w:r w:rsidR="001731E8" w:rsidRPr="00383A89">
        <w:rPr>
          <w:lang w:val="en-GB"/>
        </w:rPr>
        <w:fldChar w:fldCharType="end"/>
      </w:r>
      <w:r w:rsidRPr="00383A89">
        <w:rPr>
          <w:lang w:val="en-GB"/>
        </w:rPr>
        <w:t>, mCADRE</w:t>
      </w:r>
      <w:r w:rsidR="001731E8" w:rsidRPr="00383A89">
        <w:rPr>
          <w:lang w:val="en-GB"/>
        </w:rPr>
        <w:fldChar w:fldCharType="begin" w:fldLock="1"/>
      </w:r>
      <w:r w:rsidR="008C6299">
        <w:rPr>
          <w:lang w:val="en-GB"/>
        </w:rPr>
        <w:instrText>ADDIN CSL_CITATION { "citationItems" : [ { "id" : "ITEM-1", "itemData" : { "DOI" : "10.1186/1752-0509-6-153", "ISBN" : "1752-0509 (Electronic)\\r1752-0509 (Linking)", "ISSN" : "17520509", "PMID" : "23234303", "abstract" : "Human tissues perform diverse metabolic functions. Mapping out these tissue-specific functions in genome-scale models will advance our understanding of the metabolic basis of various physiological and pathological processes. The global knowledgebase of metabolic functions categorized for the human genome (Human Recon 1) coupled with abundant high-throughput data now makes possible the reconstruction of tissue-specific metabolic models. However, the number of available tissue-specific models remains incomplete compared with the large diversity of human tissues. We developed a method called metabolic Context-specificity Assessed by Deterministic Reaction Evaluation (mCADRE). mCADRE is able to infer a tissue-specific network based on gene expression data and metabolic network topology, along with evaluation of functional capabilities during model building. mCADRE produces models with similar or better functionality and achieves dramatic computational speed up over existing methods. Using our method, we reconstructed draft genome-scale metabolic models for 126 human tissue and cell types. Among these, there are models for 26 tumor tissues along with their normal counterparts, and 30 different brain tissues. We performed pathway-level analyses of this large collection of tissue-specific models and identified the eicosanoid metabolic pathway, especially reactions catalyzing the production of leukotrienes from arachidnoic acid, as potential drug targets that selectively affect tumor tissues. This large collection of 126 genome-scale draft metabolic models provides a useful resource for studying the metabolic basis for a variety of human diseases across many tissues. The functionality of the resulting models and the fast computational speed of the mCADRE algorithm make it a useful tool to build and update tissue-specific metabolic models.", "author" : [ { "dropping-particle" : "", "family" : "Wang", "given" : "Yuliang", "non-dropping-particle" : "", "parse-names" : false, "suffix" : "" }, { "dropping-particle" : "", "family" : "Eddy", "given" : "James A.", "non-dropping-particle" : "", "parse-names" : false, "suffix" : "" }, { "dropping-particle" : "", "family" : "Price", "given" : "Nathan D.", "non-dropping-particle" : "", "parse-names" : false, "suffix" : "" } ], "container-title" : "BMC Systems Biology", "id" : "ITEM-1", "issued" : { "date-parts" : [ [ "2012" ] ] }, "page" : "153", "title" : "Reconstruction of genome-scale metabolic models for 126 human tissues using mCADRE", "type" : "article-journal", "volume" : "6" }, "uris" : [ "http://www.mendeley.com/documents/?uuid=fc8d94cd-91b9-4f56-aa1d-9d00a0443434" ] } ], "mendeley" : { "formattedCitation" : "&lt;sup&gt;&lt;sup&gt;47&lt;/sup&gt;&lt;/sup&gt;", "plainTextFormattedCitation" : "47", "previouslyFormattedCitation" : "&lt;sup&gt;&lt;sup&gt;47&lt;/sup&gt;&lt;/sup&gt;"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47</w:t>
      </w:r>
      <w:r w:rsidR="001731E8" w:rsidRPr="00383A89">
        <w:rPr>
          <w:lang w:val="en-GB"/>
        </w:rPr>
        <w:fldChar w:fldCharType="end"/>
      </w:r>
      <w:r w:rsidRPr="00383A89">
        <w:rPr>
          <w:lang w:val="en-GB"/>
        </w:rPr>
        <w:t xml:space="preserve"> and CORDA</w:t>
      </w:r>
      <w:r w:rsidR="001731E8" w:rsidRPr="00383A89">
        <w:rPr>
          <w:lang w:val="en-GB"/>
        </w:rPr>
        <w:fldChar w:fldCharType="begin" w:fldLock="1"/>
      </w:r>
      <w:r w:rsidR="00E8653E">
        <w:rPr>
          <w:lang w:val="en-GB"/>
        </w:rPr>
        <w:instrText>ADDIN CSL_CITATION { "citationItems" : [ { "id" : "ITEM-1", "itemData" : { "DOI" : "10.1371/journal.pcbi.1004808", "ISBN" : "10.1371/journal.pcbi.1004808", "ISSN" : "15537358", "PMID" : "26942765", "abstract" : "Human metabolism involves thousands of reactions and metabolites. To interpret this complexity, computational modeling becomes an essential experimental tool. One of the most popular techniques to study human metabolism as a whole is genome scale modeling. A key challenge to applying genome scale modeling is identifying critical metabolic reactions across diverse human tissues. Here we introduce a novel algorithm called Cost Optimization Reaction Dependency Assessment (CORDA) to build genome scale models in a tissue-specific manner. CORDA performs more efficiently computationally, shows better agreement to experimental data, and displays better model functionality and capacity when compared to previous algorithms. CORDA also returns reaction associations that can greatly assist in any manual curation to be performed following the automated reconstruction process. Using CORDA, we developed a library of 76 healthy and 20 cancer tissue-specific reconstructions. These reconstructions identified which metabolic pathways are shared across diverse human tissues. Moreover, we identified changes in reactions and pathways that are differentially included and present different capacity profiles in cancer compared to healthy tissues, including up-regulation of folate metabolism, the down-regulation of thiamine metabolism, and tight regulation of oxidative phosphorylation.", "author" : [ { "dropping-particle" : "", "family" : "Schultz", "given" : "Andr\u00e9", "non-dropping-particle" : "", "parse-names" : false, "suffix" : "" }, { "dropping-particle" : "", "family" : "Qutub", "given" : "Amina A.", "non-dropping-particle" : "", "parse-names" : false, "suffix" : "" } ], "container-title" : "PLoS Computational Biology", "id" : "ITEM-1", "issue" : "3", "issued" : { "date-parts" : [ [ "2016" ] ] }, "page" : "1-33", "title" : "Reconstruction of Tissue-Specific Metabolic Networks Using CORDA", "type" : "article-journal", "volume" : "12" }, "uris" : [ "http://www.mendeley.com/documents/?uuid=550e3ac6-7dfc-452d-b077-c553d9813f8a" ] } ], "mendeley" : { "formattedCitation" : "&lt;sup&gt;&lt;sup&gt;52&lt;/sup&gt;&lt;/sup&gt;", "plainTextFormattedCitation" : "52", "previouslyFormattedCitation" : "&lt;sup&gt;&lt;sup&gt;52&lt;/sup&gt;&lt;/sup&gt;"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52</w:t>
      </w:r>
      <w:r w:rsidR="001731E8" w:rsidRPr="00383A89">
        <w:rPr>
          <w:lang w:val="en-GB"/>
        </w:rPr>
        <w:fldChar w:fldCharType="end"/>
      </w:r>
      <w:r w:rsidRPr="00383A89">
        <w:rPr>
          <w:lang w:val="en-GB"/>
        </w:rPr>
        <w:t xml:space="preserve">. GEMs can be used to assess the </w:t>
      </w:r>
      <w:r w:rsidRPr="00383A89">
        <w:rPr>
          <w:i/>
          <w:lang w:val="en-GB"/>
        </w:rPr>
        <w:t>metabolic fluxes</w:t>
      </w:r>
      <w:r w:rsidRPr="00383A89">
        <w:rPr>
          <w:lang w:val="en-GB"/>
        </w:rPr>
        <w:t xml:space="preserve"> that bring the observed metabolic network into an </w:t>
      </w:r>
      <w:r w:rsidRPr="00383A89">
        <w:rPr>
          <w:i/>
          <w:lang w:val="en-GB"/>
        </w:rPr>
        <w:t>optimal steady-state</w:t>
      </w:r>
      <w:r w:rsidRPr="00383A89">
        <w:rPr>
          <w:lang w:val="en-GB"/>
        </w:rPr>
        <w:t xml:space="preserve"> under given criteria and optimisation function, such as maximal biomass production. </w:t>
      </w:r>
      <w:r w:rsidRPr="00383A89">
        <w:rPr>
          <w:i/>
          <w:lang w:val="en-GB"/>
        </w:rPr>
        <w:t xml:space="preserve">Flux-balance analysis </w:t>
      </w:r>
      <w:r w:rsidRPr="00383A89">
        <w:rPr>
          <w:lang w:val="en-GB"/>
        </w:rPr>
        <w:t>(FBA)</w:t>
      </w:r>
      <w:r w:rsidR="001731E8" w:rsidRPr="00383A89">
        <w:rPr>
          <w:lang w:val="en-GB"/>
        </w:rPr>
        <w:fldChar w:fldCharType="begin" w:fldLock="1"/>
      </w:r>
      <w:r w:rsidR="00E8653E">
        <w:rPr>
          <w:lang w:val="en-GB"/>
        </w:rPr>
        <w:instrText>ADDIN CSL_CITATION { "citationItems" : [ { "id" : "ITEM-1", "itemData" : { "DOI" : "10.1038/nbt.1614", "ISBN" : "1087-0156", "ISSN" : "1087-0156", "PMID" : "20212490", "abstract" : "Flux balance analysis is a mathematical approach for analyzing the flow of metabolites through a metabolic network. This primer covers the theoretical basis of the approach, several practical examples and a software toolbox for performing the calculations.", "author" : [ { "dropping-particle" : "", "family" : "Orth", "given" : "Jeffrey D", "non-dropping-particle" : "", "parse-names" : false, "suffix" : "" }, { "dropping-particle" : "", "family" : "Thiele", "given" : "Ines", "non-dropping-particle" : "", "parse-names" : false, "suffix" : "" }, { "dropping-particle" : "", "family" : "Palsson", "given" : "Bernhard \u00d8", "non-dropping-particle" : "", "parse-names" : false, "suffix" : "" } ], "container-title" : "Nature Biotechnology", "id" : "ITEM-1", "issue" : "3", "issued" : { "date-parts" : [ [ "2010" ] ] }, "page" : "245-248", "title" : "What is flux balance analysis?", "type" : "article-journal", "volume" : "28" }, "uris" : [ "http://www.mendeley.com/documents/?uuid=01582670-ced5-4845-bb9f-e6deff953519" ] } ], "mendeley" : { "formattedCitation" : "&lt;sup&gt;&lt;sup&gt;53&lt;/sup&gt;&lt;/sup&gt;", "plainTextFormattedCitation" : "53", "previouslyFormattedCitation" : "&lt;sup&gt;&lt;sup&gt;53&lt;/sup&gt;&lt;/sup&gt;" }, "properties" : { "noteIndex" : 0 }, "schema" : "https://github.com/citation-style-language/schema/raw/master/csl-citation.json" }</w:instrText>
      </w:r>
      <w:r w:rsidR="001731E8" w:rsidRPr="00383A89">
        <w:rPr>
          <w:lang w:val="en-GB"/>
        </w:rPr>
        <w:fldChar w:fldCharType="separate"/>
      </w:r>
      <w:r w:rsidR="00E8653E" w:rsidRPr="00E8653E">
        <w:rPr>
          <w:noProof/>
          <w:vertAlign w:val="superscript"/>
          <w:lang w:val="en-GB"/>
        </w:rPr>
        <w:t>53</w:t>
      </w:r>
      <w:r w:rsidR="001731E8" w:rsidRPr="00383A89">
        <w:rPr>
          <w:lang w:val="en-GB"/>
        </w:rPr>
        <w:fldChar w:fldCharType="end"/>
      </w:r>
      <w:r w:rsidRPr="00383A89">
        <w:rPr>
          <w:lang w:val="en-GB"/>
        </w:rPr>
        <w:t xml:space="preserve"> and other constraint-based approaches under the hood of COBRA methodologies</w:t>
      </w:r>
      <w:r w:rsidR="00591AD8" w:rsidRPr="00383A89">
        <w:rPr>
          <w:lang w:val="en-GB"/>
        </w:rPr>
        <w:fldChar w:fldCharType="begin" w:fldLock="1"/>
      </w:r>
      <w:r w:rsidR="00E8653E">
        <w:rPr>
          <w:lang w:val="en-GB"/>
        </w:rPr>
        <w:instrText>ADDIN CSL_CITATION { "citationItems" : [ { "id" : "ITEM-1", "itemData" : { "DOI" : "10.1038/protex.2011.234", "abstract" : "COnstraint-Based Reconstruction and Analysis (COBRA) provides a molecular mechanistic framework for integrative analysis of experimental data and quantitative prediction of physicochemically and biochemically feasible phenotypic states. The COBRA Toolbox is a comprehensive software suite of interoperable COBRA methods. It has found widespread applications in biology, biomedicine, and biotechnology because its functions can be flexibly combined to implement tailored COBRA protocols for any biochemical network. Version 3.0 includes new methods for quality controlled reconstruction, modelling, topological analysis, strain and experimental design, network visualisation as well as network integration of chemoinformatic, metabolomic, transcriptomic, proteomic, and thermochemical data. New multi-lingual code integration also enables an expansion in COBRA application scope via high-precision, high-performance, and nonlinear numerical optimisation solvers for multi-scale, multi-cellular and reaction kinetic modelling, respectively. This protocol can be adapted for the generation and analysis of a constraint-based model in a wide variety of molecular systems biology scenarios. This protocol is an update to the COBRA Toolbox 1.0 and 2.0. The COBRA Toolbox 3.0 provides an unparalleled depth of constraint-based reconstruction and analysis methods.", "author" : [ { "dropping-particle" : "", "family" : "Heirendt", "given" : "Laurent", "non-dropping-particle" : "", "parse-names" : false, "suffix" : "" }, { "dropping-particle" : "", "family" : "Arreckx", "given" : "Sylvain", "non-dropping-particle" : "", "parse-names" : false, "suffix" : "" }, { "dropping-particle" : "", "family" : "Pfau", "given" : "Thomas", "non-dropping-particle" : "", "parse-names" : false, "suffix" : "" }, { "dropping-particle" : "", "family" : "Mendoza", "given" : "Sebasti\u00e1n N.", "non-dropping-particle" : "", "parse-names" : false, "suffix" : "" }, { "dropping-particle" : "", "family" : "Richelle", "given" : "Anne", "non-dropping-particle" : "", "parse-names" : false, "suffix" : "" }, { "dropping-particle" : "", "family" : "Heinken", "given" : "Almut", "non-dropping-particle" : "", "parse-names" : false, "suffix" : "" }, { "dropping-particle" : "", "family" : "Haraldsd\u00f3ttir", "given" : "Hulda S.", "non-dropping-particle" : "", "parse-names" : false, "suffix" : "" }, { "dropping-particle" : "", "family" : "Wachowiak", "given" : "Jacek", "non-dropping-particle" : "", "parse-names" : false, "suffix" : "" }, { "dropping-particle" : "", "family" : "Keating", "given" : "Sarah M.", "non-dropping-particle" : "", "parse-names" : false, "suffix" : "" }, { "dropping-particle" : "", "family" : "Vlasov", "given" : "Vanja", "non-dropping-particle" : "", "parse-names" : false, "suffix" : "" }, { "dropping-particle" : "", "family" : "Magnusd\u00f3ttir", "given" : "Stefania", "non-dropping-particle" : "", "parse-names" : false, "suffix" : "" }, { "dropping-particle" : "", "family" : "Ng", "given" : "Chiam Yu", "non-dropping-particle" : "", "parse-names" : false, "suffix" : "" }, { "dropping-particle" : "", "family" : "Preciat", "given" : "German", "non-dropping-particle" : "", "parse-names" : false, "suffix" : "" }, { "dropping-particle" : "", "family" : "\u017dagare", "given" : "Alise", "non-dropping-particle" : "", "parse-names" : false, "suffix" : "" }, { "dropping-particle" : "", "family" : "Chan", "given" : "Siu H. J.", "non-dropping-particle" : "", "parse-names" : false, "suffix" : "" }, { "dropping-particle" : "", "family" : "Aurich", "given" : "Maike K.", "non-dropping-particle" : "", "parse-names" : false, "suffix" : "" }, { "dropping-particle" : "", "family" : "Clancy", "given" : "Catherine M.", "non-dropping-particle" : "", "parse-names" : false, "suffix" : "" }, { "dropping-particle" : "", "family" : "Modamio", "given" : "Jennifer", "non-dropping-particle" : "", "parse-names" : false, "suffix" : "" }, { "dropping-particle" : "", "family" : "Sauls", "given" : "John T.", "non-dropping-particle" : "", "parse-names" : false, "suffix" : "" }, { "dropping-particle" : "", "family" : "Noronha", "given" : "Alberto", "non-dropping-particle" : "", "parse-names" : false, "suffix" : "" }, { "dropping-particle" : "", "family" : "Bordbar", "given" : "Aarash", "non-dropping-particle" : "", "parse-names" : false, "suffix" : "" }, { "dropping-particle" : "", "family" : "Cousins", "given" : "Benjamin", "non-dropping-particle" : "", "parse-names" : false, "suffix" : "" }, { "dropping-particle" : "El", "family" : "Assal", "given" : "Diana C.", "non-dropping-particle" : "", "parse-names" : false, "suffix" : "" }, { "dropping-particle" : "V.", "family" : "Valcarcel", "given" : "Luis", "non-dropping-particle" : "", "parse-names" : false, "suffix" : "" }, { "dropping-particle" : "", "family" : "Apaolaza", "given" : "I\u00f1igo", "non-dropping-particle" : "", "parse-names" : false, "suffix" : "" }, { "dropping-particle" : "", "family" : "Ghaderi", "given" : "Susan", "non-dropping-particle" : "", "parse-names" : false, "suffix" : "" }, { "dropping-particle" : "", "family" : "Ahookhosh", "given" : "Masoud", "non-dropping-particle" : "", "parse-names" : false, "suffix" : "" }, { "dropping-particle" : "Ben", "family" : "Guebila", "given" : "Marouen", "non-dropping-particle" : "", "parse-names" : false, "suffix" : "" }, { "dropping-particle" : "", "family" : "Kostromins", "given" : "Andrejs", "non-dropping-particle" : "", "parse-names" : false, "suffix" : "" }, { "dropping-particle" : "", "family" : "Sompairac", "given" : "Nicolas", "non-dropping-particle" : "", "parse-names" : false, "suffix" : "" }, { "dropping-particle" : "", "family" : "Le", "given" : "Hoai M.", "non-dropping-particle" : "", "parse-names" : false, "suffix" : "" }, { "dropping-particle" : "", "family" : "Ma", "given" : "Ding", "non-dropping-particle" : "", "parse-names" : false, "suffix" : "" }, { "dropping-particle" : "", "family" : "Sun", "given" : "Yuekai", "non-dropping-particle" : "", "parse-names" : false, "suffix" : "" }, { "dropping-particle" : "", "family" : "Wang", "given" : "Lin", "non-dropping-particle" : "", "parse-names" : false, "suffix" : "" }, { "dropping-particle" : "", "family" : "Yurkovich", "given" : "James T.", "non-dropping-particle" : "", "parse-names" : false, "suffix" : "" }, { "dropping-particle" : "", "family" : "Oliveira", "given" : "Miguel A. P.", "non-dropping-particle" : "", "parse-names" : false, "suffix" : "" }, { "dropping-particle" : "", "family" : "Vuong", "given" : "Phan T.", "non-dropping-particle" : "", "parse-names" : false, "suffix" : "" }, { "dropping-particle" : "El", "family" : "Assal", "given" : "Lemmer P.", "non-dropping-particle" : "", "parse-names" : false, "suffix" : "" }, { "dropping-particle" : "", "family" : "Kuperstein", "given" : "Inna", "non-dropping-particle" : "", "parse-names" : false, "suffix" : "" }, { "dropping-particle" : "", "family" : "Zinovyev", "given" : "Andrei", "non-dropping-particle" : "", "parse-names" : false, "suffix" : "" }, { "dropping-particle" : "", "family" : "Hinton", "given" : "H. Scott", "non-dropping-particle" : "", "parse-names" : false, "suffix" : "" }, { "dropping-particle" : "", "family" : "Bryant", "given" : "William A.", "non-dropping-particle" : "", "parse-names" : false, "suffix" : "" }, { "dropping-particle" : "", "family" : "Artacho", "given" : "Francisco J. Arag\u00f3n", "non-dropping-particle" : "", "parse-names" : false, "suffix" : "" }, { "dropping-particle" : "", "family" : "Planes", "given" : "Francisco J.", "non-dropping-particle" : "", "parse-names" : false, "suffix" : "" }, { "dropping-particle" : "", "family" : "Stalidzans", "given" : "Egils", "non-dropping-particle" : "", "parse-names" : false, "suffix" : "" }, { "dropping-particle" : "", "family" : "Maass", "given" : "Alejandro", "non-dropping-particle" : "", "parse-names" : false, "suffix" : "" }, { "dropping-particle" : "", "family" : "Vempala", "given" : "Santosh", "non-dropping-particle" : "", "parse-names" : false, "suffix" : "" }, { "dropping-particle" : "", "family" : "Hucka", "given" : "Michael", "non-dropping-particle" : "", "parse-names" : false, "suffix" : "" }, { "dropping-particle" : "", "family" : "Saunders", "given" : "Michael A.", "non-dropping-particle" : "", "parse-names" : false, "suffix" : "" }, { "dropping-particle" : "", "family" : "Maranas", "given" : "Costas D.", "non-dropping-particle" : "", "parse-names" : false, "suffix" : "" }, { "dropping-particle" : "", "family" : "Lewis", "given" : "Nathan E.", "non-dropping-particle" : "", "parse-names" : false, "suffix" : "" }, { "dropping-particle" : "", "family" : "Sauter", "given" : "Thomas", "non-dropping-particle" : "", "parse-names" : false, "suffix" : "" }, { "dropping-particle" : "", "family" : "Palsson", "given" : "Bernhard \u00d8.", "non-dropping-particle" : "", "parse-names" : false, "suffix" : "" }, { "dropping-particle" : "", "family" : "Thiele", "given" : "Ines", "non-dropping-particle" : "", "parse-names" : false, "suffix" : "" }, { "dropping-particle" : "", "family" : "Fleming", "given" : "Ronan M. T.", "non-dropping-particle" : "", "parse-names" : false, "suffix" : "" } ], "container-title" : "Developmental Biology", "id" : "ITEM-1", "issue" : "2", "issued" : { "date-parts" : [ [ "2017" ] ] }, "page" : "391-402", "title" : "Creation and analysis of biochemical constraint-based models: the COBRA Toolbox v3.0", "type" : "article-journal", "volume" : "276" }, "uris" : [ "http://www.mendeley.com/documents/?uuid=d9fcceb4-874d-4619-abe6-70b0f65419d0" ] } ], "mendeley" : { "formattedCitation" : "&lt;sup&gt;&lt;sup&gt;54&lt;/sup&gt;&lt;/sup&gt;", "plainTextFormattedCitation" : "54", "previouslyFormattedCitation" : "&lt;sup&gt;&lt;sup&gt;54&lt;/sup&gt;&lt;/sup&gt;" }, "properties" : { "noteIndex" : 0 }, "schema" : "https://github.com/citation-style-language/schema/raw/master/csl-citation.json" }</w:instrText>
      </w:r>
      <w:r w:rsidR="00591AD8" w:rsidRPr="00383A89">
        <w:rPr>
          <w:lang w:val="en-GB"/>
        </w:rPr>
        <w:fldChar w:fldCharType="separate"/>
      </w:r>
      <w:r w:rsidR="00E8653E" w:rsidRPr="00E8653E">
        <w:rPr>
          <w:noProof/>
          <w:vertAlign w:val="superscript"/>
          <w:lang w:val="en-GB"/>
        </w:rPr>
        <w:t>54</w:t>
      </w:r>
      <w:r w:rsidR="00591AD8" w:rsidRPr="00383A89">
        <w:rPr>
          <w:lang w:val="en-GB"/>
        </w:rPr>
        <w:fldChar w:fldCharType="end"/>
      </w:r>
      <w:r w:rsidRPr="00383A89">
        <w:rPr>
          <w:lang w:val="en-GB"/>
        </w:rPr>
        <w:t xml:space="preserve"> can be applied for this purpose. These methodologies require the definition of optimisation criteria as well as upper and lower limits of metabolic fluxes, i.e. </w:t>
      </w:r>
      <w:r w:rsidRPr="00383A89">
        <w:rPr>
          <w:i/>
          <w:lang w:val="en-GB"/>
        </w:rPr>
        <w:t>constraints</w:t>
      </w:r>
      <w:r w:rsidRPr="00383A89">
        <w:rPr>
          <w:lang w:val="en-GB"/>
        </w:rPr>
        <w:t>, through observed reactions, and do not rely on the evaluation of exact values of kinetic parameters. They are, however, limited solely to the observation of the metabolic phenotype within the steady state of the system and without direct interactions with other cellular processes, such as gene regulation and protein-protein interactions.</w:t>
      </w:r>
    </w:p>
    <w:p w14:paraId="1DDA2B42" w14:textId="7DEF8923" w:rsidR="00F3530F" w:rsidRPr="00383A89" w:rsidRDefault="00F3530F" w:rsidP="00CE4252">
      <w:pPr>
        <w:rPr>
          <w:lang w:val="en-GB"/>
        </w:rPr>
      </w:pPr>
      <w:r w:rsidRPr="00383A89">
        <w:rPr>
          <w:lang w:val="en-GB"/>
        </w:rPr>
        <w:t xml:space="preserve">The integration of GEMs with other cellular networks into </w:t>
      </w:r>
      <w:r w:rsidRPr="00383A89">
        <w:rPr>
          <w:i/>
          <w:lang w:val="en-GB"/>
        </w:rPr>
        <w:t xml:space="preserve">integrated models </w:t>
      </w:r>
      <w:r w:rsidRPr="00383A89">
        <w:rPr>
          <w:lang w:val="en-GB"/>
        </w:rPr>
        <w:t xml:space="preserve">have also been reported in recent years (see e.g. </w:t>
      </w:r>
      <w:r w:rsidR="00591AD8" w:rsidRPr="00383A89">
        <w:rPr>
          <w:lang w:val="en-GB"/>
        </w:rPr>
        <w:fldChar w:fldCharType="begin" w:fldLock="1"/>
      </w:r>
      <w:r w:rsidR="00E8653E">
        <w:rPr>
          <w:lang w:val="en-GB"/>
        </w:rPr>
        <w:instrText>ADDIN CSL_CITATION { "citationItems" : [ { "id" : "ITEM-1", "itemData" : { "DOI" : "10.1016/j.cmet.2016.05.026", "ISBN" : "1550-4131", "ISSN" : "19327420", "PMID" : "27345421", "abstract" : "To investigate the biological processes that are altered in obese subjects, we generated cell-specific integrated networks (INs) by merging genome-scale metabolic, transcriptional regulatory and protein-protein interaction networks. We performed genome-wide transcriptomics analysis to determine the global gene expression changes in the liver and three adipose tissues from obese subjects undergoing bariatric surgery and integrated these data into the cell-specific INs. We found dysregulations in mannose metabolism in obese subjects and validated our predictions by detecting mannose levels in the plasma of the lean and obese subjects. We observed significant correlations between plasma mannose levels, BMI, and insulin resistance (IR). We also measured plasma mannose levels of the subjects in two additional different cohorts and observed that an increased plasma mannose level was associated with IR and insulin secretion. We finally identified mannose as one of the best plasma metabolites in explaining the variance in obesity-independent IR.", "author" : [ { "dropping-particle" : "", "family" : "Lee", "given" : "Sunjae", "non-dropping-particle" : "", "parse-names" : false, "suffix" : "" }, { "dropping-particle" : "", "family" : "Zhang", "given" : "Cheng", "non-dropping-particle" : "", "parse-names" : false, "suffix" : "" }, { "dropping-particle" : "", "family" : "Kilicarslan", "given" : "Murat", "non-dropping-particle" : "", "parse-names" : false, "suffix" : "" }, { "dropping-particle" : "", "family" : "Piening", "given" : "Brian D.", "non-dropping-particle" : "", "parse-names" : false, "suffix" : "" }, { "dropping-particle" : "", "family" : "Bjornson", "given" : "Elias", "non-dropping-particle" : "", "parse-names" : false, "suffix" : "" }, { "dropping-particle" : "", "family" : "Hallstr\u00f6m", "given" : "Bj\u00f6rn M.", "non-dropping-particle" : "", "parse-names" : false, "suffix" : "" }, { "dropping-particle" : "", "family" : "Groen", "given" : "Albert K.", "non-dropping-particle" : "", "parse-names" : false, "suffix" : "" }, { "dropping-particle" : "", "family" : "Ferrannini", "given" : "Ele", "non-dropping-particle" : "", "parse-names" : false, "suffix" : "" }, { "dropping-particle" : "", "family" : "Laakso", "given" : "Markku", "non-dropping-particle" : "", "parse-names" : false, "suffix" : "" }, { "dropping-particle" : "", "family" : "Snyder", "given" : "Michael", "non-dropping-particle" : "", "parse-names" : false, "suffix" : "" }, { "dropping-particle" : "", "family" : "Bl\u00fcher", "given" : "Matthias", "non-dropping-particle" : "", "parse-names" : false, "suffix" : "" }, { "dropping-particle" : "", "family" : "Uhlen", "given" : "Mathias", "non-dropping-particle" : "", "parse-names" : false, "suffix" : "" }, { "dropping-particle" : "", "family" : "Nielsen", "given" : "Jens", "non-dropping-particle" : "", "parse-names" : false, "suffix" : "" }, { "dropping-particle" : "", "family" : "Smith", "given" : "Ulf", "non-dropping-particle" : "", "parse-names" : false, "suffix" : "" }, { "dropping-particle" : "", "family" : "Serlie", "given" : "Mireille J.", "non-dropping-particle" : "", "parse-names" : false, "suffix" : "" }, { "dropping-particle" : "", "family" : "Boren", "given" : "Jan", "non-dropping-particle" : "", "parse-names" : false, "suffix" : "" }, { "dropping-particle" : "", "family" : "Mardinoglu", "given" : "Adil", "non-dropping-particle" : "", "parse-names" : false, "suffix" : "" } ], "container-title" : "Cell Metabolism", "id" : "ITEM-1", "issue" : "1", "issued" : { "date-parts" : [ [ "2016" ] ] }, "page" : "172-184", "title" : "Integrated Network Analysis Reveals an Association between Plasma Mannose Levels and Insulin Resistance", "type" : "article-journal", "volume" : "24" }, "uris" : [ "http://www.mendeley.com/documents/?uuid=443fbb6c-34c3-41c0-b5a8-6927e75edc08" ] } ], "mendeley" : { "formattedCitation" : "&lt;sup&gt;&lt;sup&gt;55&lt;/sup&gt;&lt;/sup&gt;", "plainTextFormattedCitation" : "55", "previouslyFormattedCitation" : "&lt;sup&gt;&lt;sup&gt;55&lt;/sup&gt;&lt;/sup&gt;" }, "properties" : { "noteIndex" : 0 }, "schema" : "https://github.com/citation-style-language/schema/raw/master/csl-citation.json" }</w:instrText>
      </w:r>
      <w:r w:rsidR="00591AD8" w:rsidRPr="00383A89">
        <w:rPr>
          <w:lang w:val="en-GB"/>
        </w:rPr>
        <w:fldChar w:fldCharType="separate"/>
      </w:r>
      <w:r w:rsidR="00E8653E" w:rsidRPr="00E8653E">
        <w:rPr>
          <w:noProof/>
          <w:vertAlign w:val="superscript"/>
          <w:lang w:val="en-GB"/>
        </w:rPr>
        <w:t>55</w:t>
      </w:r>
      <w:r w:rsidR="00591AD8" w:rsidRPr="00383A89">
        <w:rPr>
          <w:lang w:val="en-GB"/>
        </w:rPr>
        <w:fldChar w:fldCharType="end"/>
      </w:r>
      <w:r w:rsidR="00591AD8" w:rsidRPr="00383A89">
        <w:rPr>
          <w:lang w:val="en-GB"/>
        </w:rPr>
        <w:t xml:space="preserve"> and </w:t>
      </w:r>
      <w:r w:rsidR="00591AD8" w:rsidRPr="00383A89">
        <w:rPr>
          <w:lang w:val="en-GB"/>
        </w:rPr>
        <w:fldChar w:fldCharType="begin" w:fldLock="1"/>
      </w:r>
      <w:r w:rsidR="00E8653E">
        <w:rPr>
          <w:lang w:val="en-GB"/>
        </w:rPr>
        <w:instrText>ADDIN CSL_CITATION { "citationItems" : [ { "id" : "ITEM-1", "itemData" : { "DOI" : "10.1093/nar/gkw462", "ISBN" : "0305-1048", "ISSN" : "13624962", "PMID" : "27216817", "abstract" : "Hepatocellular carcinoma (HCC) has a high mortality rate and early detection of HCC is crucial for the application of effective treatment strategies. HCC is typically caused by either viral hepatitis infection or by fatty liver disease. To diagnose and treat HCC it is necessary to elucidate the underlying molecular mechanisms. As a major cause for development of HCC is fatty liver disease, we here investigated anomalies in regulation of lipid metabolism in the liver. We applied a tailored network-based approach to identify signaling hubs associated with regulation of this part of metabolism. Using transcriptomics data of HCC patients, we identified significant dysregulated expressions of lipid-regulated genes, across many different lipid metabolic pathways. Our findings, however, show that viral hepatitis causes HCC by a distinct mechanism, less likely involving lipid anomalies. Based on our analysis we suggest signaling hub genes governing overall catabolic or anabolic pathways, as novel drug targets for treatment of HCC that involves lipid anomalies.", "author" : [ { "dropping-particle" : "", "family" : "Lee", "given" : "Sunjae", "non-dropping-particle" : "", "parse-names" : false, "suffix" : "" }, { "dropping-particle" : "", "family" : "Mardinoglu", "given" : "Adil", "non-dropping-particle" : "", "parse-names" : false, "suffix" : "" }, { "dropping-particle" : "", "family" : "Zhang", "given" : "Cheng", "non-dropping-particle" : "", "parse-names" : false, "suffix" : "" }, { "dropping-particle" : "", "family" : "Lee", "given" : "Doheon", "non-dropping-particle" : "", "parse-names" : false, "suffix" : "" }, { "dropping-particle" : "", "family" : "Nielsen", "given" : "Jens", "non-dropping-particle" : "", "parse-names" : false, "suffix" : "" } ], "container-title" : "Nucleic Acids Research", "id" : "ITEM-1", "issue" : "12", "issued" : { "date-parts" : [ [ "2016" ] ] }, "page" : "5529-5539", "title" : "Dysregulated signaling hubs of liver lipid metabolism reveal hepatocellular carcinoma pathogenesis", "type" : "article-journal", "volume" : "44" }, "uris" : [ "http://www.mendeley.com/documents/?uuid=48cc4038-fbb8-4537-bca6-d95b5424f9bd" ] } ], "mendeley" : { "formattedCitation" : "&lt;sup&gt;&lt;sup&gt;56&lt;/sup&gt;&lt;/sup&gt;", "plainTextFormattedCitation" : "56", "previouslyFormattedCitation" : "&lt;sup&gt;&lt;sup&gt;56&lt;/sup&gt;&lt;/sup&gt;" }, "properties" : { "noteIndex" : 0 }, "schema" : "https://github.com/citation-style-language/schema/raw/master/csl-citation.json" }</w:instrText>
      </w:r>
      <w:r w:rsidR="00591AD8" w:rsidRPr="00383A89">
        <w:rPr>
          <w:lang w:val="en-GB"/>
        </w:rPr>
        <w:fldChar w:fldCharType="separate"/>
      </w:r>
      <w:r w:rsidR="00E8653E" w:rsidRPr="00E8653E">
        <w:rPr>
          <w:noProof/>
          <w:vertAlign w:val="superscript"/>
          <w:lang w:val="en-GB"/>
        </w:rPr>
        <w:t>56</w:t>
      </w:r>
      <w:r w:rsidR="00591AD8" w:rsidRPr="00383A89">
        <w:rPr>
          <w:lang w:val="en-GB"/>
        </w:rPr>
        <w:fldChar w:fldCharType="end"/>
      </w:r>
      <w:r w:rsidR="00591AD8" w:rsidRPr="00383A89">
        <w:rPr>
          <w:lang w:val="en-GB"/>
        </w:rPr>
        <w:t>)</w:t>
      </w:r>
      <w:r w:rsidRPr="00383A89">
        <w:rPr>
          <w:lang w:val="en-GB"/>
        </w:rPr>
        <w:t xml:space="preserve">. The most comprehensive version of these model are so called </w:t>
      </w:r>
      <w:r w:rsidRPr="00383A89">
        <w:rPr>
          <w:i/>
          <w:lang w:val="en-GB"/>
        </w:rPr>
        <w:t>whole-cell models</w:t>
      </w:r>
      <w:r w:rsidR="00CE4252" w:rsidRPr="00383A89">
        <w:rPr>
          <w:i/>
          <w:lang w:val="en-GB"/>
        </w:rPr>
        <w:t xml:space="preserve"> </w:t>
      </w:r>
      <w:r w:rsidR="00CE4252" w:rsidRPr="00383A89">
        <w:rPr>
          <w:lang w:val="en-GB"/>
        </w:rPr>
        <w:t>(WCMs)</w:t>
      </w:r>
      <w:r w:rsidRPr="00383A89">
        <w:rPr>
          <w:lang w:val="en-GB"/>
        </w:rPr>
        <w:t>, which integrate the GEMs with the large-scale models of gene regulatory networks, signalling networks, protein-protein networks and other cellular processes</w:t>
      </w:r>
      <w:r w:rsidR="00B138B4">
        <w:rPr>
          <w:lang w:val="en-GB"/>
        </w:rPr>
        <w:t>.</w:t>
      </w:r>
      <w:r w:rsidR="006B2C98" w:rsidRPr="00383A89">
        <w:rPr>
          <w:lang w:val="en-GB"/>
        </w:rPr>
        <w:fldChar w:fldCharType="begin" w:fldLock="1"/>
      </w:r>
      <w:r w:rsidR="008C6299">
        <w:rPr>
          <w:lang w:val="en-GB"/>
        </w:rPr>
        <w:instrText>ADDIN CSL_CITATION { "citationItems" : [ { "id" : "ITEM-1", "itemData" : { "DOI" : "10.1016/j.mib.2015.06.004", "ISBN" : "1879-0364 (Electronic) 1369-5274 (Linking)", "ISSN" : "18790364", "PMID" : "26115539", "abstract" : "Whole-cell models which comprehensively predict how phenotypes emerge from genotype promise to enable rational bioengineering and precision medicine. Here, we outline the key principles of whole-cell modeling which have emerged from our work developing bacterial whole-cell models: single-cellularity; functional, genetic, molecular, and temporal completeness; biophysical realism including temporal dynamics and stochastic variation; species-specificity; and model integration and reproducibility. We also outline the whole-cell model construction process, highlighting existing resources. Numerous challenges remain to achieving fully complete models including developing new experimental tools to more completely characterize cells and developing a strong theoretical understanding of hybrid mathematics. Solving these challenges requires collaboration among computational and experimental biologists, biophysicists, biochemists, applied mathematicians, computer scientists, and software engineers.", "author" : [ { "dropping-particle" : "", "family" : "Karr", "given" : "Jonathan R.", "non-dropping-particle" : "", "parse-names" : false, "suffix" : "" }, { "dropping-particle" : "", "family" : "Takahashi", "given" : "Koichi", "non-dropping-particle" : "", "parse-names" : false, "suffix" : "" }, { "dropping-particle" : "", "family" : "Funahashi", "given" : "Akira", "non-dropping-particle" : "", "parse-names" : false, "suffix" : "" } ], "container-title" : "Current Opinion in Microbiology", "id" : "ITEM-1", "issued" : { "date-parts" : [ [ "2015" ] ] }, "page" : "18-24", "title" : "The principles of whole-cell modeling", "type" : "article-journal", "volume" : "27" }, "uris" : [ "http://www.mendeley.com/documents/?uuid=b636569d-3811-45af-8b6a-d2e743173034" ] } ], "mendeley" : { "formattedCitation" : "&lt;sup&gt;&lt;sup&gt;57&lt;/sup&gt;&lt;/sup&gt;", "plainTextFormattedCitation" : "57", "previouslyFormattedCitation" : "&lt;sup&gt;&lt;sup&gt;57&lt;/sup&gt;&lt;/sup&gt;" }, "properties" : { "noteIndex" : 0 }, "schema" : "https://github.com/citation-style-language/schema/raw/master/csl-citation.json" }</w:instrText>
      </w:r>
      <w:r w:rsidR="006B2C98" w:rsidRPr="00383A89">
        <w:rPr>
          <w:lang w:val="en-GB"/>
        </w:rPr>
        <w:fldChar w:fldCharType="separate"/>
      </w:r>
      <w:r w:rsidR="00E8653E" w:rsidRPr="00E8653E">
        <w:rPr>
          <w:noProof/>
          <w:vertAlign w:val="superscript"/>
          <w:lang w:val="en-GB"/>
        </w:rPr>
        <w:t>57</w:t>
      </w:r>
      <w:r w:rsidR="006B2C98" w:rsidRPr="00383A89">
        <w:rPr>
          <w:lang w:val="en-GB"/>
        </w:rPr>
        <w:fldChar w:fldCharType="end"/>
      </w:r>
      <w:r w:rsidRPr="00383A89">
        <w:rPr>
          <w:lang w:val="en-GB"/>
        </w:rPr>
        <w:t xml:space="preserve"> WC</w:t>
      </w:r>
      <w:r w:rsidR="00CE4252" w:rsidRPr="00383A89">
        <w:rPr>
          <w:lang w:val="en-GB"/>
        </w:rPr>
        <w:t>M</w:t>
      </w:r>
      <w:r w:rsidRPr="00383A89">
        <w:rPr>
          <w:lang w:val="en-GB"/>
        </w:rPr>
        <w:t xml:space="preserve"> has already been established for </w:t>
      </w:r>
      <w:r w:rsidRPr="00383A89">
        <w:rPr>
          <w:i/>
          <w:lang w:val="en-GB"/>
        </w:rPr>
        <w:t>Mycoplasma genitalium</w:t>
      </w:r>
      <w:r w:rsidR="00B138B4">
        <w:rPr>
          <w:i/>
          <w:lang w:val="en-GB"/>
        </w:rPr>
        <w:t>.</w:t>
      </w:r>
      <w:r w:rsidR="006B2C98" w:rsidRPr="00383A89">
        <w:rPr>
          <w:lang w:val="en-GB"/>
        </w:rPr>
        <w:fldChar w:fldCharType="begin" w:fldLock="1"/>
      </w:r>
      <w:r w:rsidR="001C27E1">
        <w:rPr>
          <w:lang w:val="en-GB"/>
        </w:rPr>
        <w:instrText>ADDIN CSL_CITATION { "citationItems" : [ { "id" : "ITEM-1", "itemData" : { "DOI" : "10.1016/j.cell.2012.05.044", "ISBN" : "0092-8674", "ISSN" : "00928674", "PMID" : "22817898", "abstract" : "Understanding how complex phenotypes arise from individual molecules and their interactions is a primary challenge in biology that computational approaches are poised to tackle. We report a whole-cell computational model of the life cycle of the human pathogen Mycoplasma genitalium that includes all of its molecular components and their interactions. An integrative approach to modeling that combines diverse mathematics enabled the simultaneous inclusion of fundamentally different cellular processes and experimental measurements. Our whole-cell model accounts for all annotated gene functions and was validated against a broad range of data. The model provides insights into many previously unobserved cellular behaviors, including in vivo rates of protein-DNA association and an inverse relationship between the durations of DNA replication initiation and replication. In addition, experimental analysis directed by model predictions identified previously undetected kinetic parameters and biological functions. We conclude that comprehensive whole-cell models can be used to facilitate biological discovery. \u00a9 2012 Elsevier Inc.", "author" : [ { "dropping-particle" : "", "family" : "Karr", "given" : "Jonathan R.", "non-dropping-particle" : "", "parse-names" : false, "suffix" : "" }, { "dropping-particle" : "", "family" : "Sanghvi", "given" : "Jayodita C.", "non-dropping-particle" : "", "parse-names" : false, "suffix" : "" }, { "dropping-particle" : "", "family" : "MacKlin", "given" : "Derek N.", "non-dropping-particle" : "", "parse-names" : false, "suffix" : "" }, { "dropping-particle" : "V.", "family" : "Gutschow", "given" : "Miriam", "non-dropping-particle" : "", "parse-names" : false, "suffix" : "" }, { "dropping-particle" : "", "family" : "Jacobs", "given" : "Jared M.", "non-dropping-particle" : "", "parse-names" : false, "suffix" : "" }, { "dropping-particle" : "", "family" : "Bolival", "given" : "Benjamin", "non-dropping-particle" : "", "parse-names" : false, "suffix" : "" }, { "dropping-particle" : "", "family" : "Assad-Garcia", "given" : "Nacyra", "non-dropping-particle" : "", "parse-names" : false, "suffix" : "" }, { "dropping-particle" : "", "family" : "Glass", "given" : "John I.", "non-dropping-particle" : "", "parse-names" : false, "suffix" : "" }, { "dropping-particle" : "", "family" : "Covert", "given" : "Markus W.", "non-dropping-particle" : "", "parse-names" : false, "suffix" : "" } ], "container-title" : "Cell", "id" : "ITEM-1", "issue" : "2", "issued" : { "date-parts" : [ [ "2012" ] ] }, "page" : "389-401", "title" : "A whole-cell computational model predicts phenotype from genotype", "type" : "article-journal", "volume" : "150" }, "uris" : [ "http://www.mendeley.com/documents/?uuid=62a8d809-0ac7-4c10-b121-a54d1a4b2e0f" ] } ], "mendeley" : { "formattedCitation" : "&lt;sup&gt;&lt;sup&gt;18&lt;/sup&gt;&lt;/sup&gt;", "plainTextFormattedCitation" : "18", "previouslyFormattedCitation" : "&lt;sup&gt;&lt;sup&gt;18&lt;/sup&gt;&lt;/sup&gt;" }, "properties" : { "noteIndex" : 0 }, "schema" : "https://github.com/citation-style-language/schema/raw/master/csl-citation.json" }</w:instrText>
      </w:r>
      <w:r w:rsidR="006B2C98" w:rsidRPr="00383A89">
        <w:rPr>
          <w:lang w:val="en-GB"/>
        </w:rPr>
        <w:fldChar w:fldCharType="separate"/>
      </w:r>
      <w:r w:rsidR="00A34EF8" w:rsidRPr="00A34EF8">
        <w:rPr>
          <w:noProof/>
          <w:vertAlign w:val="superscript"/>
          <w:lang w:val="en-GB"/>
        </w:rPr>
        <w:t>18</w:t>
      </w:r>
      <w:r w:rsidR="006B2C98" w:rsidRPr="00383A89">
        <w:rPr>
          <w:lang w:val="en-GB"/>
        </w:rPr>
        <w:fldChar w:fldCharType="end"/>
      </w:r>
      <w:r w:rsidRPr="00383A89">
        <w:rPr>
          <w:lang w:val="en-GB"/>
        </w:rPr>
        <w:t xml:space="preserve"> This model integrates 28 different submodels into a unified WC</w:t>
      </w:r>
      <w:r w:rsidR="00CE4252" w:rsidRPr="00383A89">
        <w:rPr>
          <w:lang w:val="en-GB"/>
        </w:rPr>
        <w:t>M</w:t>
      </w:r>
      <w:r w:rsidRPr="00383A89">
        <w:rPr>
          <w:lang w:val="en-GB"/>
        </w:rPr>
        <w:t xml:space="preserve"> that is able to describe the cellular dynamics in the time-span of one cellular division</w:t>
      </w:r>
      <w:r w:rsidR="00B138B4">
        <w:rPr>
          <w:lang w:val="en-GB"/>
        </w:rPr>
        <w:t>.</w:t>
      </w:r>
      <w:r w:rsidR="006B2C98" w:rsidRPr="00383A89">
        <w:rPr>
          <w:lang w:val="en-GB"/>
        </w:rPr>
        <w:fldChar w:fldCharType="begin" w:fldLock="1"/>
      </w:r>
      <w:r w:rsidR="001C27E1">
        <w:rPr>
          <w:lang w:val="en-GB"/>
        </w:rPr>
        <w:instrText>ADDIN CSL_CITATION { "citationItems" : [ { "id" : "ITEM-1", "itemData" : { "DOI" : "10.1016/j.cell.2012.05.044", "ISBN" : "0092-8674", "ISSN" : "00928674", "PMID" : "22817898", "abstract" : "Understanding how complex phenotypes arise from individual molecules and their interactions is a primary challenge in biology that computational approaches are poised to tackle. We report a whole-cell computational model of the life cycle of the human pathogen Mycoplasma genitalium that includes all of its molecular components and their interactions. An integrative approach to modeling that combines diverse mathematics enabled the simultaneous inclusion of fundamentally different cellular processes and experimental measurements. Our whole-cell model accounts for all annotated gene functions and was validated against a broad range of data. The model provides insights into many previously unobserved cellular behaviors, including in vivo rates of protein-DNA association and an inverse relationship between the durations of DNA replication initiation and replication. In addition, experimental analysis directed by model predictions identified previously undetected kinetic parameters and biological functions. We conclude that comprehensive whole-cell models can be used to facilitate biological discovery. \u00a9 2012 Elsevier Inc.", "author" : [ { "dropping-particle" : "", "family" : "Karr", "given" : "Jonathan R.", "non-dropping-particle" : "", "parse-names" : false, "suffix" : "" }, { "dropping-particle" : "", "family" : "Sanghvi", "given" : "Jayodita C.", "non-dropping-particle" : "", "parse-names" : false, "suffix" : "" }, { "dropping-particle" : "", "family" : "MacKlin", "given" : "Derek N.", "non-dropping-particle" : "", "parse-names" : false, "suffix" : "" }, { "dropping-particle" : "V.", "family" : "Gutschow", "given" : "Miriam", "non-dropping-particle" : "", "parse-names" : false, "suffix" : "" }, { "dropping-particle" : "", "family" : "Jacobs", "given" : "Jared M.", "non-dropping-particle" : "", "parse-names" : false, "suffix" : "" }, { "dropping-particle" : "", "family" : "Bolival", "given" : "Benjamin", "non-dropping-particle" : "", "parse-names" : false, "suffix" : "" }, { "dropping-particle" : "", "family" : "Assad-Garcia", "given" : "Nacyra", "non-dropping-particle" : "", "parse-names" : false, "suffix" : "" }, { "dropping-particle" : "", "family" : "Glass", "given" : "John I.", "non-dropping-particle" : "", "parse-names" : false, "suffix" : "" }, { "dropping-particle" : "", "family" : "Covert", "given" : "Markus W.", "non-dropping-particle" : "", "parse-names" : false, "suffix" : "" } ], "container-title" : "Cell", "id" : "ITEM-1", "issue" : "2", "issued" : { "date-parts" : [ [ "2012" ] ] }, "page" : "389-401", "title" : "A whole-cell computational model predicts phenotype from genotype", "type" : "article-journal", "volume" : "150" }, "uris" : [ "http://www.mendeley.com/documents/?uuid=62a8d809-0ac7-4c10-b121-a54d1a4b2e0f" ] } ], "mendeley" : { "formattedCitation" : "&lt;sup&gt;&lt;sup&gt;18&lt;/sup&gt;&lt;/sup&gt;", "plainTextFormattedCitation" : "18", "previouslyFormattedCitation" : "&lt;sup&gt;&lt;sup&gt;18&lt;/sup&gt;&lt;/sup&gt;" }, "properties" : { "noteIndex" : 0 }, "schema" : "https://github.com/citation-style-language/schema/raw/master/csl-citation.json" }</w:instrText>
      </w:r>
      <w:r w:rsidR="006B2C98" w:rsidRPr="00383A89">
        <w:rPr>
          <w:lang w:val="en-GB"/>
        </w:rPr>
        <w:fldChar w:fldCharType="separate"/>
      </w:r>
      <w:r w:rsidR="00A34EF8" w:rsidRPr="00A34EF8">
        <w:rPr>
          <w:noProof/>
          <w:vertAlign w:val="superscript"/>
          <w:lang w:val="en-GB"/>
        </w:rPr>
        <w:t>18</w:t>
      </w:r>
      <w:r w:rsidR="006B2C98" w:rsidRPr="00383A89">
        <w:rPr>
          <w:lang w:val="en-GB"/>
        </w:rPr>
        <w:fldChar w:fldCharType="end"/>
      </w:r>
      <w:r w:rsidRPr="00383A89">
        <w:rPr>
          <w:lang w:val="en-GB"/>
        </w:rPr>
        <w:t xml:space="preserve"> Even though this model seems extremely promising, the methodology used in its establishment is hardly scalable</w:t>
      </w:r>
      <w:r w:rsidR="00B138B4">
        <w:rPr>
          <w:lang w:val="en-GB"/>
        </w:rPr>
        <w:t>.</w:t>
      </w:r>
      <w:r w:rsidR="006B2C98" w:rsidRPr="00383A89">
        <w:rPr>
          <w:lang w:val="en-GB"/>
        </w:rPr>
        <w:fldChar w:fldCharType="begin" w:fldLock="1"/>
      </w:r>
      <w:r w:rsidR="00E8653E">
        <w:rPr>
          <w:lang w:val="en-GB"/>
        </w:rPr>
        <w:instrText>ADDIN CSL_CITATION { "citationItems" : [ { "id" : "ITEM-1", "itemData" : { "DOI" : "10.1098/rsif.2017.0237", "ISSN" : "1742-5689", "PMID" : "28768879", "abstract" : "Dynamical systems describing whole cells are on the verge of becoming a rea-lity. But as models of reality, they are only useful if we have realistic parameters for the molecular reaction rates and cell physiological processes. There is currently no suitable framework to reliably estimate hundreds, let alone thousands, of reaction rate parameters. Here, we map out the relative weaknesses and promises of different approaches aimed at redressing this issue. While suitable procedures for estimation or inference of the whole (vast) set of parameters will, in all likelihood, remain elusive, some hope can be drawn from the fact that much of the cellular behaviour may be explained in terms of smaller sets of parameters. Identifying such parameter sets and assessing their behaviour is now becoming possible even for very large sys-tems of equations, and we expect such methods to become central tools in the development and analysis of whole-cell models.", "author" : [ { "dropping-particle" : "", "family" : "Babtie", "given" : "Ann C.", "non-dropping-particle" : "", "parse-names" : false, "suffix" : "" }, { "dropping-particle" : "", "family" : "Stumpf", "given" : "Michael P. H.", "non-dropping-particle" : "", "parse-names" : false, "suffix" : "" } ], "container-title" : "Journal of The Royal Society Interface", "id" : "ITEM-1", "issue" : "133", "issued" : { "date-parts" : [ [ "2017" ] ] }, "page" : "20170237", "title" : "How to deal with parameters for whole-cell modelling", "type" : "article-journal", "volume" : "14" }, "uris" : [ "http://www.mendeley.com/documents/?uuid=0bb9c7a0-cb98-4014-9010-925ee9ed219a" ] } ], "mendeley" : { "formattedCitation" : "&lt;sup&gt;&lt;sup&gt;29&lt;/sup&gt;&lt;/sup&gt;", "plainTextFormattedCitation" : "29", "previouslyFormattedCitation" : "&lt;sup&gt;&lt;sup&gt;29&lt;/sup&gt;&lt;/sup&gt;" }, "properties" : { "noteIndex" : 0 }, "schema" : "https://github.com/citation-style-language/schema/raw/master/csl-citation.json" }</w:instrText>
      </w:r>
      <w:r w:rsidR="006B2C98" w:rsidRPr="00383A89">
        <w:rPr>
          <w:lang w:val="en-GB"/>
        </w:rPr>
        <w:fldChar w:fldCharType="separate"/>
      </w:r>
      <w:r w:rsidR="00E8653E" w:rsidRPr="00E8653E">
        <w:rPr>
          <w:noProof/>
          <w:vertAlign w:val="superscript"/>
          <w:lang w:val="en-GB"/>
        </w:rPr>
        <w:t>29</w:t>
      </w:r>
      <w:r w:rsidR="006B2C98" w:rsidRPr="00383A89">
        <w:rPr>
          <w:lang w:val="en-GB"/>
        </w:rPr>
        <w:fldChar w:fldCharType="end"/>
      </w:r>
      <w:r w:rsidRPr="00383A89">
        <w:rPr>
          <w:lang w:val="en-GB"/>
        </w:rPr>
        <w:t xml:space="preserve"> There are several challenges and problems that currently obstruct the application of WC</w:t>
      </w:r>
      <w:r w:rsidR="00CE4252" w:rsidRPr="00383A89">
        <w:rPr>
          <w:lang w:val="en-GB"/>
        </w:rPr>
        <w:t>Ms</w:t>
      </w:r>
      <w:r w:rsidRPr="00383A89">
        <w:rPr>
          <w:lang w:val="en-GB"/>
        </w:rPr>
        <w:t xml:space="preserve"> to more complex organisms</w:t>
      </w:r>
      <w:r w:rsidR="00B138B4">
        <w:rPr>
          <w:lang w:val="en-GB"/>
        </w:rPr>
        <w:t>.</w:t>
      </w:r>
      <w:r w:rsidR="006B2C98" w:rsidRPr="00383A89">
        <w:rPr>
          <w:lang w:val="en-GB"/>
        </w:rPr>
        <w:fldChar w:fldCharType="begin" w:fldLock="1"/>
      </w:r>
      <w:r w:rsidR="00E8653E">
        <w:rPr>
          <w:lang w:val="en-GB"/>
        </w:rPr>
        <w:instrText>ADDIN CSL_CITATION { "citationItems" : [ { "id" : "ITEM-1", "itemData" : { "DOI" : "10.1016/j.copbio.2018.02.005", "ISSN" : "18790429", "abstract" : "The impact of intracellular spatial organization beyond classical compartments on processes such as cell signaling is increasingly recognized. A quantitative, mechanistic understanding of cellular systems therefore needs to account for different scales in at least three coordinates: time, molecular abundances, and space. Mechanistic mathematical models may span all these scales, but corresponding multi-scale models need to resolve mechanistic details on small scales while maintaining computational tractability for larger ones. This typically results in models that combine different levels of description: from a microscopic representation of chemical reactions up to continuum dynamics in space and time. We highlight recent progress in bridging these model classes and outline current challenges in multi-scale models such as active transport and dynamic geometries.", "author" : [ { "dropping-particle" : "", "family" : "Widmer", "given" : "Lukas Andreas", "non-dropping-particle" : "", "parse-names" : false, "suffix" : "" }, { "dropping-particle" : "", "family" : "Stelling", "given" : "J\u00f6rg", "non-dropping-particle" : "", "parse-names" : false, "suffix" : "" } ], "container-title" : "Current Opinion in Biotechnology", "id" : "ITEM-1", "issued" : { "date-parts" : [ [ "2018" ] ] }, "page" : "17-24", "title" : "Bridging intracellular scales by mechanistic computational models", "type" : "article-journal", "volume" : "52" }, "uris" : [ "http://www.mendeley.com/documents/?uuid=33f53a3f-5d8c-4bdf-8f4e-a12a2e00af1c" ] } ], "mendeley" : { "formattedCitation" : "&lt;sup&gt;&lt;sup&gt;58&lt;/sup&gt;&lt;/sup&gt;", "plainTextFormattedCitation" : "58", "previouslyFormattedCitation" : "&lt;sup&gt;&lt;sup&gt;58&lt;/sup&gt;&lt;/sup&gt;" }, "properties" : { "noteIndex" : 0 }, "schema" : "https://github.com/citation-style-language/schema/raw/master/csl-citation.json" }</w:instrText>
      </w:r>
      <w:r w:rsidR="006B2C98" w:rsidRPr="00383A89">
        <w:rPr>
          <w:lang w:val="en-GB"/>
        </w:rPr>
        <w:fldChar w:fldCharType="separate"/>
      </w:r>
      <w:r w:rsidR="00E8653E" w:rsidRPr="00E8653E">
        <w:rPr>
          <w:noProof/>
          <w:vertAlign w:val="superscript"/>
          <w:lang w:val="en-GB"/>
        </w:rPr>
        <w:t>58</w:t>
      </w:r>
      <w:r w:rsidR="006B2C98" w:rsidRPr="00383A89">
        <w:rPr>
          <w:lang w:val="en-GB"/>
        </w:rPr>
        <w:fldChar w:fldCharType="end"/>
      </w:r>
      <w:r w:rsidRPr="00383A89">
        <w:rPr>
          <w:lang w:val="en-GB"/>
        </w:rPr>
        <w:t xml:space="preserve"> One of the main problems these models are facing is again the evaluation of realistic parameter values, their distributions and uncertainties in order to describe the dynamics of observed systems accurately</w:t>
      </w:r>
      <w:r w:rsidR="00B138B4">
        <w:rPr>
          <w:lang w:val="en-GB"/>
        </w:rPr>
        <w:t>.</w:t>
      </w:r>
      <w:r w:rsidR="006B2C98" w:rsidRPr="00383A89">
        <w:rPr>
          <w:lang w:val="en-GB"/>
        </w:rPr>
        <w:fldChar w:fldCharType="begin" w:fldLock="1"/>
      </w:r>
      <w:r w:rsidR="00E8653E">
        <w:rPr>
          <w:lang w:val="en-GB"/>
        </w:rPr>
        <w:instrText>ADDIN CSL_CITATION { "citationItems" : [ { "id" : "ITEM-1", "itemData" : { "DOI" : "10.1098/rsif.2017.0237", "ISSN" : "1742-5689", "PMID" : "28768879", "abstract" : "Dynamical systems describing whole cells are on the verge of becoming a rea-lity. But as models of reality, they are only useful if we have realistic parameters for the molecular reaction rates and cell physiological processes. There is currently no suitable framework to reliably estimate hundreds, let alone thousands, of reaction rate parameters. Here, we map out the relative weaknesses and promises of different approaches aimed at redressing this issue. While suitable procedures for estimation or inference of the whole (vast) set of parameters will, in all likelihood, remain elusive, some hope can be drawn from the fact that much of the cellular behaviour may be explained in terms of smaller sets of parameters. Identifying such parameter sets and assessing their behaviour is now becoming possible even for very large sys-tems of equations, and we expect such methods to become central tools in the development and analysis of whole-cell models.", "author" : [ { "dropping-particle" : "", "family" : "Babtie", "given" : "Ann C.", "non-dropping-particle" : "", "parse-names" : false, "suffix" : "" }, { "dropping-particle" : "", "family" : "Stumpf", "given" : "Michael P. H.", "non-dropping-particle" : "", "parse-names" : false, "suffix" : "" } ], "container-title" : "Journal of The Royal Society Interface", "id" : "ITEM-1", "issue" : "133", "issued" : { "date-parts" : [ [ "2017" ] ] }, "page" : "20170237", "title" : "How to deal with parameters for whole-cell modelling", "type" : "article-journal", "volume" : "14" }, "uris" : [ "http://www.mendeley.com/documents/?uuid=0bb9c7a0-cb98-4014-9010-925ee9ed219a" ] } ], "mendeley" : { "formattedCitation" : "&lt;sup&gt;&lt;sup&gt;29&lt;/sup&gt;&lt;/sup&gt;", "plainTextFormattedCitation" : "29", "previouslyFormattedCitation" : "&lt;sup&gt;&lt;sup&gt;29&lt;/sup&gt;&lt;/sup&gt;" }, "properties" : { "noteIndex" : 0 }, "schema" : "https://github.com/citation-style-language/schema/raw/master/csl-citation.json" }</w:instrText>
      </w:r>
      <w:r w:rsidR="006B2C98" w:rsidRPr="00383A89">
        <w:rPr>
          <w:lang w:val="en-GB"/>
        </w:rPr>
        <w:fldChar w:fldCharType="separate"/>
      </w:r>
      <w:r w:rsidR="00E8653E" w:rsidRPr="00E8653E">
        <w:rPr>
          <w:noProof/>
          <w:vertAlign w:val="superscript"/>
          <w:lang w:val="en-GB"/>
        </w:rPr>
        <w:t>29</w:t>
      </w:r>
      <w:r w:rsidR="006B2C98" w:rsidRPr="00383A89">
        <w:rPr>
          <w:lang w:val="en-GB"/>
        </w:rPr>
        <w:fldChar w:fldCharType="end"/>
      </w:r>
      <w:r w:rsidRPr="00383A89">
        <w:rPr>
          <w:lang w:val="en-GB"/>
        </w:rPr>
        <w:t xml:space="preserve"> Moreover, the integration of models of different cellular processes as well WC</w:t>
      </w:r>
      <w:r w:rsidR="00CE4252" w:rsidRPr="00383A89">
        <w:rPr>
          <w:lang w:val="en-GB"/>
        </w:rPr>
        <w:t>Ms</w:t>
      </w:r>
      <w:r w:rsidRPr="00383A89">
        <w:rPr>
          <w:lang w:val="en-GB"/>
        </w:rPr>
        <w:t xml:space="preserve"> with their environment into comprehensive models that bridge the gaps between multiple scales still needs to be addressed sufficiently</w:t>
      </w:r>
      <w:r w:rsidR="00B138B4">
        <w:rPr>
          <w:lang w:val="en-GB"/>
        </w:rPr>
        <w:t>.</w:t>
      </w:r>
      <w:r w:rsidR="006B2C98" w:rsidRPr="00383A89">
        <w:rPr>
          <w:lang w:val="en-GB"/>
        </w:rPr>
        <w:fldChar w:fldCharType="begin" w:fldLock="1"/>
      </w:r>
      <w:r w:rsidR="00E8653E">
        <w:rPr>
          <w:lang w:val="en-GB"/>
        </w:rPr>
        <w:instrText>ADDIN CSL_CITATION { "citationItems" : [ { "id" : "ITEM-1", "itemData" : { "DOI" : "10.1016/j.copbio.2018.02.005", "ISSN" : "18790429", "abstract" : "The impact of intracellular spatial organization beyond classical compartments on processes such as cell signaling is increasingly recognized. A quantitative, mechanistic understanding of cellular systems therefore needs to account for different scales in at least three coordinates: time, molecular abundances, and space. Mechanistic mathematical models may span all these scales, but corresponding multi-scale models need to resolve mechanistic details on small scales while maintaining computational tractability for larger ones. This typically results in models that combine different levels of description: from a microscopic representation of chemical reactions up to continuum dynamics in space and time. We highlight recent progress in bridging these model classes and outline current challenges in multi-scale models such as active transport and dynamic geometries.", "author" : [ { "dropping-particle" : "", "family" : "Widmer", "given" : "Lukas Andreas", "non-dropping-particle" : "", "parse-names" : false, "suffix" : "" }, { "dropping-particle" : "", "family" : "Stelling", "given" : "J\u00f6rg", "non-dropping-particle" : "", "parse-names" : false, "suffix" : "" } ], "container-title" : "Current Opinion in Biotechnology", "id" : "ITEM-1", "issued" : { "date-parts" : [ [ "2018" ] ] }, "page" : "17-24", "title" : "Bridging intracellular scales by mechanistic computational models", "type" : "article-journal", "volume" : "52" }, "uris" : [ "http://www.mendeley.com/documents/?uuid=33f53a3f-5d8c-4bdf-8f4e-a12a2e00af1c" ] } ], "mendeley" : { "formattedCitation" : "&lt;sup&gt;&lt;sup&gt;58&lt;/sup&gt;&lt;/sup&gt;", "plainTextFormattedCitation" : "58", "previouslyFormattedCitation" : "&lt;sup&gt;&lt;sup&gt;58&lt;/sup&gt;&lt;/sup&gt;" }, "properties" : { "noteIndex" : 0 }, "schema" : "https://github.com/citation-style-language/schema/raw/master/csl-citation.json" }</w:instrText>
      </w:r>
      <w:r w:rsidR="006B2C98" w:rsidRPr="00383A89">
        <w:rPr>
          <w:lang w:val="en-GB"/>
        </w:rPr>
        <w:fldChar w:fldCharType="separate"/>
      </w:r>
      <w:r w:rsidR="00E8653E" w:rsidRPr="00E8653E">
        <w:rPr>
          <w:noProof/>
          <w:vertAlign w:val="superscript"/>
          <w:lang w:val="en-GB"/>
        </w:rPr>
        <w:t>58</w:t>
      </w:r>
      <w:r w:rsidR="006B2C98" w:rsidRPr="00383A89">
        <w:rPr>
          <w:lang w:val="en-GB"/>
        </w:rPr>
        <w:fldChar w:fldCharType="end"/>
      </w:r>
      <w:r w:rsidRPr="00383A89">
        <w:rPr>
          <w:lang w:val="en-GB"/>
        </w:rPr>
        <w:t xml:space="preserve"> </w:t>
      </w:r>
    </w:p>
    <w:p w14:paraId="55BA3C25" w14:textId="0111FBEA" w:rsidR="00F3530F" w:rsidRPr="00383A89" w:rsidRDefault="00F3530F" w:rsidP="00F3530F">
      <w:pPr>
        <w:rPr>
          <w:lang w:val="en-GB"/>
        </w:rPr>
      </w:pPr>
      <w:r w:rsidRPr="00383A89">
        <w:rPr>
          <w:lang w:val="en-GB"/>
        </w:rPr>
        <w:lastRenderedPageBreak/>
        <w:t>While WC</w:t>
      </w:r>
      <w:r w:rsidR="00CE4252" w:rsidRPr="00383A89">
        <w:rPr>
          <w:lang w:val="en-GB"/>
        </w:rPr>
        <w:t>Ms</w:t>
      </w:r>
      <w:r w:rsidRPr="00383A89">
        <w:rPr>
          <w:lang w:val="en-GB"/>
        </w:rPr>
        <w:t xml:space="preserve"> try to give an accurate description of all cellular processes, models that are currently being applied to the analysis of intra- or inter-cellular dynamics mostly base on the descriptions of the selected processes that seem to be vital for the analysed aspects of cellular dynamics. These models are usually based on the simplifications that combine and reduce the number of observed biochemical reactions thus reducing also the number of parameters that need to be evaluated</w:t>
      </w:r>
      <w:r w:rsidR="00B138B4">
        <w:rPr>
          <w:lang w:val="en-GB"/>
        </w:rPr>
        <w:t>.</w:t>
      </w:r>
      <w:r w:rsidR="006B2C98" w:rsidRPr="00383A89">
        <w:rPr>
          <w:lang w:val="en-GB"/>
        </w:rPr>
        <w:fldChar w:fldCharType="begin" w:fldLock="1"/>
      </w:r>
      <w:r w:rsidR="008C6299">
        <w:rPr>
          <w:lang w:val="en-GB"/>
        </w:rPr>
        <w:instrText>ADDIN CSL_CITATION { "citationItems" : [ { "id" : "ITEM-1", "itemData" : { "DOI" : "10.1371/journal.pone.0083664", "ISSN" : "19326203", "PMID" : "20823324", "abstract" : "MOTIVATION In Systems Biology, an increasing collection of models of various biological processes is currently developed and made available in publicly accessible repositories, such as biomodels.net for instance, through common exchange formats such as SBML. To date, however, there is no general method to relate different models to each other by abstraction or reduction relationships, and this task is left to the modeler for re-using and coupling models. In mathematical biology, model reduction techniques have been studied for a long time, mainly in the case where a model exhibits different time scales, or different spatial phases, which can be analyzed separately. These techniques are however far too restrictive to be applied on a large scale in systems biology, and do not take into account abstractions other than time or phase decompositions. Our purpose here is to propose a general computational method for relating models together, by considering primarily the structure of the interactions and abstracting from their dynamics in a first step. RESULTS We present a graph-theoretic formalism with node merge and delete operations, in which model reductions can be studied as graph matching problems. From this setting, we derive an algorithm for deciding whether there exists a reduction from one model to another, and evaluate it on the computation of the reduction relations between all SBML models of the biomodels.net repository. In particular, in the case of the numerous models of MAPK signalling, and of the circadian clock, biologically meaningful mappings between models of each class are automatically inferred from the structure of the interactions. We conclude on the generality of our graphical method, on its limits with respect to the representation of the structure of the interactions in SBML, and on some perspectives for dealing with the dynamics. AVAILABILITY The algorithms described in this article are implemented in the open-source software modeling platform BIOCHAM available at http://contraintes.inria.fr/biocham The models used in the experiments are available from http://www.biomodels.net/.", "author" : [ { "dropping-particle" : "", "family" : "Apri", "given" : "Mochamad", "non-dropping-particle" : "", "parse-names" : false, "suffix" : "" }, { "dropping-particle" : "", "family" : "Gee", "given" : "Maarten", "non-dropping-particle" : "De", "parse-names" : false, "suffix" : "" }, { "dropping-particle" : "", "family" : "Mourik", "given" : "Simon", "non-dropping-particle" : "Van", "parse-names" : false, "suffix" : "" }, { "dropping-particle" : "", "family" : "Molenaar", "given" : "Jaap", "non-dropping-particle" : "", "parse-names" : false, "suffix" : "" } ], "container-title" : "PLoS One", "id" : "ITEM-1", "issue" : "1", "issued" : { "date-parts" : [ [ "2014" ] ] }, "page" : "e83664", "title" : "Identifying optimal models to represent biochemical systems", "type" : "article-journal", "volume" : "9" }, "uris" : [ "http://www.mendeley.com/documents/?uuid=349640cf-9819-4666-a267-7cdb6af51b94" ] } ], "mendeley" : { "formattedCitation" : "&lt;sup&gt;&lt;sup&gt;59&lt;/sup&gt;&lt;/sup&gt;", "plainTextFormattedCitation" : "59", "previouslyFormattedCitation" : "&lt;sup&gt;&lt;sup&gt;59&lt;/sup&gt;&lt;/sup&gt;" }, "properties" : { "noteIndex" : 0 }, "schema" : "https://github.com/citation-style-language/schema/raw/master/csl-citation.json" }</w:instrText>
      </w:r>
      <w:r w:rsidR="006B2C98" w:rsidRPr="00383A89">
        <w:rPr>
          <w:lang w:val="en-GB"/>
        </w:rPr>
        <w:fldChar w:fldCharType="separate"/>
      </w:r>
      <w:r w:rsidR="00E8653E" w:rsidRPr="00E8653E">
        <w:rPr>
          <w:noProof/>
          <w:vertAlign w:val="superscript"/>
          <w:lang w:val="en-GB"/>
        </w:rPr>
        <w:t>59</w:t>
      </w:r>
      <w:r w:rsidR="006B2C98" w:rsidRPr="00383A89">
        <w:rPr>
          <w:lang w:val="en-GB"/>
        </w:rPr>
        <w:fldChar w:fldCharType="end"/>
      </w:r>
      <w:r w:rsidRPr="00383A89">
        <w:rPr>
          <w:lang w:val="en-GB"/>
        </w:rPr>
        <w:t xml:space="preserve"> Since the number of observed biochemical entities is drastically reduced, the ODE- or SSA-based approaches can be applied again.</w:t>
      </w:r>
    </w:p>
    <w:p w14:paraId="64A247FB" w14:textId="28BCDC03" w:rsidR="00F3530F" w:rsidRPr="00383A89" w:rsidRDefault="00F3530F" w:rsidP="00F3530F">
      <w:pPr>
        <w:rPr>
          <w:lang w:val="en-GB"/>
        </w:rPr>
      </w:pPr>
      <w:r w:rsidRPr="00383A89">
        <w:rPr>
          <w:lang w:val="en-GB"/>
        </w:rPr>
        <w:t xml:space="preserve">These models can be integrated into multicellular models describing bacterial populations, tissues or organs with the coupling of differential equations and accounting for spatial as well as temporal dynamics of the system’s response (see e.g. </w:t>
      </w:r>
      <w:r w:rsidR="006B2C98" w:rsidRPr="00383A89">
        <w:rPr>
          <w:lang w:val="en-GB"/>
        </w:rPr>
        <w:fldChar w:fldCharType="begin" w:fldLock="1"/>
      </w:r>
      <w:r w:rsidR="008C6299">
        <w:rPr>
          <w:lang w:val="en-GB"/>
        </w:rPr>
        <w:instrText>ADDIN CSL_CITATION { "citationItems" : [ { "id" : "ITEM-1", "itemData" : { "DOI" : "10.1371/journal.pcbi.1004881", "ISSN" : "15537358", "PMID" : "27128344", "abstract" : "Synthetic constructs in biotechnology, biocomputing, and modern gene therapy interventions are often based on plasmids or transfected circuits which implement some form of \"on-off\" switch. For example, the expression of a protein used for therapeutic purposes might be triggered by the recognition of a specific combination of inducers (e.g., antigens), and memory of this event should be maintained across a cell population until a specific stimulus commands a coordinated shut-off. The robustness of such a design is hampered by molecular (\"intrinsic\") or environmental (\"extrinsic\") noise, which may lead to spontaneous changes of state in a subset of the population and is reflected in the bimodality of protein expression, as measured for example using flow cytometry. In this context, a \"majority-vote\" correction circuit, which brings deviant cells back into the required state, is highly desirable, and quorum-sensing has been suggested as a way for cells to broadcast their states to the population as a whole so as to facilitate consensus. In this paper, we propose what we believe is the first such a design that has mathematically guaranteed properties of stability and auto-correction under certain conditions. Our approach is guided by concepts and theory from the field of \"monotone\" dynamical systems developed by M. Hirsch, H. Smith, and others. We benchmark our design by comparing it to an existing design which has been the subject of experimental and theoretical studies, illustrating its superiority in stability and self-correction of synchronization errors. Our stability analysis, based on dynamical systems theory, guarantees global convergence to steady states, ruling out unpredictable (\"chaotic\") behaviors and even sustained oscillations in the limit of convergence. These results are valid no matter what are the values of parameters, and are based only on the wiring diagram. The theory is complemented by extensive computational bifurcation analysis, performed for a biochemically-detailed and biologically-relevant model that we developed. Another novel feature of our approach is that our theorems on exponential stability of steady states for homogeneous or mixed populations are valid independently of the number N of cells in the population, which is usually very large (N &gt;&gt; 1) and unknown. We prove that the exponential stability depends on relative proportions of each type of state only. While monotone systems theory has been used previously for systems \u2026", "author" : [ { "dropping-particle" : "V.", "family" : "Nikolaev", "given" : "Evgeni", "non-dropping-particle" : "", "parse-names" : false, "suffix" : "" }, { "dropping-particle" : "", "family" : "Sontag", "given" : "Eduardo D.", "non-dropping-particle" : "", "parse-names" : false, "suffix" : "" } ], "container-title" : "PLoS Computational Biology", "id" : "ITEM-1", "issue" : "4", "issued" : { "date-parts" : [ [ "2016" ] ] }, "page" : "e1004881", "title" : "Quorum-Sensing Synchronization of Synthetic Toggle Switches: A Design Based on Monotone Dynamical Systems Theory", "type" : "article-journal", "volume" : "12" }, "uris" : [ "http://www.mendeley.com/documents/?uuid=8d9c44ec-5c46-431d-bac0-9d3b067769d3" ] } ], "mendeley" : { "formattedCitation" : "&lt;sup&gt;&lt;sup&gt;60&lt;/sup&gt;&lt;/sup&gt;", "plainTextFormattedCitation" : "60", "previouslyFormattedCitation" : "&lt;sup&gt;&lt;sup&gt;60&lt;/sup&gt;&lt;/sup&gt;" }, "properties" : { "noteIndex" : 0 }, "schema" : "https://github.com/citation-style-language/schema/raw/master/csl-citation.json" }</w:instrText>
      </w:r>
      <w:r w:rsidR="006B2C98" w:rsidRPr="00383A89">
        <w:rPr>
          <w:lang w:val="en-GB"/>
        </w:rPr>
        <w:fldChar w:fldCharType="separate"/>
      </w:r>
      <w:r w:rsidR="00E8653E" w:rsidRPr="00E8653E">
        <w:rPr>
          <w:noProof/>
          <w:vertAlign w:val="superscript"/>
          <w:lang w:val="en-GB"/>
        </w:rPr>
        <w:t>60</w:t>
      </w:r>
      <w:r w:rsidR="006B2C98" w:rsidRPr="00383A89">
        <w:rPr>
          <w:lang w:val="en-GB"/>
        </w:rPr>
        <w:fldChar w:fldCharType="end"/>
      </w:r>
      <w:r w:rsidR="006B2C98" w:rsidRPr="00383A89">
        <w:rPr>
          <w:lang w:val="en-GB"/>
        </w:rPr>
        <w:t xml:space="preserve">, </w:t>
      </w:r>
      <w:r w:rsidR="006B2C98" w:rsidRPr="00383A89">
        <w:rPr>
          <w:lang w:val="en-GB"/>
        </w:rPr>
        <w:fldChar w:fldCharType="begin" w:fldLock="1"/>
      </w:r>
      <w:r w:rsidR="00212424">
        <w:rPr>
          <w:lang w:val="en-GB"/>
        </w:rPr>
        <w:instrText>ADDIN CSL_CITATION { "citationItems" : [ { "id" : "ITEM-1", "itemData" : { "DOI" : "10.1126/science.aaa3794", "ISBN" : "1095-9203 (Electronic)\\r0036-8075 (Linking)", "ISSN" : "10959203", "PMID" : "26315440", "abstract" : "A challenge of synthetic biology is the creation of cooperative microbial systems that exhibit population-level behaviors. Such systems use cellular signaling mechanisms to regulate gene expression across multiple cell types. We describe the construction of a synthetic microbial consortium consisting of two distinct cell types\u2014an \u201cactivator\u201d strain and a \u201crepressor\u201d strain. These strains produced two orthogonal cell-signaling molecules that regulate gene expression within a synthetic circuit spanning both strains. The two strains generated emergent, population-level oscillations only when cultured together. Certain network topologies of the two-strain circuit were better at maintaining robust oscillations than others. The ability to program population-level dynamics through the genetic engineering of multiple cooperative strains points the way toward engineering complex synthetic tissues and organs with multiple cell types.", "author" : [ { "dropping-particle" : "", "family" : "Chen", "given" : "Ye", "non-dropping-particle" : "", "parse-names" : false, "suffix" : "" }, { "dropping-particle" : "", "family" : "Kim", "given" : "Jae Kyoung", "non-dropping-particle" : "", "parse-names" : false, "suffix" : "" }, { "dropping-particle" : "", "family" : "Hirning", "given" : "Andrew J.", "non-dropping-particle" : "", "parse-names" : false, "suffix" : "" }, { "dropping-particle" : "", "family" : "Josi\u0107", "given" : "Kre\u0161imir", "non-dropping-particle" : "", "parse-names" : false, "suffix" : "" }, { "dropping-particle" : "", "family" : "Bennett", "given" : "Matthew R.", "non-dropping-particle" : "", "parse-names" : false, "suffix" : "" } ], "container-title" : "Science", "id" : "ITEM-1", "issue" : "6251", "issued" : { "date-parts" : [ [ "2015" ] ] }, "page" : "986-989", "title" : "Emergent genetic oscillations in a synthetic microbial consortium", "type" : "article-journal", "volume" : "349" }, "uris" : [ "http://www.mendeley.com/documents/?uuid=9cfb8f2f-bd42-45c6-a7c6-0c93a912210e" ] } ], "mendeley" : { "formattedCitation" : "&lt;sup&gt;&lt;sup&gt;61&lt;/sup&gt;&lt;/sup&gt;", "plainTextFormattedCitation" : "61", "previouslyFormattedCitation" : "&lt;sup&gt;&lt;sup&gt;61&lt;/sup&gt;&lt;/sup&gt;" }, "properties" : { "noteIndex" : 0 }, "schema" : "https://github.com/citation-style-language/schema/raw/master/csl-citation.json" }</w:instrText>
      </w:r>
      <w:r w:rsidR="006B2C98" w:rsidRPr="00383A89">
        <w:rPr>
          <w:lang w:val="en-GB"/>
        </w:rPr>
        <w:fldChar w:fldCharType="separate"/>
      </w:r>
      <w:r w:rsidR="00E8653E" w:rsidRPr="00E8653E">
        <w:rPr>
          <w:noProof/>
          <w:vertAlign w:val="superscript"/>
          <w:lang w:val="en-GB"/>
        </w:rPr>
        <w:t>61</w:t>
      </w:r>
      <w:r w:rsidR="006B2C98" w:rsidRPr="00383A89">
        <w:rPr>
          <w:lang w:val="en-GB"/>
        </w:rPr>
        <w:fldChar w:fldCharType="end"/>
      </w:r>
      <w:r w:rsidR="006B2C98" w:rsidRPr="00383A89">
        <w:rPr>
          <w:lang w:val="en-GB"/>
        </w:rPr>
        <w:t xml:space="preserve"> and </w:t>
      </w:r>
      <w:r w:rsidR="006B2C98" w:rsidRPr="00383A89">
        <w:rPr>
          <w:lang w:val="en-GB"/>
        </w:rPr>
        <w:fldChar w:fldCharType="begin" w:fldLock="1"/>
      </w:r>
      <w:r w:rsidR="00E8653E">
        <w:rPr>
          <w:lang w:val="en-GB"/>
        </w:rPr>
        <w:instrText>ADDIN CSL_CITATION { "citationItems" : [ { "id" : "ITEM-1", "itemData" : { "DOI" : "10.1007/s10237-014-0619-z", "ISSN" : "16177940", "PMID" : "25236798", "abstract" : "This study focuses on a two-scale, continuum multicomponent model for the description of blood perfusion and cell metabolism in the liver. The model accounts for a spatial and time depending hydro-diffusion\u2013advection\u2013reaction description. We consider a solid-phase (tissue) containing glycogen and a fluid-phase (blood) containing glucose as well as lactate. The five-component model is enhanced by a two-scale approach including a macroscale (sinusoidal level) and a microscale (cell level). The perfusion on the macroscale within the lobules is described by a homogenized multiphasic approach based on the theory of porous media (mixture theory combined with the concept of volume fraction). On macro level, we recall the basic mixture model, the governing equations as well as the constitutive framework including the solid (tissue) stress, blood pressure and solutes chemical potential. In view of the transport phenomena, we discuss the blood flow including transverse isotropic permeability, as well as the transport of solute concentrations including diffusion and advection. The continuum multicomponent model on the macroscale finally leads to a coupled system of partial differential equations (PDE). In contrast, the hepatic metabolism on the microscale (cell level) was modeled via a coupled system of ordinary differential equations (ODE). Again, we recall the constitutive relations for cell metabolism level. A finite element implementation of this framework is used to provide an illustrative example, describing the spatial and time-depending perfusion\u2013metabolism processes in liver lobules that integrates perfusion and metabolism of the liver.", "author" : [ { "dropping-particle" : "", "family" : "Ricken", "given" : "T.", "non-dropping-particle" : "", "parse-names" : false, "suffix" : "" }, { "dropping-particle" : "", "family" : "Werner", "given" : "D.", "non-dropping-particle" : "", "parse-names" : false, "suffix" : "" }, { "dropping-particle" : "", "family" : "Holzh\u00fctter", "given" : "H. G.", "non-dropping-particle" : "", "parse-names" : false, "suffix" : "" }, { "dropping-particle" : "", "family" : "K\u00f6nig", "given" : "M.", "non-dropping-particle" : "", "parse-names" : false, "suffix" : "" }, { "dropping-particle" : "", "family" : "Dahmen", "given" : "U.", "non-dropping-particle" : "", "parse-names" : false, "suffix" : "" }, { "dropping-particle" : "", "family" : "Dirsch", "given" : "O.", "non-dropping-particle" : "", "parse-names" : false, "suffix" : "" } ], "container-title" : "Biomechanics and Modeling in Mechanobiology", "id" : "ITEM-1", "issue" : "3", "issued" : { "date-parts" : [ [ "2015" ] ] }, "page" : "515-536", "publisher" : "Springer Berlin Heidelberg", "title" : "Modeling function\u2013perfusion behavior in liver lobules including tissue, blood, glucose, lactate and glycogen by use of a coupled two-scale PDE\u2013ODE approach", "type" : "article-journal", "volume" : "14" }, "uris" : [ "http://www.mendeley.com/documents/?uuid=2c45c88a-b531-452c-b385-5e73530786b0" ] } ], "mendeley" : { "formattedCitation" : "&lt;sup&gt;&lt;sup&gt;62&lt;/sup&gt;&lt;/sup&gt;", "plainTextFormattedCitation" : "62", "previouslyFormattedCitation" : "&lt;sup&gt;&lt;sup&gt;62&lt;/sup&gt;&lt;/sup&gt;" }, "properties" : { "noteIndex" : 0 }, "schema" : "https://github.com/citation-style-language/schema/raw/master/csl-citation.json" }</w:instrText>
      </w:r>
      <w:r w:rsidR="006B2C98" w:rsidRPr="00383A89">
        <w:rPr>
          <w:lang w:val="en-GB"/>
        </w:rPr>
        <w:fldChar w:fldCharType="separate"/>
      </w:r>
      <w:r w:rsidR="00E8653E" w:rsidRPr="00E8653E">
        <w:rPr>
          <w:noProof/>
          <w:vertAlign w:val="superscript"/>
          <w:lang w:val="en-GB"/>
        </w:rPr>
        <w:t>62</w:t>
      </w:r>
      <w:r w:rsidR="006B2C98" w:rsidRPr="00383A89">
        <w:rPr>
          <w:lang w:val="en-GB"/>
        </w:rPr>
        <w:fldChar w:fldCharType="end"/>
      </w:r>
      <w:r w:rsidRPr="00383A89">
        <w:rPr>
          <w:lang w:val="en-GB"/>
        </w:rPr>
        <w:t xml:space="preserve">). An alternative approach that accounts for the spatial aspects of the systems under study is so called </w:t>
      </w:r>
      <w:r w:rsidRPr="00383A89">
        <w:rPr>
          <w:i/>
          <w:lang w:val="en-GB"/>
        </w:rPr>
        <w:t xml:space="preserve">agent-based modelling </w:t>
      </w:r>
      <w:r w:rsidRPr="00383A89">
        <w:rPr>
          <w:lang w:val="en-GB"/>
        </w:rPr>
        <w:t>(ABM).  ABM describes the dynamics of different individual agents, i.e. in our case cells, that follow predefined rules (describing e.g. cellular motility, growth and basic cellular processes) and communicate using cellular communication mechanisms</w:t>
      </w:r>
      <w:r w:rsidR="00B138B4">
        <w:rPr>
          <w:lang w:val="en-GB"/>
        </w:rPr>
        <w:t>.</w:t>
      </w:r>
      <w:r w:rsidR="006B2C98" w:rsidRPr="00383A89">
        <w:rPr>
          <w:lang w:val="en-GB"/>
        </w:rPr>
        <w:fldChar w:fldCharType="begin" w:fldLock="1"/>
      </w:r>
      <w:r w:rsidR="001A5608">
        <w:rPr>
          <w:lang w:val="en-GB"/>
        </w:rPr>
        <w:instrText>ADDIN CSL_CITATION { "citationItems" : [ { "id" : "ITEM-1", "itemData" : { "DOI" : "10.3389/fphys.2014.00021", "ISBN" : "1664-042X (Print)\\n1664-042X (Linking)", "ISSN" : "1664042X", "PMID" : "24478728", "abstract" : "Next generation sequencing technologies are bringing about a renaissance of mining approaches. A comprehensive picture of the genetic landscape of an individual patient will be useful, for example, to identify groups of patients that do or do not respond to certain therapies. The high expectations may however not be satisfied if the number of patient groups with similar characteristics is going to be very large. I therefore doubt that mining sequence data will give us an understanding of why and when therapies work. For understanding the mechanisms underlying diseases, an alternative approach is to model small networks in quantitative mechanistic detail, to elucidate the role of gene and proteins in dynamically changing the functioning of cells. Here an obvious critique is that these models consider too few components, compared to what might be relevant for any particular cell function. I show here that mining approaches and dynamical systems theory are two ends of a spectrum of methodologies to choose from. Drawing upon personal experience in numerous interdisciplinary collaborations, I provide guidance on how to model by discussing the question \"Why model?\"", "author" : [ { "dropping-particle" : "", "family" : "Wolkenhauer", "given" : "Olaf", "non-dropping-particle" : "", "parse-names" : false, "suffix" : "" } ], "container-title" : "Frontiers in Physiology", "id" : "ITEM-1", "issue" : "January", "issued" : { "date-parts" : [ [ "2014" ] ] }, "page" : "21", "title" : "Why model?", "type" : "article-journal", "volume" : "5" }, "uris" : [ "http://www.mendeley.com/documents/?uuid=7f7457b9-893a-4263-bf2c-77d854c1ffa0" ] } ], "mendeley" : { "formattedCitation" : "&lt;sup&gt;&lt;sup&gt;15&lt;/sup&gt;&lt;/sup&gt;", "plainTextFormattedCitation" : "15", "previouslyFormattedCitation" : "&lt;sup&gt;&lt;sup&gt;15&lt;/sup&gt;&lt;/sup&gt;" }, "properties" : { "noteIndex" : 0 }, "schema" : "https://github.com/citation-style-language/schema/raw/master/csl-citation.json" }</w:instrText>
      </w:r>
      <w:r w:rsidR="006B2C98" w:rsidRPr="00383A89">
        <w:rPr>
          <w:lang w:val="en-GB"/>
        </w:rPr>
        <w:fldChar w:fldCharType="separate"/>
      </w:r>
      <w:r w:rsidR="00A34EF8" w:rsidRPr="00A34EF8">
        <w:rPr>
          <w:noProof/>
          <w:vertAlign w:val="superscript"/>
          <w:lang w:val="en-GB"/>
        </w:rPr>
        <w:t>15</w:t>
      </w:r>
      <w:r w:rsidR="006B2C98" w:rsidRPr="00383A89">
        <w:rPr>
          <w:lang w:val="en-GB"/>
        </w:rPr>
        <w:fldChar w:fldCharType="end"/>
      </w:r>
      <w:r w:rsidRPr="00383A89">
        <w:rPr>
          <w:lang w:val="en-GB"/>
        </w:rPr>
        <w:t xml:space="preserve"> Different </w:t>
      </w:r>
      <w:r w:rsidRPr="00383A89">
        <w:rPr>
          <w:i/>
          <w:lang w:val="en-GB"/>
        </w:rPr>
        <w:t xml:space="preserve">easy-to-use </w:t>
      </w:r>
      <w:r w:rsidRPr="00383A89">
        <w:rPr>
          <w:lang w:val="en-GB"/>
        </w:rPr>
        <w:t>computational tools that allow straightforward ABM modelling have been proposed recently (see</w:t>
      </w:r>
      <w:r w:rsidR="00741705" w:rsidRPr="00383A89">
        <w:rPr>
          <w:lang w:val="en-GB"/>
        </w:rPr>
        <w:t xml:space="preserve"> </w:t>
      </w:r>
      <w:r w:rsidR="00741705" w:rsidRPr="00383A89">
        <w:rPr>
          <w:lang w:val="en-GB"/>
        </w:rPr>
        <w:fldChar w:fldCharType="begin" w:fldLock="1"/>
      </w:r>
      <w:r w:rsidR="00E8653E">
        <w:rPr>
          <w:lang w:val="en-GB"/>
        </w:rPr>
        <w:instrText>ADDIN CSL_CITATION { "citationItems" : [ { "id" : "ITEM-1", "itemData" : { "DOI" : "10.1042/EBC20160037", "ISBN" : "978-1-85578-203-7", "ISSN" : "0071-1365", "PMID" : "26633141", "abstract" : "Biological systems exhibit complex behaviours that emerge at many different levels of or-ganization. These span the regulation of gene expression within single cells to the use of quorum sensing to co-ordinate the action of entire bacterial colonies. Synthetic biology aims to make the engineering of biology easier, offering an opportunity to control natural systems and develop new synthetic systems with useful prescribed behaviours. However, in many cases, it is not understood how individual cells should be programmed to ensure the emer-gence of a required collective behaviour. Agent-based modelling aims to tackle this problem, offering a framework in which to simulate such systems and explore cellular design rules. In this article, I review the use of agent-based models in synthetic biology, outline the available computational tools, and provide details on recently engineered biological systems that are amenable to this approach. I further highlight the challenges facing this methodology and some of the potential future directions.", "author" : [ { "dropping-particle" : "", "family" : "Gorochowski", "given" : "Thomas\u00a0E.", "non-dropping-particle" : "", "parse-names" : false, "suffix" : "" } ], "container-title" : "Essays In Biochemistry", "id" : "ITEM-1", "issue" : "4", "issued" : { "date-parts" : [ [ "2016" ] ] }, "page" : "325-336", "title" : "Agent-based modelling in synthetic biology", "type" : "article-journal", "volume" : "60" }, "uris" : [ "http://www.mendeley.com/documents/?uuid=ef1d5984-e687-4e64-afa6-c7d0b6186d0e" ] } ], "mendeley" : { "formattedCitation" : "&lt;sup&gt;&lt;sup&gt;63&lt;/sup&gt;&lt;/sup&gt;", "plainTextFormattedCitation" : "63", "previouslyFormattedCitation" : "&lt;sup&gt;&lt;sup&gt;63&lt;/sup&gt;&lt;/sup&gt;"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63</w:t>
      </w:r>
      <w:r w:rsidR="00741705" w:rsidRPr="00383A89">
        <w:rPr>
          <w:lang w:val="en-GB"/>
        </w:rPr>
        <w:fldChar w:fldCharType="end"/>
      </w:r>
      <w:r w:rsidRPr="00383A89">
        <w:rPr>
          <w:lang w:val="en-GB"/>
        </w:rPr>
        <w:t xml:space="preserve"> for a recent review of these tools and frameworks). These allow computational modelling of bacterial populations (see e.g. </w:t>
      </w:r>
      <w:r w:rsidR="00741705" w:rsidRPr="00383A89">
        <w:rPr>
          <w:lang w:val="en-GB"/>
        </w:rPr>
        <w:fldChar w:fldCharType="begin" w:fldLock="1"/>
      </w:r>
      <w:r w:rsidR="00E8653E">
        <w:rPr>
          <w:lang w:val="en-GB"/>
        </w:rPr>
        <w:instrText>ADDIN CSL_CITATION { "citationItems" : [ { "id" : "ITEM-1", "itemData" : { "DOI" : "10.1021/acssynbio.7b00121", "ISSN" : "21615063", "abstract" : "Agent-based models (ABMs) provide a number of advantages relative to traditional continuum modelling approaches, permitting incorporation of great detail and realism into simulations, allowing in-silico tracking of single-cell behaviours and correlation of these with emergent effects at the macroscopic level. In this study we present BSim 2.0, a radically new version of BSim, a computational ABM framework for modelling dynamics of bacteria in typical experimental environments including microfluidic chemostats. This is facilitated through the implementation of new methods including cells with capsular geometry that are able to physically and chemically interact with one another, a realistic model of cellular growth, a delay differential equation solver, and realistic environmental geometries.", "author" : [ { "dropping-particle" : "", "family" : "Matyjaszkiewicz", "given" : "Antoni", "non-dropping-particle" : "", "parse-names" : false, "suffix" : "" }, { "dropping-particle" : "", "family" : "Fiore", "given" : "Gianfranco", "non-dropping-particle" : "", "parse-names" : false, "suffix" : "" }, { "dropping-particle" : "", "family" : "Annunziata", "given" : "Fabio", "non-dropping-particle" : "", "parse-names" : false, "suffix" : "" }, { "dropping-particle" : "", "family" : "Grierson", "given" : "Claire S.", "non-dropping-particle" : "", "parse-names" : false, "suffix" : "" }, { "dropping-particle" : "", "family" : "Savery", "given" : "Nigel J.", "non-dropping-particle" : "", "parse-names" : false, "suffix" : "" }, { "dropping-particle" : "", "family" : "Marucci", "given" : "Lucia", "non-dropping-particle" : "", "parse-names" : false, "suffix" : "" }, { "dropping-particle" : "", "family" : "Bernardo", "given" : "Mario", "non-dropping-particle" : "Di", "parse-names" : false, "suffix" : "" } ], "container-title" : "ACS Synthetic Biology", "id" : "ITEM-1", "issue" : "10", "issued" : { "date-parts" : [ [ "2017" ] ] }, "page" : "1969-1972", "title" : "BSim 2.0: An Advanced Agent-Based Cell Simulator", "type" : "article-journal", "volume" : "6" }, "uris" : [ "http://www.mendeley.com/documents/?uuid=87345dbb-6ac5-47be-82a3-7d9f105d9252" ] } ], "mendeley" : { "formattedCitation" : "&lt;sup&gt;&lt;sup&gt;64&lt;/sup&gt;&lt;/sup&gt;", "plainTextFormattedCitation" : "64", "previouslyFormattedCitation" : "&lt;sup&gt;&lt;sup&gt;64&lt;/sup&gt;&lt;/sup&gt;"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64</w:t>
      </w:r>
      <w:r w:rsidR="00741705" w:rsidRPr="00383A89">
        <w:rPr>
          <w:lang w:val="en-GB"/>
        </w:rPr>
        <w:fldChar w:fldCharType="end"/>
      </w:r>
      <w:r w:rsidRPr="00383A89">
        <w:rPr>
          <w:lang w:val="en-GB"/>
        </w:rPr>
        <w:t xml:space="preserve">) as well as computational modelling of tissues and organs (see e.g. </w:t>
      </w:r>
      <w:r w:rsidR="00741705" w:rsidRPr="00383A89">
        <w:rPr>
          <w:lang w:val="en-GB"/>
        </w:rPr>
        <w:fldChar w:fldCharType="begin" w:fldLock="1"/>
      </w:r>
      <w:r w:rsidR="00E8653E">
        <w:rPr>
          <w:lang w:val="en-GB"/>
        </w:rPr>
        <w:instrText>ADDIN CSL_CITATION { "citationItems" : [ { "id" : "ITEM-1", "itemData" : { "DOI" : "10.1016/B978-0-12-388403-9.00013-8.Multi-Scale", "ISBN" : "9780123884039", "author" : [ { "dropping-particle" : "", "family" : "Swat M H, Thomas G L, Belmonte J M, Shirinifard A, Hmeljak D", "given" : "Glazier J A", "non-dropping-particle" : "", "parse-names" : false, "suffix" : "" } ], "container-title" : "Methods in cell biology", "id" : "ITEM-1", "issued" : { "date-parts" : [ [ "2012" ] ] }, "page" : "325-366", "title" : "Multi-scale modeling of tissues using CompuCell3D", "type" : "article-journal", "volume" : "110" }, "uris" : [ "http://www.mendeley.com/documents/?uuid=1c00ce10-7b71-4b5c-9a0e-fc78ce6c7da0" ] } ], "mendeley" : { "formattedCitation" : "&lt;sup&gt;&lt;sup&gt;65&lt;/sup&gt;&lt;/sup&gt;", "plainTextFormattedCitation" : "65", "previouslyFormattedCitation" : "&lt;sup&gt;&lt;sup&gt;65&lt;/sup&gt;&lt;/sup&gt;"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65</w:t>
      </w:r>
      <w:r w:rsidR="00741705" w:rsidRPr="00383A89">
        <w:rPr>
          <w:lang w:val="en-GB"/>
        </w:rPr>
        <w:fldChar w:fldCharType="end"/>
      </w:r>
      <w:r w:rsidR="00741705" w:rsidRPr="00383A89">
        <w:rPr>
          <w:lang w:val="en-GB"/>
        </w:rPr>
        <w:t xml:space="preserve">, </w:t>
      </w:r>
      <w:r w:rsidR="00741705" w:rsidRPr="00383A89">
        <w:rPr>
          <w:lang w:val="en-GB"/>
        </w:rPr>
        <w:fldChar w:fldCharType="begin" w:fldLock="1"/>
      </w:r>
      <w:r w:rsidR="00E8653E">
        <w:rPr>
          <w:lang w:val="en-GB"/>
        </w:rPr>
        <w:instrText>ADDIN CSL_CITATION { "citationItems" : [ { "id" : "ITEM-1", "itemData" : { "DOI" : "10.1093/bioinformatics/btv346", "ISSN" : "14602059", "PMID" : "26040455", "abstract" : "MOTIVATION: TiQuant is a modular software tool for efficient quantification of biological tissues based on volume data obtained by biomedical image modalities. It includes a number of versatile image and volume processing chains tailored to the analysis of different tissue types which have been experimentally verified. TiQuant implements a novel method for the reconstruction of three-dimensional surfaces of biological systems, data that often cannot be obtained experimentally but which is of utmost importance for tissue modelling in systems biology.\\n\\nAVAILABILITY AND IMPLEMENTATION: TiQuant is freely available for non-commercial use at msysbio.com/tiquant. Windows, OSX and Linux are supported.\\n\\nCONTACT: hoehme@uni-leipzig.de\\n\\nSUPPLEMENTARY INFORMATION: Supplementary data are available at Bioinformatics online.", "author" : [ { "dropping-particle" : "", "family" : "Friebel", "given" : "Adrian", "non-dropping-particle" : "", "parse-names" : false, "suffix" : "" }, { "dropping-particle" : "", "family" : "Neitsch", "given" : "Johannes", "non-dropping-particle" : "", "parse-names" : false, "suffix" : "" }, { "dropping-particle" : "", "family" : "Johann", "given" : "Tim", "non-dropping-particle" : "", "parse-names" : false, "suffix" : "" }, { "dropping-particle" : "", "family" : "Hammad", "given" : "Seddik", "non-dropping-particle" : "", "parse-names" : false, "suffix" : "" }, { "dropping-particle" : "", "family" : "Hengstler", "given" : "Jan G.", "non-dropping-particle" : "", "parse-names" : false, "suffix" : "" }, { "dropping-particle" : "", "family" : "Drasdo", "given" : "Dirk", "non-dropping-particle" : "", "parse-names" : false, "suffix" : "" }, { "dropping-particle" : "", "family" : "Hoehme", "given" : "Stefan", "non-dropping-particle" : "", "parse-names" : false, "suffix" : "" } ], "container-title" : "Bioinformatics", "id" : "ITEM-1", "issue" : "19", "issued" : { "date-parts" : [ [ "2015" ] ] }, "page" : "3234-3236", "title" : "TiQuant: Software for tissue analysis, quantification and surface reconstruction", "type" : "article-journal", "volume" : "31" }, "uris" : [ "http://www.mendeley.com/documents/?uuid=7399d168-9bbe-4b25-a638-fb291aa2c269" ] } ], "mendeley" : { "formattedCitation" : "&lt;sup&gt;&lt;sup&gt;66&lt;/sup&gt;&lt;/sup&gt;", "plainTextFormattedCitation" : "66", "previouslyFormattedCitation" : "&lt;sup&gt;&lt;sup&gt;66&lt;/sup&gt;&lt;/sup&gt;"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66</w:t>
      </w:r>
      <w:r w:rsidR="00741705" w:rsidRPr="00383A89">
        <w:rPr>
          <w:lang w:val="en-GB"/>
        </w:rPr>
        <w:fldChar w:fldCharType="end"/>
      </w:r>
      <w:r w:rsidR="00741705" w:rsidRPr="00383A89">
        <w:rPr>
          <w:lang w:val="en-GB"/>
        </w:rPr>
        <w:t xml:space="preserve"> and </w:t>
      </w:r>
      <w:r w:rsidR="00741705" w:rsidRPr="00383A89">
        <w:rPr>
          <w:lang w:val="en-GB"/>
        </w:rPr>
        <w:fldChar w:fldCharType="begin" w:fldLock="1"/>
      </w:r>
      <w:r w:rsidR="008830B1">
        <w:rPr>
          <w:lang w:val="en-GB"/>
        </w:rPr>
        <w:instrText>ADDIN CSL_CITATION { "citationItems" : [ { "id" : "ITEM-1", "itemData" : { "DOI" : "10.3389/fbioe.2014.00018", "ISBN" : "10.1038/msb.2010.62", "ISSN" : "2296-4185", "PMID" : "25152891", "abstract" : "Chronic hepatic inflammation involves a complex interplay of inflammatory and mechanical influences, ultimately manifesting in a characteristic histopathology of liver fibrosis. We created an agent-based model (ABM) of liver tissue in order to computationally examine the consequence of liver inflammation. Our liver fibrosis ABM (LFABM) is comprised of literature-derived rules describing molecular and histopathological aspects of inflammation and fibrosis in a section of chemically injured liver. Hepatocytes are modeled as agents within hexagonal lobules. Injury triggers an inflammatory reaction, which leads to activation of local Kupffer cells and recruitment of monocytes from circulation. Portal fibroblasts and hepatic stellate cells are activated locally by the products of inflammation. The various agents in the simulation are regulated by above-threshold concentrations of pro- and anti-inflammatory cytokines and damage-associated molecular pattern molecules. The simulation progresses from chronic inflammation to collagen deposition, exhibiting periportal fibrosis followed by bridging fibrosis, and culminating in disruption of the regular lobular structure. The ABM exhibited key histopathological features observed in liver sections from rats treated with carbon tetrachloride (CCl4). An in silico \"tension test\" for the hepatic lobules predicted an overall increase in tissue stiffness, in line with clinical elastography literature and published studies in CCl4-treated rats. Therapy simulations suggested differential anti-fibrotic effects of neutralizing tumor necrosis factor alpha vs. enhancing M2 Kupffer cells. We conclude that a computational model of liver inflammation on a structural skeleton of physical forces can recapitulate key histopathological and macroscopic properties of CCl4-injured liver. This multiscale approach linking molecular and chemomechanical stimuli enables a model that could be used to gain translationally relevant insights into liver fibrosis.", "author" : [ { "dropping-particle" : "", "family" : "Dutta-Moscato", "given" : "Joyeeta", "non-dropping-particle" : "", "parse-names" : false, "suffix" : "" }, { "dropping-particle" : "", "family" : "Solovyev", "given" : "Alexey", "non-dropping-particle" : "", "parse-names" : false, "suffix" : "" }, { "dropping-particle" : "", "family" : "Mi", "given" : "Qi", "non-dropping-particle" : "", "parse-names" : false, "suffix" : "" }, { "dropping-particle" : "", "family" : "Nishikawa", "given" : "Taichiro", "non-dropping-particle" : "", "parse-names" : false, "suffix" : "" }, { "dropping-particle" : "", "family" : "Soto-Gutierrez", "given" : "Alejandro", "non-dropping-particle" : "", "parse-names" : false, "suffix" : "" }, { "dropping-particle" : "", "family" : "Fox", "given" : "Ira J.", "non-dropping-particle" : "", "parse-names" : false, "suffix" : "" }, { "dropping-particle" : "", "family" : "Vodovotz", "given" : "Yoram", "non-dropping-particle" : "", "parse-names" : false, "suffix" : "" } ], "container-title" : "Frontiers in Bioengineering and Biotechnology", "id" : "ITEM-1", "issued" : { "date-parts" : [ [ "2014" ] ] }, "page" : "18", "title" : "A Multiscale Agent-Based in silico Model of Liver Fibrosis Progression", "type" : "article-journal", "volume" : "2" }, "uris" : [ "http://www.mendeley.com/documents/?uuid=1b48c43a-aa18-41d0-9383-e0073950f80f" ] } ], "mendeley" : { "formattedCitation" : "&lt;sup&gt;&lt;sup&gt;67&lt;/sup&gt;&lt;/sup&gt;", "plainTextFormattedCitation" : "67", "previouslyFormattedCitation" : "&lt;sup&gt;&lt;sup&gt;67&lt;/sup&gt;&lt;/sup&gt;"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67</w:t>
      </w:r>
      <w:r w:rsidR="00741705" w:rsidRPr="00383A89">
        <w:rPr>
          <w:lang w:val="en-GB"/>
        </w:rPr>
        <w:fldChar w:fldCharType="end"/>
      </w:r>
      <w:r w:rsidRPr="00383A89">
        <w:rPr>
          <w:lang w:val="en-GB"/>
        </w:rPr>
        <w:t xml:space="preserve">). The main problem of these approaches is again in their inability to scale up, in the context of increasing the modelling accuracy as well as observed population size </w:t>
      </w:r>
      <w:r w:rsidR="00741705" w:rsidRPr="00383A89">
        <w:rPr>
          <w:lang w:val="en-GB"/>
        </w:rPr>
        <w:fldChar w:fldCharType="begin" w:fldLock="1"/>
      </w:r>
      <w:r w:rsidR="00E8653E">
        <w:rPr>
          <w:lang w:val="en-GB"/>
        </w:rPr>
        <w:instrText>ADDIN CSL_CITATION { "citationItems" : [ { "id" : "ITEM-1", "itemData" : { "DOI" : "10.1042/EBC20160037", "ISBN" : "978-1-85578-203-7", "ISSN" : "0071-1365", "PMID" : "26633141", "abstract" : "Biological systems exhibit complex behaviours that emerge at many different levels of or-ganization. These span the regulation of gene expression within single cells to the use of quorum sensing to co-ordinate the action of entire bacterial colonies. Synthetic biology aims to make the engineering of biology easier, offering an opportunity to control natural systems and develop new synthetic systems with useful prescribed behaviours. However, in many cases, it is not understood how individual cells should be programmed to ensure the emer-gence of a required collective behaviour. Agent-based modelling aims to tackle this problem, offering a framework in which to simulate such systems and explore cellular design rules. In this article, I review the use of agent-based models in synthetic biology, outline the available computational tools, and provide details on recently engineered biological systems that are amenable to this approach. I further highlight the challenges facing this methodology and some of the potential future directions.", "author" : [ { "dropping-particle" : "", "family" : "Gorochowski", "given" : "Thomas\u00a0E.", "non-dropping-particle" : "", "parse-names" : false, "suffix" : "" } ], "container-title" : "Essays In Biochemistry", "id" : "ITEM-1", "issue" : "4", "issued" : { "date-parts" : [ [ "2016" ] ] }, "page" : "325-336", "title" : "Agent-based modelling in synthetic biology", "type" : "article-journal", "volume" : "60" }, "uris" : [ "http://www.mendeley.com/documents/?uuid=ef1d5984-e687-4e64-afa6-c7d0b6186d0e" ] } ], "mendeley" : { "formattedCitation" : "&lt;sup&gt;&lt;sup&gt;63&lt;/sup&gt;&lt;/sup&gt;", "plainTextFormattedCitation" : "63", "previouslyFormattedCitation" : "&lt;sup&gt;&lt;sup&gt;63&lt;/sup&gt;&lt;/sup&gt;"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63</w:t>
      </w:r>
      <w:r w:rsidR="00741705" w:rsidRPr="00383A89">
        <w:rPr>
          <w:lang w:val="en-GB"/>
        </w:rPr>
        <w:fldChar w:fldCharType="end"/>
      </w:r>
      <w:r w:rsidRPr="00383A89">
        <w:rPr>
          <w:lang w:val="en-GB"/>
        </w:rPr>
        <w:t>. Moreover, large computational complexity of these models usually needs to be addressed with an expensive computer hardware</w:t>
      </w:r>
      <w:r w:rsidR="00B138B4">
        <w:rPr>
          <w:lang w:val="en-GB"/>
        </w:rPr>
        <w:t>.</w:t>
      </w:r>
      <w:r w:rsidR="00741705" w:rsidRPr="00383A89">
        <w:rPr>
          <w:lang w:val="en-GB"/>
        </w:rPr>
        <w:fldChar w:fldCharType="begin" w:fldLock="1"/>
      </w:r>
      <w:r w:rsidR="00E8653E">
        <w:rPr>
          <w:lang w:val="en-GB"/>
        </w:rPr>
        <w:instrText>ADDIN CSL_CITATION { "citationItems" : [ { "id" : "ITEM-1", "itemData" : { "DOI" : "10.1186/gm538", "ISBN" : "1756-994X (Electronic)\\r1756-994X (Linking)", "ISSN" : "1756994X", "PMID" : "25031615", "abstract" : "2014, 6:3. doi:10.1186/gm538", "author" : [ { "dropping-particle" : "", "family" : "Wolkenhauer", "given" : "Olaf", "non-dropping-particle" : "", "parse-names" : false, "suffix" : "" }, { "dropping-particle" : "", "family" : "Auffray", "given" : "Charles", "non-dropping-particle" : "", "parse-names" : false, "suffix" : "" }, { "dropping-particle" : "", "family" : "Brass", "given" : "Olivier", "non-dropping-particle" : "", "parse-names" : false, "suffix" : "" }, { "dropping-particle" : "", "family" : "Clairambault", "given" : "Jean", "non-dropping-particle" : "", "parse-names" : false, "suffix" : "" }, { "dropping-particle" : "", "family" : "Deutsch", "given" : "Andreas", "non-dropping-particle" : "", "parse-names" : false, "suffix" : "" }, { "dropping-particle" : "", "family" : "Drasdo", "given" : "Dirk", "non-dropping-particle" : "", "parse-names" : false, "suffix" : "" }, { "dropping-particle" : "", "family" : "Gervasio", "given" : "Francesco", "non-dropping-particle" : "", "parse-names" : false, "suffix" : "" }, { "dropping-particle" : "", "family" : "Preziosi", "given" : "Luigi", "non-dropping-particle" : "", "parse-names" : false, "suffix" : "" }, { "dropping-particle" : "", "family" : "Maini", "given" : "Philip", "non-dropping-particle" : "", "parse-names" : false, "suffix" : "" }, { "dropping-particle" : "", "family" : "Marciniak-Czochra", "given" : "Anna", "non-dropping-particle" : "", "parse-names" : false, "suffix" : "" }, { "dropping-particle" : "", "family" : "Kossow", "given" : "Christina", "non-dropping-particle" : "", "parse-names" : false, "suffix" : "" }, { "dropping-particle" : "", "family" : "Kuepfer", "given" : "Lars", "non-dropping-particle" : "", "parse-names" : false, "suffix" : "" }, { "dropping-particle" : "", "family" : "Rateitschak", "given" : "Katja", "non-dropping-particle" : "", "parse-names" : false, "suffix" : "" }, { "dropping-particle" : "", "family" : "Ramis-Conde", "given" : "Ignacio", "non-dropping-particle" : "", "parse-names" : false, "suffix" : "" }, { "dropping-particle" : "", "family" : "Ribba", "given" : "Benjamin", "non-dropping-particle" : "", "parse-names" : false, "suffix" : "" }, { "dropping-particle" : "", "family" : "Schuppert", "given" : "Andreas", "non-dropping-particle" : "", "parse-names" : false, "suffix" : "" }, { "dropping-particle" : "", "family" : "Smallwood", "given" : "Rod", "non-dropping-particle" : "", "parse-names" : false, "suffix" : "" }, { "dropping-particle" : "", "family" : "Stamatakos", "given" : "Georgios", "non-dropping-particle" : "", "parse-names" : false, "suffix" : "" }, { "dropping-particle" : "", "family" : "Winter", "given" : "Felix", "non-dropping-particle" : "", "parse-names" : false, "suffix" : "" }, { "dropping-particle" : "", "family" : "Byrne", "given" : "Helen", "non-dropping-particle" : "", "parse-names" : false, "suffix" : "" } ], "container-title" : "Genome Medicine", "id" : "ITEM-1", "issue" : "3", "issued" : { "date-parts" : [ [ "2014" ] ] }, "page" : "4-6", "title" : "Enabling multiscale modeling in systems medicine", "type" : "article-journal", "volume" : "6" }, "uris" : [ "http://www.mendeley.com/documents/?uuid=8695f2ca-d2f1-4bbb-840a-262d2c03989c" ] }, { "id" : "ITEM-2", "itemData" : { "DOI" : "10.1042/EBC20160037", "ISBN" : "978-1-85578-203-7", "ISSN" : "0071-1365", "PMID" : "26633141", "abstract" : "Biological systems exhibit complex behaviours that emerge at many different levels of or-ganization. These span the regulation of gene expression within single cells to the use of quorum sensing to co-ordinate the action of entire bacterial colonies. Synthetic biology aims to make the engineering of biology easier, offering an opportunity to control natural systems and develop new synthetic systems with useful prescribed behaviours. However, in many cases, it is not understood how individual cells should be programmed to ensure the emer-gence of a required collective behaviour. Agent-based modelling aims to tackle this problem, offering a framework in which to simulate such systems and explore cellular design rules. In this article, I review the use of agent-based models in synthetic biology, outline the available computational tools, and provide details on recently engineered biological systems that are amenable to this approach. I further highlight the challenges facing this methodology and some of the potential future directions.", "author" : [ { "dropping-particle" : "", "family" : "Gorochowski", "given" : "Thomas\u00a0E.", "non-dropping-particle" : "", "parse-names" : false, "suffix" : "" } ], "container-title" : "Essays In Biochemistry", "id" : "ITEM-2", "issue" : "4", "issued" : { "date-parts" : [ [ "2016" ] ] }, "page" : "325-336", "title" : "Agent-based modelling in synthetic biology", "type" : "article-journal", "volume" : "60" }, "uris" : [ "http://www.mendeley.com/documents/?uuid=ef1d5984-e687-4e64-afa6-c7d0b6186d0e" ] } ], "mendeley" : { "formattedCitation" : "&lt;sup&gt;&lt;sup&gt;63&lt;/sup&gt;,&lt;sup&gt;68&lt;/sup&gt;&lt;/sup&gt;", "plainTextFormattedCitation" : "63,68", "previouslyFormattedCitation" : "&lt;sup&gt;&lt;sup&gt;63&lt;/sup&gt;,&lt;sup&gt;68&lt;/sup&gt;&lt;/sup&gt;"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63,68</w:t>
      </w:r>
      <w:r w:rsidR="00741705" w:rsidRPr="00383A89">
        <w:rPr>
          <w:lang w:val="en-GB"/>
        </w:rPr>
        <w:fldChar w:fldCharType="end"/>
      </w:r>
      <w:r w:rsidRPr="00383A89">
        <w:rPr>
          <w:lang w:val="en-GB"/>
        </w:rPr>
        <w:t xml:space="preserve"> </w:t>
      </w:r>
    </w:p>
    <w:p w14:paraId="40B061A5" w14:textId="5CD3F66F" w:rsidR="00F3530F" w:rsidRPr="00383A89" w:rsidRDefault="00F3530F" w:rsidP="007C6A43">
      <w:pPr>
        <w:rPr>
          <w:lang w:val="en-GB"/>
        </w:rPr>
      </w:pPr>
      <w:r w:rsidRPr="00383A89">
        <w:rPr>
          <w:lang w:val="en-GB"/>
        </w:rPr>
        <w:t xml:space="preserve">An alternative to the approaches described above is </w:t>
      </w:r>
      <w:r w:rsidRPr="00383A89">
        <w:rPr>
          <w:i/>
          <w:lang w:val="en-GB"/>
        </w:rPr>
        <w:t>object-oriented modelling</w:t>
      </w:r>
      <w:r w:rsidRPr="00383A89">
        <w:rPr>
          <w:lang w:val="en-GB"/>
        </w:rPr>
        <w:t xml:space="preserve"> that is based on the systems biology (</w:t>
      </w:r>
      <w:r w:rsidRPr="00383A89">
        <w:rPr>
          <w:i/>
          <w:lang w:val="en-GB"/>
        </w:rPr>
        <w:t>SysBio</w:t>
      </w:r>
      <w:r w:rsidRPr="00383A89">
        <w:rPr>
          <w:lang w:val="en-GB"/>
        </w:rPr>
        <w:t>) library that was built at the University of Ljubljana</w:t>
      </w:r>
      <w:r w:rsidR="00B138B4">
        <w:rPr>
          <w:lang w:val="en-GB"/>
        </w:rPr>
        <w:t>.</w:t>
      </w:r>
      <w:r w:rsidR="00741705" w:rsidRPr="00383A89">
        <w:rPr>
          <w:lang w:val="en-GB"/>
        </w:rPr>
        <w:fldChar w:fldCharType="begin" w:fldLock="1"/>
      </w:r>
      <w:r w:rsidR="00E8653E">
        <w:rPr>
          <w:lang w:val="en-GB"/>
        </w:rPr>
        <w:instrText>ADDIN CSL_CITATION { "citationItems" : [ { "id" : "ITEM-1", "itemData" : { "ISBN" : "1569-190X", "author" : [ { "dropping-particle" : "", "family" : "Beli\u010d", "given" : "Ale\u0161", "non-dropping-particle" : "", "parse-names" : false, "suffix" : "" }, { "dropping-particle" : "", "family" : "A\u010dimovi\u010d", "given" : "Jure", "non-dropping-particle" : "", "parse-names" : false, "suffix" : "" }, { "dropping-particle" : "", "family" : "Naik", "given" : "Adviti", "non-dropping-particle" : "", "parse-names" : false, "suffix" : "" }, { "dropping-particle" : "", "family" : "Goli\u010dnik", "given" : "Marko", "non-dropping-particle" : "", "parse-names" : false, "suffix" : "" } ], "container-title" : "Simulation Modelling Practice and Theory", "id" : "ITEM-1", "issued" : { "date-parts" : [ [ "2013" ] ] }, "page" : "18-27", "title" : "Analysis of the steady-state relations and control-algorithm characterisation in a mathematical model of cholesterol biosynthesis", "type" : "article-journal", "volume" : "33" }, "uris" : [ "http://www.mendeley.com/documents/?uuid=8ea13d31-efb0-46c5-a8ff-66a3015afe41" ] } ], "mendeley" : { "formattedCitation" : "&lt;sup&gt;&lt;sup&gt;69&lt;/sup&gt;&lt;/sup&gt;", "plainTextFormattedCitation" : "69", "previouslyFormattedCitation" : "&lt;sup&gt;&lt;sup&gt;69&lt;/sup&gt;&lt;/sup&gt;"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69</w:t>
      </w:r>
      <w:r w:rsidR="00741705" w:rsidRPr="00383A89">
        <w:rPr>
          <w:lang w:val="en-GB"/>
        </w:rPr>
        <w:fldChar w:fldCharType="end"/>
      </w:r>
      <w:r w:rsidRPr="00383A89">
        <w:rPr>
          <w:lang w:val="en-GB"/>
        </w:rPr>
        <w:t xml:space="preserve"> </w:t>
      </w:r>
      <w:r w:rsidRPr="00383A89">
        <w:rPr>
          <w:i/>
          <w:lang w:val="en-GB"/>
        </w:rPr>
        <w:t>SysBio</w:t>
      </w:r>
      <w:r w:rsidRPr="00383A89">
        <w:rPr>
          <w:lang w:val="en-GB"/>
        </w:rPr>
        <w:t xml:space="preserve"> library was initially used to construct the first integrated human metabolic model </w:t>
      </w:r>
      <w:r w:rsidRPr="00383A89">
        <w:rPr>
          <w:i/>
          <w:lang w:val="en-GB"/>
        </w:rPr>
        <w:t>SteatoNet</w:t>
      </w:r>
      <w:r w:rsidRPr="00383A89">
        <w:rPr>
          <w:lang w:val="en-GB"/>
        </w:rPr>
        <w:t xml:space="preserve"> with multi-layered regulation</w:t>
      </w:r>
      <w:r w:rsidR="00B138B4">
        <w:rPr>
          <w:lang w:val="en-GB"/>
        </w:rPr>
        <w:t>.</w:t>
      </w:r>
      <w:r w:rsidR="00741705" w:rsidRPr="00383A89">
        <w:rPr>
          <w:lang w:val="en-GB"/>
        </w:rPr>
        <w:fldChar w:fldCharType="begin" w:fldLock="1"/>
      </w:r>
      <w:r w:rsidR="00E8653E">
        <w:rPr>
          <w:lang w:val="en-GB"/>
        </w:rPr>
        <w:instrText>ADDIN CSL_CITATION { "citationItems" : [ { "id" : "ITEM-1", "itemData" : { "DOI" : "10.1371/journal.pcbi.1003993", "ISBN" : "1553-7358 (Electronic) 1553-734X (Linking)", "PMID" : "25500563", "abstract" : "Current state-of-the-art mathematical models to investigate complex biological processes, in particular liver-associated pathologies, have limited expansiveness, flexibility, representation of integrated regulation and rely on the availability of detailed kinetic data. We generated the SteatoNet, a multi-pathway, multi-tissue model and in silico platform to investigate hepatic metabolism and its associated deregulations. SteatoNet is based on object-oriented modelling, an approach most commonly applied in automotive and process industries, whereby individual objects correspond to functional entities. Objects were compiled to feature two novel hepatic modelling aspects: the interaction of hepatic metabolic pathways with extra-hepatic tissues and the inclusion of transcriptional and post-transcriptional regulation. SteatoNet identification at normalised steady state circumvents the need for constraining kinetic parameters. Validation and identification of flux disturbances that have been proven experimentally in liver patients and animal models highlights the ability of SteatoNet to effectively describe biological behaviour. SteatoNet identifies crucial pathway branches (transport of glucose, lipids and ketone bodies) where changes in flux distribution drive the healthy liver towards hepatic steatosis, the primary stage of non-alcoholic fatty liver disease. Cholesterol metabolism and its transcription regulators are highlighted as novel steatosis factors. SteatoNet thus serves as an intuitive in silico platform to identify systemic changes associated with complex hepatic metabolic disorders.", "author" : [ { "dropping-particle" : "", "family" : "Naik", "given" : "A", "non-dropping-particle" : "", "parse-names" : false, "suffix" : "" }, { "dropping-particle" : "", "family" : "Rozman", "given" : "D", "non-dropping-particle" : "", "parse-names" : false, "suffix" : "" }, { "dropping-particle" : "", "family" : "Beli\u010d", "given" : "A", "non-dropping-particle" : "", "parse-names" : false, "suffix" : "" } ], "container-title" : "PLoS Comput Biol", "id" : "ITEM-1", "issue" : "12", "issued" : { "date-parts" : [ [ "2014" ] ] }, "note" : "Naik, Adviti\nRozman, Damjana\nBelic, Ales\neng\nResearch Support, Non-U.S. Gov't\n2014/12/17 06:00\nPLoS Comput Biol. 2014 Dec 11;10(12):e1003993. doi: 10.1371/journal.pcbi.1003993. eCollection 2014 Dec.", "page" : "e1003993", "title" : "SteatoNet: the first integrated human metabolic model with multi-layered regulation to investigate liver-associated pathologies", "type" : "article-journal", "volume" : "10" }, "uris" : [ "http://www.mendeley.com/documents/?uuid=69e56e84-78a5-4ca4-82c7-e82d714a4946" ] } ], "mendeley" : { "formattedCitation" : "&lt;sup&gt;&lt;sup&gt;70&lt;/sup&gt;&lt;/sup&gt;", "plainTextFormattedCitation" : "70", "previouslyFormattedCitation" : "&lt;sup&gt;&lt;sup&gt;70&lt;/sup&gt;&lt;/sup&gt;"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70</w:t>
      </w:r>
      <w:r w:rsidR="00741705" w:rsidRPr="00383A89">
        <w:rPr>
          <w:lang w:val="en-GB"/>
        </w:rPr>
        <w:fldChar w:fldCharType="end"/>
      </w:r>
      <w:r w:rsidRPr="00383A89">
        <w:rPr>
          <w:lang w:val="en-GB"/>
        </w:rPr>
        <w:t xml:space="preserve"> This model describes the interaction between multiple tissues and accounts for metabolic reactions as well as for transcriptional and post-transcriptional regulation</w:t>
      </w:r>
      <w:r w:rsidR="00B138B4">
        <w:rPr>
          <w:lang w:val="en-GB"/>
        </w:rPr>
        <w:t>.</w:t>
      </w:r>
      <w:r w:rsidR="00741705" w:rsidRPr="00383A89">
        <w:rPr>
          <w:lang w:val="en-GB"/>
        </w:rPr>
        <w:fldChar w:fldCharType="begin" w:fldLock="1"/>
      </w:r>
      <w:r w:rsidR="00E8653E">
        <w:rPr>
          <w:lang w:val="en-GB"/>
        </w:rPr>
        <w:instrText>ADDIN CSL_CITATION { "citationItems" : [ { "id" : "ITEM-1", "itemData" : { "DOI" : "10.1371/journal.pcbi.1003993", "ISBN" : "1553-7358 (Electronic) 1553-734X (Linking)", "PMID" : "25500563", "abstract" : "Current state-of-the-art mathematical models to investigate complex biological processes, in particular liver-associated pathologies, have limited expansiveness, flexibility, representation of integrated regulation and rely on the availability of detailed kinetic data. We generated the SteatoNet, a multi-pathway, multi-tissue model and in silico platform to investigate hepatic metabolism and its associated deregulations. SteatoNet is based on object-oriented modelling, an approach most commonly applied in automotive and process industries, whereby individual objects correspond to functional entities. Objects were compiled to feature two novel hepatic modelling aspects: the interaction of hepatic metabolic pathways with extra-hepatic tissues and the inclusion of transcriptional and post-transcriptional regulation. SteatoNet identification at normalised steady state circumvents the need for constraining kinetic parameters. Validation and identification of flux disturbances that have been proven experimentally in liver patients and animal models highlights the ability of SteatoNet to effectively describe biological behaviour. SteatoNet identifies crucial pathway branches (transport of glucose, lipids and ketone bodies) where changes in flux distribution drive the healthy liver towards hepatic steatosis, the primary stage of non-alcoholic fatty liver disease. Cholesterol metabolism and its transcription regulators are highlighted as novel steatosis factors. SteatoNet thus serves as an intuitive in silico platform to identify systemic changes associated with complex hepatic metabolic disorders.", "author" : [ { "dropping-particle" : "", "family" : "Naik", "given" : "A", "non-dropping-particle" : "", "parse-names" : false, "suffix" : "" }, { "dropping-particle" : "", "family" : "Rozman", "given" : "D", "non-dropping-particle" : "", "parse-names" : false, "suffix" : "" }, { "dropping-particle" : "", "family" : "Beli\u010d", "given" : "A", "non-dropping-particle" : "", "parse-names" : false, "suffix" : "" } ], "container-title" : "PLoS Comput Biol", "id" : "ITEM-1", "issue" : "12", "issued" : { "date-parts" : [ [ "2014" ] ] }, "note" : "Naik, Adviti\nRozman, Damjana\nBelic, Ales\neng\nResearch Support, Non-U.S. Gov't\n2014/12/17 06:00\nPLoS Comput Biol. 2014 Dec 11;10(12):e1003993. doi: 10.1371/journal.pcbi.1003993. eCollection 2014 Dec.", "page" : "e1003993", "title" : "SteatoNet: the first integrated human metabolic model with multi-layered regulation to investigate liver-associated pathologies", "type" : "article-journal", "volume" : "10" }, "uris" : [ "http://www.mendeley.com/documents/?uuid=69e56e84-78a5-4ca4-82c7-e82d714a4946" ] } ], "mendeley" : { "formattedCitation" : "&lt;sup&gt;&lt;sup&gt;70&lt;/sup&gt;&lt;/sup&gt;", "plainTextFormattedCitation" : "70", "previouslyFormattedCitation" : "&lt;sup&gt;&lt;sup&gt;70&lt;/sup&gt;&lt;/sup&gt;"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70</w:t>
      </w:r>
      <w:r w:rsidR="00741705" w:rsidRPr="00383A89">
        <w:rPr>
          <w:lang w:val="en-GB"/>
        </w:rPr>
        <w:fldChar w:fldCharType="end"/>
      </w:r>
      <w:r w:rsidRPr="00383A89">
        <w:rPr>
          <w:lang w:val="en-GB"/>
        </w:rPr>
        <w:t xml:space="preserve"> Most of the parameters that describe the dynamics of the observed system can be omitted from the model representation due to the observation of the normalised steady-state of the system’s response. Object-oriented modelling approach that is applied here allows us to construct complex models by connecting the objects corresponding to basic biological entities in a meaningful and straightforward way</w:t>
      </w:r>
      <w:r w:rsidR="00B138B4">
        <w:rPr>
          <w:lang w:val="en-GB"/>
        </w:rPr>
        <w:t>.</w:t>
      </w:r>
      <w:r w:rsidR="00741705" w:rsidRPr="00383A89">
        <w:rPr>
          <w:lang w:val="en-GB"/>
        </w:rPr>
        <w:fldChar w:fldCharType="begin" w:fldLock="1"/>
      </w:r>
      <w:r w:rsidR="00E8653E">
        <w:rPr>
          <w:lang w:val="en-GB"/>
        </w:rPr>
        <w:instrText>ADDIN CSL_CITATION { "citationItems" : [ { "id" : "ITEM-1", "itemData" : { "DOI" : "10.1371/journal.pcbi.1003993", "ISBN" : "1553-7358 (Electronic) 1553-734X (Linking)", "PMID" : "25500563", "abstract" : "Current state-of-the-art mathematical models to investigate complex biological processes, in particular liver-associated pathologies, have limited expansiveness, flexibility, representation of integrated regulation and rely on the availability of detailed kinetic data. We generated the SteatoNet, a multi-pathway, multi-tissue model and in silico platform to investigate hepatic metabolism and its associated deregulations. SteatoNet is based on object-oriented modelling, an approach most commonly applied in automotive and process industries, whereby individual objects correspond to functional entities. Objects were compiled to feature two novel hepatic modelling aspects: the interaction of hepatic metabolic pathways with extra-hepatic tissues and the inclusion of transcriptional and post-transcriptional regulation. SteatoNet identification at normalised steady state circumvents the need for constraining kinetic parameters. Validation and identification of flux disturbances that have been proven experimentally in liver patients and animal models highlights the ability of SteatoNet to effectively describe biological behaviour. SteatoNet identifies crucial pathway branches (transport of glucose, lipids and ketone bodies) where changes in flux distribution drive the healthy liver towards hepatic steatosis, the primary stage of non-alcoholic fatty liver disease. Cholesterol metabolism and its transcription regulators are highlighted as novel steatosis factors. SteatoNet thus serves as an intuitive in silico platform to identify systemic changes associated with complex hepatic metabolic disorders.", "author" : [ { "dropping-particle" : "", "family" : "Naik", "given" : "A", "non-dropping-particle" : "", "parse-names" : false, "suffix" : "" }, { "dropping-particle" : "", "family" : "Rozman", "given" : "D", "non-dropping-particle" : "", "parse-names" : false, "suffix" : "" }, { "dropping-particle" : "", "family" : "Beli\u010d", "given" : "A", "non-dropping-particle" : "", "parse-names" : false, "suffix" : "" } ], "container-title" : "PLoS Comput Biol", "id" : "ITEM-1", "issue" : "12", "issued" : { "date-parts" : [ [ "2014" ] ] }, "note" : "Naik, Adviti\nRozman, Damjana\nBelic, Ales\neng\nResearch Support, Non-U.S. Gov't\n2014/12/17 06:00\nPLoS Comput Biol. 2014 Dec 11;10(12):e1003993. doi: 10.1371/journal.pcbi.1003993. eCollection 2014 Dec.", "page" : "e1003993", "title" : "SteatoNet: the first integrated human metabolic model with multi-layered regulation to investigate liver-associated pathologies", "type" : "article-journal", "volume" : "10" }, "uris" : [ "http://www.mendeley.com/documents/?uuid=69e56e84-78a5-4ca4-82c7-e82d714a4946" ] } ], "mendeley" : { "formattedCitation" : "&lt;sup&gt;&lt;sup&gt;70&lt;/sup&gt;&lt;/sup&gt;", "plainTextFormattedCitation" : "70", "previouslyFormattedCitation" : "&lt;sup&gt;&lt;sup&gt;70&lt;/sup&gt;&lt;/sup&gt;"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70</w:t>
      </w:r>
      <w:r w:rsidR="00741705" w:rsidRPr="00383A89">
        <w:rPr>
          <w:lang w:val="en-GB"/>
        </w:rPr>
        <w:fldChar w:fldCharType="end"/>
      </w:r>
      <w:r w:rsidRPr="00383A89">
        <w:rPr>
          <w:lang w:val="en-GB"/>
        </w:rPr>
        <w:t xml:space="preserve"> Since the number of parameters that need to be incorporated into the model is small, this prevents several problems, such as parameter estimation problems as well as the problem of model overfitting. On the other hand parameters that are used at the end allow us to easily adapt the models to specific data, such as personalised or gender specific data as described in</w:t>
      </w:r>
      <w:r w:rsidR="00B138B4">
        <w:rPr>
          <w:lang w:val="en-GB"/>
        </w:rPr>
        <w:t xml:space="preserve"> </w:t>
      </w:r>
      <w:r w:rsidR="00741705" w:rsidRPr="00383A89">
        <w:rPr>
          <w:lang w:val="en-GB"/>
        </w:rPr>
        <w:fldChar w:fldCharType="begin" w:fldLock="1"/>
      </w:r>
      <w:r w:rsidR="001C27E1">
        <w:rPr>
          <w:lang w:val="en-GB"/>
        </w:rPr>
        <w:instrText>ADDIN CSL_CITATION { "citationItems" : [ { "id" : "ITEM-1", "itemData" : { "DOI" : "10.3389/fphys.2018.00360", "author" : [ { "dropping-particle" : "", "family" : "Cvitanovi\u0107 Toma\u0161", "given" : "Tanja", "non-dropping-particle" : "", "parse-names" : false, "suffix" : "" }, { "dropping-particle" : "", "family" : "Urlep", "given" : "\u017diga", "non-dropping-particle" : "", "parse-names" : false, "suffix" : "" }, { "dropping-particle" : "", "family" : "Mo\u0161kon", "given" : "Miha", "non-dropping-particle" : "", "parse-names" : false, "suffix" : "" }, { "dropping-particle" : "", "family" : "Mraz", "given" : "Miha", "non-dropping-particle" : "", "parse-names" : false, "suffix" : "" }, { "dropping-particle" : "", "family" : "Rozman", "given" : "Damjana", "non-dropping-particle" : "", "parse-names" : false, "suffix" : "" } ], "container-title" : "Frontiers in Physiology", "id" : "ITEM-1", "issued" : { "date-parts" : [ [ "2018" ] ] }, "page" : "360", "title" : "LiverSex Computational Model: Sexual Aspects in Hepatic Metabolism and Abnormalities", "type" : "article-journal", "volume" : "9" }, "uris" : [ "http://www.mendeley.com/documents/?uuid=41f34267-9a78-4e01-8a45-47913b721216" ] } ], "mendeley" : { "formattedCitation" : "&lt;sup&gt;&lt;sup&gt;20&lt;/sup&gt;&lt;/sup&gt;", "plainTextFormattedCitation" : "20", "previouslyFormattedCitation" : "&lt;sup&gt;&lt;sup&gt;20&lt;/sup&gt;&lt;/sup&gt;" }, "properties" : { "noteIndex" : 0 }, "schema" : "https://github.com/citation-style-language/schema/raw/master/csl-citation.json" }</w:instrText>
      </w:r>
      <w:r w:rsidR="00741705" w:rsidRPr="00383A89">
        <w:rPr>
          <w:lang w:val="en-GB"/>
        </w:rPr>
        <w:fldChar w:fldCharType="separate"/>
      </w:r>
      <w:r w:rsidR="00A34EF8" w:rsidRPr="00A34EF8">
        <w:rPr>
          <w:noProof/>
          <w:vertAlign w:val="superscript"/>
          <w:lang w:val="en-GB"/>
        </w:rPr>
        <w:t>20</w:t>
      </w:r>
      <w:r w:rsidR="00741705" w:rsidRPr="00383A89">
        <w:rPr>
          <w:lang w:val="en-GB"/>
        </w:rPr>
        <w:fldChar w:fldCharType="end"/>
      </w:r>
      <w:r w:rsidRPr="00383A89">
        <w:rPr>
          <w:lang w:val="en-GB"/>
        </w:rPr>
        <w:t>.</w:t>
      </w:r>
    </w:p>
    <w:p w14:paraId="07003637" w14:textId="75870DD2" w:rsidR="00723843" w:rsidRPr="00383A89" w:rsidRDefault="00723843" w:rsidP="00723843">
      <w:pPr>
        <w:pStyle w:val="Naslov1"/>
        <w:rPr>
          <w:lang w:val="en-GB"/>
        </w:rPr>
      </w:pPr>
      <w:r w:rsidRPr="00383A89">
        <w:rPr>
          <w:lang w:val="en-GB"/>
        </w:rPr>
        <w:lastRenderedPageBreak/>
        <w:t>Large</w:t>
      </w:r>
      <w:r w:rsidR="00A86957" w:rsidRPr="00383A89">
        <w:rPr>
          <w:lang w:val="en-GB"/>
        </w:rPr>
        <w:t>-</w:t>
      </w:r>
      <w:r w:rsidRPr="00383A89">
        <w:rPr>
          <w:lang w:val="en-GB"/>
        </w:rPr>
        <w:t>scale computational models of liver metabolism</w:t>
      </w:r>
    </w:p>
    <w:p w14:paraId="37AB952A" w14:textId="4BF2BB19" w:rsidR="006F11BE" w:rsidRPr="00383A89" w:rsidRDefault="008A790D" w:rsidP="00FA56CE">
      <w:pPr>
        <w:jc w:val="both"/>
        <w:rPr>
          <w:lang w:val="en-GB"/>
        </w:rPr>
      </w:pPr>
      <w:r w:rsidRPr="00383A89">
        <w:rPr>
          <w:lang w:val="en-GB"/>
        </w:rPr>
        <w:t xml:space="preserve">Changes in health, which may lead to the </w:t>
      </w:r>
      <w:r w:rsidR="00642327" w:rsidRPr="00383A89">
        <w:rPr>
          <w:lang w:val="en-GB"/>
        </w:rPr>
        <w:t>development and progression</w:t>
      </w:r>
      <w:r w:rsidRPr="00383A89">
        <w:rPr>
          <w:lang w:val="en-GB"/>
        </w:rPr>
        <w:t xml:space="preserve"> of different </w:t>
      </w:r>
      <w:r w:rsidR="00741BB3" w:rsidRPr="00383A89">
        <w:rPr>
          <w:lang w:val="en-GB"/>
        </w:rPr>
        <w:t>disease</w:t>
      </w:r>
      <w:r w:rsidR="006F3AC4" w:rsidRPr="00383A89">
        <w:rPr>
          <w:lang w:val="en-GB"/>
        </w:rPr>
        <w:t>s</w:t>
      </w:r>
      <w:r w:rsidRPr="00383A89">
        <w:rPr>
          <w:lang w:val="en-GB"/>
        </w:rPr>
        <w:t>,</w:t>
      </w:r>
      <w:r w:rsidR="00741BB3" w:rsidRPr="00383A89">
        <w:rPr>
          <w:lang w:val="en-GB"/>
        </w:rPr>
        <w:t xml:space="preserve"> are </w:t>
      </w:r>
      <w:r w:rsidR="00D605F4" w:rsidRPr="00383A89">
        <w:rPr>
          <w:lang w:val="en-GB"/>
        </w:rPr>
        <w:t>caused by a</w:t>
      </w:r>
      <w:r w:rsidR="006F3AC4" w:rsidRPr="00383A89">
        <w:rPr>
          <w:lang w:val="en-GB"/>
        </w:rPr>
        <w:t>bnormal modifications of</w:t>
      </w:r>
      <w:r w:rsidR="00741BB3" w:rsidRPr="00383A89">
        <w:rPr>
          <w:lang w:val="en-GB"/>
        </w:rPr>
        <w:t xml:space="preserve"> metabolism. Identification and characterization of these modifications </w:t>
      </w:r>
      <w:r w:rsidR="006F3AC4" w:rsidRPr="00383A89">
        <w:rPr>
          <w:lang w:val="en-GB"/>
        </w:rPr>
        <w:t>have</w:t>
      </w:r>
      <w:r w:rsidR="00741BB3" w:rsidRPr="00383A89">
        <w:rPr>
          <w:lang w:val="en-GB"/>
        </w:rPr>
        <w:t xml:space="preserve"> potentials for various applications</w:t>
      </w:r>
      <w:r w:rsidR="0011140E" w:rsidRPr="00383A89">
        <w:rPr>
          <w:lang w:val="en-GB"/>
        </w:rPr>
        <w:t xml:space="preserve">, </w:t>
      </w:r>
      <w:r w:rsidRPr="00383A89">
        <w:rPr>
          <w:lang w:val="en-GB"/>
        </w:rPr>
        <w:t xml:space="preserve">which include </w:t>
      </w:r>
      <w:r w:rsidR="0011140E" w:rsidRPr="00383A89">
        <w:rPr>
          <w:lang w:val="en-GB"/>
        </w:rPr>
        <w:t>drug discovery</w:t>
      </w:r>
      <w:r w:rsidR="00741BB3" w:rsidRPr="00383A89">
        <w:rPr>
          <w:lang w:val="en-GB"/>
        </w:rPr>
        <w:t xml:space="preserve"> </w:t>
      </w:r>
      <w:r w:rsidR="0011140E" w:rsidRPr="00383A89">
        <w:rPr>
          <w:lang w:val="en-GB"/>
        </w:rPr>
        <w:t xml:space="preserve">and </w:t>
      </w:r>
      <w:r w:rsidR="00741BB3" w:rsidRPr="00383A89">
        <w:rPr>
          <w:lang w:val="en-GB"/>
        </w:rPr>
        <w:t>i</w:t>
      </w:r>
      <w:r w:rsidR="0011140E" w:rsidRPr="00383A89">
        <w:rPr>
          <w:lang w:val="en-GB"/>
        </w:rPr>
        <w:t>dentification of new biomarkers</w:t>
      </w:r>
      <w:r w:rsidR="00B138B4">
        <w:rPr>
          <w:lang w:val="en-GB"/>
        </w:rPr>
        <w:t>.</w:t>
      </w:r>
      <w:r w:rsidR="003660AD" w:rsidRPr="00383A89">
        <w:rPr>
          <w:lang w:val="en-GB"/>
        </w:rPr>
        <w:fldChar w:fldCharType="begin" w:fldLock="1"/>
      </w:r>
      <w:r w:rsidR="00E8653E">
        <w:rPr>
          <w:lang w:val="en-GB"/>
        </w:rPr>
        <w:instrText>ADDIN CSL_CITATION { "citationItems" : [ { "id" : "ITEM-1", "itemData" : { "DOI" : "10.1155/2015/698169", "ISSN" : "2090-2182", "PMID" : "26357572", "abstract" : "&lt;p&gt;The exponential development of highly advanced scientific and medical research technologies throughout the past 30 years has arrived to the point where the high number of characterized molecular agents related to pathogenesis cannot be readily integrated or processed by conventional analytical approaches. Indeed, the realization that several moieties are signatures of disease has partly led to the increment of complex diseases being characterized. Scientists and clinicians can now investigate and analyse any individual dysregulations occurring within the genomic, transcriptomic, miRnomic, proteomic, and metabolomic levels thanks to currently available advanced technologies. However, there are drawbacks within this scientific brave new age in that only isolated molecular levels are individually investigated for their influence in affecting any particular health condition. Since their conception in 1992, systems biology/medicine focuses mainly on the perturbations of overall pathway kinetics for the consequent onset and/or deterioration of the investigated condition/s. Systems medicine approaches can therefore be employed for shedding light in multiple research scenarios, ultimately leading to the practical result of uncovering novel dynamic interaction networks that are critical for influencing the course of medical conditions. Consequently, systems medicine also serves to identify clinically important molecular targets for diagnostic and therapeutic measures against such a condition.&lt;/p&gt;", "author" : [ { "dropping-particle" : "", "family" : "Ayers", "given" : "Duncan", "non-dropping-particle" : "", "parse-names" : false, "suffix" : "" }, { "dropping-particle" : "", "family" : "Day", "given" : "Philip J.", "non-dropping-particle" : "", "parse-names" : false, "suffix" : "" } ], "container-title" : "Molecular Biology International", "id" : "ITEM-1", "issued" : { "date-parts" : [ [ "2015" ] ] }, "page" : "1-8", "title" : "Systems Medicine: The Application of Systems Biology Approaches for Modern Medical Research and Drug Development", "type" : "article-journal", "volume" : "2015" }, "uris" : [ "http://www.mendeley.com/documents/?uuid=a9248263-a7a2-470f-bdb7-b43bfc1f3ae7" ] } ], "mendeley" : { "formattedCitation" : "&lt;sup&gt;&lt;sup&gt;71&lt;/sup&gt;&lt;/sup&gt;", "plainTextFormattedCitation" : "71", "previouslyFormattedCitation" : "&lt;sup&gt;&lt;sup&gt;71&lt;/sup&gt;&lt;/sup&gt;" }, "properties" : { "noteIndex" : 0 }, "schema" : "https://github.com/citation-style-language/schema/raw/master/csl-citation.json" }</w:instrText>
      </w:r>
      <w:r w:rsidR="003660AD" w:rsidRPr="00383A89">
        <w:rPr>
          <w:lang w:val="en-GB"/>
        </w:rPr>
        <w:fldChar w:fldCharType="separate"/>
      </w:r>
      <w:r w:rsidR="00E8653E" w:rsidRPr="00E8653E">
        <w:rPr>
          <w:noProof/>
          <w:vertAlign w:val="superscript"/>
          <w:lang w:val="en-GB"/>
        </w:rPr>
        <w:t>71</w:t>
      </w:r>
      <w:r w:rsidR="003660AD" w:rsidRPr="00383A89">
        <w:rPr>
          <w:lang w:val="en-GB"/>
        </w:rPr>
        <w:fldChar w:fldCharType="end"/>
      </w:r>
      <w:r w:rsidR="00741BB3" w:rsidRPr="00383A89">
        <w:rPr>
          <w:lang w:val="en-GB"/>
        </w:rPr>
        <w:t xml:space="preserve"> </w:t>
      </w:r>
      <w:r w:rsidR="003A2C5F" w:rsidRPr="00383A89">
        <w:rPr>
          <w:lang w:val="en-GB"/>
        </w:rPr>
        <w:t>The majority of metabolic disorders occur</w:t>
      </w:r>
      <w:r w:rsidRPr="00383A89">
        <w:rPr>
          <w:lang w:val="en-GB"/>
        </w:rPr>
        <w:t>s</w:t>
      </w:r>
      <w:r w:rsidR="00741BB3" w:rsidRPr="00383A89">
        <w:rPr>
          <w:lang w:val="en-GB"/>
        </w:rPr>
        <w:t xml:space="preserve"> in the liver</w:t>
      </w:r>
      <w:r w:rsidR="00B138B4">
        <w:rPr>
          <w:lang w:val="en-GB"/>
        </w:rPr>
        <w:t>.</w:t>
      </w:r>
      <w:r w:rsidR="003660AD" w:rsidRPr="00383A89">
        <w:rPr>
          <w:lang w:val="en-GB"/>
        </w:rPr>
        <w:fldChar w:fldCharType="begin" w:fldLock="1"/>
      </w:r>
      <w:r w:rsidR="008830B1">
        <w:rPr>
          <w:lang w:val="en-GB"/>
        </w:rPr>
        <w:instrText>ADDIN CSL_CITATION { "citationItems" : [ { "id" : "ITEM-1", "itemData" : { "DOI" : "10.1016/j.paed.2017.07.007", "ISBN" : "1751-7222", "ISSN" : "1878206X", "abstract" : "Many Inherited Metabolic Diseases (IMDs) have hepatic manifestations due to the highly metabolically active nature of the liver. IMDs are responsible for up to a third of acute liver failure in childhood. Manifestations include cholestatic jaundice, hepatomegaly and acute and chronic liver failure. It is important to consider and identify metabolic causes of liver disease early, particularly as some may present early for example with a self-limiting period of cholestasis before presenting in later childhood with irreversible disease, and in many early intervention improves outcomes. This review highlights features in the history and presentation which should raise suspicion for an IMD, and the specialist metabolic investigations to consider when evaluating the child with liver disease. The review also discusses the clinical course and management of specific IMDs including glycogen storage disorders, congenital disorders of glycosylation, cholesterol ester storage disease, galactosaemia, neonatal haemochromatosis, hereditary tyrosinemia, fatty acid oxidations disorders, urea cycle defects, Niemann Pick C, Wilson disease, citrin deficiency and disorders of bile acid synthesis. The role of liver transplantation is discussed briefly.", "author" : [ { "dropping-particle" : "", "family" : "Guilder", "given" : "Laura", "non-dropping-particle" : "", "parse-names" : false, "suffix" : "" }, { "dropping-particle" : "", "family" : "Pula", "given" : "Shpresa", "non-dropping-particle" : "", "parse-names" : false, "suffix" : "" }, { "dropping-particle" : "", "family" : "Pierre", "given" : "Germaine", "non-dropping-particle" : "", "parse-names" : false, "suffix" : "" } ], "container-title" : "Paediatrics and Child Health (United Kingdom)", "id" : "ITEM-1", "issue" : "12", "issued" : { "date-parts" : [ [ "2017" ] ] }, "page" : "533-539", "title" : "Metabolic disorders presenting as liver disease", "type" : "article-journal", "volume" : "27" }, "uris" : [ "http://www.mendeley.com/documents/?uuid=15281f9f-09dd-479e-b09d-66aca964217e" ] }, { "id" : "ITEM-2", "itemData" : { "DOI" : "10.1016/j.mpdhp.2014.01.012", "ISBN" : "0267-1379", "ISSN" : "17562317", "abstract" : "Metabolic diseases could be inherited as inborn errors of metabolism or acquired. In this review we discuss some of the metabolic disorders likely to present in the adult population and in which liver biopsy could be indicated as part of diagnosis or treatment. These include iron overload/hemochromatosis, Wilson's disease, alpha-1-antitrypsin deficiency, Niemann-Pick's disease and Gaucher's disease with emphasis on characteristic or helpful histopathologic features. In this era of molecular and other non-invasive analyses, the role of liver biopsy for primary diagnosis has decreased but is still an important tool for supplementing clinical/molecular diagnosis, staging disease and as a guide to management. In addition to qualitative assessment, quantitative measurements of iron and copper per unit dry weight of liver tissue can be performed on paraffin-embedded blocks and should be considered in patients being treated for iron overload or being worked up for possible Wilson's disease respectively. Gaucher's disease and Niemann-Pick's disease are examples of lysosomal storage diseases that could present outside of the pediatric population; these diseases have fairly distinguishing features that could be used to triage which patients need additional enzyme or other assays for definitive diagnoses. While non-alcoholic steatohepatitis remains the commonest metabolic liver disease in adult population, the pathologist should also be aware of these other entities discussed in this review. \u00a9 2014 Elsevier Ltd.", "author" : [ { "dropping-particle" : "", "family" : "Hafezi-Bakhtiari", "given" : "Sara", "non-dropping-particle" : "", "parse-names" : false, "suffix" : "" }, { "dropping-particle" : "", "family" : "Adeyi", "given" : "Oyedele A.", "non-dropping-particle" : "", "parse-names" : false, "suffix" : "" } ], "container-title" : "Diagnostic Histopathology", "id" : "ITEM-2", "issue" : "3", "issued" : { "date-parts" : [ [ "2014" ] ] }, "page" : "125-133", "title" : "Metabolic disorders of the liver", "type" : "article-journal", "volume" : "20" }, "uris" : [ "http://www.mendeley.com/documents/?uuid=fc416c34-32a0-4ad9-bff4-29179783c8e4" ] } ], "mendeley" : { "formattedCitation" : "&lt;sup&gt;&lt;sup&gt;72&lt;/sup&gt;,&lt;sup&gt;73&lt;/sup&gt;&lt;/sup&gt;", "plainTextFormattedCitation" : "72,73", "previouslyFormattedCitation" : "&lt;sup&gt;&lt;sup&gt;72&lt;/sup&gt;,&lt;sup&gt;73&lt;/sup&gt;&lt;/sup&gt;" }, "properties" : { "noteIndex" : 0 }, "schema" : "https://github.com/citation-style-language/schema/raw/master/csl-citation.json" }</w:instrText>
      </w:r>
      <w:r w:rsidR="003660AD" w:rsidRPr="00383A89">
        <w:rPr>
          <w:lang w:val="en-GB"/>
        </w:rPr>
        <w:fldChar w:fldCharType="separate"/>
      </w:r>
      <w:r w:rsidR="00E8653E" w:rsidRPr="00E8653E">
        <w:rPr>
          <w:noProof/>
          <w:vertAlign w:val="superscript"/>
          <w:lang w:val="en-GB"/>
        </w:rPr>
        <w:t>72,73</w:t>
      </w:r>
      <w:r w:rsidR="003660AD" w:rsidRPr="00383A89">
        <w:rPr>
          <w:lang w:val="en-GB"/>
        </w:rPr>
        <w:fldChar w:fldCharType="end"/>
      </w:r>
      <w:r w:rsidR="00741BB3" w:rsidRPr="00383A89">
        <w:rPr>
          <w:lang w:val="en-GB"/>
        </w:rPr>
        <w:t xml:space="preserve"> The study of liver disorders impro</w:t>
      </w:r>
      <w:r w:rsidR="003A2C5F" w:rsidRPr="00383A89">
        <w:rPr>
          <w:lang w:val="en-GB"/>
        </w:rPr>
        <w:t xml:space="preserve">ves the understanding of </w:t>
      </w:r>
      <w:r w:rsidR="00923182" w:rsidRPr="00383A89">
        <w:rPr>
          <w:lang w:val="en-GB"/>
        </w:rPr>
        <w:t xml:space="preserve">their </w:t>
      </w:r>
      <w:r w:rsidR="003A2C5F" w:rsidRPr="00383A89">
        <w:rPr>
          <w:lang w:val="en-GB"/>
        </w:rPr>
        <w:t>physiological</w:t>
      </w:r>
      <w:r w:rsidR="00741BB3" w:rsidRPr="00383A89">
        <w:rPr>
          <w:lang w:val="en-GB"/>
        </w:rPr>
        <w:t xml:space="preserve"> and pathological con</w:t>
      </w:r>
      <w:r w:rsidR="00FA56CE" w:rsidRPr="00383A89">
        <w:rPr>
          <w:lang w:val="en-GB"/>
        </w:rPr>
        <w:t>sequences</w:t>
      </w:r>
      <w:r w:rsidR="00741BB3" w:rsidRPr="00383A89">
        <w:rPr>
          <w:lang w:val="en-GB"/>
        </w:rPr>
        <w:t xml:space="preserve">. </w:t>
      </w:r>
      <w:r w:rsidR="00FA56CE" w:rsidRPr="00383A89">
        <w:rPr>
          <w:lang w:val="en-GB"/>
        </w:rPr>
        <w:t>C</w:t>
      </w:r>
      <w:r w:rsidR="00741BB3" w:rsidRPr="00383A89">
        <w:rPr>
          <w:lang w:val="en-GB"/>
        </w:rPr>
        <w:t xml:space="preserve">omputational models </w:t>
      </w:r>
      <w:r w:rsidR="00FA56CE" w:rsidRPr="00383A89">
        <w:rPr>
          <w:lang w:val="en-GB"/>
        </w:rPr>
        <w:t xml:space="preserve">present an indispensable tool for the </w:t>
      </w:r>
      <w:r w:rsidR="00741BB3" w:rsidRPr="00383A89">
        <w:rPr>
          <w:lang w:val="en-GB"/>
        </w:rPr>
        <w:t xml:space="preserve">prediction of the effects of metabolic, genetic or chemical perturbations in liver metabolism and </w:t>
      </w:r>
      <w:r w:rsidRPr="00383A89">
        <w:rPr>
          <w:lang w:val="en-GB"/>
        </w:rPr>
        <w:t xml:space="preserve">consequently </w:t>
      </w:r>
      <w:r w:rsidR="00FA56CE" w:rsidRPr="00383A89">
        <w:rPr>
          <w:lang w:val="en-GB"/>
        </w:rPr>
        <w:t xml:space="preserve">in </w:t>
      </w:r>
      <w:r w:rsidR="00741BB3" w:rsidRPr="00383A89">
        <w:rPr>
          <w:lang w:val="en-GB"/>
        </w:rPr>
        <w:t>liver-related disease development and progression</w:t>
      </w:r>
      <w:r w:rsidR="00B138B4">
        <w:rPr>
          <w:lang w:val="en-GB"/>
        </w:rPr>
        <w:t>.</w:t>
      </w:r>
      <w:r w:rsidR="00741705" w:rsidRPr="00383A89">
        <w:rPr>
          <w:lang w:val="en-GB"/>
        </w:rPr>
        <w:fldChar w:fldCharType="begin" w:fldLock="1"/>
      </w:r>
      <w:r w:rsidR="001A5608">
        <w:rPr>
          <w:lang w:val="en-GB"/>
        </w:rPr>
        <w:instrText>ADDIN CSL_CITATION { "citationItems" : [ { "id" : "ITEM-1", "itemData" : { "DOI" : "10.1002/hep.29268", "ISSN" : "15273350", "abstract" : "\u00a9 2017 by the American Association for the Study of Liver Diseases. Understanding the dynamics of human liver metabolism is fundamental for effective diagnosis and treatment of liver diseases. This knowledge can be obtained with systems biology/medicine approaches that account for the complexity of hepatic responses and their systemic consequences in other organs. Computational modeling can reveal hidden principles of the system by classification of individual components, analyzing their interactions and simulating the effects that are difficult to investigate experimentally. Herein, we review the state-of-the-art computational models that describe liver dynamics from metabolic, gene regulatory, and signal transduction perspectives. We focus especially on large-scale liver models described either by genome scale metabolic networks or an object-oriented approach. We also discuss the benefits and limitations of each modeling approach and their value for clinical applications in diagnosis, therapy, and prevention of liver diseases as well as precision medicine in hepatology. (Hepatology 2017;66:1323-1334).", "author" : [ { "dropping-particle" : "", "family" : "Cvitanovi\u0107", "given" : "T.", "non-dropping-particle" : "", "parse-names" : false, "suffix" : "" }, { "dropping-particle" : "", "family" : "Reichert", "given" : "M.C.", "non-dropping-particle" : "", "parse-names" : false, "suffix" : "" }, { "dropping-particle" : "", "family" : "Mo\u0161kon", "given" : "M.", "non-dropping-particle" : "", "parse-names" : false, "suffix" : "" }, { "dropping-particle" : "", "family" : "Mraz", "given" : "M.", "non-dropping-particle" : "", "parse-names" : false, "suffix" : "" }, { "dropping-particle" : "", "family" : "Lammert", "given" : "F.", "non-dropping-particle" : "", "parse-names" : false, "suffix" : "" }, { "dropping-particle" : "", "family" : "Rozman", "given" : "D.", "non-dropping-particle" : "", "parse-names" : false, "suffix" : "" } ], "container-title" : "Hepatology", "id" : "ITEM-1", "issue" : "4", "issued" : { "date-parts" : [ [ "2017" ] ] }, "page" : "1323-1334", "title" : "Large-scale computational models of liver metabolism: How far from the clinics?", "type" : "article-journal", "volume" : "66" }, "uris" : [ "http://www.mendeley.com/documents/?uuid=edff70b2-bf05-3e16-8155-872b3018aa77" ] } ], "mendeley" : { "formattedCitation" : "&lt;sup&gt;&lt;sup&gt;13&lt;/sup&gt;&lt;/sup&gt;", "plainTextFormattedCitation" : "13", "previouslyFormattedCitation" : "&lt;sup&gt;&lt;sup&gt;13&lt;/sup&gt;&lt;/sup&gt;" }, "properties" : { "noteIndex" : 0 }, "schema" : "https://github.com/citation-style-language/schema/raw/master/csl-citation.json" }</w:instrText>
      </w:r>
      <w:r w:rsidR="00741705" w:rsidRPr="00383A89">
        <w:rPr>
          <w:lang w:val="en-GB"/>
        </w:rPr>
        <w:fldChar w:fldCharType="separate"/>
      </w:r>
      <w:r w:rsidR="00A34EF8" w:rsidRPr="00A34EF8">
        <w:rPr>
          <w:noProof/>
          <w:vertAlign w:val="superscript"/>
          <w:lang w:val="en-GB"/>
        </w:rPr>
        <w:t>13</w:t>
      </w:r>
      <w:r w:rsidR="00741705" w:rsidRPr="00383A89">
        <w:rPr>
          <w:lang w:val="en-GB"/>
        </w:rPr>
        <w:fldChar w:fldCharType="end"/>
      </w:r>
      <w:r w:rsidR="00FA56CE" w:rsidRPr="00383A89">
        <w:rPr>
          <w:lang w:val="en-GB"/>
        </w:rPr>
        <w:t xml:space="preserve"> Traditional methods fail to conduct the analyses in the same scope as </w:t>
      </w:r>
      <w:r w:rsidR="00FA56CE" w:rsidRPr="00383A89">
        <w:rPr>
          <w:i/>
          <w:lang w:val="en-GB"/>
        </w:rPr>
        <w:t>in</w:t>
      </w:r>
      <w:r w:rsidR="00B138B4">
        <w:rPr>
          <w:i/>
          <w:lang w:val="en-GB"/>
        </w:rPr>
        <w:t xml:space="preserve"> </w:t>
      </w:r>
      <w:r w:rsidR="00FA56CE" w:rsidRPr="00383A89">
        <w:rPr>
          <w:i/>
          <w:lang w:val="en-GB"/>
        </w:rPr>
        <w:t>silico</w:t>
      </w:r>
      <w:r w:rsidR="00FA56CE" w:rsidRPr="00383A89">
        <w:rPr>
          <w:lang w:val="en-GB"/>
        </w:rPr>
        <w:t xml:space="preserve"> methods or can be conducted </w:t>
      </w:r>
      <w:r w:rsidRPr="00383A89">
        <w:rPr>
          <w:lang w:val="en-GB"/>
        </w:rPr>
        <w:t xml:space="preserve">only </w:t>
      </w:r>
      <w:r w:rsidR="00FA56CE" w:rsidRPr="00383A89">
        <w:rPr>
          <w:lang w:val="en-GB"/>
        </w:rPr>
        <w:t>under unfeasible costs. They need to be, however, complemented with the computational approaches</w:t>
      </w:r>
      <w:r w:rsidR="00B138B4">
        <w:rPr>
          <w:lang w:val="en-GB"/>
        </w:rPr>
        <w:t>.</w:t>
      </w:r>
      <w:r w:rsidR="00741705" w:rsidRPr="00383A89">
        <w:rPr>
          <w:lang w:val="en-GB"/>
        </w:rPr>
        <w:fldChar w:fldCharType="begin" w:fldLock="1"/>
      </w:r>
      <w:r w:rsidR="001A5608">
        <w:rPr>
          <w:lang w:val="en-GB"/>
        </w:rPr>
        <w:instrText>ADDIN CSL_CITATION { "citationItems" : [ { "id" : "ITEM-1", "itemData" : { "DOI" : "10.3389/fphys.2014.00021", "ISBN" : "1664-042X (Print)\\n1664-042X (Linking)", "ISSN" : "1664042X", "PMID" : "24478728", "abstract" : "Next generation sequencing technologies are bringing about a renaissance of mining approaches. A comprehensive picture of the genetic landscape of an individual patient will be useful, for example, to identify groups of patients that do or do not respond to certain therapies. The high expectations may however not be satisfied if the number of patient groups with similar characteristics is going to be very large. I therefore doubt that mining sequence data will give us an understanding of why and when therapies work. For understanding the mechanisms underlying diseases, an alternative approach is to model small networks in quantitative mechanistic detail, to elucidate the role of gene and proteins in dynamically changing the functioning of cells. Here an obvious critique is that these models consider too few components, compared to what might be relevant for any particular cell function. I show here that mining approaches and dynamical systems theory are two ends of a spectrum of methodologies to choose from. Drawing upon personal experience in numerous interdisciplinary collaborations, I provide guidance on how to model by discussing the question \"Why model?\"", "author" : [ { "dropping-particle" : "", "family" : "Wolkenhauer", "given" : "Olaf", "non-dropping-particle" : "", "parse-names" : false, "suffix" : "" } ], "container-title" : "Frontiers in Physiology", "id" : "ITEM-1", "issue" : "January", "issued" : { "date-parts" : [ [ "2014" ] ] }, "page" : "21", "title" : "Why model?", "type" : "article-journal", "volume" : "5" }, "uris" : [ "http://www.mendeley.com/documents/?uuid=7f7457b9-893a-4263-bf2c-77d854c1ffa0" ] } ], "mendeley" : { "formattedCitation" : "&lt;sup&gt;&lt;sup&gt;15&lt;/sup&gt;&lt;/sup&gt;", "plainTextFormattedCitation" : "15", "previouslyFormattedCitation" : "&lt;sup&gt;&lt;sup&gt;15&lt;/sup&gt;&lt;/sup&gt;" }, "properties" : { "noteIndex" : 0 }, "schema" : "https://github.com/citation-style-language/schema/raw/master/csl-citation.json" }</w:instrText>
      </w:r>
      <w:r w:rsidR="00741705" w:rsidRPr="00383A89">
        <w:rPr>
          <w:lang w:val="en-GB"/>
        </w:rPr>
        <w:fldChar w:fldCharType="separate"/>
      </w:r>
      <w:r w:rsidR="00A34EF8" w:rsidRPr="00A34EF8">
        <w:rPr>
          <w:noProof/>
          <w:vertAlign w:val="superscript"/>
          <w:lang w:val="en-GB"/>
        </w:rPr>
        <w:t>15</w:t>
      </w:r>
      <w:r w:rsidR="00741705" w:rsidRPr="00383A89">
        <w:rPr>
          <w:lang w:val="en-GB"/>
        </w:rPr>
        <w:fldChar w:fldCharType="end"/>
      </w:r>
      <w:r w:rsidR="00FA56CE" w:rsidRPr="00383A89">
        <w:rPr>
          <w:lang w:val="en-GB"/>
        </w:rPr>
        <w:t xml:space="preserve"> </w:t>
      </w:r>
      <w:r w:rsidR="00923182" w:rsidRPr="00383A89">
        <w:rPr>
          <w:lang w:val="en-GB"/>
        </w:rPr>
        <w:t>Finally, c</w:t>
      </w:r>
      <w:r w:rsidR="00642327" w:rsidRPr="00383A89">
        <w:rPr>
          <w:lang w:val="en-GB"/>
        </w:rPr>
        <w:t>ombination of experimental work, clinical work and c</w:t>
      </w:r>
      <w:r w:rsidR="00741BB3" w:rsidRPr="00383A89">
        <w:rPr>
          <w:lang w:val="en-GB"/>
        </w:rPr>
        <w:t xml:space="preserve">omputational </w:t>
      </w:r>
      <w:r w:rsidR="00FA56CE" w:rsidRPr="00383A89">
        <w:rPr>
          <w:lang w:val="en-GB"/>
        </w:rPr>
        <w:t>modelling</w:t>
      </w:r>
      <w:r w:rsidR="00741BB3" w:rsidRPr="00383A89">
        <w:rPr>
          <w:lang w:val="en-GB"/>
        </w:rPr>
        <w:t xml:space="preserve"> can be used </w:t>
      </w:r>
      <w:r w:rsidR="00FA56CE" w:rsidRPr="00383A89">
        <w:rPr>
          <w:lang w:val="en-GB"/>
        </w:rPr>
        <w:t>for</w:t>
      </w:r>
      <w:r w:rsidR="00741BB3" w:rsidRPr="00383A89">
        <w:rPr>
          <w:lang w:val="en-GB"/>
        </w:rPr>
        <w:t xml:space="preserve"> understanding </w:t>
      </w:r>
      <w:r w:rsidR="00FA56CE" w:rsidRPr="00383A89">
        <w:rPr>
          <w:lang w:val="en-GB"/>
        </w:rPr>
        <w:t>the</w:t>
      </w:r>
      <w:r w:rsidR="00741BB3" w:rsidRPr="00383A89">
        <w:rPr>
          <w:lang w:val="en-GB"/>
        </w:rPr>
        <w:t xml:space="preserve"> disease </w:t>
      </w:r>
      <w:r w:rsidR="00FA56CE" w:rsidRPr="00383A89">
        <w:rPr>
          <w:lang w:val="en-GB"/>
        </w:rPr>
        <w:t>mechanisms</w:t>
      </w:r>
      <w:r w:rsidR="00741BB3" w:rsidRPr="00383A89">
        <w:rPr>
          <w:lang w:val="en-GB"/>
        </w:rPr>
        <w:t xml:space="preserve">, </w:t>
      </w:r>
      <w:r w:rsidR="00FA56CE" w:rsidRPr="00383A89">
        <w:rPr>
          <w:lang w:val="en-GB"/>
        </w:rPr>
        <w:t xml:space="preserve">for </w:t>
      </w:r>
      <w:r w:rsidR="00741BB3" w:rsidRPr="00383A89">
        <w:rPr>
          <w:lang w:val="en-GB"/>
        </w:rPr>
        <w:t>evaluating the clinical efficacy and cost-effectiveness of existing diagnostic</w:t>
      </w:r>
      <w:r w:rsidR="00FA56CE" w:rsidRPr="00383A89">
        <w:rPr>
          <w:lang w:val="en-GB"/>
        </w:rPr>
        <w:t xml:space="preserve"> methods</w:t>
      </w:r>
      <w:r w:rsidR="00741BB3" w:rsidRPr="00383A89">
        <w:rPr>
          <w:lang w:val="en-GB"/>
        </w:rPr>
        <w:t>,</w:t>
      </w:r>
      <w:r w:rsidR="00FA56CE" w:rsidRPr="00383A89">
        <w:rPr>
          <w:lang w:val="en-GB"/>
        </w:rPr>
        <w:t xml:space="preserve"> for the development of new diagnostic methods and</w:t>
      </w:r>
      <w:r w:rsidRPr="00383A89">
        <w:rPr>
          <w:lang w:val="en-GB"/>
        </w:rPr>
        <w:t xml:space="preserve"> for</w:t>
      </w:r>
      <w:r w:rsidR="00686171" w:rsidRPr="00383A89">
        <w:rPr>
          <w:lang w:val="en-GB"/>
        </w:rPr>
        <w:t xml:space="preserve"> </w:t>
      </w:r>
      <w:r w:rsidRPr="00383A89">
        <w:rPr>
          <w:lang w:val="en-GB"/>
        </w:rPr>
        <w:t>the proposal of</w:t>
      </w:r>
      <w:r w:rsidR="00686171" w:rsidRPr="00383A89">
        <w:rPr>
          <w:lang w:val="en-GB"/>
        </w:rPr>
        <w:t xml:space="preserve"> new drugs</w:t>
      </w:r>
      <w:r w:rsidR="003660AD" w:rsidRPr="00383A89">
        <w:rPr>
          <w:lang w:val="en-GB"/>
        </w:rPr>
        <w:t xml:space="preserve"> </w:t>
      </w:r>
      <w:r w:rsidR="003660AD" w:rsidRPr="00383A89">
        <w:rPr>
          <w:lang w:val="en-GB"/>
        </w:rPr>
        <w:fldChar w:fldCharType="begin" w:fldLock="1"/>
      </w:r>
      <w:r w:rsidR="008830B1">
        <w:rPr>
          <w:lang w:val="en-GB"/>
        </w:rPr>
        <w:instrText>ADDIN CSL_CITATION { "citationItems" : [ { "id" : "ITEM-1", "itemData" : { "DOI" : "10.1016/j.mpdhp.2014.01.012", "ISBN" : "0267-1379", "ISSN" : "17562317", "abstract" : "Metabolic diseases could be inherited as inborn errors of metabolism or acquired. In this review we discuss some of the metabolic disorders likely to present in the adult population and in which liver biopsy could be indicated as part of diagnosis or treatment. These include iron overload/hemochromatosis, Wilson's disease, alpha-1-antitrypsin deficiency, Niemann-Pick's disease and Gaucher's disease with emphasis on characteristic or helpful histopathologic features. In this era of molecular and other non-invasive analyses, the role of liver biopsy for primary diagnosis has decreased but is still an important tool for supplementing clinical/molecular diagnosis, staging disease and as a guide to management. In addition to qualitative assessment, quantitative measurements of iron and copper per unit dry weight of liver tissue can be performed on paraffin-embedded blocks and should be considered in patients being treated for iron overload or being worked up for possible Wilson's disease respectively. Gaucher's disease and Niemann-Pick's disease are examples of lysosomal storage diseases that could present outside of the pediatric population; these diseases have fairly distinguishing features that could be used to triage which patients need additional enzyme or other assays for definitive diagnoses. While non-alcoholic steatohepatitis remains the commonest metabolic liver disease in adult population, the pathologist should also be aware of these other entities discussed in this review. \u00a9 2014 Elsevier Ltd.", "author" : [ { "dropping-particle" : "", "family" : "Hafezi-Bakhtiari", "given" : "Sara", "non-dropping-particle" : "", "parse-names" : false, "suffix" : "" }, { "dropping-particle" : "", "family" : "Adeyi", "given" : "Oyedele A.", "non-dropping-particle" : "", "parse-names" : false, "suffix" : "" } ], "container-title" : "Diagnostic Histopathology", "id" : "ITEM-1", "issue" : "3", "issued" : { "date-parts" : [ [ "2014" ] ] }, "page" : "125-133", "title" : "Metabolic disorders of the liver", "type" : "article-journal", "volume" : "20" }, "uris" : [ "http://www.mendeley.com/documents/?uuid=fc416c34-32a0-4ad9-bff4-29179783c8e4" ] } ], "mendeley" : { "formattedCitation" : "&lt;sup&gt;&lt;sup&gt;73&lt;/sup&gt;&lt;/sup&gt;", "plainTextFormattedCitation" : "73", "previouslyFormattedCitation" : "&lt;sup&gt;&lt;sup&gt;73&lt;/sup&gt;&lt;/sup&gt;" }, "properties" : { "noteIndex" : 0 }, "schema" : "https://github.com/citation-style-language/schema/raw/master/csl-citation.json" }</w:instrText>
      </w:r>
      <w:r w:rsidR="003660AD" w:rsidRPr="00383A89">
        <w:rPr>
          <w:lang w:val="en-GB"/>
        </w:rPr>
        <w:fldChar w:fldCharType="separate"/>
      </w:r>
      <w:r w:rsidR="00E8653E" w:rsidRPr="00E8653E">
        <w:rPr>
          <w:noProof/>
          <w:vertAlign w:val="superscript"/>
          <w:lang w:val="en-GB"/>
        </w:rPr>
        <w:t>73</w:t>
      </w:r>
      <w:r w:rsidR="003660AD" w:rsidRPr="00383A89">
        <w:rPr>
          <w:lang w:val="en-GB"/>
        </w:rPr>
        <w:fldChar w:fldCharType="end"/>
      </w:r>
      <w:r w:rsidR="006F11BE" w:rsidRPr="00383A89">
        <w:rPr>
          <w:lang w:val="en-GB"/>
        </w:rPr>
        <w:t xml:space="preserve"> (see </w:t>
      </w:r>
      <w:r w:rsidR="006F11BE" w:rsidRPr="00383A89">
        <w:rPr>
          <w:lang w:val="en-GB"/>
        </w:rPr>
        <w:fldChar w:fldCharType="begin"/>
      </w:r>
      <w:r w:rsidR="006F11BE" w:rsidRPr="00383A89">
        <w:rPr>
          <w:lang w:val="en-GB"/>
        </w:rPr>
        <w:instrText xml:space="preserve"> REF _Ref511724799 \h </w:instrText>
      </w:r>
      <w:r w:rsidR="00182BAC" w:rsidRPr="00383A89">
        <w:rPr>
          <w:lang w:val="en-GB"/>
        </w:rPr>
        <w:instrText xml:space="preserve"> \* MERGEFORMAT </w:instrText>
      </w:r>
      <w:r w:rsidR="006F11BE" w:rsidRPr="00383A89">
        <w:rPr>
          <w:lang w:val="en-GB"/>
        </w:rPr>
      </w:r>
      <w:r w:rsidR="006F11BE" w:rsidRPr="00383A89">
        <w:rPr>
          <w:lang w:val="en-GB"/>
        </w:rPr>
        <w:fldChar w:fldCharType="separate"/>
      </w:r>
      <w:r w:rsidR="006869C6" w:rsidRPr="00383A89">
        <w:rPr>
          <w:lang w:val="en-GB"/>
        </w:rPr>
        <w:t xml:space="preserve">Figure </w:t>
      </w:r>
      <w:r w:rsidR="006869C6" w:rsidRPr="006869C6">
        <w:rPr>
          <w:noProof/>
          <w:lang w:val="en-GB"/>
        </w:rPr>
        <w:t>2</w:t>
      </w:r>
      <w:r w:rsidR="006F11BE" w:rsidRPr="00383A89">
        <w:rPr>
          <w:lang w:val="en-GB"/>
        </w:rPr>
        <w:fldChar w:fldCharType="end"/>
      </w:r>
      <w:r w:rsidR="006F11BE" w:rsidRPr="00383A89">
        <w:rPr>
          <w:lang w:val="en-GB"/>
        </w:rPr>
        <w:t>).</w:t>
      </w:r>
    </w:p>
    <w:p w14:paraId="12E1BA60" w14:textId="77777777" w:rsidR="006F11BE" w:rsidRPr="00383A89" w:rsidRDefault="006F11BE" w:rsidP="006F11BE">
      <w:pPr>
        <w:keepNext/>
        <w:jc w:val="center"/>
        <w:rPr>
          <w:lang w:val="en-GB"/>
        </w:rPr>
      </w:pPr>
      <w:r w:rsidRPr="00383A89">
        <w:rPr>
          <w:noProof/>
          <w:lang w:val="en-GB" w:eastAsia="en-GB"/>
        </w:rPr>
        <w:drawing>
          <wp:inline distT="0" distB="0" distL="0" distR="0" wp14:anchorId="3112251C" wp14:editId="55108AA4">
            <wp:extent cx="3135085" cy="293464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png"/>
                    <pic:cNvPicPr/>
                  </pic:nvPicPr>
                  <pic:blipFill>
                    <a:blip r:embed="rId10">
                      <a:extLst>
                        <a:ext uri="{28A0092B-C50C-407E-A947-70E740481C1C}">
                          <a14:useLocalDpi xmlns:a14="http://schemas.microsoft.com/office/drawing/2010/main" val="0"/>
                        </a:ext>
                      </a:extLst>
                    </a:blip>
                    <a:stretch>
                      <a:fillRect/>
                    </a:stretch>
                  </pic:blipFill>
                  <pic:spPr>
                    <a:xfrm>
                      <a:off x="0" y="0"/>
                      <a:ext cx="3147683" cy="2946441"/>
                    </a:xfrm>
                    <a:prstGeom prst="rect">
                      <a:avLst/>
                    </a:prstGeom>
                  </pic:spPr>
                </pic:pic>
              </a:graphicData>
            </a:graphic>
          </wp:inline>
        </w:drawing>
      </w:r>
    </w:p>
    <w:p w14:paraId="3F47F90A" w14:textId="0D8A07FB" w:rsidR="006F11BE" w:rsidRPr="00383A89" w:rsidRDefault="006F11BE" w:rsidP="006F11BE">
      <w:pPr>
        <w:pStyle w:val="Napis"/>
        <w:rPr>
          <w:i w:val="0"/>
          <w:color w:val="auto"/>
          <w:sz w:val="22"/>
          <w:szCs w:val="22"/>
          <w:lang w:val="en-GB"/>
        </w:rPr>
      </w:pPr>
      <w:bookmarkStart w:id="3" w:name="_Ref511724799"/>
      <w:r w:rsidRPr="00383A89">
        <w:rPr>
          <w:i w:val="0"/>
          <w:color w:val="auto"/>
          <w:sz w:val="22"/>
          <w:szCs w:val="22"/>
          <w:lang w:val="en-GB"/>
        </w:rPr>
        <w:t xml:space="preserve">Figure </w:t>
      </w:r>
      <w:r w:rsidRPr="00383A89">
        <w:rPr>
          <w:i w:val="0"/>
          <w:color w:val="auto"/>
          <w:sz w:val="22"/>
          <w:szCs w:val="22"/>
          <w:lang w:val="en-GB"/>
        </w:rPr>
        <w:fldChar w:fldCharType="begin"/>
      </w:r>
      <w:r w:rsidRPr="00383A89">
        <w:rPr>
          <w:i w:val="0"/>
          <w:color w:val="auto"/>
          <w:sz w:val="22"/>
          <w:szCs w:val="22"/>
          <w:lang w:val="en-GB"/>
        </w:rPr>
        <w:instrText xml:space="preserve"> SEQ Figure \* ARABIC </w:instrText>
      </w:r>
      <w:r w:rsidRPr="00383A89">
        <w:rPr>
          <w:i w:val="0"/>
          <w:color w:val="auto"/>
          <w:sz w:val="22"/>
          <w:szCs w:val="22"/>
          <w:lang w:val="en-GB"/>
        </w:rPr>
        <w:fldChar w:fldCharType="separate"/>
      </w:r>
      <w:r w:rsidR="006869C6">
        <w:rPr>
          <w:i w:val="0"/>
          <w:noProof/>
          <w:color w:val="auto"/>
          <w:sz w:val="22"/>
          <w:szCs w:val="22"/>
          <w:lang w:val="en-GB"/>
        </w:rPr>
        <w:t>2</w:t>
      </w:r>
      <w:r w:rsidRPr="00383A89">
        <w:rPr>
          <w:i w:val="0"/>
          <w:color w:val="auto"/>
          <w:sz w:val="22"/>
          <w:szCs w:val="22"/>
          <w:lang w:val="en-GB"/>
        </w:rPr>
        <w:fldChar w:fldCharType="end"/>
      </w:r>
      <w:bookmarkEnd w:id="3"/>
      <w:r w:rsidRPr="00383A89">
        <w:rPr>
          <w:i w:val="0"/>
          <w:color w:val="auto"/>
          <w:sz w:val="22"/>
          <w:szCs w:val="22"/>
          <w:lang w:val="en-GB"/>
        </w:rPr>
        <w:t>: Computational models are complemented with experimental, literature and clinical data, which allows their transition towards clinical applications.</w:t>
      </w:r>
    </w:p>
    <w:p w14:paraId="4F7136A6" w14:textId="4C864F76" w:rsidR="00741BB3" w:rsidRPr="00383A89" w:rsidRDefault="00741BB3" w:rsidP="00FA56CE">
      <w:pPr>
        <w:jc w:val="both"/>
        <w:rPr>
          <w:lang w:val="en-GB"/>
        </w:rPr>
      </w:pPr>
      <w:r w:rsidRPr="00383A89">
        <w:rPr>
          <w:lang w:val="en-GB"/>
        </w:rPr>
        <w:t xml:space="preserve"> </w:t>
      </w:r>
    </w:p>
    <w:tbl>
      <w:tblPr>
        <w:tblStyle w:val="Tabelamrea"/>
        <w:tblW w:w="9625" w:type="dxa"/>
        <w:tblInd w:w="-11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83"/>
        <w:gridCol w:w="683"/>
        <w:gridCol w:w="6288"/>
        <w:gridCol w:w="1071"/>
      </w:tblGrid>
      <w:tr w:rsidR="00BB6A57" w:rsidRPr="00383A89" w14:paraId="04ADB694" w14:textId="77777777" w:rsidTr="00345D2C">
        <w:tc>
          <w:tcPr>
            <w:tcW w:w="0" w:type="auto"/>
            <w:tcBorders>
              <w:top w:val="nil"/>
              <w:bottom w:val="single" w:sz="4" w:space="0" w:color="auto"/>
              <w:right w:val="single" w:sz="4" w:space="0" w:color="auto"/>
            </w:tcBorders>
          </w:tcPr>
          <w:p w14:paraId="52611AC2" w14:textId="77777777" w:rsidR="00BB6A57" w:rsidRPr="00383A89" w:rsidRDefault="00BB6A57" w:rsidP="00345D2C">
            <w:pPr>
              <w:jc w:val="center"/>
              <w:rPr>
                <w:b/>
                <w:sz w:val="20"/>
                <w:szCs w:val="20"/>
                <w:lang w:val="en-GB"/>
              </w:rPr>
            </w:pPr>
          </w:p>
        </w:tc>
        <w:tc>
          <w:tcPr>
            <w:tcW w:w="0" w:type="auto"/>
            <w:tcBorders>
              <w:left w:val="single" w:sz="4" w:space="0" w:color="auto"/>
            </w:tcBorders>
          </w:tcPr>
          <w:p w14:paraId="724C6881" w14:textId="77777777" w:rsidR="00BB6A57" w:rsidRPr="00383A89" w:rsidRDefault="00BB6A57" w:rsidP="00345D2C">
            <w:pPr>
              <w:jc w:val="center"/>
              <w:rPr>
                <w:b/>
                <w:sz w:val="20"/>
                <w:szCs w:val="20"/>
                <w:lang w:val="en-GB"/>
              </w:rPr>
            </w:pPr>
            <w:r w:rsidRPr="00383A89">
              <w:rPr>
                <w:b/>
                <w:sz w:val="20"/>
                <w:szCs w:val="20"/>
                <w:lang w:val="en-GB"/>
              </w:rPr>
              <w:t>Type</w:t>
            </w:r>
          </w:p>
        </w:tc>
        <w:tc>
          <w:tcPr>
            <w:tcW w:w="0" w:type="auto"/>
          </w:tcPr>
          <w:p w14:paraId="78520982" w14:textId="02656ECA" w:rsidR="00BB6A57" w:rsidRPr="00383A89" w:rsidRDefault="00345D2C" w:rsidP="00345D2C">
            <w:pPr>
              <w:jc w:val="center"/>
              <w:rPr>
                <w:b/>
                <w:sz w:val="20"/>
                <w:szCs w:val="20"/>
                <w:lang w:val="en-GB"/>
              </w:rPr>
            </w:pPr>
            <w:r w:rsidRPr="00383A89">
              <w:rPr>
                <w:b/>
                <w:sz w:val="20"/>
                <w:szCs w:val="20"/>
                <w:lang w:val="en-GB"/>
              </w:rPr>
              <w:t>Description and applications</w:t>
            </w:r>
          </w:p>
        </w:tc>
        <w:tc>
          <w:tcPr>
            <w:tcW w:w="0" w:type="auto"/>
          </w:tcPr>
          <w:p w14:paraId="7E43A8C0" w14:textId="77777777" w:rsidR="00BB6A57" w:rsidRPr="00383A89" w:rsidRDefault="00BB6A57" w:rsidP="00345D2C">
            <w:pPr>
              <w:jc w:val="center"/>
              <w:rPr>
                <w:b/>
                <w:sz w:val="20"/>
                <w:szCs w:val="20"/>
                <w:lang w:val="en-GB"/>
              </w:rPr>
            </w:pPr>
            <w:r w:rsidRPr="00383A89">
              <w:rPr>
                <w:b/>
                <w:sz w:val="20"/>
                <w:szCs w:val="20"/>
                <w:lang w:val="en-GB"/>
              </w:rPr>
              <w:t>Reference</w:t>
            </w:r>
          </w:p>
        </w:tc>
      </w:tr>
      <w:tr w:rsidR="00BB6A57" w:rsidRPr="00383A89" w14:paraId="0F5A1C75" w14:textId="77777777" w:rsidTr="00345D2C">
        <w:tc>
          <w:tcPr>
            <w:tcW w:w="0" w:type="auto"/>
            <w:tcBorders>
              <w:top w:val="single" w:sz="4" w:space="0" w:color="auto"/>
              <w:bottom w:val="single" w:sz="4" w:space="0" w:color="auto"/>
              <w:right w:val="single" w:sz="4" w:space="0" w:color="auto"/>
            </w:tcBorders>
          </w:tcPr>
          <w:p w14:paraId="174203BD" w14:textId="101ABC52" w:rsidR="00BB6A57" w:rsidRPr="00383A89" w:rsidRDefault="00BB6A57" w:rsidP="00345D2C">
            <w:pPr>
              <w:jc w:val="center"/>
              <w:rPr>
                <w:sz w:val="20"/>
                <w:szCs w:val="20"/>
                <w:lang w:val="en-GB"/>
              </w:rPr>
            </w:pPr>
            <w:r w:rsidRPr="00383A89">
              <w:rPr>
                <w:bCs/>
                <w:i/>
                <w:iCs/>
                <w:sz w:val="20"/>
                <w:szCs w:val="20"/>
                <w:lang w:val="en-GB"/>
              </w:rPr>
              <w:t>HepatoNet</w:t>
            </w:r>
            <w:r w:rsidR="009765F4" w:rsidRPr="00383A89">
              <w:rPr>
                <w:bCs/>
                <w:i/>
                <w:iCs/>
                <w:sz w:val="20"/>
                <w:szCs w:val="20"/>
                <w:lang w:val="en-GB"/>
              </w:rPr>
              <w:t>1</w:t>
            </w:r>
          </w:p>
        </w:tc>
        <w:tc>
          <w:tcPr>
            <w:tcW w:w="0" w:type="auto"/>
            <w:tcBorders>
              <w:left w:val="single" w:sz="4" w:space="0" w:color="auto"/>
            </w:tcBorders>
          </w:tcPr>
          <w:p w14:paraId="5A96376F" w14:textId="77777777" w:rsidR="00BB6A57" w:rsidRPr="00383A89" w:rsidRDefault="00BB6A57" w:rsidP="00345D2C">
            <w:pPr>
              <w:jc w:val="center"/>
              <w:rPr>
                <w:sz w:val="20"/>
                <w:szCs w:val="20"/>
                <w:lang w:val="en-GB"/>
              </w:rPr>
            </w:pPr>
            <w:r w:rsidRPr="00383A89">
              <w:rPr>
                <w:sz w:val="20"/>
                <w:szCs w:val="20"/>
                <w:lang w:val="en-GB"/>
              </w:rPr>
              <w:t>GEM</w:t>
            </w:r>
          </w:p>
        </w:tc>
        <w:tc>
          <w:tcPr>
            <w:tcW w:w="0" w:type="auto"/>
          </w:tcPr>
          <w:p w14:paraId="4FD98BFE" w14:textId="09FF1EA6" w:rsidR="00BB6A57" w:rsidRPr="00383A89" w:rsidRDefault="00BB6A57" w:rsidP="00345D2C">
            <w:pPr>
              <w:jc w:val="center"/>
              <w:rPr>
                <w:sz w:val="20"/>
                <w:szCs w:val="20"/>
                <w:lang w:val="en-GB"/>
              </w:rPr>
            </w:pPr>
            <w:r w:rsidRPr="00383A89">
              <w:rPr>
                <w:sz w:val="20"/>
                <w:szCs w:val="20"/>
                <w:lang w:val="en-GB"/>
              </w:rPr>
              <w:t>first hepat</w:t>
            </w:r>
            <w:r w:rsidR="00345D2C" w:rsidRPr="00383A89">
              <w:rPr>
                <w:sz w:val="20"/>
                <w:szCs w:val="20"/>
                <w:lang w:val="en-GB"/>
              </w:rPr>
              <w:t>ic</w:t>
            </w:r>
            <w:r w:rsidRPr="00383A89">
              <w:rPr>
                <w:sz w:val="20"/>
                <w:szCs w:val="20"/>
                <w:lang w:val="en-GB"/>
              </w:rPr>
              <w:t xml:space="preserve"> GEM</w:t>
            </w:r>
            <w:r w:rsidR="00345D2C" w:rsidRPr="00383A89">
              <w:rPr>
                <w:sz w:val="20"/>
                <w:szCs w:val="20"/>
                <w:lang w:val="en-GB"/>
              </w:rPr>
              <w:t xml:space="preserve">; </w:t>
            </w:r>
            <w:r w:rsidRPr="00383A89">
              <w:rPr>
                <w:sz w:val="20"/>
                <w:szCs w:val="20"/>
                <w:lang w:val="en-GB"/>
              </w:rPr>
              <w:t>explain</w:t>
            </w:r>
            <w:r w:rsidR="00345D2C" w:rsidRPr="00383A89">
              <w:rPr>
                <w:sz w:val="20"/>
                <w:szCs w:val="20"/>
                <w:lang w:val="en-GB"/>
              </w:rPr>
              <w:t>ed</w:t>
            </w:r>
            <w:r w:rsidRPr="00383A89">
              <w:rPr>
                <w:sz w:val="20"/>
                <w:szCs w:val="20"/>
                <w:lang w:val="en-GB"/>
              </w:rPr>
              <w:t xml:space="preserve"> the relations between the available oxygen levels and the nutrients availability in the hepatic detoxification of ammonia</w:t>
            </w:r>
          </w:p>
        </w:tc>
        <w:tc>
          <w:tcPr>
            <w:tcW w:w="0" w:type="auto"/>
          </w:tcPr>
          <w:p w14:paraId="67DC73FA" w14:textId="4EC3C13C" w:rsidR="00BB6A57" w:rsidRPr="00383A89" w:rsidRDefault="009765F4" w:rsidP="00E8653E">
            <w:pPr>
              <w:jc w:val="center"/>
              <w:rPr>
                <w:sz w:val="20"/>
                <w:szCs w:val="20"/>
                <w:lang w:val="en-GB"/>
              </w:rPr>
            </w:pPr>
            <w:r w:rsidRPr="00383A89">
              <w:rPr>
                <w:sz w:val="20"/>
                <w:szCs w:val="20"/>
                <w:lang w:val="en-GB"/>
              </w:rPr>
              <w:fldChar w:fldCharType="begin" w:fldLock="1"/>
            </w:r>
            <w:r w:rsidR="008830B1">
              <w:rPr>
                <w:sz w:val="20"/>
                <w:szCs w:val="20"/>
                <w:lang w:val="en-GB"/>
              </w:rPr>
              <w:instrText>ADDIN CSL_CITATION { "citationItems" : [ { "id" : "ITEM-1", "itemData" : { "DOI" : "10.1038/msb.2010.62", "ISBN" : "doi:10.1038/msb.2010.62", "ISSN" : "17444292", "PMID" : "20823849", "abstract" : "We present HepatoNet1, the first reconstruction of a comprehensive metabolic network of the human hepatocyte that is shown to accomplish a large canon of known metabolic liver functions. The network comprises 777 metabolites in six intracellular and two extracellular compartments and 2539 reactions, including 1466 transport reactions. It is based on the manual evaluation of &gt;1500 original scientific research publications to warrant a high-quality evidence-based model. The final network is the result of an iterative process of data compilation and rigorous computational testing of network functionality by means of constraint-based modeling techniques. Taking the hepatic detoxification of ammonia as an example, we show how the availability of nutrients and oxygen may modulate the interplay of various metabolic pathways to allow an efficient response of the liver to perturbations of the homeostasis of blood compounds.", "author" : [ { "dropping-particle" : "", "family" : "Gille", "given" : "Christoph", "non-dropping-particle" : "", "parse-names" : false, "suffix" : "" }, { "dropping-particle" : "", "family" : "B\u00f6lling", "given" : "Christian", "non-dropping-particle" : "", "parse-names" : false, "suffix" : "" }, { "dropping-particle" : "", "family" : "Hoppe", "given" : "Andreas", "non-dropping-particle" : "", "parse-names" : false, "suffix" : "" }, { "dropping-particle" : "", "family" : "Bulik", "given" : "Sascha", "non-dropping-particle" : "", "parse-names" : false, "suffix" : "" }, { "dropping-particle" : "", "family" : "Hoffmann", "given" : "Sabrina", "non-dropping-particle" : "", "parse-names" : false, "suffix" : "" }, { "dropping-particle" : "", "family" : "H\u00fcbner", "given" : "Katrin", "non-dropping-particle" : "", "parse-names" : false, "suffix" : "" }, { "dropping-particle" : "", "family" : "Karlst\u00e4dt", "given" : "Anja", "non-dropping-particle" : "", "parse-names" : false, "suffix" : "" }, { "dropping-particle" : "", "family" : "Ganeshan", "given" : "Ramanan", "non-dropping-particle" : "", "parse-names" : false, "suffix" : "" }, { "dropping-particle" : "", "family" : "K\u00f6nig", "given" : "Matthias", "non-dropping-particle" : "", "parse-names" : false, "suffix" : "" }, { "dropping-particle" : "", "family" : "Rother", "given" : "Kristian", "non-dropping-particle" : "", "parse-names" : false, "suffix" : "" }, { "dropping-particle" : "", "family" : "Weidlich", "given" : "Michael", "non-dropping-particle" : "", "parse-names" : false, "suffix" : "" }, { "dropping-particle" : "", "family" : "Behre", "given" : "J\u00f6rn", "non-dropping-particle" : "", "parse-names" : false, "suffix" : "" }, { "dropping-particle" : "", "family" : "Holzh\u00fctter", "given" : "Herrmann Georg", "non-dropping-particle" : "", "parse-names" : false, "suffix" : "" } ], "container-title" : "Molecular Systems Biology", "id" : "ITEM-1", "issued" : { "date-parts" : [ [ "2010" ] ] }, "page" : "411", "title" : "HepatoNet1: A comprehensive metabolic reconstruction of the human hepatocyte for the analysis of liver physiology", "type" : "article-journal", "volume" : "6" }, "uris" : [ "http://www.mendeley.com/documents/?uuid=30196728-d83d-42a5-856a-87662f79edea" ] } ], "mendeley" : { "formattedCitation" : "&lt;sup&gt;&lt;sup&gt;74&lt;/sup&gt;&lt;/sup&gt;", "plainTextFormattedCitation" : "74", "previouslyFormattedCitation" : "&lt;sup&gt;&lt;sup&gt;74&lt;/sup&gt;&lt;/sup&gt;" }, "properties" : { "noteIndex" : 0 }, "schema" : "https://github.com/citation-style-language/schema/raw/master/csl-citation.json" }</w:instrText>
            </w:r>
            <w:r w:rsidRPr="00383A89">
              <w:rPr>
                <w:sz w:val="20"/>
                <w:szCs w:val="20"/>
                <w:lang w:val="en-GB"/>
              </w:rPr>
              <w:fldChar w:fldCharType="separate"/>
            </w:r>
            <w:r w:rsidR="00E8653E" w:rsidRPr="00E8653E">
              <w:rPr>
                <w:noProof/>
                <w:sz w:val="20"/>
                <w:szCs w:val="20"/>
                <w:vertAlign w:val="superscript"/>
                <w:lang w:val="en-GB"/>
              </w:rPr>
              <w:t>74</w:t>
            </w:r>
            <w:r w:rsidRPr="00383A89">
              <w:rPr>
                <w:sz w:val="20"/>
                <w:szCs w:val="20"/>
                <w:lang w:val="en-GB"/>
              </w:rPr>
              <w:fldChar w:fldCharType="end"/>
            </w:r>
          </w:p>
        </w:tc>
      </w:tr>
      <w:tr w:rsidR="00BB6A57" w:rsidRPr="00383A89" w14:paraId="130C805A" w14:textId="77777777" w:rsidTr="00345D2C">
        <w:tc>
          <w:tcPr>
            <w:tcW w:w="0" w:type="auto"/>
            <w:tcBorders>
              <w:top w:val="single" w:sz="4" w:space="0" w:color="auto"/>
              <w:bottom w:val="single" w:sz="4" w:space="0" w:color="auto"/>
              <w:right w:val="single" w:sz="4" w:space="0" w:color="auto"/>
            </w:tcBorders>
          </w:tcPr>
          <w:p w14:paraId="0F0277CB" w14:textId="77777777" w:rsidR="00BB6A57" w:rsidRPr="00383A89" w:rsidRDefault="00BB6A57" w:rsidP="00345D2C">
            <w:pPr>
              <w:jc w:val="center"/>
              <w:rPr>
                <w:i/>
                <w:sz w:val="20"/>
                <w:szCs w:val="20"/>
                <w:lang w:val="en-GB"/>
              </w:rPr>
            </w:pPr>
            <w:r w:rsidRPr="00383A89">
              <w:rPr>
                <w:bCs/>
                <w:i/>
                <w:iCs/>
                <w:sz w:val="20"/>
                <w:szCs w:val="20"/>
                <w:lang w:val="en-GB"/>
              </w:rPr>
              <w:t>iHepatocyte2322</w:t>
            </w:r>
          </w:p>
        </w:tc>
        <w:tc>
          <w:tcPr>
            <w:tcW w:w="0" w:type="auto"/>
            <w:tcBorders>
              <w:left w:val="single" w:sz="4" w:space="0" w:color="auto"/>
            </w:tcBorders>
          </w:tcPr>
          <w:p w14:paraId="6CBA5E91" w14:textId="77777777" w:rsidR="00BB6A57" w:rsidRPr="00383A89" w:rsidRDefault="00BB6A57" w:rsidP="00345D2C">
            <w:pPr>
              <w:jc w:val="center"/>
              <w:rPr>
                <w:sz w:val="20"/>
                <w:szCs w:val="20"/>
                <w:lang w:val="en-GB"/>
              </w:rPr>
            </w:pPr>
            <w:r w:rsidRPr="00383A89">
              <w:rPr>
                <w:sz w:val="20"/>
                <w:szCs w:val="20"/>
                <w:lang w:val="en-GB"/>
              </w:rPr>
              <w:t>GEM</w:t>
            </w:r>
          </w:p>
        </w:tc>
        <w:tc>
          <w:tcPr>
            <w:tcW w:w="0" w:type="auto"/>
          </w:tcPr>
          <w:p w14:paraId="5492B279" w14:textId="7119875E" w:rsidR="00BB6A57" w:rsidRPr="00383A89" w:rsidRDefault="00345D2C" w:rsidP="00345D2C">
            <w:pPr>
              <w:jc w:val="center"/>
              <w:rPr>
                <w:sz w:val="20"/>
                <w:szCs w:val="20"/>
                <w:lang w:val="en-GB"/>
              </w:rPr>
            </w:pPr>
            <w:r w:rsidRPr="00383A89">
              <w:rPr>
                <w:sz w:val="20"/>
                <w:szCs w:val="20"/>
                <w:lang w:val="en-GB"/>
              </w:rPr>
              <w:t>composed of the hepatocyte</w:t>
            </w:r>
            <w:r w:rsidR="00BB6A57" w:rsidRPr="00383A89">
              <w:rPr>
                <w:sz w:val="20"/>
                <w:szCs w:val="20"/>
                <w:lang w:val="en-GB"/>
              </w:rPr>
              <w:t>, the up</w:t>
            </w:r>
            <w:r w:rsidRPr="00383A89">
              <w:rPr>
                <w:sz w:val="20"/>
                <w:szCs w:val="20"/>
                <w:lang w:val="en-GB"/>
              </w:rPr>
              <w:t>take and secretion of VLDL, LDL</w:t>
            </w:r>
            <w:r w:rsidR="00BB6A57" w:rsidRPr="00383A89">
              <w:rPr>
                <w:sz w:val="20"/>
                <w:szCs w:val="20"/>
                <w:lang w:val="en-GB"/>
              </w:rPr>
              <w:t xml:space="preserve"> and HDL lipoproteins, and the formation and/or degradation of lipid droplets</w:t>
            </w:r>
            <w:r w:rsidRPr="00383A89">
              <w:rPr>
                <w:sz w:val="20"/>
                <w:szCs w:val="20"/>
                <w:lang w:val="en-GB"/>
              </w:rPr>
              <w:t xml:space="preserve">; </w:t>
            </w:r>
            <w:r w:rsidRPr="00383A89">
              <w:rPr>
                <w:sz w:val="20"/>
                <w:szCs w:val="20"/>
                <w:lang w:val="en-GB"/>
              </w:rPr>
              <w:lastRenderedPageBreak/>
              <w:t xml:space="preserve">used to simulate the </w:t>
            </w:r>
            <w:r w:rsidR="00BB6A57" w:rsidRPr="00383A89">
              <w:rPr>
                <w:sz w:val="20"/>
                <w:szCs w:val="20"/>
                <w:lang w:val="en-GB"/>
              </w:rPr>
              <w:t xml:space="preserve">progression </w:t>
            </w:r>
            <w:r w:rsidRPr="00383A89">
              <w:rPr>
                <w:sz w:val="20"/>
                <w:szCs w:val="20"/>
                <w:lang w:val="en-GB"/>
              </w:rPr>
              <w:t xml:space="preserve">of NAFLD </w:t>
            </w:r>
            <w:r w:rsidR="00BB6A57" w:rsidRPr="00383A89">
              <w:rPr>
                <w:sz w:val="20"/>
                <w:szCs w:val="20"/>
                <w:lang w:val="en-GB"/>
              </w:rPr>
              <w:t>to NASH</w:t>
            </w:r>
            <w:r w:rsidRPr="00383A89">
              <w:rPr>
                <w:sz w:val="20"/>
                <w:szCs w:val="20"/>
                <w:lang w:val="en-GB"/>
              </w:rPr>
              <w:t>; identified the</w:t>
            </w:r>
            <w:r w:rsidR="00BB6A57" w:rsidRPr="00383A89">
              <w:rPr>
                <w:sz w:val="20"/>
                <w:szCs w:val="20"/>
                <w:lang w:val="en-GB"/>
              </w:rPr>
              <w:t xml:space="preserve"> potential therapeutic targets for treatment of NASH</w:t>
            </w:r>
          </w:p>
        </w:tc>
        <w:tc>
          <w:tcPr>
            <w:tcW w:w="0" w:type="auto"/>
          </w:tcPr>
          <w:p w14:paraId="1AD5B1A3" w14:textId="3AA6CCFD" w:rsidR="00BB6A57" w:rsidRPr="00383A89" w:rsidRDefault="009765F4" w:rsidP="00E8653E">
            <w:pPr>
              <w:jc w:val="center"/>
              <w:rPr>
                <w:sz w:val="20"/>
                <w:szCs w:val="20"/>
                <w:lang w:val="en-GB"/>
              </w:rPr>
            </w:pPr>
            <w:r w:rsidRPr="00383A89">
              <w:rPr>
                <w:sz w:val="20"/>
                <w:szCs w:val="20"/>
                <w:lang w:val="en-GB"/>
              </w:rPr>
              <w:lastRenderedPageBreak/>
              <w:fldChar w:fldCharType="begin" w:fldLock="1"/>
            </w:r>
            <w:r w:rsidR="00E8653E">
              <w:rPr>
                <w:sz w:val="20"/>
                <w:szCs w:val="20"/>
                <w:lang w:val="en-GB"/>
              </w:rPr>
              <w:instrText>ADDIN CSL_CITATION { "citationItems" : [ { "id" : "ITEM-1", "itemData" : { "DOI" : "10.1038/ncomms4083", "ISBN" : "2041-1723 (Electronic) 2041-1723 (Linking)", "ISSN" : "2041-1723", "PMID" : "24419221", "abstract" : "Several liver disorders result from perturbations in the metabolism of hepatocytes, and their underlying mechanisms can be outlined through the use of genome-scale metabolic models (GEMs). Here we reconstruct a consensus GEM for hepatocytes, which we call iHepatocytes2322, that extends previous models by including an extensive description of lipid metabolism. We build iHepatocytes2322 using Human Metabolic Reaction 2.0 database and proteomics data in Human Protein Atlas, which experimentally validates the incorporated reactions. The reconstruction process enables improved annotation of the proteomics data using the network centric view of iHepatocytes2322. We then use iHepatocytes2322 to analyse transcriptomics data obtained from patients with non-alcoholic fatty liver disease. We show that blood concentrations of chondroitin and heparan sulphates are suitable for diagnosing non-alcoholic steatohepatitis and for the staging of non-alcoholic fatty liver disease. Furthermore, we observe serine deficiency in patients with NASH and identify PSPH, SHMT1 and BCAT1 as potential therapeutic targets for the treatment of non-alcoholic steatohepatitis.", "author" : [ { "dropping-particle" : "", "family" : "Mardinoglu", "given" : "A", "non-dropping-particle" : "", "parse-names" : false, "suffix" : "" }, { "dropping-particle" : "", "family" : "Agren", "given" : "R", "non-dropping-particle" : "", "parse-names" : false, "suffix" : "" }, { "dropping-particle" : "", "family" : "Kampf", "given" : "C", "non-dropping-particle" : "", "parse-names" : false, "suffix" : "" }, { "dropping-particle" : "", "family" : "Asplund", "given" : "A", "non-dropping-particle" : "", "parse-names" : false, "suffix" : "" }, { "dropping-particle" : "", "family" : "Uhlen", "given" : "M", "non-dropping-particle" : "", "parse-names" : false, "suffix" : "" }, { "dropping-particle" : "", "family" : "Nielsen", "given" : "J", "non-dropping-particle" : "", "parse-names" : false, "suffix" : "" } ], "container-title" : "Nature Communications", "id" : "ITEM-1", "issue" : "3083", "issued" : { "date-parts" : [ [ "2014" ] ] }, "page" : "1-11", "title" : "Genome-scale metabolic modelling of hepatocytes reveals serine deficiency in patients with non-alcoholic fatty liver disease.", "type" : "article-journal", "volume" : "5" }, "uris" : [ "http://www.mendeley.com/documents/?uuid=598f84bc-0dda-4b35-ad5b-4c2e954097b6" ] } ], "mendeley" : { "formattedCitation" : "&lt;sup&gt;&lt;sup&gt;48&lt;/sup&gt;&lt;/sup&gt;", "plainTextFormattedCitation" : "48", "previouslyFormattedCitation" : "&lt;sup&gt;&lt;sup&gt;48&lt;/sup&gt;&lt;/sup&gt;" }, "properties" : { "noteIndex" : 0 }, "schema" : "https://github.com/citation-style-language/schema/raw/master/csl-citation.json" }</w:instrText>
            </w:r>
            <w:r w:rsidRPr="00383A89">
              <w:rPr>
                <w:sz w:val="20"/>
                <w:szCs w:val="20"/>
                <w:lang w:val="en-GB"/>
              </w:rPr>
              <w:fldChar w:fldCharType="separate"/>
            </w:r>
            <w:r w:rsidR="00E8653E" w:rsidRPr="00E8653E">
              <w:rPr>
                <w:noProof/>
                <w:sz w:val="20"/>
                <w:szCs w:val="20"/>
                <w:vertAlign w:val="superscript"/>
                <w:lang w:val="en-GB"/>
              </w:rPr>
              <w:t>48</w:t>
            </w:r>
            <w:r w:rsidRPr="00383A89">
              <w:rPr>
                <w:sz w:val="20"/>
                <w:szCs w:val="20"/>
                <w:lang w:val="en-GB"/>
              </w:rPr>
              <w:fldChar w:fldCharType="end"/>
            </w:r>
          </w:p>
        </w:tc>
      </w:tr>
      <w:tr w:rsidR="0009736A" w:rsidRPr="00383A89" w14:paraId="16503AA4" w14:textId="77777777" w:rsidTr="00345D2C">
        <w:tc>
          <w:tcPr>
            <w:tcW w:w="0" w:type="auto"/>
            <w:tcBorders>
              <w:top w:val="single" w:sz="4" w:space="0" w:color="auto"/>
              <w:bottom w:val="single" w:sz="4" w:space="0" w:color="auto"/>
              <w:right w:val="single" w:sz="4" w:space="0" w:color="auto"/>
            </w:tcBorders>
          </w:tcPr>
          <w:p w14:paraId="1481A74A" w14:textId="43B539B6" w:rsidR="0009736A" w:rsidRPr="00383A89" w:rsidRDefault="0009736A" w:rsidP="00B428E7">
            <w:pPr>
              <w:jc w:val="center"/>
              <w:rPr>
                <w:bCs/>
                <w:i/>
                <w:iCs/>
                <w:sz w:val="20"/>
                <w:szCs w:val="20"/>
                <w:lang w:val="en-GB"/>
              </w:rPr>
            </w:pPr>
            <w:r w:rsidRPr="00383A89">
              <w:rPr>
                <w:i/>
                <w:sz w:val="20"/>
                <w:szCs w:val="20"/>
                <w:lang w:val="en-GB"/>
              </w:rPr>
              <w:lastRenderedPageBreak/>
              <w:t>HCC GEM</w:t>
            </w:r>
          </w:p>
        </w:tc>
        <w:tc>
          <w:tcPr>
            <w:tcW w:w="0" w:type="auto"/>
            <w:tcBorders>
              <w:left w:val="single" w:sz="4" w:space="0" w:color="auto"/>
            </w:tcBorders>
          </w:tcPr>
          <w:p w14:paraId="4CFB7103" w14:textId="60A9DA50" w:rsidR="0009736A" w:rsidRPr="00383A89" w:rsidRDefault="0009736A" w:rsidP="00B428E7">
            <w:pPr>
              <w:jc w:val="center"/>
              <w:rPr>
                <w:sz w:val="20"/>
                <w:szCs w:val="20"/>
                <w:lang w:val="en-GB"/>
              </w:rPr>
            </w:pPr>
            <w:r w:rsidRPr="00383A89">
              <w:rPr>
                <w:sz w:val="20"/>
                <w:szCs w:val="20"/>
                <w:lang w:val="en-GB"/>
              </w:rPr>
              <w:t>GEM</w:t>
            </w:r>
          </w:p>
        </w:tc>
        <w:tc>
          <w:tcPr>
            <w:tcW w:w="0" w:type="auto"/>
          </w:tcPr>
          <w:p w14:paraId="652B6398" w14:textId="3D090172" w:rsidR="0009736A" w:rsidRPr="00383A89" w:rsidRDefault="0009736A" w:rsidP="00DB51D7">
            <w:pPr>
              <w:rPr>
                <w:sz w:val="20"/>
                <w:szCs w:val="20"/>
                <w:lang w:val="en-GB"/>
              </w:rPr>
            </w:pPr>
            <w:r w:rsidRPr="00383A89">
              <w:rPr>
                <w:bCs/>
                <w:iCs/>
                <w:sz w:val="20"/>
                <w:szCs w:val="20"/>
                <w:lang w:val="en-GB"/>
              </w:rPr>
              <w:t>personalised</w:t>
            </w:r>
            <w:r w:rsidRPr="00383A89">
              <w:rPr>
                <w:bCs/>
                <w:i/>
                <w:iCs/>
                <w:sz w:val="20"/>
                <w:szCs w:val="20"/>
                <w:lang w:val="en-GB"/>
              </w:rPr>
              <w:t xml:space="preserve"> iHepatocyte2322 </w:t>
            </w:r>
            <w:r w:rsidRPr="00383A89">
              <w:rPr>
                <w:bCs/>
                <w:iCs/>
                <w:sz w:val="20"/>
                <w:szCs w:val="20"/>
                <w:lang w:val="en-GB"/>
              </w:rPr>
              <w:t>model to HCC patients</w:t>
            </w:r>
            <w:r w:rsidRPr="00383A89">
              <w:rPr>
                <w:sz w:val="20"/>
                <w:szCs w:val="20"/>
                <w:lang w:val="en-GB"/>
              </w:rPr>
              <w:t xml:space="preserve">; </w:t>
            </w:r>
            <w:r w:rsidR="007D348D" w:rsidRPr="00383A89">
              <w:rPr>
                <w:sz w:val="20"/>
                <w:szCs w:val="20"/>
                <w:lang w:val="en-GB"/>
              </w:rPr>
              <w:t>identified 101 antimetabolites with tumour suppression effect in the HCC; identified ι-carnitine as suppressor of HCC progression by inhibiting β-oxidation</w:t>
            </w:r>
          </w:p>
        </w:tc>
        <w:tc>
          <w:tcPr>
            <w:tcW w:w="0" w:type="auto"/>
          </w:tcPr>
          <w:p w14:paraId="4C98A073" w14:textId="16F0A0C4" w:rsidR="0009736A" w:rsidRPr="00383A89" w:rsidRDefault="0009736A" w:rsidP="00E8653E">
            <w:pPr>
              <w:jc w:val="center"/>
              <w:rPr>
                <w:sz w:val="20"/>
                <w:szCs w:val="20"/>
                <w:lang w:val="en-GB"/>
              </w:rPr>
            </w:pPr>
            <w:r w:rsidRPr="00383A89">
              <w:rPr>
                <w:sz w:val="20"/>
                <w:szCs w:val="20"/>
                <w:lang w:val="en-GB"/>
              </w:rPr>
              <w:fldChar w:fldCharType="begin" w:fldLock="1"/>
            </w:r>
            <w:r w:rsidR="00E8653E">
              <w:rPr>
                <w:sz w:val="20"/>
                <w:szCs w:val="20"/>
                <w:lang w:val="en-GB"/>
              </w:rPr>
              <w:instrText>ADDIN CSL_CITATION { "citationItems" : [ { "id" : "ITEM-1", "itemData" : { "ISBN" : "1744-4292", "author" : [ { "dropping-particle" : "", "family" : "Agren", "given" : "Rasmus", "non-dropping-particle" : "", "parse-names" : false, "suffix" : "" }, { "dropping-particle" : "", "family" : "Mardinoglu", "given" : "Adil", "non-dropping-particle" : "", "parse-names" : false, "suffix" : "" }, { "dropping-particle" : "", "family" : "Asplund", "given" : "Anna", "non-dropping-particle" : "", "parse-names" : false, "suffix" : "" }, { "dropping-particle" : "", "family" : "Kampf", "given" : "Caroline", "non-dropping-particle" : "", "parse-names" : false, "suffix" : "" }, { "dropping-particle" : "", "family" : "Uhlen", "given" : "Mathias", "non-dropping-particle" : "", "parse-names" : false, "suffix" : "" }, { "dropping-particle" : "", "family" : "Nielsen", "given" : "Jens", "non-dropping-particle" : "", "parse-names" : false, "suffix" : "" } ], "container-title" : "Molecular systems biology", "id" : "ITEM-1", "issue" : "3", "issued" : { "date-parts" : [ [ "2014" ] ] }, "page" : "721", "title" : "Identification of anticancer drugs for hepatocellular carcinoma through personalized genome-scale metabolic modeling", "type" : "article-journal", "volume" : "10" }, "uris" : [ "http://www.mendeley.com/documents/?uuid=7ee39ed8-9284-4b1e-94c9-db892de831a9" ] } ], "mendeley" : { "formattedCitation" : "&lt;sup&gt;&lt;sup&gt;50&lt;/sup&gt;&lt;/sup&gt;", "plainTextFormattedCitation" : "50", "previouslyFormattedCitation" : "&lt;sup&gt;&lt;sup&gt;50&lt;/sup&gt;&lt;/sup&gt;" }, "properties" : { "noteIndex" : 0 }, "schema" : "https://github.com/citation-style-language/schema/raw/master/csl-citation.json" }</w:instrText>
            </w:r>
            <w:r w:rsidRPr="00383A89">
              <w:rPr>
                <w:sz w:val="20"/>
                <w:szCs w:val="20"/>
                <w:lang w:val="en-GB"/>
              </w:rPr>
              <w:fldChar w:fldCharType="separate"/>
            </w:r>
            <w:r w:rsidR="00E8653E" w:rsidRPr="00E8653E">
              <w:rPr>
                <w:noProof/>
                <w:sz w:val="20"/>
                <w:szCs w:val="20"/>
                <w:vertAlign w:val="superscript"/>
                <w:lang w:val="en-GB"/>
              </w:rPr>
              <w:t>50</w:t>
            </w:r>
            <w:r w:rsidRPr="00383A89">
              <w:rPr>
                <w:sz w:val="20"/>
                <w:szCs w:val="20"/>
                <w:lang w:val="en-GB"/>
              </w:rPr>
              <w:fldChar w:fldCharType="end"/>
            </w:r>
          </w:p>
        </w:tc>
      </w:tr>
      <w:tr w:rsidR="0009736A" w:rsidRPr="00383A89" w14:paraId="614D74FD" w14:textId="77777777" w:rsidTr="00345D2C">
        <w:tc>
          <w:tcPr>
            <w:tcW w:w="0" w:type="auto"/>
            <w:tcBorders>
              <w:top w:val="single" w:sz="4" w:space="0" w:color="auto"/>
              <w:bottom w:val="single" w:sz="4" w:space="0" w:color="auto"/>
              <w:right w:val="single" w:sz="4" w:space="0" w:color="auto"/>
            </w:tcBorders>
          </w:tcPr>
          <w:p w14:paraId="61A4B0C5" w14:textId="5DB4D0FC" w:rsidR="0009736A" w:rsidRPr="00383A89" w:rsidRDefault="0009736A" w:rsidP="0009736A">
            <w:pPr>
              <w:jc w:val="center"/>
              <w:rPr>
                <w:sz w:val="20"/>
                <w:szCs w:val="20"/>
                <w:lang w:val="en-GB"/>
              </w:rPr>
            </w:pPr>
            <w:r w:rsidRPr="00383A89">
              <w:rPr>
                <w:i/>
                <w:sz w:val="20"/>
                <w:szCs w:val="20"/>
                <w:lang w:val="en-GB"/>
              </w:rPr>
              <w:t>iHCC2578</w:t>
            </w:r>
          </w:p>
        </w:tc>
        <w:tc>
          <w:tcPr>
            <w:tcW w:w="0" w:type="auto"/>
            <w:tcBorders>
              <w:left w:val="single" w:sz="4" w:space="0" w:color="auto"/>
            </w:tcBorders>
          </w:tcPr>
          <w:p w14:paraId="061E58A0" w14:textId="7FCC4BA0" w:rsidR="0009736A" w:rsidRPr="00383A89" w:rsidRDefault="0009736A" w:rsidP="00B428E7">
            <w:pPr>
              <w:jc w:val="center"/>
              <w:rPr>
                <w:sz w:val="20"/>
                <w:szCs w:val="20"/>
                <w:lang w:val="en-GB"/>
              </w:rPr>
            </w:pPr>
            <w:r w:rsidRPr="00383A89">
              <w:rPr>
                <w:sz w:val="20"/>
                <w:szCs w:val="20"/>
                <w:lang w:val="en-GB"/>
              </w:rPr>
              <w:t>GEM</w:t>
            </w:r>
          </w:p>
        </w:tc>
        <w:tc>
          <w:tcPr>
            <w:tcW w:w="0" w:type="auto"/>
          </w:tcPr>
          <w:p w14:paraId="46AD8E15" w14:textId="63A72CD4" w:rsidR="007D348D" w:rsidRPr="00383A89" w:rsidRDefault="00DB51D7" w:rsidP="001739F1">
            <w:pPr>
              <w:rPr>
                <w:sz w:val="20"/>
                <w:szCs w:val="20"/>
                <w:lang w:val="en-GB"/>
              </w:rPr>
            </w:pPr>
            <w:r w:rsidRPr="00383A89">
              <w:rPr>
                <w:bCs/>
                <w:iCs/>
                <w:sz w:val="20"/>
                <w:szCs w:val="20"/>
                <w:lang w:val="en-GB"/>
              </w:rPr>
              <w:t xml:space="preserve">reconstructed from the proteome and transcriptome </w:t>
            </w:r>
            <w:r w:rsidR="00723E48" w:rsidRPr="00383A89">
              <w:rPr>
                <w:bCs/>
                <w:iCs/>
                <w:sz w:val="20"/>
                <w:szCs w:val="20"/>
                <w:lang w:val="en-GB"/>
              </w:rPr>
              <w:t>of 361</w:t>
            </w:r>
            <w:r w:rsidRPr="00383A89">
              <w:rPr>
                <w:bCs/>
                <w:iCs/>
                <w:sz w:val="20"/>
                <w:szCs w:val="20"/>
                <w:lang w:val="en-GB"/>
              </w:rPr>
              <w:t xml:space="preserve"> HCC</w:t>
            </w:r>
            <w:r w:rsidR="00723E48" w:rsidRPr="00383A89">
              <w:rPr>
                <w:bCs/>
                <w:iCs/>
                <w:sz w:val="20"/>
                <w:szCs w:val="20"/>
                <w:lang w:val="en-GB"/>
              </w:rPr>
              <w:t xml:space="preserve"> tumors</w:t>
            </w:r>
            <w:r w:rsidR="001739F1" w:rsidRPr="00383A89">
              <w:rPr>
                <w:bCs/>
                <w:iCs/>
                <w:sz w:val="20"/>
                <w:szCs w:val="20"/>
                <w:lang w:val="en-GB"/>
              </w:rPr>
              <w:t xml:space="preserve"> and 49 noncancerous liver samples</w:t>
            </w:r>
            <w:r w:rsidR="0009736A" w:rsidRPr="00383A89">
              <w:rPr>
                <w:bCs/>
                <w:iCs/>
                <w:sz w:val="20"/>
                <w:szCs w:val="20"/>
                <w:lang w:val="en-GB"/>
              </w:rPr>
              <w:t>;</w:t>
            </w:r>
            <w:r w:rsidR="00723E48" w:rsidRPr="00383A89">
              <w:rPr>
                <w:bCs/>
                <w:iCs/>
                <w:sz w:val="20"/>
                <w:szCs w:val="20"/>
                <w:lang w:val="en-GB"/>
              </w:rPr>
              <w:t xml:space="preserve"> </w:t>
            </w:r>
            <w:r w:rsidR="00650704" w:rsidRPr="00383A89">
              <w:rPr>
                <w:sz w:val="20"/>
                <w:szCs w:val="20"/>
                <w:lang w:val="en-GB"/>
              </w:rPr>
              <w:t xml:space="preserve">used </w:t>
            </w:r>
            <w:r w:rsidR="007D348D" w:rsidRPr="00383A89">
              <w:rPr>
                <w:sz w:val="20"/>
                <w:szCs w:val="20"/>
                <w:lang w:val="en-GB"/>
              </w:rPr>
              <w:t xml:space="preserve">to study acetate utilization </w:t>
            </w:r>
            <w:r w:rsidR="00650704" w:rsidRPr="00383A89">
              <w:rPr>
                <w:sz w:val="20"/>
                <w:szCs w:val="20"/>
                <w:lang w:val="en-GB"/>
              </w:rPr>
              <w:t xml:space="preserve">and </w:t>
            </w:r>
            <w:r w:rsidR="007D348D" w:rsidRPr="00383A89">
              <w:rPr>
                <w:sz w:val="20"/>
                <w:szCs w:val="20"/>
                <w:lang w:val="en-GB"/>
              </w:rPr>
              <w:t>HCC</w:t>
            </w:r>
            <w:r w:rsidR="00650704" w:rsidRPr="00383A89">
              <w:rPr>
                <w:sz w:val="20"/>
                <w:szCs w:val="20"/>
                <w:lang w:val="en-GB"/>
              </w:rPr>
              <w:t xml:space="preserve">; </w:t>
            </w:r>
            <w:r w:rsidR="007D348D" w:rsidRPr="00383A89">
              <w:rPr>
                <w:sz w:val="20"/>
                <w:szCs w:val="20"/>
                <w:lang w:val="en-GB"/>
              </w:rPr>
              <w:t>identif</w:t>
            </w:r>
            <w:r w:rsidR="00650704" w:rsidRPr="00383A89">
              <w:rPr>
                <w:sz w:val="20"/>
                <w:szCs w:val="20"/>
                <w:lang w:val="en-GB"/>
              </w:rPr>
              <w:t>ied</w:t>
            </w:r>
            <w:r w:rsidR="007D348D" w:rsidRPr="00383A89">
              <w:rPr>
                <w:sz w:val="20"/>
                <w:szCs w:val="20"/>
                <w:lang w:val="en-GB"/>
              </w:rPr>
              <w:t xml:space="preserve"> deregulation of fatty acid oxidation as </w:t>
            </w:r>
            <w:r w:rsidR="00650704" w:rsidRPr="00383A89">
              <w:rPr>
                <w:sz w:val="20"/>
                <w:szCs w:val="20"/>
                <w:lang w:val="en-GB"/>
              </w:rPr>
              <w:t>a vital</w:t>
            </w:r>
            <w:r w:rsidR="007D348D" w:rsidRPr="00383A89">
              <w:rPr>
                <w:sz w:val="20"/>
                <w:szCs w:val="20"/>
                <w:lang w:val="en-GB"/>
              </w:rPr>
              <w:t xml:space="preserve"> process for cell proliferation in HCC</w:t>
            </w:r>
          </w:p>
        </w:tc>
        <w:tc>
          <w:tcPr>
            <w:tcW w:w="0" w:type="auto"/>
          </w:tcPr>
          <w:p w14:paraId="0B309193" w14:textId="77861353" w:rsidR="0009736A" w:rsidRPr="00383A89" w:rsidRDefault="0009736A" w:rsidP="00E8653E">
            <w:pPr>
              <w:jc w:val="center"/>
              <w:rPr>
                <w:sz w:val="20"/>
                <w:szCs w:val="20"/>
                <w:lang w:val="en-GB"/>
              </w:rPr>
            </w:pPr>
            <w:r w:rsidRPr="00383A89">
              <w:rPr>
                <w:sz w:val="20"/>
                <w:szCs w:val="20"/>
                <w:lang w:val="en-GB"/>
              </w:rPr>
              <w:fldChar w:fldCharType="begin" w:fldLock="1"/>
            </w:r>
            <w:r w:rsidR="00E8653E">
              <w:rPr>
                <w:sz w:val="20"/>
                <w:szCs w:val="20"/>
                <w:lang w:val="en-GB"/>
              </w:rPr>
              <w:instrText>ADDIN CSL_CITATION { "citationItems" : [ { "id" : "ITEM-1", "itemData" : { "DOI" : "10.1016/j.celrep.2015.10.045", "ISBN" : "2211-1247", "ISSN" : "22111247", "PMID" : "26655911", "abstract" : "Hepatocellular carcinoma (HCC) is a deadly form of liver cancer that is increasingly prevalent. We analyzed global gene expression profiling of 361 HCC tumors and 49 adjacent noncancerous liver samples by means of combinatorial network-based analysis. We investigated the correlation between transcriptome and proteome of HCC and reconstructed a functional genome-scale metabolic model (GEM) for HCC. We identified fundamental metabolic processes required for cell proliferation using the network centric view provided by the GEM. Our analysis revealed tight regulation of fatty acid biosynthesis (FAB) and highly significant deregulation of fatty acid oxidation in HCC. We predicted mitochondrial acetate as an emerging substrate for FAB through upregulation of mitochondrial acetyl-CoA synthetase (ACSS1) in HCC. We analyzed heterogeneous expression of ACSS1 and ACSS2 between HCC patients stratified by high and low ACSS1 and ACSS2 expression and revealed that ACSS1 is associated with tumor growth and malignancy under hypoxic conditions in human HCC.", "author" : [ { "dropping-particle" : "", "family" : "Bj\u00f6rnson", "given" : "Elias", "non-dropping-particle" : "", "parse-names" : false, "suffix" : "" }, { "dropping-particle" : "", "family" : "Mukhopadhyay", "given" : "Bani", "non-dropping-particle" : "", "parse-names" : false, "suffix" : "" }, { "dropping-particle" : "", "family" : "Asplund", "given" : "Anna", "non-dropping-particle" : "", "parse-names" : false, "suffix" : "" }, { "dropping-particle" : "", "family" : "Pristovsek", "given" : "Nusa", "non-dropping-particle" : "", "parse-names" : false, "suffix" : "" }, { "dropping-particle" : "", "family" : "Cinar", "given" : "Resat", "non-dropping-particle" : "", "parse-names" : false, "suffix" : "" }, { "dropping-particle" : "", "family" : "Romeo", "given" : "Stefano", "non-dropping-particle" : "", "parse-names" : false, "suffix" : "" }, { "dropping-particle" : "", "family" : "Uhlen", "given" : "Mathias", "non-dropping-particle" : "", "parse-names" : false, "suffix" : "" }, { "dropping-particle" : "", "family" : "Kunos", "given" : "George", "non-dropping-particle" : "", "parse-names" : false, "suffix" : "" }, { "dropping-particle" : "", "family" : "Nielsen", "given" : "Jens", "non-dropping-particle" : "", "parse-names" : false, "suffix" : "" }, { "dropping-particle" : "", "family" : "Mardinoglu", "given" : "Adil", "non-dropping-particle" : "", "parse-names" : false, "suffix" : "" } ], "container-title" : "Cell Reports", "id" : "ITEM-1", "issue" : "9", "issued" : { "date-parts" : [ [ "2015" ] ] }, "page" : "2014-2026", "title" : "Stratification of Hepatocellular Carcinoma Patients Based on Acetate Utilization", "type" : "article-journal", "volume" : "13" }, "uris" : [ "http://www.mendeley.com/documents/?uuid=443a6bba-573f-47ea-8542-903388a0fa2b" ] } ], "mendeley" : { "formattedCitation" : "&lt;sup&gt;&lt;sup&gt;75&lt;/sup&gt;&lt;/sup&gt;", "plainTextFormattedCitation" : "75", "previouslyFormattedCitation" : "&lt;sup&gt;&lt;sup&gt;75&lt;/sup&gt;&lt;/sup&gt;" }, "properties" : { "noteIndex" : 0 }, "schema" : "https://github.com/citation-style-language/schema/raw/master/csl-citation.json" }</w:instrText>
            </w:r>
            <w:r w:rsidRPr="00383A89">
              <w:rPr>
                <w:sz w:val="20"/>
                <w:szCs w:val="20"/>
                <w:lang w:val="en-GB"/>
              </w:rPr>
              <w:fldChar w:fldCharType="separate"/>
            </w:r>
            <w:r w:rsidR="00E8653E" w:rsidRPr="00E8653E">
              <w:rPr>
                <w:noProof/>
                <w:sz w:val="20"/>
                <w:szCs w:val="20"/>
                <w:vertAlign w:val="superscript"/>
                <w:lang w:val="en-GB"/>
              </w:rPr>
              <w:t>75</w:t>
            </w:r>
            <w:r w:rsidRPr="00383A89">
              <w:rPr>
                <w:sz w:val="20"/>
                <w:szCs w:val="20"/>
                <w:lang w:val="en-GB"/>
              </w:rPr>
              <w:fldChar w:fldCharType="end"/>
            </w:r>
          </w:p>
        </w:tc>
      </w:tr>
      <w:tr w:rsidR="0009736A" w:rsidRPr="00383A89" w14:paraId="036ED343" w14:textId="77777777" w:rsidTr="00345D2C">
        <w:tc>
          <w:tcPr>
            <w:tcW w:w="0" w:type="auto"/>
            <w:tcBorders>
              <w:top w:val="single" w:sz="4" w:space="0" w:color="auto"/>
              <w:bottom w:val="single" w:sz="4" w:space="0" w:color="auto"/>
              <w:right w:val="single" w:sz="4" w:space="0" w:color="auto"/>
            </w:tcBorders>
          </w:tcPr>
          <w:p w14:paraId="28E23D98" w14:textId="7CE580D6" w:rsidR="0009736A" w:rsidRPr="00383A89" w:rsidRDefault="0009736A" w:rsidP="0009736A">
            <w:pPr>
              <w:jc w:val="center"/>
              <w:rPr>
                <w:i/>
                <w:sz w:val="20"/>
                <w:szCs w:val="20"/>
                <w:lang w:val="en-GB"/>
              </w:rPr>
            </w:pPr>
            <w:r w:rsidRPr="00383A89">
              <w:rPr>
                <w:i/>
                <w:sz w:val="20"/>
                <w:szCs w:val="20"/>
                <w:lang w:val="en-GB"/>
              </w:rPr>
              <w:t>SteatoNet</w:t>
            </w:r>
          </w:p>
        </w:tc>
        <w:tc>
          <w:tcPr>
            <w:tcW w:w="0" w:type="auto"/>
            <w:tcBorders>
              <w:left w:val="single" w:sz="4" w:space="0" w:color="auto"/>
            </w:tcBorders>
          </w:tcPr>
          <w:p w14:paraId="0A61C916" w14:textId="2CA7CD24" w:rsidR="0009736A" w:rsidRPr="00383A89" w:rsidRDefault="0009736A" w:rsidP="0009736A">
            <w:pPr>
              <w:jc w:val="center"/>
              <w:rPr>
                <w:sz w:val="20"/>
                <w:szCs w:val="20"/>
                <w:lang w:val="en-GB"/>
              </w:rPr>
            </w:pPr>
            <w:r w:rsidRPr="00383A89">
              <w:rPr>
                <w:sz w:val="20"/>
                <w:szCs w:val="20"/>
                <w:lang w:val="en-GB"/>
              </w:rPr>
              <w:t>OOM</w:t>
            </w:r>
          </w:p>
        </w:tc>
        <w:tc>
          <w:tcPr>
            <w:tcW w:w="0" w:type="auto"/>
          </w:tcPr>
          <w:p w14:paraId="646C14CD" w14:textId="4A54F946" w:rsidR="0009736A" w:rsidRPr="00383A89" w:rsidRDefault="00FD7308" w:rsidP="009765F4">
            <w:pPr>
              <w:rPr>
                <w:bCs/>
                <w:iCs/>
                <w:sz w:val="20"/>
                <w:szCs w:val="20"/>
                <w:lang w:val="en-GB"/>
              </w:rPr>
            </w:pPr>
            <w:r w:rsidRPr="00383A89">
              <w:rPr>
                <w:sz w:val="20"/>
                <w:szCs w:val="20"/>
                <w:lang w:val="en-GB"/>
              </w:rPr>
              <w:t xml:space="preserve">integrated human metabolic model with multi-layered regulation; </w:t>
            </w:r>
            <w:r w:rsidR="0009736A" w:rsidRPr="00383A89">
              <w:rPr>
                <w:sz w:val="20"/>
                <w:szCs w:val="20"/>
                <w:lang w:val="en-GB"/>
              </w:rPr>
              <w:t xml:space="preserve"> </w:t>
            </w:r>
            <w:r w:rsidR="009765F4" w:rsidRPr="00383A89">
              <w:rPr>
                <w:sz w:val="20"/>
                <w:szCs w:val="20"/>
                <w:lang w:val="en-GB"/>
              </w:rPr>
              <w:t xml:space="preserve">used to explain </w:t>
            </w:r>
            <w:r w:rsidR="0009736A" w:rsidRPr="00383A89">
              <w:rPr>
                <w:sz w:val="20"/>
                <w:szCs w:val="20"/>
                <w:lang w:val="en-GB"/>
              </w:rPr>
              <w:t>the relations between the liver and other organs in the development of NAFLD</w:t>
            </w:r>
            <w:r w:rsidR="009765F4" w:rsidRPr="00383A89">
              <w:rPr>
                <w:sz w:val="20"/>
                <w:szCs w:val="20"/>
                <w:lang w:val="en-GB"/>
              </w:rPr>
              <w:t xml:space="preserve">; </w:t>
            </w:r>
            <w:r w:rsidR="0009736A" w:rsidRPr="00383A89">
              <w:rPr>
                <w:sz w:val="20"/>
                <w:szCs w:val="20"/>
                <w:lang w:val="en-GB"/>
              </w:rPr>
              <w:t>identif</w:t>
            </w:r>
            <w:r w:rsidR="009765F4" w:rsidRPr="00383A89">
              <w:rPr>
                <w:sz w:val="20"/>
                <w:szCs w:val="20"/>
                <w:lang w:val="en-GB"/>
              </w:rPr>
              <w:t>ied</w:t>
            </w:r>
            <w:r w:rsidR="0009736A" w:rsidRPr="00383A89">
              <w:rPr>
                <w:sz w:val="20"/>
                <w:szCs w:val="20"/>
                <w:lang w:val="en-GB"/>
              </w:rPr>
              <w:t xml:space="preserve"> k</w:t>
            </w:r>
            <w:r w:rsidR="009765F4" w:rsidRPr="00383A89">
              <w:rPr>
                <w:sz w:val="20"/>
                <w:szCs w:val="20"/>
                <w:lang w:val="en-GB"/>
              </w:rPr>
              <w:t xml:space="preserve">etone body metabolism, </w:t>
            </w:r>
            <w:r w:rsidR="0009736A" w:rsidRPr="00383A89">
              <w:rPr>
                <w:sz w:val="20"/>
                <w:szCs w:val="20"/>
                <w:lang w:val="en-GB"/>
              </w:rPr>
              <w:t xml:space="preserve">cholesterol transport and regulatory functions of FXR, LXR and SREBP2 as crucial steps </w:t>
            </w:r>
            <w:r w:rsidR="009765F4" w:rsidRPr="00383A89">
              <w:rPr>
                <w:sz w:val="20"/>
                <w:szCs w:val="20"/>
                <w:lang w:val="en-GB"/>
              </w:rPr>
              <w:t>in</w:t>
            </w:r>
            <w:r w:rsidR="0009736A" w:rsidRPr="00383A89">
              <w:rPr>
                <w:sz w:val="20"/>
                <w:szCs w:val="20"/>
                <w:lang w:val="en-GB"/>
              </w:rPr>
              <w:t xml:space="preserve"> NAFLD development and</w:t>
            </w:r>
            <w:r w:rsidR="009765F4" w:rsidRPr="00383A89">
              <w:rPr>
                <w:sz w:val="20"/>
                <w:szCs w:val="20"/>
                <w:lang w:val="en-GB"/>
              </w:rPr>
              <w:t xml:space="preserve"> </w:t>
            </w:r>
            <w:r w:rsidR="0009736A" w:rsidRPr="00383A89">
              <w:rPr>
                <w:sz w:val="20"/>
                <w:szCs w:val="20"/>
                <w:lang w:val="en-GB"/>
              </w:rPr>
              <w:t>progressions</w:t>
            </w:r>
          </w:p>
        </w:tc>
        <w:tc>
          <w:tcPr>
            <w:tcW w:w="0" w:type="auto"/>
          </w:tcPr>
          <w:p w14:paraId="2166E513" w14:textId="11B902A9" w:rsidR="0009736A" w:rsidRPr="00383A89" w:rsidRDefault="009765F4" w:rsidP="00E8653E">
            <w:pPr>
              <w:jc w:val="center"/>
              <w:rPr>
                <w:sz w:val="20"/>
                <w:szCs w:val="20"/>
                <w:lang w:val="en-GB"/>
              </w:rPr>
            </w:pPr>
            <w:r w:rsidRPr="00383A89">
              <w:rPr>
                <w:sz w:val="20"/>
                <w:szCs w:val="20"/>
                <w:lang w:val="en-GB"/>
              </w:rPr>
              <w:fldChar w:fldCharType="begin" w:fldLock="1"/>
            </w:r>
            <w:r w:rsidR="00E8653E">
              <w:rPr>
                <w:sz w:val="20"/>
                <w:szCs w:val="20"/>
                <w:lang w:val="en-GB"/>
              </w:rPr>
              <w:instrText>ADDIN CSL_CITATION { "citationItems" : [ { "id" : "ITEM-1", "itemData" : { "DOI" : "10.1371/journal.pcbi.1003993", "ISBN" : "1553-7358 (Electronic) 1553-734X (Linking)", "PMID" : "25500563", "abstract" : "Current state-of-the-art mathematical models to investigate complex biological processes, in particular liver-associated pathologies, have limited expansiveness, flexibility, representation of integrated regulation and rely on the availability of detailed kinetic data. We generated the SteatoNet, a multi-pathway, multi-tissue model and in silico platform to investigate hepatic metabolism and its associated deregulations. SteatoNet is based on object-oriented modelling, an approach most commonly applied in automotive and process industries, whereby individual objects correspond to functional entities. Objects were compiled to feature two novel hepatic modelling aspects: the interaction of hepatic metabolic pathways with extra-hepatic tissues and the inclusion of transcriptional and post-transcriptional regulation. SteatoNet identification at normalised steady state circumvents the need for constraining kinetic parameters. Validation and identification of flux disturbances that have been proven experimentally in liver patients and animal models highlights the ability of SteatoNet to effectively describe biological behaviour. SteatoNet identifies crucial pathway branches (transport of glucose, lipids and ketone bodies) where changes in flux distribution drive the healthy liver towards hepatic steatosis, the primary stage of non-alcoholic fatty liver disease. Cholesterol metabolism and its transcription regulators are highlighted as novel steatosis factors. SteatoNet thus serves as an intuitive in silico platform to identify systemic changes associated with complex hepatic metabolic disorders.", "author" : [ { "dropping-particle" : "", "family" : "Naik", "given" : "A", "non-dropping-particle" : "", "parse-names" : false, "suffix" : "" }, { "dropping-particle" : "", "family" : "Rozman", "given" : "D", "non-dropping-particle" : "", "parse-names" : false, "suffix" : "" }, { "dropping-particle" : "", "family" : "Beli\u010d", "given" : "A", "non-dropping-particle" : "", "parse-names" : false, "suffix" : "" } ], "container-title" : "PLoS Comput Biol", "id" : "ITEM-1", "issue" : "12", "issued" : { "date-parts" : [ [ "2014" ] ] }, "note" : "Naik, Adviti\nRozman, Damjana\nBelic, Ales\neng\nResearch Support, Non-U.S. Gov't\n2014/12/17 06:00\nPLoS Comput Biol. 2014 Dec 11;10(12):e1003993. doi: 10.1371/journal.pcbi.1003993. eCollection 2014 Dec.", "page" : "e1003993", "title" : "SteatoNet: the first integrated human metabolic model with multi-layered regulation to investigate liver-associated pathologies", "type" : "article-journal", "volume" : "10" }, "uris" : [ "http://www.mendeley.com/documents/?uuid=69e56e84-78a5-4ca4-82c7-e82d714a4946" ] } ], "mendeley" : { "formattedCitation" : "&lt;sup&gt;&lt;sup&gt;70&lt;/sup&gt;&lt;/sup&gt;", "plainTextFormattedCitation" : "70", "previouslyFormattedCitation" : "&lt;sup&gt;&lt;sup&gt;70&lt;/sup&gt;&lt;/sup&gt;" }, "properties" : { "noteIndex" : 0 }, "schema" : "https://github.com/citation-style-language/schema/raw/master/csl-citation.json" }</w:instrText>
            </w:r>
            <w:r w:rsidRPr="00383A89">
              <w:rPr>
                <w:sz w:val="20"/>
                <w:szCs w:val="20"/>
                <w:lang w:val="en-GB"/>
              </w:rPr>
              <w:fldChar w:fldCharType="separate"/>
            </w:r>
            <w:r w:rsidR="00E8653E" w:rsidRPr="00E8653E">
              <w:rPr>
                <w:noProof/>
                <w:sz w:val="20"/>
                <w:szCs w:val="20"/>
                <w:vertAlign w:val="superscript"/>
                <w:lang w:val="en-GB"/>
              </w:rPr>
              <w:t>70</w:t>
            </w:r>
            <w:r w:rsidRPr="00383A89">
              <w:rPr>
                <w:sz w:val="20"/>
                <w:szCs w:val="20"/>
                <w:lang w:val="en-GB"/>
              </w:rPr>
              <w:fldChar w:fldCharType="end"/>
            </w:r>
          </w:p>
        </w:tc>
      </w:tr>
      <w:tr w:rsidR="0009736A" w:rsidRPr="00383A89" w14:paraId="44428E21" w14:textId="77777777" w:rsidTr="00FD7308">
        <w:tc>
          <w:tcPr>
            <w:tcW w:w="0" w:type="auto"/>
            <w:tcBorders>
              <w:top w:val="single" w:sz="4" w:space="0" w:color="auto"/>
              <w:bottom w:val="nil"/>
              <w:right w:val="single" w:sz="4" w:space="0" w:color="auto"/>
            </w:tcBorders>
          </w:tcPr>
          <w:p w14:paraId="3A5882C1" w14:textId="55E522B9" w:rsidR="0009736A" w:rsidRPr="00383A89" w:rsidRDefault="0009736A" w:rsidP="0009736A">
            <w:pPr>
              <w:jc w:val="center"/>
              <w:rPr>
                <w:i/>
                <w:sz w:val="20"/>
                <w:szCs w:val="20"/>
                <w:lang w:val="en-GB"/>
              </w:rPr>
            </w:pPr>
            <w:r w:rsidRPr="00383A89">
              <w:rPr>
                <w:i/>
                <w:sz w:val="20"/>
                <w:szCs w:val="20"/>
                <w:lang w:val="en-GB"/>
              </w:rPr>
              <w:t>LiverSex</w:t>
            </w:r>
          </w:p>
        </w:tc>
        <w:tc>
          <w:tcPr>
            <w:tcW w:w="0" w:type="auto"/>
            <w:tcBorders>
              <w:left w:val="single" w:sz="4" w:space="0" w:color="auto"/>
            </w:tcBorders>
          </w:tcPr>
          <w:p w14:paraId="709CFB27" w14:textId="7A6B76D3" w:rsidR="0009736A" w:rsidRPr="00383A89" w:rsidRDefault="0009736A" w:rsidP="0009736A">
            <w:pPr>
              <w:jc w:val="center"/>
              <w:rPr>
                <w:sz w:val="20"/>
                <w:szCs w:val="20"/>
                <w:lang w:val="en-GB"/>
              </w:rPr>
            </w:pPr>
            <w:r w:rsidRPr="00383A89">
              <w:rPr>
                <w:sz w:val="20"/>
                <w:szCs w:val="20"/>
                <w:lang w:val="en-GB"/>
              </w:rPr>
              <w:t>OOM</w:t>
            </w:r>
          </w:p>
        </w:tc>
        <w:tc>
          <w:tcPr>
            <w:tcW w:w="0" w:type="auto"/>
          </w:tcPr>
          <w:p w14:paraId="515C0D97" w14:textId="03346977" w:rsidR="0009736A" w:rsidRPr="00383A89" w:rsidRDefault="009765F4" w:rsidP="009765F4">
            <w:pPr>
              <w:rPr>
                <w:bCs/>
                <w:iCs/>
                <w:sz w:val="20"/>
                <w:szCs w:val="20"/>
                <w:lang w:val="en-GB"/>
              </w:rPr>
            </w:pPr>
            <w:r w:rsidRPr="00383A89">
              <w:rPr>
                <w:sz w:val="20"/>
                <w:szCs w:val="20"/>
                <w:lang w:val="en-GB"/>
              </w:rPr>
              <w:t xml:space="preserve">adaptation of </w:t>
            </w:r>
            <w:r w:rsidRPr="00383A89">
              <w:rPr>
                <w:i/>
                <w:sz w:val="20"/>
                <w:szCs w:val="20"/>
                <w:lang w:val="en-GB"/>
              </w:rPr>
              <w:t xml:space="preserve">SteatoNet </w:t>
            </w:r>
            <w:r w:rsidRPr="00383A89">
              <w:rPr>
                <w:sz w:val="20"/>
                <w:szCs w:val="20"/>
                <w:lang w:val="en-GB"/>
              </w:rPr>
              <w:t>to gender-specific models; used to investigate gender-</w:t>
            </w:r>
            <w:r w:rsidR="0009736A" w:rsidRPr="00383A89">
              <w:rPr>
                <w:sz w:val="20"/>
                <w:szCs w:val="20"/>
                <w:lang w:val="en-GB"/>
              </w:rPr>
              <w:t>depe</w:t>
            </w:r>
            <w:r w:rsidRPr="00383A89">
              <w:rPr>
                <w:sz w:val="20"/>
                <w:szCs w:val="20"/>
                <w:lang w:val="en-GB"/>
              </w:rPr>
              <w:t>ndent complex liver pathologies; identified the</w:t>
            </w:r>
            <w:r w:rsidR="0009736A" w:rsidRPr="00383A89">
              <w:rPr>
                <w:sz w:val="20"/>
                <w:szCs w:val="20"/>
                <w:lang w:val="en-GB"/>
              </w:rPr>
              <w:t xml:space="preserve"> partition </w:t>
            </w:r>
            <w:r w:rsidRPr="00383A89">
              <w:rPr>
                <w:sz w:val="20"/>
                <w:szCs w:val="20"/>
                <w:lang w:val="en-GB"/>
              </w:rPr>
              <w:t xml:space="preserve">of </w:t>
            </w:r>
            <w:r w:rsidR="0009736A" w:rsidRPr="00383A89">
              <w:rPr>
                <w:sz w:val="20"/>
                <w:szCs w:val="20"/>
                <w:lang w:val="en-GB"/>
              </w:rPr>
              <w:t xml:space="preserve">fatty acids into different pathways </w:t>
            </w:r>
            <w:r w:rsidRPr="00383A89">
              <w:rPr>
                <w:sz w:val="20"/>
                <w:szCs w:val="20"/>
                <w:lang w:val="en-GB"/>
              </w:rPr>
              <w:t>as a possib</w:t>
            </w:r>
            <w:r w:rsidR="0009736A" w:rsidRPr="00383A89">
              <w:rPr>
                <w:sz w:val="20"/>
                <w:szCs w:val="20"/>
                <w:lang w:val="en-GB"/>
              </w:rPr>
              <w:t xml:space="preserve">le </w:t>
            </w:r>
            <w:r w:rsidRPr="00383A89">
              <w:rPr>
                <w:sz w:val="20"/>
                <w:szCs w:val="20"/>
                <w:lang w:val="en-GB"/>
              </w:rPr>
              <w:t xml:space="preserve">NAFLD </w:t>
            </w:r>
            <w:r w:rsidR="0009736A" w:rsidRPr="00383A89">
              <w:rPr>
                <w:sz w:val="20"/>
                <w:szCs w:val="20"/>
                <w:lang w:val="en-GB"/>
              </w:rPr>
              <w:t>protective mechanisms in females</w:t>
            </w:r>
            <w:r w:rsidRPr="00383A89">
              <w:rPr>
                <w:sz w:val="20"/>
                <w:szCs w:val="20"/>
                <w:lang w:val="en-GB"/>
              </w:rPr>
              <w:t xml:space="preserve">; </w:t>
            </w:r>
            <w:r w:rsidR="0009736A" w:rsidRPr="00383A89">
              <w:rPr>
                <w:sz w:val="20"/>
                <w:szCs w:val="20"/>
                <w:lang w:val="en-GB"/>
              </w:rPr>
              <w:t>identif</w:t>
            </w:r>
            <w:r w:rsidRPr="00383A89">
              <w:rPr>
                <w:sz w:val="20"/>
                <w:szCs w:val="20"/>
                <w:lang w:val="en-GB"/>
              </w:rPr>
              <w:t>ied</w:t>
            </w:r>
            <w:r w:rsidR="0009736A" w:rsidRPr="00383A89">
              <w:rPr>
                <w:sz w:val="20"/>
                <w:szCs w:val="20"/>
                <w:lang w:val="en-GB"/>
              </w:rPr>
              <w:t xml:space="preserve"> PGC1A, PPARα, FXR and LXR as regulatory factors for gender dependent personalized treatment of NAFLD</w:t>
            </w:r>
          </w:p>
        </w:tc>
        <w:tc>
          <w:tcPr>
            <w:tcW w:w="0" w:type="auto"/>
          </w:tcPr>
          <w:p w14:paraId="53822E99" w14:textId="673745B1" w:rsidR="0009736A" w:rsidRPr="00383A89" w:rsidRDefault="009765F4" w:rsidP="00A34EF8">
            <w:pPr>
              <w:jc w:val="center"/>
              <w:rPr>
                <w:sz w:val="20"/>
                <w:szCs w:val="20"/>
                <w:lang w:val="en-GB"/>
              </w:rPr>
            </w:pPr>
            <w:r w:rsidRPr="00383A89">
              <w:rPr>
                <w:sz w:val="20"/>
                <w:szCs w:val="20"/>
                <w:lang w:val="en-GB"/>
              </w:rPr>
              <w:fldChar w:fldCharType="begin" w:fldLock="1"/>
            </w:r>
            <w:r w:rsidR="001C27E1">
              <w:rPr>
                <w:sz w:val="20"/>
                <w:szCs w:val="20"/>
                <w:lang w:val="en-GB"/>
              </w:rPr>
              <w:instrText>ADDIN CSL_CITATION { "citationItems" : [ { "id" : "ITEM-1", "itemData" : { "DOI" : "10.3389/fphys.2018.00360", "author" : [ { "dropping-particle" : "", "family" : "Cvitanovi\u0107 Toma\u0161", "given" : "Tanja", "non-dropping-particle" : "", "parse-names" : false, "suffix" : "" }, { "dropping-particle" : "", "family" : "Urlep", "given" : "\u017diga", "non-dropping-particle" : "", "parse-names" : false, "suffix" : "" }, { "dropping-particle" : "", "family" : "Mo\u0161kon", "given" : "Miha", "non-dropping-particle" : "", "parse-names" : false, "suffix" : "" }, { "dropping-particle" : "", "family" : "Mraz", "given" : "Miha", "non-dropping-particle" : "", "parse-names" : false, "suffix" : "" }, { "dropping-particle" : "", "family" : "Rozman", "given" : "Damjana", "non-dropping-particle" : "", "parse-names" : false, "suffix" : "" } ], "container-title" : "Frontiers in Physiology", "id" : "ITEM-1", "issued" : { "date-parts" : [ [ "2018" ] ] }, "page" : "360", "title" : "LiverSex Computational Model: Sexual Aspects in Hepatic Metabolism and Abnormalities", "type" : "article-journal", "volume" : "9" }, "uris" : [ "http://www.mendeley.com/documents/?uuid=41f34267-9a78-4e01-8a45-47913b721216" ] } ], "mendeley" : { "formattedCitation" : "&lt;sup&gt;&lt;sup&gt;20&lt;/sup&gt;&lt;/sup&gt;", "plainTextFormattedCitation" : "20", "previouslyFormattedCitation" : "&lt;sup&gt;&lt;sup&gt;20&lt;/sup&gt;&lt;/sup&gt;" }, "properties" : { "noteIndex" : 0 }, "schema" : "https://github.com/citation-style-language/schema/raw/master/csl-citation.json" }</w:instrText>
            </w:r>
            <w:r w:rsidRPr="00383A89">
              <w:rPr>
                <w:sz w:val="20"/>
                <w:szCs w:val="20"/>
                <w:lang w:val="en-GB"/>
              </w:rPr>
              <w:fldChar w:fldCharType="separate"/>
            </w:r>
            <w:r w:rsidR="00A34EF8" w:rsidRPr="00A34EF8">
              <w:rPr>
                <w:noProof/>
                <w:sz w:val="20"/>
                <w:szCs w:val="20"/>
                <w:vertAlign w:val="superscript"/>
                <w:lang w:val="en-GB"/>
              </w:rPr>
              <w:t>20</w:t>
            </w:r>
            <w:r w:rsidRPr="00383A89">
              <w:rPr>
                <w:sz w:val="20"/>
                <w:szCs w:val="20"/>
                <w:lang w:val="en-GB"/>
              </w:rPr>
              <w:fldChar w:fldCharType="end"/>
            </w:r>
          </w:p>
        </w:tc>
      </w:tr>
    </w:tbl>
    <w:p w14:paraId="3B76E2C2" w14:textId="77777777" w:rsidR="009765F4" w:rsidRPr="00383A89" w:rsidRDefault="009765F4" w:rsidP="00DB51BA">
      <w:pPr>
        <w:pStyle w:val="Napis"/>
        <w:rPr>
          <w:i w:val="0"/>
          <w:color w:val="000000" w:themeColor="text1"/>
          <w:lang w:val="en-GB"/>
        </w:rPr>
      </w:pPr>
    </w:p>
    <w:p w14:paraId="2CD93F45" w14:textId="22A91534" w:rsidR="00DB51BA" w:rsidRPr="00383A89" w:rsidRDefault="00DB51BA" w:rsidP="00DB51BA">
      <w:pPr>
        <w:pStyle w:val="Napis"/>
        <w:rPr>
          <w:i w:val="0"/>
          <w:color w:val="000000" w:themeColor="text1"/>
          <w:sz w:val="22"/>
          <w:szCs w:val="22"/>
          <w:lang w:val="en-GB"/>
        </w:rPr>
      </w:pPr>
      <w:bookmarkStart w:id="4" w:name="_Ref511725673"/>
      <w:r w:rsidRPr="00383A89">
        <w:rPr>
          <w:i w:val="0"/>
          <w:color w:val="000000" w:themeColor="text1"/>
          <w:sz w:val="22"/>
          <w:szCs w:val="22"/>
          <w:lang w:val="en-GB"/>
        </w:rPr>
        <w:t xml:space="preserve">Table </w:t>
      </w:r>
      <w:r w:rsidRPr="00383A89">
        <w:rPr>
          <w:i w:val="0"/>
          <w:color w:val="000000" w:themeColor="text1"/>
          <w:sz w:val="22"/>
          <w:szCs w:val="22"/>
          <w:lang w:val="en-GB"/>
        </w:rPr>
        <w:fldChar w:fldCharType="begin"/>
      </w:r>
      <w:r w:rsidRPr="00383A89">
        <w:rPr>
          <w:i w:val="0"/>
          <w:color w:val="000000" w:themeColor="text1"/>
          <w:sz w:val="22"/>
          <w:szCs w:val="22"/>
          <w:lang w:val="en-GB"/>
        </w:rPr>
        <w:instrText xml:space="preserve"> SEQ Table \* ARABIC </w:instrText>
      </w:r>
      <w:r w:rsidRPr="00383A89">
        <w:rPr>
          <w:i w:val="0"/>
          <w:color w:val="000000" w:themeColor="text1"/>
          <w:sz w:val="22"/>
          <w:szCs w:val="22"/>
          <w:lang w:val="en-GB"/>
        </w:rPr>
        <w:fldChar w:fldCharType="separate"/>
      </w:r>
      <w:r w:rsidR="006869C6">
        <w:rPr>
          <w:i w:val="0"/>
          <w:noProof/>
          <w:color w:val="000000" w:themeColor="text1"/>
          <w:sz w:val="22"/>
          <w:szCs w:val="22"/>
          <w:lang w:val="en-GB"/>
        </w:rPr>
        <w:t>2</w:t>
      </w:r>
      <w:r w:rsidRPr="00383A89">
        <w:rPr>
          <w:i w:val="0"/>
          <w:color w:val="000000" w:themeColor="text1"/>
          <w:sz w:val="22"/>
          <w:szCs w:val="22"/>
          <w:lang w:val="en-GB"/>
        </w:rPr>
        <w:fldChar w:fldCharType="end"/>
      </w:r>
      <w:bookmarkEnd w:id="4"/>
      <w:r w:rsidRPr="00383A89">
        <w:rPr>
          <w:i w:val="0"/>
          <w:color w:val="000000" w:themeColor="text1"/>
          <w:sz w:val="22"/>
          <w:szCs w:val="22"/>
          <w:lang w:val="en-GB"/>
        </w:rPr>
        <w:t xml:space="preserve">: State-of-the-art computational models used in the liver research. </w:t>
      </w:r>
      <w:r w:rsidR="00505482" w:rsidRPr="00383A89">
        <w:rPr>
          <w:i w:val="0"/>
          <w:color w:val="000000" w:themeColor="text1"/>
          <w:sz w:val="22"/>
          <w:szCs w:val="22"/>
          <w:lang w:val="en-GB"/>
        </w:rPr>
        <w:t>Only major</w:t>
      </w:r>
      <w:r w:rsidRPr="00383A89">
        <w:rPr>
          <w:i w:val="0"/>
          <w:color w:val="000000" w:themeColor="text1"/>
          <w:sz w:val="22"/>
          <w:szCs w:val="22"/>
          <w:lang w:val="en-GB"/>
        </w:rPr>
        <w:t xml:space="preserve"> large-scale computational models are included within the table. </w:t>
      </w:r>
      <w:r w:rsidR="00505482" w:rsidRPr="00383A89">
        <w:rPr>
          <w:i w:val="0"/>
          <w:color w:val="auto"/>
          <w:sz w:val="22"/>
          <w:szCs w:val="22"/>
          <w:lang w:val="en-GB"/>
        </w:rPr>
        <w:t xml:space="preserve">Abbreviations: </w:t>
      </w:r>
      <w:r w:rsidR="00B428E7" w:rsidRPr="00383A89">
        <w:rPr>
          <w:i w:val="0"/>
          <w:color w:val="auto"/>
          <w:sz w:val="22"/>
          <w:szCs w:val="22"/>
          <w:lang w:val="en-GB"/>
        </w:rPr>
        <w:t xml:space="preserve">GEM – genome </w:t>
      </w:r>
      <w:r w:rsidR="0021166A" w:rsidRPr="00383A89">
        <w:rPr>
          <w:i w:val="0"/>
          <w:color w:val="auto"/>
          <w:sz w:val="22"/>
          <w:szCs w:val="22"/>
          <w:lang w:val="en-GB"/>
        </w:rPr>
        <w:t xml:space="preserve">scale metabolic models, </w:t>
      </w:r>
      <w:r w:rsidR="00505482" w:rsidRPr="00383A89">
        <w:rPr>
          <w:i w:val="0"/>
          <w:color w:val="auto"/>
          <w:sz w:val="22"/>
          <w:szCs w:val="22"/>
          <w:lang w:val="en-GB"/>
        </w:rPr>
        <w:t xml:space="preserve">HCC – hepatocellular carcinoma, </w:t>
      </w:r>
      <w:r w:rsidR="0021166A" w:rsidRPr="00383A89">
        <w:rPr>
          <w:i w:val="0"/>
          <w:color w:val="auto"/>
          <w:sz w:val="22"/>
          <w:szCs w:val="22"/>
          <w:lang w:val="en-GB"/>
        </w:rPr>
        <w:t>NAFLD – non-alcoholic fatty liver disease,</w:t>
      </w:r>
      <w:r w:rsidR="008239D2" w:rsidRPr="00383A89">
        <w:rPr>
          <w:i w:val="0"/>
          <w:color w:val="auto"/>
          <w:sz w:val="22"/>
          <w:szCs w:val="22"/>
          <w:lang w:val="en-GB"/>
        </w:rPr>
        <w:t xml:space="preserve"> NASH – non-alcoholic steatohepatitis,</w:t>
      </w:r>
      <w:r w:rsidR="0021166A" w:rsidRPr="00383A89">
        <w:rPr>
          <w:i w:val="0"/>
          <w:color w:val="auto"/>
          <w:sz w:val="22"/>
          <w:szCs w:val="22"/>
          <w:lang w:val="en-GB"/>
        </w:rPr>
        <w:t xml:space="preserve"> </w:t>
      </w:r>
      <w:r w:rsidR="00505482" w:rsidRPr="00383A89">
        <w:rPr>
          <w:color w:val="auto"/>
          <w:sz w:val="22"/>
          <w:szCs w:val="22"/>
          <w:lang w:val="en-GB"/>
        </w:rPr>
        <w:t>SteatoNet</w:t>
      </w:r>
      <w:r w:rsidR="00505482" w:rsidRPr="00383A89">
        <w:rPr>
          <w:i w:val="0"/>
          <w:color w:val="auto"/>
          <w:sz w:val="22"/>
          <w:szCs w:val="22"/>
          <w:lang w:val="en-GB"/>
        </w:rPr>
        <w:t xml:space="preserve"> – steatosis network.</w:t>
      </w:r>
    </w:p>
    <w:p w14:paraId="466742A8" w14:textId="1F58CEDE" w:rsidR="00741BB3" w:rsidRPr="00383A89" w:rsidRDefault="00741BB3" w:rsidP="00741BB3">
      <w:pPr>
        <w:jc w:val="both"/>
        <w:rPr>
          <w:lang w:val="en-GB"/>
        </w:rPr>
      </w:pPr>
      <w:r w:rsidRPr="00383A89">
        <w:rPr>
          <w:lang w:val="en-GB"/>
        </w:rPr>
        <w:t xml:space="preserve">The liver is a key organ </w:t>
      </w:r>
      <w:r w:rsidR="007041B4" w:rsidRPr="00383A89">
        <w:rPr>
          <w:lang w:val="en-GB"/>
        </w:rPr>
        <w:t>maintaining the</w:t>
      </w:r>
      <w:r w:rsidRPr="00383A89">
        <w:rPr>
          <w:lang w:val="en-GB"/>
        </w:rPr>
        <w:t xml:space="preserve"> metabolic homeostasis in the human body </w:t>
      </w:r>
      <w:r w:rsidRPr="00383A89">
        <w:rPr>
          <w:i/>
          <w:lang w:val="en-GB"/>
        </w:rPr>
        <w:t>via</w:t>
      </w:r>
      <w:r w:rsidRPr="00383A89">
        <w:rPr>
          <w:lang w:val="en-GB"/>
        </w:rPr>
        <w:t xml:space="preserve"> synthesis, storage, and degradation of metabolites</w:t>
      </w:r>
      <w:r w:rsidR="00B138B4">
        <w:rPr>
          <w:lang w:val="en-GB"/>
        </w:rPr>
        <w:t>.</w:t>
      </w:r>
      <w:r w:rsidR="007E5D76" w:rsidRPr="00383A89">
        <w:rPr>
          <w:lang w:val="en-GB"/>
        </w:rPr>
        <w:fldChar w:fldCharType="begin" w:fldLock="1"/>
      </w:r>
      <w:r w:rsidR="008830B1">
        <w:rPr>
          <w:lang w:val="en-GB"/>
        </w:rPr>
        <w:instrText>ADDIN CSL_CITATION { "citationItems" : [ { "id" : "ITEM-1", "itemData" : { "DOI" : "10.1016/j.biocel.2003.10.002", "ISBN" : "1357-2725 (Print)\\r1357-2725 (Linking)", "ISSN" : "13572725", "PMID" : "15061128", "abstract" : "Maintaining blood glucose levels within a narrow range is a critical physiological function requiring multiple metabolic pathways and involving several cell types, including a prominent role for hepatocytes. Under hormonal control, hepatocytes can respond to either feeding or fasting conditions by storing or producing glucose as necessary. In the fasting state, the effects of glucagon avoid hypoglycemia by stimulating gluconeogenesis and glycogenolysis and initiating hepatic glucose release. Postprandially, insulin prevents hyperglycemia, in part, by suppressing hepatic gluconeogenesis and glycogenolysis and facilitating hepatic glycogen synthesis. Both transcriptional regulation of rate limiting enzymes and modulation of enzyme activity through phosphorylation and allosteric regulation are involved. Type 2 diabetes mellitus is the most common serious metabolic condition in the world, and results from a subnormal response of tissues to insulin (insulin resistance) and a failure of the insulin-secreting \u03b2 cells to compensate. In type 2 diabetes, glucose is overproduced by the hepatocyte and is ineffectively metabolized by other organs. Impairments in the insulin signal transduction pathway appear to be critical lesions contributing to insulin resistance and type 2 diabetes. Cell facts The hepatocyte plays a critical role in glucose metabolism and can store or produce glucose depending on the requirement. Insulin-dependent activation of the insulin receptor tyrosine kinase initiates a signal transduction pathway resulting in increased glycogen synthesis while suppressing gluconeogenesis and glycogenolysis in hepatocytes. The effects of insulin are both acute (post-translational modification of key enzymes) and chronic (gene expression). There is evidence for both direct and indirect effects of insulin on the liver to suppress gluconeogenesis. The counterregulatory hormone glucagon activates protein kinase A (PKA), raising cyclic AMP concentrations, inducing gluconeogenesis enzymes, activating glycogenolysis, and resulting in net glucose release into the circulation. Peroxisome proliferative activated receptor-\u03b3 coactivator 1 (PGC-1\u03b1) is induced by glucagon and promotes increased transcription of the gluconeogenic enzymes phosphoenolpyruvate carboxykinase (PEPCK) and glucose-6-phosphatase (G6Pase) as a key mechanism for controlling glucose production in hepatocytes. The insulin resistance of type 2 diabetes leads to inappropriate hepatic glucose production\u2026", "author" : [ { "dropping-particle" : "", "family" : "Klover", "given" : "Peter J.", "non-dropping-particle" : "", "parse-names" : false, "suffix" : "" }, { "dropping-particle" : "", "family" : "Mooney", "given" : "Robert A.", "non-dropping-particle" : "", "parse-names" : false, "suffix" : "" } ], "container-title" : "International Journal of Biochemistry and Cell Biology", "id" : "ITEM-1", "issue" : "5", "issued" : { "date-parts" : [ [ "2004" ] ] }, "page" : "753-758", "title" : "Hepatocytes: Critical for glucose homeostasis", "type" : "article-journal", "volume" : "36" }, "uris" : [ "http://www.mendeley.com/documents/?uuid=d08375a7-58d9-4df4-8ce6-cd019d415b28" ] } ], "mendeley" : { "formattedCitation" : "&lt;sup&gt;&lt;sup&gt;76&lt;/sup&gt;&lt;/sup&gt;", "plainTextFormattedCitation" : "76", "previouslyFormattedCitation" : "&lt;sup&gt;&lt;sup&gt;76&lt;/sup&gt;&lt;/sup&gt;" }, "properties" : { "noteIndex" : 0 }, "schema" : "https://github.com/citation-style-language/schema/raw/master/csl-citation.json" }</w:instrText>
      </w:r>
      <w:r w:rsidR="007E5D76" w:rsidRPr="00383A89">
        <w:rPr>
          <w:lang w:val="en-GB"/>
        </w:rPr>
        <w:fldChar w:fldCharType="separate"/>
      </w:r>
      <w:r w:rsidR="00E8653E" w:rsidRPr="00E8653E">
        <w:rPr>
          <w:noProof/>
          <w:vertAlign w:val="superscript"/>
          <w:lang w:val="en-GB"/>
        </w:rPr>
        <w:t>76</w:t>
      </w:r>
      <w:r w:rsidR="007E5D76" w:rsidRPr="00383A89">
        <w:rPr>
          <w:lang w:val="en-GB"/>
        </w:rPr>
        <w:fldChar w:fldCharType="end"/>
      </w:r>
      <w:r w:rsidRPr="00383A89">
        <w:rPr>
          <w:lang w:val="en-GB"/>
        </w:rPr>
        <w:t xml:space="preserve"> </w:t>
      </w:r>
      <w:r w:rsidR="00BF6568" w:rsidRPr="00383A89">
        <w:rPr>
          <w:lang w:val="en-GB"/>
        </w:rPr>
        <w:t>T</w:t>
      </w:r>
      <w:r w:rsidR="00686171" w:rsidRPr="00383A89">
        <w:rPr>
          <w:lang w:val="en-GB"/>
        </w:rPr>
        <w:t>he use of computati</w:t>
      </w:r>
      <w:r w:rsidR="00BF6568" w:rsidRPr="00383A89">
        <w:rPr>
          <w:lang w:val="en-GB"/>
        </w:rPr>
        <w:t>onal models in liver research has been</w:t>
      </w:r>
      <w:r w:rsidR="00686171" w:rsidRPr="00383A89">
        <w:rPr>
          <w:lang w:val="en-GB"/>
        </w:rPr>
        <w:t xml:space="preserve"> </w:t>
      </w:r>
      <w:r w:rsidR="00BF6568" w:rsidRPr="00383A89">
        <w:rPr>
          <w:lang w:val="en-GB"/>
        </w:rPr>
        <w:t xml:space="preserve">increasingly </w:t>
      </w:r>
      <w:r w:rsidR="00095D95" w:rsidRPr="00383A89">
        <w:rPr>
          <w:lang w:val="en-GB"/>
        </w:rPr>
        <w:t xml:space="preserve">growing </w:t>
      </w:r>
      <w:r w:rsidR="00BF6568" w:rsidRPr="00383A89">
        <w:rPr>
          <w:lang w:val="en-GB"/>
        </w:rPr>
        <w:t>in recent years</w:t>
      </w:r>
      <w:r w:rsidR="007E5D76" w:rsidRPr="00383A89">
        <w:rPr>
          <w:lang w:val="en-GB"/>
        </w:rPr>
        <w:t xml:space="preserve"> (see</w:t>
      </w:r>
      <w:r w:rsidR="00E03882" w:rsidRPr="00383A89">
        <w:rPr>
          <w:lang w:val="en-GB"/>
        </w:rPr>
        <w:t xml:space="preserve"> </w:t>
      </w:r>
      <w:r w:rsidR="00E03882" w:rsidRPr="00383A89">
        <w:rPr>
          <w:lang w:val="en-GB"/>
        </w:rPr>
        <w:fldChar w:fldCharType="begin"/>
      </w:r>
      <w:r w:rsidR="00E03882" w:rsidRPr="00383A89">
        <w:rPr>
          <w:lang w:val="en-GB"/>
        </w:rPr>
        <w:instrText xml:space="preserve"> REF _Ref511725673 \h </w:instrText>
      </w:r>
      <w:r w:rsidR="00E03882" w:rsidRPr="00383A89">
        <w:rPr>
          <w:lang w:val="en-GB"/>
        </w:rPr>
      </w:r>
      <w:r w:rsidR="00E03882" w:rsidRPr="00383A89">
        <w:rPr>
          <w:lang w:val="en-GB"/>
        </w:rPr>
        <w:fldChar w:fldCharType="separate"/>
      </w:r>
      <w:r w:rsidR="006869C6" w:rsidRPr="00383A89">
        <w:rPr>
          <w:color w:val="000000" w:themeColor="text1"/>
          <w:lang w:val="en-GB"/>
        </w:rPr>
        <w:t xml:space="preserve">Table </w:t>
      </w:r>
      <w:r w:rsidR="006869C6">
        <w:rPr>
          <w:i/>
          <w:noProof/>
          <w:color w:val="000000" w:themeColor="text1"/>
          <w:lang w:val="en-GB"/>
        </w:rPr>
        <w:t>2</w:t>
      </w:r>
      <w:r w:rsidR="00E03882" w:rsidRPr="00383A89">
        <w:rPr>
          <w:lang w:val="en-GB"/>
        </w:rPr>
        <w:fldChar w:fldCharType="end"/>
      </w:r>
      <w:r w:rsidR="007E5D76" w:rsidRPr="00383A89">
        <w:rPr>
          <w:lang w:val="en-GB"/>
        </w:rPr>
        <w:t>)</w:t>
      </w:r>
      <w:r w:rsidR="00686171" w:rsidRPr="00383A89">
        <w:rPr>
          <w:lang w:val="en-GB"/>
        </w:rPr>
        <w:t xml:space="preserve">. </w:t>
      </w:r>
      <w:r w:rsidRPr="00383A89">
        <w:rPr>
          <w:lang w:val="en-GB"/>
        </w:rPr>
        <w:t xml:space="preserve">Most computational </w:t>
      </w:r>
      <w:r w:rsidR="00686171" w:rsidRPr="00383A89">
        <w:rPr>
          <w:lang w:val="en-GB"/>
        </w:rPr>
        <w:t xml:space="preserve">liver </w:t>
      </w:r>
      <w:r w:rsidRPr="00383A89">
        <w:rPr>
          <w:lang w:val="en-GB"/>
        </w:rPr>
        <w:t xml:space="preserve">models </w:t>
      </w:r>
      <w:r w:rsidR="00BF6568" w:rsidRPr="00383A89">
        <w:rPr>
          <w:lang w:val="en-GB"/>
        </w:rPr>
        <w:t xml:space="preserve">are </w:t>
      </w:r>
      <w:r w:rsidRPr="00383A89">
        <w:rPr>
          <w:lang w:val="en-GB"/>
        </w:rPr>
        <w:t xml:space="preserve">focused </w:t>
      </w:r>
      <w:r w:rsidR="00BF6568" w:rsidRPr="00383A89">
        <w:rPr>
          <w:lang w:val="en-GB"/>
        </w:rPr>
        <w:t>to</w:t>
      </w:r>
      <w:r w:rsidRPr="00383A89">
        <w:rPr>
          <w:lang w:val="en-GB"/>
        </w:rPr>
        <w:t xml:space="preserve"> the isolated </w:t>
      </w:r>
      <w:r w:rsidR="00B14558" w:rsidRPr="00383A89">
        <w:rPr>
          <w:lang w:val="en-GB"/>
        </w:rPr>
        <w:t>liver (</w:t>
      </w:r>
      <w:r w:rsidRPr="00383A89">
        <w:rPr>
          <w:lang w:val="en-GB"/>
        </w:rPr>
        <w:t>hepatic</w:t>
      </w:r>
      <w:r w:rsidR="007832CC" w:rsidRPr="00383A89">
        <w:rPr>
          <w:lang w:val="en-GB"/>
        </w:rPr>
        <w:t>)</w:t>
      </w:r>
      <w:r w:rsidRPr="00383A89">
        <w:rPr>
          <w:lang w:val="en-GB"/>
        </w:rPr>
        <w:t xml:space="preserve"> metabolic mechanism</w:t>
      </w:r>
      <w:r w:rsidR="00686171" w:rsidRPr="00383A89">
        <w:rPr>
          <w:lang w:val="en-GB"/>
        </w:rPr>
        <w:t>s</w:t>
      </w:r>
      <w:r w:rsidRPr="00383A89">
        <w:rPr>
          <w:lang w:val="en-GB"/>
        </w:rPr>
        <w:t xml:space="preserve">. </w:t>
      </w:r>
      <w:r w:rsidR="00095D95" w:rsidRPr="00383A89">
        <w:rPr>
          <w:lang w:val="en-GB"/>
        </w:rPr>
        <w:t xml:space="preserve">For example, </w:t>
      </w:r>
      <w:r w:rsidR="00B14558" w:rsidRPr="00383A89">
        <w:rPr>
          <w:lang w:val="en-GB"/>
        </w:rPr>
        <w:t xml:space="preserve">a </w:t>
      </w:r>
      <w:r w:rsidR="00095D95" w:rsidRPr="00383A89">
        <w:rPr>
          <w:lang w:val="en-GB"/>
        </w:rPr>
        <w:t>d</w:t>
      </w:r>
      <w:r w:rsidRPr="00383A89">
        <w:rPr>
          <w:lang w:val="en-GB"/>
        </w:rPr>
        <w:t>etailed kinetic model of glycolysis, gluconeogenesis, and glycogen metabolism in human hepatocytes under the hormonal control of insulin, glucagon, and epinephrine</w:t>
      </w:r>
      <w:r w:rsidR="00095D95" w:rsidRPr="00383A89">
        <w:rPr>
          <w:lang w:val="en-GB"/>
        </w:rPr>
        <w:t>,</w:t>
      </w:r>
      <w:r w:rsidRPr="00383A89">
        <w:rPr>
          <w:lang w:val="en-GB"/>
        </w:rPr>
        <w:t xml:space="preserve"> presents a tool for understanding the role of the liver in glucose homeostasis under normal conditions</w:t>
      </w:r>
      <w:r w:rsidR="00095D95" w:rsidRPr="00383A89">
        <w:rPr>
          <w:lang w:val="en-GB"/>
        </w:rPr>
        <w:t>, in patients with</w:t>
      </w:r>
      <w:r w:rsidRPr="00383A89">
        <w:rPr>
          <w:lang w:val="en-GB"/>
        </w:rPr>
        <w:t xml:space="preserve"> diabetes or </w:t>
      </w:r>
      <w:r w:rsidR="00AD1DF2" w:rsidRPr="00383A89">
        <w:rPr>
          <w:lang w:val="en-GB"/>
        </w:rPr>
        <w:t xml:space="preserve">with </w:t>
      </w:r>
      <w:r w:rsidRPr="00383A89">
        <w:rPr>
          <w:lang w:val="en-GB"/>
        </w:rPr>
        <w:t>glycogen storage diseases</w:t>
      </w:r>
      <w:r w:rsidR="00B138B4">
        <w:rPr>
          <w:lang w:val="en-GB"/>
        </w:rPr>
        <w:t>.</w:t>
      </w:r>
      <w:r w:rsidR="00741705" w:rsidRPr="00383A89">
        <w:rPr>
          <w:lang w:val="en-GB"/>
        </w:rPr>
        <w:fldChar w:fldCharType="begin" w:fldLock="1"/>
      </w:r>
      <w:r w:rsidR="00E8653E">
        <w:rPr>
          <w:lang w:val="en-GB"/>
        </w:rPr>
        <w:instrText>ADDIN CSL_CITATION { "citationItems" : [ { "id" : "ITEM-1", "itemData" : { "DOI" : "10.1371/journal.pcbi.1002577", "ISBN" : "1553-7358 (Electronic)\\r1553-734X (Linking)", "ISSN" : "1553-7358", "PMID" : "22761565", "abstract" : "Despite the crucial role of the liver in glucose homeostasis, a detailed mathematical model of human hepatic glucose metabolism is lacking so far. Here we present a detailed kinetic model of glycolysis, gluconeogenesis and glycogen metabolism in human hepatocytes integrated with the hormonal control of these pathways by insulin, glucagon and epinephrine. Model simulations are in good agreement with experimental data on (i) the quantitative contributions of glycolysis, gluconeogenesis, and glycogen metabolism to hepatic glucose production and hepatic glucose utilization under varying physiological states. (ii) the time courses of postprandial glycogen storage as well as glycogen depletion in overnight fasting and short term fasting (iii) the switch from net hepatic glucose production under hypoglycemia to net hepatic glucose utilization under hyperglycemia essential for glucose homeostasis (iv) hormone perturbations of hepatic glucose metabolism. Response analysis reveals an extra high capacity of the liver to counteract changes of plasma glucose level below 5 mM (hypoglycemia) and above 7.5 mM (hyperglycemia). Our model may serve as an important module of a whole-body model of human glucose metabolism and as a valuable tool for understanding the role of the liver in glucose homeostasis under normal conditions and in diseases like diabetes or glycogen storage diseases.", "author" : [ { "dropping-particle" : "", "family" : "K\u00f6nig", "given" : "Matthias", "non-dropping-particle" : "", "parse-names" : false, "suffix" : "" }, { "dropping-particle" : "", "family" : "Bulik", "given" : "Sascha", "non-dropping-particle" : "", "parse-names" : false, "suffix" : "" }, { "dropping-particle" : "", "family" : "Holzh\u00fctter", "given" : "Hermann-Georg", "non-dropping-particle" : "", "parse-names" : false, "suffix" : "" } ], "container-title" : "PLoS Computational Biology", "id" : "ITEM-1", "issue" : "6", "issued" : { "date-parts" : [ [ "2012" ] ] }, "page" : "e1002577", "title" : "Quantifying the Contribution of the Liver to Glucose Homeostasis: A Detailed Kinetic Model of Human Hepatic Glucose Metabolism", "type" : "article-journal", "volume" : "8" }, "uris" : [ "http://www.mendeley.com/documents/?uuid=bb4fdd3f-1e2b-41f6-9d95-f157b12e331e" ] } ], "mendeley" : { "formattedCitation" : "&lt;sup&gt;&lt;sup&gt;77&lt;/sup&gt;&lt;/sup&gt;", "plainTextFormattedCitation" : "77", "previouslyFormattedCitation" : "&lt;sup&gt;&lt;sup&gt;77&lt;/sup&gt;&lt;/sup&gt;"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77</w:t>
      </w:r>
      <w:r w:rsidR="00741705" w:rsidRPr="00383A89">
        <w:rPr>
          <w:lang w:val="en-GB"/>
        </w:rPr>
        <w:fldChar w:fldCharType="end"/>
      </w:r>
      <w:r w:rsidRPr="00383A89">
        <w:rPr>
          <w:lang w:val="en-GB"/>
        </w:rPr>
        <w:t xml:space="preserve"> </w:t>
      </w:r>
      <w:r w:rsidR="00686171" w:rsidRPr="00383A89">
        <w:rPr>
          <w:lang w:val="en-GB"/>
        </w:rPr>
        <w:t>Different</w:t>
      </w:r>
      <w:r w:rsidR="00741705" w:rsidRPr="00383A89">
        <w:rPr>
          <w:lang w:val="en-GB"/>
        </w:rPr>
        <w:t xml:space="preserve"> models are used to analyse different specific aspects of liver metabolism, such as </w:t>
      </w:r>
      <w:r w:rsidRPr="00383A89">
        <w:rPr>
          <w:lang w:val="en-GB"/>
        </w:rPr>
        <w:t>energy metabolism</w:t>
      </w:r>
      <w:r w:rsidR="00741705" w:rsidRPr="00383A89">
        <w:rPr>
          <w:lang w:val="en-GB"/>
        </w:rPr>
        <w:fldChar w:fldCharType="begin" w:fldLock="1"/>
      </w:r>
      <w:r w:rsidR="008830B1">
        <w:rPr>
          <w:lang w:val="en-GB"/>
        </w:rPr>
        <w:instrText>ADDIN CSL_CITATION { "citationItems" : [ { "id" : "ITEM-1", "itemData" : { "DOI" : "10.1371/journal.pcbi.1005105", "ISBN" : "1553-7358 (Electronic) 1553-734X (Linking)", "ISSN" : "15537358", "PMID" : "27632189", "abstract" : "In non-alcoholic fatty liver disease (NAFLD), lipid build-up and the resulting damage is known to occur more severely in pericentral cells. Due to the complexity of studying individual regions of the sinusoid, the causes of this zone specificity and its implications on treatment are largely ignored. In this study, a computational model of liver glucose and lipid metabolism is presented which treats the sinusoid as the repeating unit of the liver rather than the single hepatocyte. This allows for inclusion of zonated enzyme expression by splitting the sinusoid into periportal to pericentral compartments. By simulating insulin resistance (IR) and high intake diets leading to the development of steatosis in the model, we identify key differences between periportal and pericentral cells accounting for higher susceptibility to pericentral steatosis. Secondly, variation between individuals is seen in both susceptibility to steatosis and in its development across the sinusoid. Around 25% of obese individuals do not show excess liver fat, whilst 16% of lean individuals develop NAFLD. Furthermore, whilst pericentral cells tend to show higher lipid levels, variation is seen in the predominant location of steatosis from pericentral to pan-sinusoidal or azonal. Sensitivity analysis was used to identify the processes which have the largest effect on both total hepatic triglyceride levels and on the sinusoidal location of steatosis. As is seen in vivo, steatosis occurs when simulating IR in the model, predominantly due to increased uptake, along with an increase in de novo lipogenesis. Additionally, concentrations of glucose intermediates including glycerol-3-phosphate increased when simulating IR due to inhibited glycogen synthesis. Several differences between zones contributed to a higher susceptibility to steatosis in pericentral cells in the model simulations. Firstly, the periportal zonation of both glycogen synthase and the oxidative phosphorylation enzymes meant that the build-up of glucose intermediates was less severe in the periportal hepatocyte compartments. Secondly, the periportal zonation of the enzymes mediating \u03b2-oxidation and oxidative phosphorylation resulted in excess fats being metabolised more rapidly in the periportal hepatocyte compartments. Finally, the pericentral expression of de novo lipogenesis contributed to pericentral steatosis when additionally simulating the increase in sterol-regulatory element binding protein 1c (SREBP-1c) seen in N\u2026", "author" : [ { "dropping-particle" : "", "family" : "Ashworth", "given" : "William B.", "non-dropping-particle" : "", "parse-names" : false, "suffix" : "" }, { "dropping-particle" : "", "family" : "Davies", "given" : "Nathan A.", "non-dropping-particle" : "", "parse-names" : false, "suffix" : "" }, { "dropping-particle" : "", "family" : "Bogle", "given" : "I. David L.", "non-dropping-particle" : "", "parse-names" : false, "suffix" : "" } ], "container-title" : "PLoS Computational Biology", "id" : "ITEM-1", "issue" : "9", "issued" : { "date-parts" : [ [ "2016" ] ] }, "page" : "e1005105", "title" : "A Computational Model of Hepatic Energy Metabolism: Understanding Zonated Damage and Steatosis in NAFLD", "type" : "article-journal", "volume" : "12" }, "uris" : [ "http://www.mendeley.com/documents/?uuid=b5448411-deab-4b86-bccb-0ed24780030b" ] } ], "mendeley" : { "formattedCitation" : "&lt;sup&gt;&lt;sup&gt;78&lt;/sup&gt;&lt;/sup&gt;", "plainTextFormattedCitation" : "78", "previouslyFormattedCitation" : "&lt;sup&gt;&lt;sup&gt;78&lt;/sup&gt;&lt;/sup&gt;"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78</w:t>
      </w:r>
      <w:r w:rsidR="00741705" w:rsidRPr="00383A89">
        <w:rPr>
          <w:lang w:val="en-GB"/>
        </w:rPr>
        <w:fldChar w:fldCharType="end"/>
      </w:r>
      <w:r w:rsidRPr="00383A89">
        <w:rPr>
          <w:lang w:val="en-GB"/>
        </w:rPr>
        <w:t>, fat accumulation</w:t>
      </w:r>
      <w:r w:rsidR="00741705" w:rsidRPr="00383A89">
        <w:rPr>
          <w:lang w:val="en-GB"/>
        </w:rPr>
        <w:fldChar w:fldCharType="begin" w:fldLock="1"/>
      </w:r>
      <w:r w:rsidR="00E8653E">
        <w:rPr>
          <w:lang w:val="en-GB"/>
        </w:rPr>
        <w:instrText>ADDIN CSL_CITATION { "citationItems" : [ { "id" : "ITEM-1", "itemData" : { "DOI" : "10.1098/rsif.2017.0443", "ISSN" : "1742-5689", "PMID" : "28835543", "abstract" : "Intrinsic of non-alcoholic fatty liver diseases is an aberrant accumulation of triglycerides (steatosis), which occurs inhomogeneously within lobules. To improve our understanding of the mechanisms involved in this zonation patterning, we developed a mathematical multicompartment model of hepatic fatty acid metabolism accompanied by blood flow simulations. A model analysis determines the influence of the uptake process of fatty acids, the porto-central gradient of plasma fatty acid concentration, and the oxygen supply via blood on the zonation of triglyceride accumulation. From this theoretical perspective, the plasma oxygen gradient, but not the fatty acid gradient, leads the way to a zonated triglyceride accumulation by its decisive role in oxidative processes. In addition, the uptake mechanism of fatty acids seems to be fundamental for a pericentral dominance of steatosis. However, the mechanism of cellular fatty acid uptake from the blood is still under debate. Our theoretical approach supports the transporter-mediated uptake mechanism and reveals that the maximal velocity of fatty acid uptake affects the switching between a periportal and a pericentral triglyceride accumulation. Further research on hepatic fatty acid uptake is needed to push forward our understanding of aberrant triglyceride accumulation in diet-induced steatosis.", "author" : [ { "dropping-particle" : "", "family" : "Schleicher", "given" : "Jana", "non-dropping-particle" : "", "parse-names" : false, "suffix" : "" }, { "dropping-particle" : "", "family" : "Dahmen", "given" : "Uta", "non-dropping-particle" : "", "parse-names" : false, "suffix" : "" }, { "dropping-particle" : "", "family" : "Guthke", "given" : "Reinhard", "non-dropping-particle" : "", "parse-names" : false, "suffix" : "" }, { "dropping-particle" : "", "family" : "Schuster", "given" : "Stefan", "non-dropping-particle" : "", "parse-names" : false, "suffix" : "" } ], "container-title" : "Journal of The Royal Society Interface", "id" : "ITEM-1", "issue" : "133", "issued" : { "date-parts" : [ [ "2017" ] ] }, "page" : "20170443", "title" : "Zonation of hepatic fat accumulation: insights from mathematical modelling of nutrient gradients and fatty acid uptake", "type" : "article-journal", "volume" : "14" }, "uris" : [ "http://www.mendeley.com/documents/?uuid=9f919961-f557-4275-a9fd-662d6d719f80" ] } ], "mendeley" : { "formattedCitation" : "&lt;sup&gt;&lt;sup&gt;79&lt;/sup&gt;&lt;/sup&gt;", "plainTextFormattedCitation" : "79", "previouslyFormattedCitation" : "&lt;sup&gt;&lt;sup&gt;79&lt;/sup&gt;&lt;/sup&gt;"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79</w:t>
      </w:r>
      <w:r w:rsidR="00741705" w:rsidRPr="00383A89">
        <w:rPr>
          <w:lang w:val="en-GB"/>
        </w:rPr>
        <w:fldChar w:fldCharType="end"/>
      </w:r>
      <w:r w:rsidRPr="00383A89">
        <w:rPr>
          <w:lang w:val="en-GB"/>
        </w:rPr>
        <w:t>, iron metabolism</w:t>
      </w:r>
      <w:r w:rsidR="00741705" w:rsidRPr="00383A89">
        <w:rPr>
          <w:lang w:val="en-GB"/>
        </w:rPr>
        <w:fldChar w:fldCharType="begin" w:fldLock="1"/>
      </w:r>
      <w:r w:rsidR="008830B1">
        <w:rPr>
          <w:lang w:val="en-GB"/>
        </w:rPr>
        <w:instrText>ADDIN CSL_CITATION { "citationItems" : [ { "id" : "ITEM-1", "itemData" : { "DOI" : "10.1371/journal.pcbi.1003299", "ISBN" : "1553-7358 (Electronic)\\r1553-734X (Linking)", "ISSN" : "1553734X", "PMID" : "24244122", "abstract" : "Iron is essential for all known life due to its redox properties; however, these same properties can also lead to its toxicity in overload through the production of reactive oxygen species. Robust systemic and cellular control are required to maintain safe levels of iron, and the liver seems to be where this regulation is mainly located. Iron misregulation is implicated in many diseases, and as our understanding of iron metabolism improves, the list of iron-related disorders grows. Recent developments have resulted in greater knowledge of the fate of iron in the body and have led to a detailed map of its metabolism; however, a quantitative understanding at the systems level of how its components interact to produce tight regulation remains elusive. A mechanistic computational model of human liver iron metabolism, which includes the core regulatory components, is presented here. It was constructed based on known mechanisms of regulation and on their kinetic properties, obtained from several publications. The model was then quantitatively validated by comparing its results with previously published physiological data, and it is able to reproduce multiple experimental findings. A time course simulation following an oral dose of iron was compared to a clinical time course study and the simulation was found to recreate the dynamics and time scale of the systems response to iron challenge. A disease state simulation of haemochromatosis was created by altering a single reaction parameter that mimics a human haemochromatosis gene (HFE) mutation. The simulation provides a quantitative understanding of the liver iron overload that arises in this disease. This model supports and supplements understanding of the role of the liver as an iron sensor and provides a framework for further modelling, including simulations to identify valuable drug targets and design of experiments to improve further our knowledge of this system.", "author" : [ { "dropping-particle" : "", "family" : "Mitchell", "given" : "Simon", "non-dropping-particle" : "", "parse-names" : false, "suffix" : "" }, { "dropping-particle" : "", "family" : "Mendes", "given" : "Pedro", "non-dropping-particle" : "", "parse-names" : false, "suffix" : "" } ], "container-title" : "PLoS Computational Biology", "id" : "ITEM-1", "issue" : "11", "issued" : { "date-parts" : [ [ "2013" ] ] }, "page" : "e1003299", "title" : "A Computational Model of Liver Iron Metabolism", "type" : "article-journal", "volume" : "9" }, "uris" : [ "http://www.mendeley.com/documents/?uuid=649581b6-872b-4ab3-bdd7-a8c8a75126b3" ] } ], "mendeley" : { "formattedCitation" : "&lt;sup&gt;&lt;sup&gt;80&lt;/sup&gt;&lt;/sup&gt;", "plainTextFormattedCitation" : "80", "previouslyFormattedCitation" : "&lt;sup&gt;&lt;sup&gt;80&lt;/sup&gt;&lt;/sup&gt;"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80</w:t>
      </w:r>
      <w:r w:rsidR="00741705" w:rsidRPr="00383A89">
        <w:rPr>
          <w:lang w:val="en-GB"/>
        </w:rPr>
        <w:fldChar w:fldCharType="end"/>
      </w:r>
      <w:r w:rsidR="00741705" w:rsidRPr="00383A89">
        <w:rPr>
          <w:lang w:val="en-GB"/>
        </w:rPr>
        <w:t xml:space="preserve"> and</w:t>
      </w:r>
      <w:r w:rsidRPr="00383A89">
        <w:rPr>
          <w:lang w:val="en-GB"/>
        </w:rPr>
        <w:t xml:space="preserve"> xenobiotic metabolism</w:t>
      </w:r>
      <w:r w:rsidR="00741705" w:rsidRPr="00383A89">
        <w:rPr>
          <w:lang w:val="en-GB"/>
        </w:rPr>
        <w:fldChar w:fldCharType="begin" w:fldLock="1"/>
      </w:r>
      <w:r w:rsidR="008830B1">
        <w:rPr>
          <w:lang w:val="en-GB"/>
        </w:rPr>
        <w:instrText>ADDIN CSL_CITATION { "citationItems" : [ { "id" : "ITEM-1", "itemData" : { "DOI" : "10.1371/journal.pone.0162428", "ISSN" : "19326203", "PMID" : "27636091", "abstract" : "We describe a multi-scale, liver-centric in silico modeling framework for acetaminophen pharmacology and metabolism. We focus on a computational model to characterize whole body uptake and clearance, liver transport and phase I and phase II metabolism. We do this by incorporating sub-models that span three scales; Physiologically Based Pharmacokinetic (PBPK) modeling of acetaminophen uptake and distribution at the whole body level, cell and blood flow modeling at the tissue/organ level and metabolism at the sub-cellular level. We have used standard modeling modalities at each of the three scales. In particular, we have used the Systems Biology Markup Language (SBML) to create both the whole-body and sub-cellular scales. Our modeling approach allows us to run the individual sub-models separately and allows us to easily exchange models at a particular scale without the need to extensively rework the sub-models at other scales. In addition, the use of SBML greatly facilitates the inclusion of biological annotations directly in the model code. The model was calibrated using human in vivo data for acetaminophen and its sulfate and glucuronate metabolites. We then carried out extensive parameter sensitivity studies including the pairwise interaction of parameters. We also simulated population variation of exposure and sensitivity to acetaminophen. Our modeling framework can be extended to the prediction of liver toxicity following acetaminophen overdose, or used as a general purpose pharmacokinetic model for xenobiotics.", "author" : [ { "dropping-particle" : "", "family" : "Sluka", "given" : "James P.", "non-dropping-particle" : "", "parse-names" : false, "suffix" : "" }, { "dropping-particle" : "", "family" : "Fu", "given" : "Xiao", "non-dropping-particle" : "", "parse-names" : false, "suffix" : "" }, { "dropping-particle" : "", "family" : "Swat", "given" : "Maciej", "non-dropping-particle" : "", "parse-names" : false, "suffix" : "" }, { "dropping-particle" : "", "family" : "Belmonte", "given" : "Julio M.", "non-dropping-particle" : "", "parse-names" : false, "suffix" : "" }, { "dropping-particle" : "", "family" : "Cosmanescu", "given" : "Alin", "non-dropping-particle" : "", "parse-names" : false, "suffix" : "" }, { "dropping-particle" : "", "family" : "Clendenon", "given" : "Sherry G.", "non-dropping-particle" : "", "parse-names" : false, "suffix" : "" }, { "dropping-particle" : "", "family" : "Wambaugh", "given" : "John F.", "non-dropping-particle" : "", "parse-names" : false, "suffix" : "" }, { "dropping-particle" : "", "family" : "Glazier", "given" : "James A.", "non-dropping-particle" : "", "parse-names" : false, "suffix" : "" } ], "container-title" : "PLoS ONE", "id" : "ITEM-1", "issue" : "9", "issued" : { "date-parts" : [ [ "2016" ] ] }, "page" : "e0162428", "title" : "A liver-centric multiscale modeling framework for xenobiotics", "type" : "article-journal", "volume" : "11" }, "uris" : [ "http://www.mendeley.com/documents/?uuid=1657fa0d-ee0f-47b9-aec4-7a61b4296f28" ] } ], "mendeley" : { "formattedCitation" : "&lt;sup&gt;&lt;sup&gt;81&lt;/sup&gt;&lt;/sup&gt;", "plainTextFormattedCitation" : "81", "previouslyFormattedCitation" : "&lt;sup&gt;&lt;sup&gt;81&lt;/sup&gt;&lt;/sup&gt;" }, "properties" : { "noteIndex" : 0 }, "schema" : "https://github.com/citation-style-language/schema/raw/master/csl-citation.json" }</w:instrText>
      </w:r>
      <w:r w:rsidR="00741705" w:rsidRPr="00383A89">
        <w:rPr>
          <w:lang w:val="en-GB"/>
        </w:rPr>
        <w:fldChar w:fldCharType="separate"/>
      </w:r>
      <w:r w:rsidR="00E8653E" w:rsidRPr="00E8653E">
        <w:rPr>
          <w:noProof/>
          <w:vertAlign w:val="superscript"/>
          <w:lang w:val="en-GB"/>
        </w:rPr>
        <w:t>81</w:t>
      </w:r>
      <w:r w:rsidR="00741705" w:rsidRPr="00383A89">
        <w:rPr>
          <w:lang w:val="en-GB"/>
        </w:rPr>
        <w:fldChar w:fldCharType="end"/>
      </w:r>
      <w:r w:rsidRPr="00383A89">
        <w:rPr>
          <w:lang w:val="en-GB"/>
        </w:rPr>
        <w:t xml:space="preserve">. </w:t>
      </w:r>
      <w:r w:rsidR="00741705" w:rsidRPr="00383A89">
        <w:rPr>
          <w:lang w:val="en-GB"/>
        </w:rPr>
        <w:t>Ev</w:t>
      </w:r>
      <w:r w:rsidR="00B14558" w:rsidRPr="00383A89">
        <w:rPr>
          <w:lang w:val="en-GB"/>
        </w:rPr>
        <w:t>en though liver</w:t>
      </w:r>
      <w:r w:rsidR="00741705" w:rsidRPr="00383A89">
        <w:rPr>
          <w:lang w:val="en-GB"/>
        </w:rPr>
        <w:t xml:space="preserve"> exhibits </w:t>
      </w:r>
      <w:r w:rsidR="00B14558" w:rsidRPr="00383A89">
        <w:rPr>
          <w:lang w:val="en-GB"/>
        </w:rPr>
        <w:t xml:space="preserve">a </w:t>
      </w:r>
      <w:r w:rsidR="00741705" w:rsidRPr="00383A89">
        <w:rPr>
          <w:lang w:val="en-GB"/>
        </w:rPr>
        <w:t>large dynamical complexity</w:t>
      </w:r>
      <w:r w:rsidRPr="00383A89">
        <w:rPr>
          <w:lang w:val="en-GB"/>
        </w:rPr>
        <w:t>, the</w:t>
      </w:r>
      <w:r w:rsidR="00741705" w:rsidRPr="00383A89">
        <w:rPr>
          <w:lang w:val="en-GB"/>
        </w:rPr>
        <w:t>ir</w:t>
      </w:r>
      <w:r w:rsidRPr="00383A89">
        <w:rPr>
          <w:lang w:val="en-GB"/>
        </w:rPr>
        <w:t xml:space="preserve"> microscopic architecture is remarkably uniform. </w:t>
      </w:r>
      <w:r w:rsidR="00BF6568" w:rsidRPr="00383A89">
        <w:rPr>
          <w:lang w:val="en-GB"/>
        </w:rPr>
        <w:t>The</w:t>
      </w:r>
      <w:r w:rsidRPr="00383A89">
        <w:rPr>
          <w:lang w:val="en-GB"/>
        </w:rPr>
        <w:t xml:space="preserve"> uniformity of </w:t>
      </w:r>
      <w:r w:rsidR="00AD1DF2" w:rsidRPr="00383A89">
        <w:rPr>
          <w:lang w:val="en-GB"/>
        </w:rPr>
        <w:t xml:space="preserve">the </w:t>
      </w:r>
      <w:r w:rsidRPr="00383A89">
        <w:rPr>
          <w:lang w:val="en-GB"/>
        </w:rPr>
        <w:t>liver structure makes</w:t>
      </w:r>
      <w:r w:rsidR="00686171" w:rsidRPr="00383A89">
        <w:rPr>
          <w:lang w:val="en-GB"/>
        </w:rPr>
        <w:t xml:space="preserve"> the</w:t>
      </w:r>
      <w:r w:rsidRPr="00383A89">
        <w:rPr>
          <w:lang w:val="en-GB"/>
        </w:rPr>
        <w:t xml:space="preserve"> </w:t>
      </w:r>
      <w:r w:rsidR="00686171" w:rsidRPr="00383A89">
        <w:rPr>
          <w:lang w:val="en-GB"/>
        </w:rPr>
        <w:t>modelling</w:t>
      </w:r>
      <w:r w:rsidRPr="00383A89">
        <w:rPr>
          <w:lang w:val="en-GB"/>
        </w:rPr>
        <w:t xml:space="preserve"> </w:t>
      </w:r>
      <w:r w:rsidR="00686171" w:rsidRPr="00383A89">
        <w:rPr>
          <w:lang w:val="en-GB"/>
        </w:rPr>
        <w:t xml:space="preserve">of </w:t>
      </w:r>
      <w:r w:rsidRPr="00383A89">
        <w:rPr>
          <w:lang w:val="en-GB"/>
        </w:rPr>
        <w:t>the hepatic architecture relatively eas</w:t>
      </w:r>
      <w:r w:rsidR="00686171" w:rsidRPr="00383A89">
        <w:rPr>
          <w:lang w:val="en-GB"/>
        </w:rPr>
        <w:t>y</w:t>
      </w:r>
      <w:r w:rsidRPr="00383A89">
        <w:rPr>
          <w:lang w:val="en-GB"/>
        </w:rPr>
        <w:t xml:space="preserve">, </w:t>
      </w:r>
      <w:r w:rsidR="00686171" w:rsidRPr="00383A89">
        <w:rPr>
          <w:lang w:val="en-GB"/>
        </w:rPr>
        <w:t>which</w:t>
      </w:r>
      <w:r w:rsidR="00AD1DF2" w:rsidRPr="00383A89">
        <w:rPr>
          <w:lang w:val="en-GB"/>
        </w:rPr>
        <w:t xml:space="preserve"> is indicated by</w:t>
      </w:r>
      <w:r w:rsidR="00F651C8" w:rsidRPr="00383A89">
        <w:rPr>
          <w:lang w:val="en-GB"/>
        </w:rPr>
        <w:t xml:space="preserve"> several </w:t>
      </w:r>
      <w:r w:rsidR="00F651C8" w:rsidRPr="00383A89">
        <w:rPr>
          <w:i/>
          <w:lang w:val="en-GB"/>
        </w:rPr>
        <w:t>in</w:t>
      </w:r>
      <w:r w:rsidRPr="00383A89">
        <w:rPr>
          <w:i/>
          <w:lang w:val="en-GB"/>
        </w:rPr>
        <w:t xml:space="preserve"> silico</w:t>
      </w:r>
      <w:r w:rsidRPr="00383A89">
        <w:rPr>
          <w:lang w:val="en-GB"/>
        </w:rPr>
        <w:t xml:space="preserve"> models of hepatic structural architecture</w:t>
      </w:r>
      <w:r w:rsidR="00B138B4">
        <w:rPr>
          <w:lang w:val="en-GB"/>
        </w:rPr>
        <w:t>.</w:t>
      </w:r>
      <w:r w:rsidR="00C266D6" w:rsidRPr="00383A89">
        <w:rPr>
          <w:lang w:val="en-GB"/>
        </w:rPr>
        <w:fldChar w:fldCharType="begin" w:fldLock="1"/>
      </w:r>
      <w:r w:rsidR="00E8653E">
        <w:rPr>
          <w:lang w:val="en-GB"/>
        </w:rPr>
        <w:instrText>ADDIN CSL_CITATION { "citationItems" : [ { "id" : "ITEM-1", "itemData" : { "DOI" : "10.1016/j.jhep.2014.06.013", "ISBN" : "1600-0641", "ISSN" : "16000641", "PMID" : "24950483", "abstract" : "From the more than 100 liver diseases described, many of those with high incidence rates manifest themselves by histopathological changes, such as hepatitis, alcoholic liver disease, fatty liver disease, fibrosis, and, in its later stages, cirrhosis, hepatocellular carcinoma, primary biliary cirrhosis and other disorders. Studies of disease pathogeneses are largely based on integrating -omics data pooled from cells at different locations with spatial information from stained liver structures in animal models. Even though this has led to significant insights, the complexity of interactions as well as the involvement of processes at many different time and length scales constrains the possibility to condense disease processes in illustrations, schemes and tables. The combination of modern imaging modalities with image processing and analysis, and mathematical models opens up a promising new approach towards a quantitative understanding of pathologies and of disease processes. This strategy is discussed for two examples, ammonia metabolism after drug-induced acute liver damage, and the recovery of liver mass as well as architecture during the subsequent regeneration process. This interdisciplinary approach permits integration of biological mechanisms and models of processes contributing to disease progression at various scales into mathematical models. These can be used to perform in silico simulations to promote unravelling the relation between architecture and function as below illustrated for liver regeneration, and bridging from the in vitro situation and animal models to humans. In the near future novel mechanisms will usually not be directly elucidated by modelling. However, models will falsify hypotheses and guide towards the most informative experimental design.", "author" : [ { "dropping-particle" : "", "family" : "Drasdo", "given" : "Dirk", "non-dropping-particle" : "", "parse-names" : false, "suffix" : "" }, { "dropping-particle" : "", "family" : "Hoehme", "given" : "Stefan", "non-dropping-particle" : "", "parse-names" : false, "suffix" : "" }, { "dropping-particle" : "", "family" : "Hengstler", "given" : "Jan G.", "non-dropping-particle" : "", "parse-names" : false, "suffix" : "" } ], "container-title" : "Journal of Hepatology", "id" : "ITEM-1", "issue" : "4", "issued" : { "date-parts" : [ [ "2014" ] ] }, "page" : "951-956", "title" : "How predictive quantitative modelling of tissue organization can inform liver disease pathogenesis", "type" : "article-journal", "volume" : "61" }, "uris" : [ "http://www.mendeley.com/documents/?uuid=8f072dcb-3b3c-4b99-9ebb-69f0dc037ffb" ] }, { "id" : "ITEM-2", "itemData" : { "author" : [ { "dropping-particle" : "", "family" : "Naito", "given" : "Yasuhiro", "non-dropping-particle" : "", "parse-names" : false, "suffix" : "" } ], "container-title" : "E-Cell System", "id" : "ITEM-2", "issued" : { "date-parts" : [ [ "2013" ] ] }, "page" : "143-155", "publisher" : "Springer", "publisher-place" : "New York", "title" : "A Computational Model of the Hepatic Lobule", "type" : "chapter" }, "uris" : [ "http://www.mendeley.com/documents/?uuid=b1773c7d-bfab-4011-bf1d-1bd5cbfd3c91" ] } ], "mendeley" : { "formattedCitation" : "&lt;sup&gt;&lt;sup&gt;82&lt;/sup&gt;,&lt;sup&gt;83&lt;/sup&gt;&lt;/sup&gt;", "plainTextFormattedCitation" : "82,83", "previouslyFormattedCitation" : "&lt;sup&gt;&lt;sup&gt;82&lt;/sup&gt;,&lt;sup&gt;83&lt;/sup&gt;&lt;/sup&gt;" }, "properties" : { "noteIndex" : 0 }, "schema" : "https://github.com/citation-style-language/schema/raw/master/csl-citation.json" }</w:instrText>
      </w:r>
      <w:r w:rsidR="00C266D6" w:rsidRPr="00383A89">
        <w:rPr>
          <w:lang w:val="en-GB"/>
        </w:rPr>
        <w:fldChar w:fldCharType="separate"/>
      </w:r>
      <w:r w:rsidR="00E8653E" w:rsidRPr="00E8653E">
        <w:rPr>
          <w:noProof/>
          <w:vertAlign w:val="superscript"/>
          <w:lang w:val="en-GB"/>
        </w:rPr>
        <w:t>82,83</w:t>
      </w:r>
      <w:r w:rsidR="00C266D6" w:rsidRPr="00383A89">
        <w:rPr>
          <w:lang w:val="en-GB"/>
        </w:rPr>
        <w:fldChar w:fldCharType="end"/>
      </w:r>
      <w:r w:rsidRPr="00383A89">
        <w:rPr>
          <w:lang w:val="en-GB"/>
        </w:rPr>
        <w:t xml:space="preserve"> Th</w:t>
      </w:r>
      <w:r w:rsidR="00BF6568" w:rsidRPr="00383A89">
        <w:rPr>
          <w:lang w:val="en-GB"/>
        </w:rPr>
        <w:t>ese</w:t>
      </w:r>
      <w:r w:rsidR="00686171" w:rsidRPr="00383A89">
        <w:rPr>
          <w:lang w:val="en-GB"/>
        </w:rPr>
        <w:t xml:space="preserve"> models help</w:t>
      </w:r>
      <w:r w:rsidR="00BF6568" w:rsidRPr="00383A89">
        <w:rPr>
          <w:lang w:val="en-GB"/>
        </w:rPr>
        <w:t xml:space="preserve"> us</w:t>
      </w:r>
      <w:r w:rsidRPr="00383A89">
        <w:rPr>
          <w:lang w:val="en-GB"/>
        </w:rPr>
        <w:t xml:space="preserve"> to explain how cells form functional tissue</w:t>
      </w:r>
      <w:r w:rsidR="00686171" w:rsidRPr="00383A89">
        <w:rPr>
          <w:lang w:val="en-GB"/>
        </w:rPr>
        <w:t>s</w:t>
      </w:r>
      <w:r w:rsidR="004919E2" w:rsidRPr="00383A89">
        <w:rPr>
          <w:lang w:val="en-GB"/>
        </w:rPr>
        <w:t>, as</w:t>
      </w:r>
      <w:r w:rsidR="00CD43BF" w:rsidRPr="00383A89">
        <w:rPr>
          <w:lang w:val="en-GB"/>
        </w:rPr>
        <w:t xml:space="preserve"> for example</w:t>
      </w:r>
      <w:r w:rsidR="004919E2" w:rsidRPr="00383A89">
        <w:rPr>
          <w:lang w:val="en-GB"/>
        </w:rPr>
        <w:t xml:space="preserve"> in the </w:t>
      </w:r>
      <w:r w:rsidRPr="00383A89">
        <w:rPr>
          <w:lang w:val="en-GB"/>
        </w:rPr>
        <w:t>3</w:t>
      </w:r>
      <w:r w:rsidR="004919E2" w:rsidRPr="00383A89">
        <w:rPr>
          <w:lang w:val="en-GB"/>
        </w:rPr>
        <w:t>-dimensional</w:t>
      </w:r>
      <w:r w:rsidRPr="00383A89">
        <w:rPr>
          <w:lang w:val="en-GB"/>
        </w:rPr>
        <w:t xml:space="preserve"> computational model of liver regeneration</w:t>
      </w:r>
      <w:r w:rsidR="00B138B4">
        <w:rPr>
          <w:lang w:val="en-GB"/>
        </w:rPr>
        <w:t>.</w:t>
      </w:r>
      <w:r w:rsidR="00C266D6" w:rsidRPr="00383A89">
        <w:rPr>
          <w:lang w:val="en-GB"/>
        </w:rPr>
        <w:fldChar w:fldCharType="begin" w:fldLock="1"/>
      </w:r>
      <w:r w:rsidR="00E8653E">
        <w:rPr>
          <w:lang w:val="en-GB"/>
        </w:rPr>
        <w:instrText>ADDIN CSL_CITATION { "citationItems" : [ { "id" : "ITEM-1", "itemData" : { "DOI" : "10.1073/pnas.0909374107", "ISBN" : "4200822318", "ISSN" : "0027-8424", "PMID" : "20484673", "abstract" : "Only little is known about how cells coordinately behave to establish functional tissue structure and restore microarchitecture during regeneration. Research in this field is hampered by a lack of techniques that allow quantification of tissue architecture and its development. To bridge this gap, we have established a procedure based on confocal laser scans, image processing, and three-dimensional tissue reconstruction, as well as quantitative mathematical modeling. As a proof of principle, we reconstructed and modeled liver regeneration in mice after damage by CCl(4), a prototypical inducer of pericentral liver damage. We have chosen the regenerating liver as an example because of the tight link between liver architecture and function: the complex microarchitecture formed by hepatocytes and microvessels, i.e. sinusoids, ensures optimal exchange of metabolites between blood and hepatocytes. Our model captures all hepatocytes and sinusoids of a liver lobule during a 16 days regeneration process. The model unambiguously predicted a so-far unrecognized mechanism as essential for liver regeneration, whereby daughter hepatocytes align along the orientation of the closest sinusoid, a process which we named \"hepatocyte-sinusoid alignment\" (HSA). The simulated tissue architecture was only in agreement with the experimentally obtained data when HSA was included into the model and, moreover, no other likely mechanism could replace it. In order to experimentally validate the model of prediction of HSA, we analyzed the three-dimensional orientation of daughter hepatocytes in relation to the sinusoids. The results of this analysis clearly confirmed the model prediction. We believe our procedure is widely applicable in the systems biology of tissues.", "author" : [ { "dropping-particle" : "", "family" : "Hoehme", "given" : "S.", "non-dropping-particle" : "", "parse-names" : false, "suffix" : "" }, { "dropping-particle" : "", "family" : "Brulport", "given" : "M.", "non-dropping-particle" : "", "parse-names" : false, "suffix" : "" }, { "dropping-particle" : "", "family" : "Bauer", "given" : "A.", "non-dropping-particle" : "", "parse-names" : false, "suffix" : "" }, { "dropping-particle" : "", "family" : "Bedawy", "given" : "E.", "non-dropping-particle" : "", "parse-names" : false, "suffix" : "" }, { "dropping-particle" : "", "family" : "Schormann", "given" : "W.", "non-dropping-particle" : "", "parse-names" : false, "suffix" : "" }, { "dropping-particle" : "", "family" : "Hermes", "given" : "M.", "non-dropping-particle" : "", "parse-names" : false, "suffix" : "" }, { "dropping-particle" : "", "family" : "Puppe", "given" : "V.", "non-dropping-particle" : "", "parse-names" : false, "suffix" : "" }, { "dropping-particle" : "", "family" : "Gebhardt", "given" : "R.", "non-dropping-particle" : "", "parse-names" : false, "suffix" : "" }, { "dropping-particle" : "", "family" : "Zellmer", "given" : "S.", "non-dropping-particle" : "", "parse-names" : false, "suffix" : "" }, { "dropping-particle" : "", "family" : "Schwarz", "given" : "M.", "non-dropping-particle" : "", "parse-names" : false, "suffix" : "" }, { "dropping-particle" : "", "family" : "Bockamp", "given" : "E.", "non-dropping-particle" : "", "parse-names" : false, "suffix" : "" }, { "dropping-particle" : "", "family" : "Timmel", "given" : "T.", "non-dropping-particle" : "", "parse-names" : false, "suffix" : "" }, { "dropping-particle" : "", "family" : "Hengstler", "given" : "J. G.", "non-dropping-particle" : "", "parse-names" : false, "suffix" : "" }, { "dropping-particle" : "", "family" : "Drasdo", "given" : "D.", "non-dropping-particle" : "", "parse-names" : false, "suffix" : "" } ], "container-title" : "Proceedings of the National Academy of Sciences", "id" : "ITEM-1", "issue" : "23", "issued" : { "date-parts" : [ [ "2010" ] ] }, "page" : "10371-10376", "title" : "Prediction and validation of cell alignment along microvessels as order principle to restore tissue architecture in liver regeneration", "type" : "article-journal", "volume" : "107" }, "uris" : [ "http://www.mendeley.com/documents/?uuid=1c7f6747-c865-4e1e-91f7-07ffbd70442a" ] } ], "mendeley" : { "formattedCitation" : "&lt;sup&gt;&lt;sup&gt;84&lt;/sup&gt;&lt;/sup&gt;", "plainTextFormattedCitation" : "84", "previouslyFormattedCitation" : "&lt;sup&gt;&lt;sup&gt;84&lt;/sup&gt;&lt;/sup&gt;" }, "properties" : { "noteIndex" : 0 }, "schema" : "https://github.com/citation-style-language/schema/raw/master/csl-citation.json" }</w:instrText>
      </w:r>
      <w:r w:rsidR="00C266D6" w:rsidRPr="00383A89">
        <w:rPr>
          <w:lang w:val="en-GB"/>
        </w:rPr>
        <w:fldChar w:fldCharType="separate"/>
      </w:r>
      <w:r w:rsidR="00E8653E" w:rsidRPr="00E8653E">
        <w:rPr>
          <w:noProof/>
          <w:vertAlign w:val="superscript"/>
          <w:lang w:val="en-GB"/>
        </w:rPr>
        <w:t>84</w:t>
      </w:r>
      <w:r w:rsidR="00C266D6" w:rsidRPr="00383A89">
        <w:rPr>
          <w:lang w:val="en-GB"/>
        </w:rPr>
        <w:fldChar w:fldCharType="end"/>
      </w:r>
    </w:p>
    <w:p w14:paraId="454D8DD1" w14:textId="0C38426D" w:rsidR="000E3508" w:rsidRPr="00383A89" w:rsidRDefault="00741BB3" w:rsidP="00741BB3">
      <w:pPr>
        <w:jc w:val="both"/>
        <w:rPr>
          <w:lang w:val="en-GB"/>
        </w:rPr>
      </w:pPr>
      <w:r w:rsidRPr="00383A89">
        <w:rPr>
          <w:lang w:val="en-GB"/>
        </w:rPr>
        <w:t xml:space="preserve">To date, only </w:t>
      </w:r>
      <w:r w:rsidR="00104CA1" w:rsidRPr="00383A89">
        <w:rPr>
          <w:lang w:val="en-GB"/>
        </w:rPr>
        <w:t>selected</w:t>
      </w:r>
      <w:r w:rsidRPr="00383A89">
        <w:rPr>
          <w:lang w:val="en-GB"/>
        </w:rPr>
        <w:t xml:space="preserve"> computational approaches </w:t>
      </w:r>
      <w:r w:rsidR="00104CA1" w:rsidRPr="00383A89">
        <w:rPr>
          <w:lang w:val="en-GB"/>
        </w:rPr>
        <w:t>of</w:t>
      </w:r>
      <w:r w:rsidRPr="00383A89">
        <w:rPr>
          <w:lang w:val="en-GB"/>
        </w:rPr>
        <w:t xml:space="preserve"> hepat</w:t>
      </w:r>
      <w:r w:rsidR="00104CA1" w:rsidRPr="00383A89">
        <w:rPr>
          <w:lang w:val="en-GB"/>
        </w:rPr>
        <w:t>ic metabolism</w:t>
      </w:r>
      <w:r w:rsidRPr="00383A89">
        <w:rPr>
          <w:lang w:val="en-GB"/>
        </w:rPr>
        <w:t xml:space="preserve"> have been shifted to clinical application</w:t>
      </w:r>
      <w:r w:rsidR="00B138B4">
        <w:rPr>
          <w:lang w:val="en-GB"/>
        </w:rPr>
        <w:t>.</w:t>
      </w:r>
      <w:r w:rsidR="007E5D76" w:rsidRPr="00383A89">
        <w:rPr>
          <w:lang w:val="en-GB"/>
        </w:rPr>
        <w:fldChar w:fldCharType="begin" w:fldLock="1"/>
      </w:r>
      <w:r w:rsidR="00BE1F05">
        <w:rPr>
          <w:lang w:val="en-GB"/>
        </w:rPr>
        <w:instrText>ADDIN CSL_CITATION { "citationItems" : [ { "id" : "ITEM-1", "itemData" : { "DOI" : "10.1016/j.compbiomed.2017.07.005", "ISSN" : "18790534", "PMID" : "28732234", "abstract" : "Genome-scale metabolic models (GEMs) have become increasingly important in recent years. Currently, GEMs are the most accurate in silico representation of the genotype-phenotype link. They allow us to study complex networks from the systems perspective. Their application may drastically reduce the amount of experimental and clinical work, improve diagnostic tools and increase our understanding of complex biological phenomena. GEMs have also demonstrated high potential for the optimisation of bio-based production of recombinant proteins. Herein, we review the basic concepts, methods, resources and software tools used for the reconstruction and application of GEMs. We overview the evolution of the modelling efforts devoted to the metabolism of Chinese Hamster Ovary (CHO) cells. We present a case study on CHO cell metabolism under different amino acid depletions. This leads us to the identification of the most influential as well as essential amino acids in selected CHO cell lines.", "author" : [ { "dropping-particle" : "", "family" : "Rejc", "given" : "\u017diva", "non-dropping-particle" : "", "parse-names" : false, "suffix" : "" }, { "dropping-particle" : "", "family" : "Magdevska", "given" : "Lidija", "non-dropping-particle" : "", "parse-names" : false, "suffix" : "" }, { "dropping-particle" : "", "family" : "Tr\u0161eli\u010d", "given" : "Tilen", "non-dropping-particle" : "", "parse-names" : false, "suffix" : "" }, { "dropping-particle" : "", "family" : "Osolin", "given" : "Timotej", "non-dropping-particle" : "", "parse-names" : false, "suffix" : "" }, { "dropping-particle" : "", "family" : "Vodopivec", "given" : "Rok", "non-dropping-particle" : "", "parse-names" : false, "suffix" : "" }, { "dropping-particle" : "", "family" : "Mraz", "given" : "Jakob", "non-dropping-particle" : "", "parse-names" : false, "suffix" : "" }, { "dropping-particle" : "", "family" : "Pavliha", "given" : "Eva", "non-dropping-particle" : "", "parse-names" : false, "suffix" : "" }, { "dropping-particle" : "", "family" : "Zimic", "given" : "Nikolaj", "non-dropping-particle" : "", "parse-names" : false, "suffix" : "" }, { "dropping-particle" : "", "family" : "Cvitanovi\u0107", "given" : "Tanja", "non-dropping-particle" : "", "parse-names" : false, "suffix" : "" }, { "dropping-particle" : "", "family" : "Rozman", "given" : "Damjana", "non-dropping-particle" : "", "parse-names" : false, "suffix" : "" }, { "dropping-particle" : "", "family" : "Mo\u0161kon", "given" : "Miha", "non-dropping-particle" : "", "parse-names" : false, "suffix" : "" }, { "dropping-particle" : "", "family" : "Mraz", "given" : "Miha", "non-dropping-particle" : "", "parse-names" : false, "suffix" : "" } ], "container-title" : "Computers in Biology and Medicine", "id" : "ITEM-1", "issued" : { "date-parts" : [ [ "2017" ] ] }, "page" : "150-160", "title" : "Computational modelling of genome-scale metabolic networks and its application to CHO cell cultures", "type" : "article-journal", "volume" : "88" }, "uris" : [ "http://www.mendeley.com/documents/?uuid=6d68aeb9-04fd-4b48-a3d0-e9cd6c2436e6" ] } ], "mendeley" : { "formattedCitation" : "&lt;sup&gt;&lt;sup&gt;43&lt;/sup&gt;&lt;/sup&gt;", "plainTextFormattedCitation" : "43", "previouslyFormattedCitation" : "&lt;sup&gt;&lt;sup&gt;43&lt;/sup&gt;&lt;/sup&gt;" }, "properties" : { "noteIndex" : 0 }, "schema" : "https://github.com/citation-style-language/schema/raw/master/csl-citation.json" }</w:instrText>
      </w:r>
      <w:r w:rsidR="007E5D76" w:rsidRPr="00383A89">
        <w:rPr>
          <w:lang w:val="en-GB"/>
        </w:rPr>
        <w:fldChar w:fldCharType="separate"/>
      </w:r>
      <w:r w:rsidR="00E8653E" w:rsidRPr="00E8653E">
        <w:rPr>
          <w:noProof/>
          <w:vertAlign w:val="superscript"/>
          <w:lang w:val="en-GB"/>
        </w:rPr>
        <w:t>43</w:t>
      </w:r>
      <w:r w:rsidR="007E5D76" w:rsidRPr="00383A89">
        <w:rPr>
          <w:lang w:val="en-GB"/>
        </w:rPr>
        <w:fldChar w:fldCharType="end"/>
      </w:r>
      <w:r w:rsidR="00686171" w:rsidRPr="00383A89">
        <w:rPr>
          <w:lang w:val="en-GB"/>
        </w:rPr>
        <w:t xml:space="preserve"> I</w:t>
      </w:r>
      <w:r w:rsidRPr="00383A89">
        <w:rPr>
          <w:lang w:val="en-GB"/>
        </w:rPr>
        <w:t>ndividualized options for medical care of patients with</w:t>
      </w:r>
      <w:r w:rsidR="00B138B4">
        <w:rPr>
          <w:lang w:val="en-GB"/>
        </w:rPr>
        <w:t xml:space="preserve"> </w:t>
      </w:r>
      <w:r w:rsidRPr="00383A89">
        <w:rPr>
          <w:lang w:val="en-GB"/>
        </w:rPr>
        <w:t>HCC are n</w:t>
      </w:r>
      <w:r w:rsidR="00817041" w:rsidRPr="00383A89">
        <w:rPr>
          <w:lang w:val="en-GB"/>
        </w:rPr>
        <w:t xml:space="preserve">ot available yet, but </w:t>
      </w:r>
      <w:r w:rsidR="00817041" w:rsidRPr="00383A89">
        <w:rPr>
          <w:lang w:val="en-GB"/>
        </w:rPr>
        <w:lastRenderedPageBreak/>
        <w:t>there are</w:t>
      </w:r>
      <w:r w:rsidRPr="00383A89">
        <w:rPr>
          <w:lang w:val="en-GB"/>
        </w:rPr>
        <w:t xml:space="preserve"> large efforts to develop personalized systems care for them</w:t>
      </w:r>
      <w:r w:rsidR="00B138B4">
        <w:rPr>
          <w:lang w:val="en-GB"/>
        </w:rPr>
        <w:t>.</w:t>
      </w:r>
      <w:r w:rsidR="00C266D6" w:rsidRPr="00383A89">
        <w:rPr>
          <w:lang w:val="en-GB"/>
        </w:rPr>
        <w:fldChar w:fldCharType="begin" w:fldLock="1"/>
      </w:r>
      <w:r w:rsidR="008830B1">
        <w:rPr>
          <w:lang w:val="en-GB"/>
        </w:rPr>
        <w:instrText>ADDIN CSL_CITATION { "citationItems" : [ { "id" : "ITEM-1", "itemData" : { "DOI" : "10.1016/j.ctrv.2016.02.008", "ISBN" : "0305-7372", "ISSN" : "15321967", "PMID" : "26995632", "abstract" : "Following the approval of sorafenib, a large number of molecular targeted agents have been tested clinically for advanced hepatocellular carcinoma (HCC), but all have failed to demonstrate significant efficacy in clinical trials. Multiple reasons for this phenomenon have been discussed in the literature, with one reason being the lack of patient selection on the basis of molecular profile in clinical trials. The concept of drug testing in selected populations has been recently suggested by retrospective analyses of HCC clinical trials in which a particular subgroup of patients, either enriched by clinical factors or by tissue biomarkers, derived more benefits from the novel drug. In addition, recent advances in genomic medicine have enhanced the understanding of genetic and epigenetic events occurring in HCC, raising the possibility of personalizing targeted agents in accordance with the genetic make-up of the tumors. The development of 'personalized' treatment for HCC is, however, hindered by the lack of fresh biopsy of advanced HCC, the low incidence of genetic driver mutations in HCC and the tumor heterogeneity. These limitations may be overcome by sequencing cell-free DNA in plasma, frequently known as liquid biopsy, and revolution in the concept of the design of clinical trials. In this review article, we aim to: (1) give a summary of the recent sequencing results of HCC and the related implications for drug development; (2) highlight potential individual targeted agents and existing research on biomarker selection in clinical trials; and (3) discuss future directions, including the potential of liquid biopsy and umbrella clinical trials, to enhance personalized drug testing for HCC.", "author" : [ { "dropping-particle" : "", "family" : "Chan", "given" : "Stephen L.", "non-dropping-particle" : "", "parse-names" : false, "suffix" : "" }, { "dropping-particle" : "", "family" : "Wong", "given" : "Alissa M.", "non-dropping-particle" : "", "parse-names" : false, "suffix" : "" }, { "dropping-particle" : "", "family" : "Lee", "given" : "Kirsty", "non-dropping-particle" : "", "parse-names" : false, "suffix" : "" }, { "dropping-particle" : "", "family" : "Wong", "given" : "Nathalie", "non-dropping-particle" : "", "parse-names" : false, "suffix" : "" }, { "dropping-particle" : "", "family" : "Chan", "given" : "Allen K.C.", "non-dropping-particle" : "", "parse-names" : false, "suffix" : "" } ], "container-title" : "Cancer Treatment Reviews", "id" : "ITEM-1", "issued" : { "date-parts" : [ [ "2016" ] ] }, "page" : "77-86", "title" : "Personalized therapy for hepatocellular carcinoma: Where are we now?", "type" : "article-journal", "volume" : "45" }, "uris" : [ "http://www.mendeley.com/documents/?uuid=675267c6-5b7c-4a88-987c-ee4b258fc73e" ] } ], "mendeley" : { "formattedCitation" : "&lt;sup&gt;&lt;sup&gt;85&lt;/sup&gt;&lt;/sup&gt;", "plainTextFormattedCitation" : "85", "previouslyFormattedCitation" : "&lt;sup&gt;&lt;sup&gt;85&lt;/sup&gt;&lt;/sup&gt;" }, "properties" : { "noteIndex" : 0 }, "schema" : "https://github.com/citation-style-language/schema/raw/master/csl-citation.json" }</w:instrText>
      </w:r>
      <w:r w:rsidR="00C266D6" w:rsidRPr="00383A89">
        <w:rPr>
          <w:lang w:val="en-GB"/>
        </w:rPr>
        <w:fldChar w:fldCharType="separate"/>
      </w:r>
      <w:r w:rsidR="00E8653E" w:rsidRPr="00E8653E">
        <w:rPr>
          <w:noProof/>
          <w:vertAlign w:val="superscript"/>
          <w:lang w:val="en-GB"/>
        </w:rPr>
        <w:t>85</w:t>
      </w:r>
      <w:r w:rsidR="00C266D6" w:rsidRPr="00383A89">
        <w:rPr>
          <w:lang w:val="en-GB"/>
        </w:rPr>
        <w:fldChar w:fldCharType="end"/>
      </w:r>
      <w:r w:rsidRPr="00383A89">
        <w:rPr>
          <w:lang w:val="en-GB"/>
        </w:rPr>
        <w:t xml:space="preserve"> HCC </w:t>
      </w:r>
      <w:r w:rsidR="00686171" w:rsidRPr="00383A89">
        <w:rPr>
          <w:lang w:val="en-GB"/>
        </w:rPr>
        <w:t>presents</w:t>
      </w:r>
      <w:r w:rsidRPr="00383A89">
        <w:rPr>
          <w:lang w:val="en-GB"/>
        </w:rPr>
        <w:t xml:space="preserve"> a global he</w:t>
      </w:r>
      <w:r w:rsidR="00F75725" w:rsidRPr="00383A89">
        <w:rPr>
          <w:lang w:val="en-GB"/>
        </w:rPr>
        <w:t>alth problem because it is the seven</w:t>
      </w:r>
      <w:r w:rsidRPr="00383A89">
        <w:rPr>
          <w:lang w:val="en-GB"/>
        </w:rPr>
        <w:t xml:space="preserve">th most common cancer </w:t>
      </w:r>
      <w:r w:rsidR="00F75725" w:rsidRPr="00383A89">
        <w:rPr>
          <w:lang w:val="en-GB"/>
        </w:rPr>
        <w:t>in the world and the thi</w:t>
      </w:r>
      <w:r w:rsidRPr="00383A89">
        <w:rPr>
          <w:lang w:val="en-GB"/>
        </w:rPr>
        <w:t xml:space="preserve">rd leading cause of cancer-related </w:t>
      </w:r>
      <w:r w:rsidR="00F75725" w:rsidRPr="00383A89">
        <w:rPr>
          <w:lang w:val="en-GB"/>
        </w:rPr>
        <w:t>deaths</w:t>
      </w:r>
      <w:r w:rsidR="00B138B4">
        <w:rPr>
          <w:lang w:val="en-GB"/>
        </w:rPr>
        <w:t>.</w:t>
      </w:r>
      <w:r w:rsidR="00C266D6" w:rsidRPr="00383A89">
        <w:rPr>
          <w:lang w:val="en-GB"/>
        </w:rPr>
        <w:fldChar w:fldCharType="begin" w:fldLock="1"/>
      </w:r>
      <w:r w:rsidR="00E8653E">
        <w:rPr>
          <w:lang w:val="en-GB"/>
        </w:rPr>
        <w:instrText>ADDIN CSL_CITATION { "citationItems" : [ { "id" : "ITEM-1", "itemData" : { "DOI" : "10.1038/nrgastro.2010.100", "ISBN" : "1759-5053 (Electronic)\\r1759-5045 (Linking)", "ISSN" : "1759-5045", "PMID" : "20628345", "abstract" : "Hepatocellular carcinoma (HCC) is a global health problem, although developing countries are disproportionally affected: over 80% of HCCs occur in such regions. About three-quarters of HCCs are attributed to chronic HBV and HCV infections. In areas endemic for HCV and HBV, viral transmission occurs at an early age, and infected individuals develop HCC in mid-adulthood. As these are their most productive years of life, HCC accounts for a substantial burden on the health-care system and drain of productive capacity in the low-income and middle-income countries most affected by HCV and HBV infections. Environments with disparate resource levels require different strategies for the optimal management of HCC. In high-resource environments, guidelines from the American Association for the Study of Liver Diseases or European Association for the Study of the Liver should be applied. In intermediate-resource or low-resource environments, the fundamental focus should be on primary prevention of HCC, through universal HBV vaccination, taking appropriate precautions and antiviral treatments. In intermediate-resource and low-resource environments, the infrastructure and capacity for abdominal ultrasonography, percutaneous ethanol injection, radiofrequency ablation and surgical resection should be established. Programs to provide targeted therapy at low cost, similar to the approach used for HIV therapy in the developing world, should be pursued.", "author" : [ { "dropping-particle" : "", "family" : "Yang", "given" : "Ju Dong", "non-dropping-particle" : "", "parse-names" : false, "suffix" : "" }, { "dropping-particle" : "", "family" : "Roberts", "given" : "Lewis R.", "non-dropping-particle" : "", "parse-names" : false, "suffix" : "" } ], "container-title" : "Nature Reviews Gastroenterology &amp; Hepatology", "id" : "ITEM-1", "issue" : "8", "issued" : { "date-parts" : [ [ "2010" ] ] }, "page" : "448-458", "title" : "Hepatocellular carcinoma: a global view", "type" : "article-journal", "volume" : "7" }, "uris" : [ "http://www.mendeley.com/documents/?uuid=06398fe6-2638-478e-8fc7-a8136399245f" ] } ], "mendeley" : { "formattedCitation" : "&lt;sup&gt;&lt;sup&gt;86&lt;/sup&gt;&lt;/sup&gt;", "plainTextFormattedCitation" : "86", "previouslyFormattedCitation" : "&lt;sup&gt;&lt;sup&gt;86&lt;/sup&gt;&lt;/sup&gt;" }, "properties" : { "noteIndex" : 0 }, "schema" : "https://github.com/citation-style-language/schema/raw/master/csl-citation.json" }</w:instrText>
      </w:r>
      <w:r w:rsidR="00C266D6" w:rsidRPr="00383A89">
        <w:rPr>
          <w:lang w:val="en-GB"/>
        </w:rPr>
        <w:fldChar w:fldCharType="separate"/>
      </w:r>
      <w:r w:rsidR="00E8653E" w:rsidRPr="00E8653E">
        <w:rPr>
          <w:noProof/>
          <w:vertAlign w:val="superscript"/>
          <w:lang w:val="en-GB"/>
        </w:rPr>
        <w:t>86</w:t>
      </w:r>
      <w:r w:rsidR="00C266D6" w:rsidRPr="00383A89">
        <w:rPr>
          <w:lang w:val="en-GB"/>
        </w:rPr>
        <w:fldChar w:fldCharType="end"/>
      </w:r>
      <w:r w:rsidRPr="00383A89">
        <w:rPr>
          <w:lang w:val="en-GB"/>
        </w:rPr>
        <w:t xml:space="preserve"> Research in personalized approaches in hepatology has deliver</w:t>
      </w:r>
      <w:r w:rsidR="00686171" w:rsidRPr="00383A89">
        <w:rPr>
          <w:lang w:val="en-GB"/>
        </w:rPr>
        <w:t>ed</w:t>
      </w:r>
      <w:r w:rsidRPr="00383A89">
        <w:rPr>
          <w:lang w:val="en-GB"/>
        </w:rPr>
        <w:t xml:space="preserve"> </w:t>
      </w:r>
      <w:r w:rsidR="00817041" w:rsidRPr="00383A89">
        <w:rPr>
          <w:lang w:val="en-GB"/>
        </w:rPr>
        <w:t>different</w:t>
      </w:r>
      <w:r w:rsidRPr="00383A89">
        <w:rPr>
          <w:lang w:val="en-GB"/>
        </w:rPr>
        <w:t xml:space="preserve"> examples of successful application of systems biology such as HCC GEMs, which improved the HCC stratification and suggested new targets for personalized treatments</w:t>
      </w:r>
      <w:r w:rsidR="00B138B4">
        <w:rPr>
          <w:lang w:val="en-GB"/>
        </w:rPr>
        <w:t>.</w:t>
      </w:r>
      <w:r w:rsidR="00C266D6" w:rsidRPr="00383A89">
        <w:rPr>
          <w:lang w:val="en-GB"/>
        </w:rPr>
        <w:fldChar w:fldCharType="begin" w:fldLock="1"/>
      </w:r>
      <w:r w:rsidR="008830B1">
        <w:rPr>
          <w:lang w:val="en-GB"/>
        </w:rPr>
        <w:instrText>ADDIN CSL_CITATION { "citationItems" : [ { "id" : "ITEM-1", "itemData" : { "DOI" : "10.1038/msb.2011.35", "ISBN" : "1744-4292 (Electronic)\\n1744-4292 (Linking)", "ISSN" : "17444292", "PMID" : "21694718", "abstract" : "The interest in studying metabolic alterations in cancer and their potential role as novel targets for therapy has been rejuvenated in recent years. Here, we report the development of the first genome-scale network model of cancer metabolism, validated by correctly identifying genes essential for cellular proliferation in cancer cell lines. The model predicts 52 cytostatic drug targets, of which 40% are targeted by known, approved or experimental anticancer drugs, and the rest are new. It further predicts combinations of synthetic lethal drug targets, whose synergy is validated using available drug efficacy and gene expression measurements across the NCI-60 cancer cell line collection. Finally, potential selective treatments for specific cancers that depend on cancer type-specific downregulation of gene expression and somatic mutations are compiled.", "author" : [ { "dropping-particle" : "", "family" : "Folger", "given" : "Ori", "non-dropping-particle" : "", "parse-names" : false, "suffix" : "" }, { "dropping-particle" : "", "family" : "Jerby", "given" : "Livnat", "non-dropping-particle" : "", "parse-names" : false, "suffix" : "" }, { "dropping-particle" : "", "family" : "Frezza", "given" : "Christian", "non-dropping-particle" : "", "parse-names" : false, "suffix" : "" }, { "dropping-particle" : "", "family" : "Gottlieb", "given" : "Eyal", "non-dropping-particle" : "", "parse-names" : false, "suffix" : "" }, { "dropping-particle" : "", "family" : "Ruppin", "given" : "Eytan", "non-dropping-particle" : "", "parse-names" : false, "suffix" : "" }, { "dropping-particle" : "", "family" : "Shlomi", "given" : "Tomer", "non-dropping-particle" : "", "parse-names" : false, "suffix" : "" } ], "container-title" : "Molecular Systems Biology", "id" : "ITEM-1", "issued" : { "date-parts" : [ [ "2011" ] ] }, "page" : "501", "title" : "Predicting selective drug targets in cancer through metabolic networks", "type" : "article-journal", "volume" : "7" }, "uris" : [ "http://www.mendeley.com/documents/?uuid=51416142-35a1-417f-b07b-ee8078aa2c6f" ] }, { "id" : "ITEM-2", "itemData" : { "ISBN" : "1744-4292", "author" : [ { "dropping-particle" : "", "family" : "Agren", "given" : "Rasmus", "non-dropping-particle" : "", "parse-names" : false, "suffix" : "" }, { "dropping-particle" : "", "family" : "Mardinoglu", "given" : "Adil", "non-dropping-particle" : "", "parse-names" : false, "suffix" : "" }, { "dropping-particle" : "", "family" : "Asplund", "given" : "Anna", "non-dropping-particle" : "", "parse-names" : false, "suffix" : "" }, { "dropping-particle" : "", "family" : "Kampf", "given" : "Caroline", "non-dropping-particle" : "", "parse-names" : false, "suffix" : "" }, { "dropping-particle" : "", "family" : "Uhlen", "given" : "Mathias", "non-dropping-particle" : "", "parse-names" : false, "suffix" : "" }, { "dropping-particle" : "", "family" : "Nielsen", "given" : "Jens", "non-dropping-particle" : "", "parse-names" : false, "suffix" : "" } ], "container-title" : "Molecular systems biology", "id" : "ITEM-2", "issue" : "3", "issued" : { "date-parts" : [ [ "2014" ] ] }, "page" : "721", "title" : "Identification of anticancer drugs for hepatocellular carcinoma through personalized genome-scale metabolic modeling", "type" : "article-journal", "volume" : "10" }, "uris" : [ "http://www.mendeley.com/documents/?uuid=7ee39ed8-9284-4b1e-94c9-db892de831a9" ] }, { "id" : "ITEM-3", "itemData" : { "DOI" : "10.1016/j.celrep.2015.10.045", "ISBN" : "2211-1247", "ISSN" : "22111247", "PMID" : "26655911", "abstract" : "Hepatocellular carcinoma (HCC) is a deadly form of liver cancer that is increasingly prevalent. We analyzed global gene expression profiling of 361 HCC tumors and 49 adjacent noncancerous liver samples by means of combinatorial network-based analysis. We investigated the correlation between transcriptome and proteome of HCC and reconstructed a functional genome-scale metabolic model (GEM) for HCC. We identified fundamental metabolic processes required for cell proliferation using the network centric view provided by the GEM. Our analysis revealed tight regulation of fatty acid biosynthesis (FAB) and highly significant deregulation of fatty acid oxidation in HCC. We predicted mitochondrial acetate as an emerging substrate for FAB through upregulation of mitochondrial acetyl-CoA synthetase (ACSS1) in HCC. We analyzed heterogeneous expression of ACSS1 and ACSS2 between HCC patients stratified by high and low ACSS1 and ACSS2 expression and revealed that ACSS1 is associated with tumor growth and malignancy under hypoxic conditions in human HCC.", "author" : [ { "dropping-particle" : "", "family" : "Bj\u00f6rnson", "given" : "Elias", "non-dropping-particle" : "", "parse-names" : false, "suffix" : "" }, { "dropping-particle" : "", "family" : "Mukhopadhyay", "given" : "Bani", "non-dropping-particle" : "", "parse-names" : false, "suffix" : "" }, { "dropping-particle" : "", "family" : "Asplund", "given" : "Anna", "non-dropping-particle" : "", "parse-names" : false, "suffix" : "" }, { "dropping-particle" : "", "family" : "Pristovsek", "given" : "Nusa", "non-dropping-particle" : "", "parse-names" : false, "suffix" : "" }, { "dropping-particle" : "", "family" : "Cinar", "given" : "Resat", "non-dropping-particle" : "", "parse-names" : false, "suffix" : "" }, { "dropping-particle" : "", "family" : "Romeo", "given" : "Stefano", "non-dropping-particle" : "", "parse-names" : false, "suffix" : "" }, { "dropping-particle" : "", "family" : "Uhlen", "given" : "Mathias", "non-dropping-particle" : "", "parse-names" : false, "suffix" : "" }, { "dropping-particle" : "", "family" : "Kunos", "given" : "George", "non-dropping-particle" : "", "parse-names" : false, "suffix" : "" }, { "dropping-particle" : "", "family" : "Nielsen", "given" : "Jens", "non-dropping-particle" : "", "parse-names" : false, "suffix" : "" }, { "dropping-particle" : "", "family" : "Mardinoglu", "given" : "Adil", "non-dropping-particle" : "", "parse-names" : false, "suffix" : "" } ], "container-title" : "Cell Reports", "id" : "ITEM-3", "issue" : "9", "issued" : { "date-parts" : [ [ "2015" ] ] }, "page" : "2014-2026", "title" : "Stratification of Hepatocellular Carcinoma Patients Based on Acetate Utilization", "type" : "article-journal", "volume" : "13" }, "uris" : [ "http://www.mendeley.com/documents/?uuid=443a6bba-573f-47ea-8542-903388a0fa2b" ] } ], "mendeley" : { "formattedCitation" : "&lt;sup&gt;&lt;sup&gt;50&lt;/sup&gt;,&lt;sup&gt;75&lt;/sup&gt;,&lt;sup&gt;87&lt;/sup&gt;&lt;/sup&gt;", "plainTextFormattedCitation" : "50,75,87", "previouslyFormattedCitation" : "&lt;sup&gt;&lt;sup&gt;50&lt;/sup&gt;,&lt;sup&gt;75&lt;/sup&gt;,&lt;sup&gt;87&lt;/sup&gt;&lt;/sup&gt;" }, "properties" : { "noteIndex" : 0 }, "schema" : "https://github.com/citation-style-language/schema/raw/master/csl-citation.json" }</w:instrText>
      </w:r>
      <w:r w:rsidR="00C266D6" w:rsidRPr="00383A89">
        <w:rPr>
          <w:lang w:val="en-GB"/>
        </w:rPr>
        <w:fldChar w:fldCharType="separate"/>
      </w:r>
      <w:r w:rsidR="00E8653E" w:rsidRPr="00E8653E">
        <w:rPr>
          <w:noProof/>
          <w:vertAlign w:val="superscript"/>
          <w:lang w:val="en-GB"/>
        </w:rPr>
        <w:t>50,75,87</w:t>
      </w:r>
      <w:r w:rsidR="00C266D6" w:rsidRPr="00383A89">
        <w:rPr>
          <w:lang w:val="en-GB"/>
        </w:rPr>
        <w:fldChar w:fldCharType="end"/>
      </w:r>
      <w:r w:rsidR="00B138B4">
        <w:rPr>
          <w:lang w:val="en-GB"/>
        </w:rPr>
        <w:t xml:space="preserve"> </w:t>
      </w:r>
      <w:r w:rsidR="00817041" w:rsidRPr="00383A89">
        <w:rPr>
          <w:lang w:val="en-GB"/>
        </w:rPr>
        <w:t>Different</w:t>
      </w:r>
      <w:r w:rsidRPr="00383A89">
        <w:rPr>
          <w:lang w:val="en-GB"/>
        </w:rPr>
        <w:t xml:space="preserve"> GEMs </w:t>
      </w:r>
      <w:r w:rsidR="00F75725" w:rsidRPr="00383A89">
        <w:rPr>
          <w:lang w:val="en-GB"/>
        </w:rPr>
        <w:t>have been</w:t>
      </w:r>
      <w:r w:rsidR="00817041" w:rsidRPr="00383A89">
        <w:rPr>
          <w:lang w:val="en-GB"/>
        </w:rPr>
        <w:t xml:space="preserve"> </w:t>
      </w:r>
      <w:r w:rsidRPr="00383A89">
        <w:rPr>
          <w:lang w:val="en-GB"/>
        </w:rPr>
        <w:t xml:space="preserve">focused on the human liver metabolism. </w:t>
      </w:r>
      <w:r w:rsidRPr="00B138B4">
        <w:rPr>
          <w:i/>
          <w:lang w:val="en-GB"/>
        </w:rPr>
        <w:t>HepatoNet1</w:t>
      </w:r>
      <w:r w:rsidR="00C266D6" w:rsidRPr="00383A89">
        <w:rPr>
          <w:lang w:val="en-GB"/>
        </w:rPr>
        <w:fldChar w:fldCharType="begin" w:fldLock="1"/>
      </w:r>
      <w:r w:rsidR="008830B1">
        <w:rPr>
          <w:lang w:val="en-GB"/>
        </w:rPr>
        <w:instrText>ADDIN CSL_CITATION { "citationItems" : [ { "id" : "ITEM-1", "itemData" : { "DOI" : "10.1038/msb.2010.62", "ISBN" : "doi:10.1038/msb.2010.62", "ISSN" : "17444292", "PMID" : "20823849", "abstract" : "We present HepatoNet1, the first reconstruction of a comprehensive metabolic network of the human hepatocyte that is shown to accomplish a large canon of known metabolic liver functions. The network comprises 777 metabolites in six intracellular and two extracellular compartments and 2539 reactions, including 1466 transport reactions. It is based on the manual evaluation of &gt;1500 original scientific research publications to warrant a high-quality evidence-based model. The final network is the result of an iterative process of data compilation and rigorous computational testing of network functionality by means of constraint-based modeling techniques. Taking the hepatic detoxification of ammonia as an example, we show how the availability of nutrients and oxygen may modulate the interplay of various metabolic pathways to allow an efficient response of the liver to perturbations of the homeostasis of blood compounds.", "author" : [ { "dropping-particle" : "", "family" : "Gille", "given" : "Christoph", "non-dropping-particle" : "", "parse-names" : false, "suffix" : "" }, { "dropping-particle" : "", "family" : "B\u00f6lling", "given" : "Christian", "non-dropping-particle" : "", "parse-names" : false, "suffix" : "" }, { "dropping-particle" : "", "family" : "Hoppe", "given" : "Andreas", "non-dropping-particle" : "", "parse-names" : false, "suffix" : "" }, { "dropping-particle" : "", "family" : "Bulik", "given" : "Sascha", "non-dropping-particle" : "", "parse-names" : false, "suffix" : "" }, { "dropping-particle" : "", "family" : "Hoffmann", "given" : "Sabrina", "non-dropping-particle" : "", "parse-names" : false, "suffix" : "" }, { "dropping-particle" : "", "family" : "H\u00fcbner", "given" : "Katrin", "non-dropping-particle" : "", "parse-names" : false, "suffix" : "" }, { "dropping-particle" : "", "family" : "Karlst\u00e4dt", "given" : "Anja", "non-dropping-particle" : "", "parse-names" : false, "suffix" : "" }, { "dropping-particle" : "", "family" : "Ganeshan", "given" : "Ramanan", "non-dropping-particle" : "", "parse-names" : false, "suffix" : "" }, { "dropping-particle" : "", "family" : "K\u00f6nig", "given" : "Matthias", "non-dropping-particle" : "", "parse-names" : false, "suffix" : "" }, { "dropping-particle" : "", "family" : "Rother", "given" : "Kristian", "non-dropping-particle" : "", "parse-names" : false, "suffix" : "" }, { "dropping-particle" : "", "family" : "Weidlich", "given" : "Michael", "non-dropping-particle" : "", "parse-names" : false, "suffix" : "" }, { "dropping-particle" : "", "family" : "Behre", "given" : "J\u00f6rn", "non-dropping-particle" : "", "parse-names" : false, "suffix" : "" }, { "dropping-particle" : "", "family" : "Holzh\u00fctter", "given" : "Herrmann Georg", "non-dropping-particle" : "", "parse-names" : false, "suffix" : "" } ], "container-title" : "Molecular Systems Biology", "id" : "ITEM-1", "issued" : { "date-parts" : [ [ "2010" ] ] }, "page" : "411", "title" : "HepatoNet1: A comprehensive metabolic reconstruction of the human hepatocyte for the analysis of liver physiology", "type" : "article-journal", "volume" : "6" }, "uris" : [ "http://www.mendeley.com/documents/?uuid=30196728-d83d-42a5-856a-87662f79edea" ] } ], "mendeley" : { "formattedCitation" : "&lt;sup&gt;&lt;sup&gt;74&lt;/sup&gt;&lt;/sup&gt;", "plainTextFormattedCitation" : "74", "previouslyFormattedCitation" : "&lt;sup&gt;&lt;sup&gt;74&lt;/sup&gt;&lt;/sup&gt;" }, "properties" : { "noteIndex" : 0 }, "schema" : "https://github.com/citation-style-language/schema/raw/master/csl-citation.json" }</w:instrText>
      </w:r>
      <w:r w:rsidR="00C266D6" w:rsidRPr="00383A89">
        <w:rPr>
          <w:lang w:val="en-GB"/>
        </w:rPr>
        <w:fldChar w:fldCharType="separate"/>
      </w:r>
      <w:r w:rsidR="00E8653E" w:rsidRPr="00E8653E">
        <w:rPr>
          <w:noProof/>
          <w:vertAlign w:val="superscript"/>
          <w:lang w:val="en-GB"/>
        </w:rPr>
        <w:t>74</w:t>
      </w:r>
      <w:r w:rsidR="00C266D6" w:rsidRPr="00383A89">
        <w:rPr>
          <w:lang w:val="en-GB"/>
        </w:rPr>
        <w:fldChar w:fldCharType="end"/>
      </w:r>
      <w:r w:rsidRPr="00383A89">
        <w:rPr>
          <w:lang w:val="en-GB"/>
        </w:rPr>
        <w:t xml:space="preserve"> is a product of </w:t>
      </w:r>
      <w:r w:rsidR="00817041" w:rsidRPr="00383A89">
        <w:rPr>
          <w:lang w:val="en-GB"/>
        </w:rPr>
        <w:t xml:space="preserve">the liver </w:t>
      </w:r>
      <w:r w:rsidRPr="00383A89">
        <w:rPr>
          <w:lang w:val="en-GB"/>
        </w:rPr>
        <w:t>adapt</w:t>
      </w:r>
      <w:r w:rsidR="00817041" w:rsidRPr="00383A89">
        <w:rPr>
          <w:lang w:val="en-GB"/>
        </w:rPr>
        <w:t>ation of the</w:t>
      </w:r>
      <w:r w:rsidRPr="00383A89">
        <w:rPr>
          <w:lang w:val="en-GB"/>
        </w:rPr>
        <w:t xml:space="preserve"> human metabolic network </w:t>
      </w:r>
      <w:r w:rsidRPr="00B138B4">
        <w:rPr>
          <w:i/>
          <w:lang w:val="en-GB"/>
        </w:rPr>
        <w:t>Recon1</w:t>
      </w:r>
      <w:r w:rsidR="00C266D6" w:rsidRPr="00383A89">
        <w:rPr>
          <w:lang w:val="en-GB"/>
        </w:rPr>
        <w:fldChar w:fldCharType="begin" w:fldLock="1"/>
      </w:r>
      <w:r w:rsidR="00E8653E">
        <w:rPr>
          <w:lang w:val="en-GB"/>
        </w:rPr>
        <w:instrText>ADDIN CSL_CITATION { "citationItems" : [ { "id" : "ITEM-1", "itemData" : { "DOI" : "10.1073/pnas.0610772104", "ISBN" : "0610772104", "ISSN" : "0027-8424", "PMID" : "17267599", "abstract" : "Metabolism is a vital cellular process, and its malfunction is a major contributor to human disease. Metabolic networks are complex and highly interconnected, and thus systems-level computational approaches are required to elucidate and understand metabolic genotype-phenotype relationships. We have manually reconstructed the global human metabolic network based on Build 35 of the genome annotation and a comprehensive evaluation of &gt;50 years of legacy data (i.e., bibliomic data). Herein we describe the reconstruction process and demonstrate how the resulting genome-scale (or global) network can be used (i) for the discovery of missing information, (ii) for the formulation of an in silico model, and (iii) as a structured context for analyzing high-throughput biological data sets. Our comprehensive evaluation of the literature revealed many gaps in the current understanding of human metabolism that require future experimental investigation. Mathematical analysis of network structure elucidated the implications of intracellular compartmentalization and the potential use of correlated reaction sets for alternative drug target identification. Integrated analysis of high-throughput data sets within the context of the reconstruction enabled a global assessment of functional metabolic states. These results highlight some of the applications enabled by the reconstructed human metabolic network. The establishment of this network represents an important step toward genome-scale human systems biology.", "author" : [ { "dropping-particle" : "", "family" : "Duarte", "given" : "N. C.", "non-dropping-particle" : "", "parse-names" : false, "suffix" : "" }, { "dropping-particle" : "", "family" : "Becker", "given" : "S. A.", "non-dropping-particle" : "", "parse-names" : false, "suffix" : "" }, { "dropping-particle" : "", "family" : "Jamshidi", "given" : "N.", "non-dropping-particle" : "", "parse-names" : false, "suffix" : "" }, { "dropping-particle" : "", "family" : "Thiele", "given" : "I.", "non-dropping-particle" : "", "parse-names" : false, "suffix" : "" }, { "dropping-particle" : "", "family" : "Mo", "given" : "M. L.", "non-dropping-particle" : "", "parse-names" : false, "suffix" : "" }, { "dropping-particle" : "", "family" : "Vo", "given" : "T. D.", "non-dropping-particle" : "", "parse-names" : false, "suffix" : "" }, { "dropping-particle" : "", "family" : "Srivas", "given" : "R.", "non-dropping-particle" : "", "parse-names" : false, "suffix" : "" }, { "dropping-particle" : "", "family" : "Palsson", "given" : "B. O.", "non-dropping-particle" : "", "parse-names" : false, "suffix" : "" } ], "container-title" : "Proceedings of the National Academy of Sciences", "id" : "ITEM-1", "issue" : "6", "issued" : { "date-parts" : [ [ "2007" ] ] }, "page" : "1777-1782", "title" : "Global reconstruction of the human metabolic network based on genomic and bibliomic data", "type" : "article-journal", "volume" : "104" }, "uris" : [ "http://www.mendeley.com/documents/?uuid=55314950-65ff-4f7f-bb86-e72f47583a01" ] } ], "mendeley" : { "formattedCitation" : "&lt;sup&gt;&lt;sup&gt;88&lt;/sup&gt;&lt;/sup&gt;", "plainTextFormattedCitation" : "88", "previouslyFormattedCitation" : "&lt;sup&gt;&lt;sup&gt;88&lt;/sup&gt;&lt;/sup&gt;" }, "properties" : { "noteIndex" : 0 }, "schema" : "https://github.com/citation-style-language/schema/raw/master/csl-citation.json" }</w:instrText>
      </w:r>
      <w:r w:rsidR="00C266D6" w:rsidRPr="00383A89">
        <w:rPr>
          <w:lang w:val="en-GB"/>
        </w:rPr>
        <w:fldChar w:fldCharType="separate"/>
      </w:r>
      <w:r w:rsidR="00E8653E" w:rsidRPr="00E8653E">
        <w:rPr>
          <w:noProof/>
          <w:vertAlign w:val="superscript"/>
          <w:lang w:val="en-GB"/>
        </w:rPr>
        <w:t>88</w:t>
      </w:r>
      <w:r w:rsidR="00C266D6" w:rsidRPr="00383A89">
        <w:rPr>
          <w:lang w:val="en-GB"/>
        </w:rPr>
        <w:fldChar w:fldCharType="end"/>
      </w:r>
      <w:r w:rsidR="00C266D6" w:rsidRPr="00383A89">
        <w:rPr>
          <w:lang w:val="en-GB"/>
        </w:rPr>
        <w:t xml:space="preserve"> </w:t>
      </w:r>
      <w:r w:rsidR="00817041" w:rsidRPr="00383A89">
        <w:rPr>
          <w:lang w:val="en-GB"/>
        </w:rPr>
        <w:t>using the</w:t>
      </w:r>
      <w:r w:rsidRPr="00383A89">
        <w:rPr>
          <w:lang w:val="en-GB"/>
        </w:rPr>
        <w:t xml:space="preserve"> extensive knowledge and databases for hepatocyte representation. </w:t>
      </w:r>
      <w:r w:rsidRPr="00B138B4">
        <w:rPr>
          <w:i/>
          <w:lang w:val="en-GB"/>
        </w:rPr>
        <w:t>HepatoNet1</w:t>
      </w:r>
      <w:r w:rsidRPr="00383A89">
        <w:rPr>
          <w:lang w:val="en-GB"/>
        </w:rPr>
        <w:t xml:space="preserve"> </w:t>
      </w:r>
      <w:r w:rsidR="00686171" w:rsidRPr="00383A89">
        <w:rPr>
          <w:lang w:val="en-GB"/>
        </w:rPr>
        <w:t>h</w:t>
      </w:r>
      <w:r w:rsidR="007E732D" w:rsidRPr="00383A89">
        <w:rPr>
          <w:lang w:val="en-GB"/>
        </w:rPr>
        <w:t>as been used to explain the relations between the</w:t>
      </w:r>
      <w:r w:rsidR="00686171" w:rsidRPr="00383A89">
        <w:rPr>
          <w:lang w:val="en-GB"/>
        </w:rPr>
        <w:t xml:space="preserve"> </w:t>
      </w:r>
      <w:r w:rsidRPr="00383A89">
        <w:rPr>
          <w:lang w:val="en-GB"/>
        </w:rPr>
        <w:t>available oxygen level</w:t>
      </w:r>
      <w:r w:rsidR="007E732D" w:rsidRPr="00383A89">
        <w:rPr>
          <w:lang w:val="en-GB"/>
        </w:rPr>
        <w:t>s and the nutrients availability in the hepatic detoxification of ammonia</w:t>
      </w:r>
      <w:r w:rsidRPr="00383A89">
        <w:rPr>
          <w:lang w:val="en-GB"/>
        </w:rPr>
        <w:t xml:space="preserve">. </w:t>
      </w:r>
      <w:r w:rsidRPr="00B138B4">
        <w:rPr>
          <w:i/>
          <w:lang w:val="en-GB"/>
        </w:rPr>
        <w:t>HepatoNet</w:t>
      </w:r>
      <w:r w:rsidR="00F75725" w:rsidRPr="00B138B4">
        <w:rPr>
          <w:i/>
          <w:lang w:val="en-GB"/>
        </w:rPr>
        <w:t>1</w:t>
      </w:r>
      <w:r w:rsidRPr="00383A89">
        <w:rPr>
          <w:lang w:val="en-GB"/>
        </w:rPr>
        <w:t xml:space="preserve"> </w:t>
      </w:r>
      <w:r w:rsidR="003D257C" w:rsidRPr="00383A89">
        <w:rPr>
          <w:lang w:val="en-GB"/>
        </w:rPr>
        <w:t>presents</w:t>
      </w:r>
      <w:r w:rsidRPr="00383A89">
        <w:rPr>
          <w:lang w:val="en-GB"/>
        </w:rPr>
        <w:t xml:space="preserve"> a starting point for </w:t>
      </w:r>
      <w:r w:rsidR="003D257C" w:rsidRPr="00383A89">
        <w:rPr>
          <w:lang w:val="en-GB"/>
        </w:rPr>
        <w:t>the reconstruction</w:t>
      </w:r>
      <w:r w:rsidRPr="00383A89">
        <w:rPr>
          <w:lang w:val="en-GB"/>
        </w:rPr>
        <w:t xml:space="preserve"> of </w:t>
      </w:r>
      <w:r w:rsidR="003D257C" w:rsidRPr="00383A89">
        <w:rPr>
          <w:lang w:val="en-GB"/>
        </w:rPr>
        <w:t xml:space="preserve">other </w:t>
      </w:r>
      <w:r w:rsidRPr="00383A89">
        <w:rPr>
          <w:lang w:val="en-GB"/>
        </w:rPr>
        <w:t>hepatocyte-specific GEMSs</w:t>
      </w:r>
      <w:r w:rsidR="00E73DA3" w:rsidRPr="00383A89">
        <w:rPr>
          <w:lang w:val="en-GB"/>
        </w:rPr>
        <w:t>,</w:t>
      </w:r>
      <w:r w:rsidRPr="00383A89">
        <w:rPr>
          <w:lang w:val="en-GB"/>
        </w:rPr>
        <w:t xml:space="preserve"> </w:t>
      </w:r>
      <w:r w:rsidR="00E73DA3" w:rsidRPr="00383A89">
        <w:rPr>
          <w:lang w:val="en-GB"/>
        </w:rPr>
        <w:t xml:space="preserve">for example </w:t>
      </w:r>
      <w:r w:rsidRPr="00B138B4">
        <w:rPr>
          <w:i/>
          <w:lang w:val="en-GB"/>
        </w:rPr>
        <w:t>iLJ1046</w:t>
      </w:r>
      <w:r w:rsidR="00C266D6" w:rsidRPr="00383A89">
        <w:rPr>
          <w:lang w:val="en-GB"/>
        </w:rPr>
        <w:fldChar w:fldCharType="begin" w:fldLock="1"/>
      </w:r>
      <w:r w:rsidR="008830B1">
        <w:rPr>
          <w:lang w:val="en-GB"/>
        </w:rPr>
        <w:instrText>ADDIN CSL_CITATION { "citationItems" : [ { "id" : "ITEM-1", "itemData" : { "DOI" : "10.1038/msb.2010.56", "ISBN" : "1744-4292 (Electronic)\\r1744-4292 (Linking)", "ISSN" : "17444292", "PMID" : "20823844", "abstract" : "The computational study of human metabolism has been advanced with the advent of the first generic (non-tissue specific) stoichiometric model of human metabolism. In this study, we present a new algorithm for rapid reconstruction of tissue-specific genome-scale models of human metabolism. The algorithm generates a tissue-specific model from the generic human model by integrating a variety of tissue-specific molecular data sources, including literature-based knowledge, transcriptomic, proteomic, metabolomic and phenotypic data. Applying the algorithm, we constructed the first genome-scale stoichiometric model of hepatic metabolism. The model is verified using standard cross-validation procedures, and through its ability to carry out hepatic metabolic functions. The model's flux predictions correlate with flux measurements across a variety of hormonal and dietary conditions, and improve upon the predictive performance obtained using the original, generic human model (prediction accuracy of 0.67 versus 0.46). Finally, the model better predicts biomarker changes in genetic metabolic disorders than the generic human model (accuracy of 0.67 versus 0.59). The approach presented can be used to construct other human tissue-specific models, and be applied to other organisms.", "author" : [ { "dropping-particle" : "", "family" : "Jerby", "given" : "Livnat", "non-dropping-particle" : "", "parse-names" : false, "suffix" : "" }, { "dropping-particle" : "", "family" : "Shlomi", "given" : "Tomer", "non-dropping-particle" : "", "parse-names" : false, "suffix" : "" }, { "dropping-particle" : "", "family" : "Ruppin", "given" : "Eytan", "non-dropping-particle" : "", "parse-names" : false, "suffix" : "" } ], "container-title" : "Molecular Systems Biology", "id" : "ITEM-1", "issued" : { "date-parts" : [ [ "2010" ] ] }, "page" : "401", "title" : "Computational reconstruction of tissue-specific metabolic models: Application to human liver metabolism", "type" : "article-journal", "volume" : "6" }, "uris" : [ "http://www.mendeley.com/documents/?uuid=83a7167c-d571-4024-9599-25aeb81c6e02" ] } ], "mendeley" : { "formattedCitation" : "&lt;sup&gt;&lt;sup&gt;89&lt;/sup&gt;&lt;/sup&gt;", "plainTextFormattedCitation" : "89", "previouslyFormattedCitation" : "&lt;sup&gt;&lt;sup&gt;89&lt;/sup&gt;&lt;/sup&gt;" }, "properties" : { "noteIndex" : 0 }, "schema" : "https://github.com/citation-style-language/schema/raw/master/csl-citation.json" }</w:instrText>
      </w:r>
      <w:r w:rsidR="00C266D6" w:rsidRPr="00383A89">
        <w:rPr>
          <w:lang w:val="en-GB"/>
        </w:rPr>
        <w:fldChar w:fldCharType="separate"/>
      </w:r>
      <w:r w:rsidR="00E8653E" w:rsidRPr="00E8653E">
        <w:rPr>
          <w:noProof/>
          <w:vertAlign w:val="superscript"/>
          <w:lang w:val="en-GB"/>
        </w:rPr>
        <w:t>89</w:t>
      </w:r>
      <w:r w:rsidR="00C266D6" w:rsidRPr="00383A89">
        <w:rPr>
          <w:lang w:val="en-GB"/>
        </w:rPr>
        <w:fldChar w:fldCharType="end"/>
      </w:r>
      <w:r w:rsidRPr="00383A89">
        <w:rPr>
          <w:lang w:val="en-GB"/>
        </w:rPr>
        <w:t xml:space="preserve">, </w:t>
      </w:r>
      <w:r w:rsidRPr="00B138B4">
        <w:rPr>
          <w:i/>
          <w:lang w:val="en-GB"/>
        </w:rPr>
        <w:t>iAB676</w:t>
      </w:r>
      <w:r w:rsidR="00C266D6" w:rsidRPr="00383A89">
        <w:rPr>
          <w:lang w:val="en-GB"/>
        </w:rPr>
        <w:fldChar w:fldCharType="begin" w:fldLock="1"/>
      </w:r>
      <w:r w:rsidR="008830B1">
        <w:rPr>
          <w:lang w:val="en-GB"/>
        </w:rPr>
        <w:instrText>ADDIN CSL_CITATION { "citationItems" : [ { "id" : "ITEM-1", "itemData" : { "DOI" : "10.1186/1752-0509-5-180", "ISBN" : "1752050917520509", "ISSN" : "17520509", "PMID" : "22041191", "abstract" : "BACKGROUND: Genome-scale metabolic reconstructions provide a biologically meaningful mechanistic basis for the genotype-phenotype relationship. The global human metabolic network, termed Recon 1, has recently been reconstructed allowing the systems analysis of human metabolic physiology and pathology. Utilizing high-throughput data, Recon 1 has recently been tailored to different cells and tissues, including the liver, kidney, brain, and alveolar macrophage. These models have shown utility in the study of systems medicine. However, no integrated analysis between human tissues has been done.\\n\\nRESULTS: To describe tissue-specific functions, Recon 1 was tailored to describe metabolism in three human cells: adipocytes, hepatocytes, and myocytes. These cell-specific networks were manually curated and validated based on known cellular metabolic functions. To study intercellular interactions, a novel multi-tissue type modeling approach was developed to integrate the metabolic functions for the three cell types, and subsequently used to simulate known integrated metabolic cycles. In addition, the multi-tissue model was used to study diabetes: a pathology with systemic properties. High-throughput data was integrated with the network to determine differential metabolic activity between obese and type II obese gastric bypass patients in a whole-body context.\\n\\nCONCLUSION: The multi-tissue type modeling approach presented provides a platform to study integrated metabolic states. As more cell and tissue-specific models are released, it is critical to develop a framework in which to study their interdependencies.", "author" : [ { "dropping-particle" : "", "family" : "Bordbar", "given" : "Aarash", "non-dropping-particle" : "", "parse-names" : false, "suffix" : "" }, { "dropping-particle" : "", "family" : "Feist", "given" : "Adam M.", "non-dropping-particle" : "", "parse-names" : false, "suffix" : "" }, { "dropping-particle" : "", "family" : "Usaite-Black", "given" : "Renata", "non-dropping-particle" : "", "parse-names" : false, "suffix" : "" }, { "dropping-particle" : "", "family" : "Woodcock", "given" : "Joseph", "non-dropping-particle" : "", "parse-names" : false, "suffix" : "" }, { "dropping-particle" : "", "family" : "Palsson", "given" : "Bernhard O.", "non-dropping-particle" : "", "parse-names" : false, "suffix" : "" }, { "dropping-particle" : "", "family" : "Famili", "given" : "Iman", "non-dropping-particle" : "", "parse-names" : false, "suffix" : "" } ], "container-title" : "BMC Systems Biology", "id" : "ITEM-1", "issued" : { "date-parts" : [ [ "2011" ] ] }, "page" : "180", "title" : "A multi-tissue type genome-scale metabolic network for analysis of whole-body systems physiology", "type" : "article-journal", "volume" : "5" }, "uris" : [ "http://www.mendeley.com/documents/?uuid=1ecfa64e-a0b3-4cc4-90d7-455a7ccd609c" ] } ], "mendeley" : { "formattedCitation" : "&lt;sup&gt;&lt;sup&gt;90&lt;/sup&gt;&lt;/sup&gt;", "plainTextFormattedCitation" : "90", "previouslyFormattedCitation" : "&lt;sup&gt;&lt;sup&gt;90&lt;/sup&gt;&lt;/sup&gt;" }, "properties" : { "noteIndex" : 0 }, "schema" : "https://github.com/citation-style-language/schema/raw/master/csl-citation.json" }</w:instrText>
      </w:r>
      <w:r w:rsidR="00C266D6" w:rsidRPr="00383A89">
        <w:rPr>
          <w:lang w:val="en-GB"/>
        </w:rPr>
        <w:fldChar w:fldCharType="separate"/>
      </w:r>
      <w:r w:rsidR="00E8653E" w:rsidRPr="00E8653E">
        <w:rPr>
          <w:noProof/>
          <w:vertAlign w:val="superscript"/>
          <w:lang w:val="en-GB"/>
        </w:rPr>
        <w:t>90</w:t>
      </w:r>
      <w:r w:rsidR="00C266D6" w:rsidRPr="00383A89">
        <w:rPr>
          <w:lang w:val="en-GB"/>
        </w:rPr>
        <w:fldChar w:fldCharType="end"/>
      </w:r>
      <w:r w:rsidR="00E73DA3" w:rsidRPr="00383A89">
        <w:rPr>
          <w:lang w:val="en-GB"/>
        </w:rPr>
        <w:t>,</w:t>
      </w:r>
      <w:r w:rsidRPr="00B138B4">
        <w:rPr>
          <w:i/>
          <w:lang w:val="en-GB"/>
        </w:rPr>
        <w:t xml:space="preserve"> iHepatocyte1154</w:t>
      </w:r>
      <w:r w:rsidR="00C266D6" w:rsidRPr="00383A89">
        <w:rPr>
          <w:lang w:val="en-GB"/>
        </w:rPr>
        <w:fldChar w:fldCharType="begin" w:fldLock="1"/>
      </w:r>
      <w:r w:rsidR="008830B1">
        <w:rPr>
          <w:lang w:val="en-GB"/>
        </w:rPr>
        <w:instrText>ADDIN CSL_CITATION { "citationItems" : [ { "id" : "ITEM-1", "itemData" : { "DOI" : "10.1371/journal.pcbi.1002518", "ISBN" : "1553-7358 (Electronic)\\r1553-734X (Linking)", "ISSN" : "1553734X", "PMID" : "22615553", "abstract" : "Development of high throughput analytical methods has given physicians the potential access to extensive and patient-specific data sets, such as gene sequences, gene expression profiles or metabolite footprints. This opens for a new approach in health care, which is both personalized and based on system-level analysis. Genome-scale metabolic networks provide a mechanistic description of the relationships between different genes, which is valuable for the analysis and interpretation of large experimental data-sets. Here we describe the generation of genome-scale active metabolic networks for 69 different cell types and 16 cancer types using the INIT (Integrative Network Inference for Tissues) algorithm. The INIT algorithm uses cell type specific information about protein abundances contained in the Human Proteome Atlas as the main source of evidence. The generated models constitute the first step towards establishing a Human Metabolic Atlas, which will be a comprehensive description (accessible online) of the metabolism of different human cell types, and will allow for tissue-level and organism-level simulations in order to achieve a better understanding of complex diseases. A comparative analysis between the active metabolic networks of cancer types and healthy cell types allowed for identification of cancer-specific metabolic features that constitute generic potential drug targets for cancer treatment.", "author" : [ { "dropping-particle" : "", "family" : "Agren", "given" : "Rasmus", "non-dropping-particle" : "", "parse-names" : false, "suffix" : "" }, { "dropping-particle" : "", "family" : "Bordel", "given" : "Sergio", "non-dropping-particle" : "", "parse-names" : false, "suffix" : "" }, { "dropping-particle" : "", "family" : "Mardinoglu", "given" : "Adil", "non-dropping-particle" : "", "parse-names" : false, "suffix" : "" }, { "dropping-particle" : "", "family" : "Pornputtapong", "given" : "Natapol", "non-dropping-particle" : "", "parse-names" : false, "suffix" : "" }, { "dropping-particle" : "", "family" : "Nookaew", "given" : "Intawat", "non-dropping-particle" : "", "parse-names" : false, "suffix" : "" }, { "dropping-particle" : "", "family" : "Nielsen", "given" : "Jens", "non-dropping-particle" : "", "parse-names" : false, "suffix" : "" } ], "container-title" : "PLoS Computational Biology", "id" : "ITEM-1", "issue" : "5", "issued" : { "date-parts" : [ [ "2012" ] ] }, "page" : "e1002518", "title" : "Reconstruction of genome-scale active metabolic networks for 69 human cell types and 16 cancer types using INIT", "type" : "article-journal", "volume" : "8" }, "uris" : [ "http://www.mendeley.com/documents/?uuid=5b3c9e41-b3a1-409c-b3fe-2cf7910259e5" ] } ], "mendeley" : { "formattedCitation" : "&lt;sup&gt;&lt;sup&gt;91&lt;/sup&gt;&lt;/sup&gt;", "plainTextFormattedCitation" : "91", "previouslyFormattedCitation" : "&lt;sup&gt;&lt;sup&gt;91&lt;/sup&gt;&lt;/sup&gt;" }, "properties" : { "noteIndex" : 0 }, "schema" : "https://github.com/citation-style-language/schema/raw/master/csl-citation.json" }</w:instrText>
      </w:r>
      <w:r w:rsidR="00C266D6" w:rsidRPr="00383A89">
        <w:rPr>
          <w:lang w:val="en-GB"/>
        </w:rPr>
        <w:fldChar w:fldCharType="separate"/>
      </w:r>
      <w:r w:rsidR="00E8653E" w:rsidRPr="00E8653E">
        <w:rPr>
          <w:noProof/>
          <w:vertAlign w:val="superscript"/>
          <w:lang w:val="en-GB"/>
        </w:rPr>
        <w:t>91</w:t>
      </w:r>
      <w:r w:rsidR="00C266D6" w:rsidRPr="00383A89">
        <w:rPr>
          <w:lang w:val="en-GB"/>
        </w:rPr>
        <w:fldChar w:fldCharType="end"/>
      </w:r>
      <w:r w:rsidR="00E73DA3" w:rsidRPr="00383A89">
        <w:rPr>
          <w:lang w:val="en-GB"/>
        </w:rPr>
        <w:t xml:space="preserve"> and </w:t>
      </w:r>
      <w:r w:rsidR="003D257C" w:rsidRPr="00B138B4">
        <w:rPr>
          <w:i/>
          <w:lang w:val="en-GB"/>
        </w:rPr>
        <w:t>iHepatocyte2322</w:t>
      </w:r>
      <w:r w:rsidR="00C266D6" w:rsidRPr="00383A89">
        <w:rPr>
          <w:lang w:val="en-GB"/>
        </w:rPr>
        <w:fldChar w:fldCharType="begin" w:fldLock="1"/>
      </w:r>
      <w:r w:rsidR="00E8653E">
        <w:rPr>
          <w:lang w:val="en-GB"/>
        </w:rPr>
        <w:instrText>ADDIN CSL_CITATION { "citationItems" : [ { "id" : "ITEM-1", "itemData" : { "DOI" : "10.1038/ncomms4083", "ISBN" : "2041-1723 (Electronic) 2041-1723 (Linking)", "ISSN" : "2041-1723", "PMID" : "24419221", "abstract" : "Several liver disorders result from perturbations in the metabolism of hepatocytes, and their underlying mechanisms can be outlined through the use of genome-scale metabolic models (GEMs). Here we reconstruct a consensus GEM for hepatocytes, which we call iHepatocytes2322, that extends previous models by including an extensive description of lipid metabolism. We build iHepatocytes2322 using Human Metabolic Reaction 2.0 database and proteomics data in Human Protein Atlas, which experimentally validates the incorporated reactions. The reconstruction process enables improved annotation of the proteomics data using the network centric view of iHepatocytes2322. We then use iHepatocytes2322 to analyse transcriptomics data obtained from patients with non-alcoholic fatty liver disease. We show that blood concentrations of chondroitin and heparan sulphates are suitable for diagnosing non-alcoholic steatohepatitis and for the staging of non-alcoholic fatty liver disease. Furthermore, we observe serine deficiency in patients with NASH and identify PSPH, SHMT1 and BCAT1 as potential therapeutic targets for the treatment of non-alcoholic steatohepatitis.", "author" : [ { "dropping-particle" : "", "family" : "Mardinoglu", "given" : "A", "non-dropping-particle" : "", "parse-names" : false, "suffix" : "" }, { "dropping-particle" : "", "family" : "Agren", "given" : "R", "non-dropping-particle" : "", "parse-names" : false, "suffix" : "" }, { "dropping-particle" : "", "family" : "Kampf", "given" : "C", "non-dropping-particle" : "", "parse-names" : false, "suffix" : "" }, { "dropping-particle" : "", "family" : "Asplund", "given" : "A", "non-dropping-particle" : "", "parse-names" : false, "suffix" : "" }, { "dropping-particle" : "", "family" : "Uhlen", "given" : "M", "non-dropping-particle" : "", "parse-names" : false, "suffix" : "" }, { "dropping-particle" : "", "family" : "Nielsen", "given" : "J", "non-dropping-particle" : "", "parse-names" : false, "suffix" : "" } ], "container-title" : "Nature Communications", "id" : "ITEM-1", "issue" : "3083", "issued" : { "date-parts" : [ [ "2014" ] ] }, "page" : "1-11", "title" : "Genome-scale metabolic modelling of hepatocytes reveals serine deficiency in patients with non-alcoholic fatty liver disease.", "type" : "article-journal", "volume" : "5" }, "uris" : [ "http://www.mendeley.com/documents/?uuid=598f84bc-0dda-4b35-ad5b-4c2e954097b6" ] } ], "mendeley" : { "formattedCitation" : "&lt;sup&gt;&lt;sup&gt;48&lt;/sup&gt;&lt;/sup&gt;", "plainTextFormattedCitation" : "48", "previouslyFormattedCitation" : "&lt;sup&gt;&lt;sup&gt;48&lt;/sup&gt;&lt;/sup&gt;" }, "properties" : { "noteIndex" : 0 }, "schema" : "https://github.com/citation-style-language/schema/raw/master/csl-citation.json" }</w:instrText>
      </w:r>
      <w:r w:rsidR="00C266D6" w:rsidRPr="00383A89">
        <w:rPr>
          <w:lang w:val="en-GB"/>
        </w:rPr>
        <w:fldChar w:fldCharType="separate"/>
      </w:r>
      <w:r w:rsidR="00E8653E" w:rsidRPr="00E8653E">
        <w:rPr>
          <w:noProof/>
          <w:vertAlign w:val="superscript"/>
          <w:lang w:val="en-GB"/>
        </w:rPr>
        <w:t>48</w:t>
      </w:r>
      <w:r w:rsidR="00C266D6" w:rsidRPr="00383A89">
        <w:rPr>
          <w:lang w:val="en-GB"/>
        </w:rPr>
        <w:fldChar w:fldCharType="end"/>
      </w:r>
      <w:r w:rsidR="00E73DA3" w:rsidRPr="00383A89">
        <w:rPr>
          <w:lang w:val="en-GB"/>
        </w:rPr>
        <w:t xml:space="preserve">. </w:t>
      </w:r>
      <w:r w:rsidR="00E73DA3" w:rsidRPr="00B138B4">
        <w:rPr>
          <w:i/>
          <w:lang w:val="en-GB"/>
        </w:rPr>
        <w:t>iHepatocyte2322</w:t>
      </w:r>
      <w:r w:rsidR="003D257C" w:rsidRPr="00383A89">
        <w:rPr>
          <w:lang w:val="en-GB"/>
        </w:rPr>
        <w:t xml:space="preserve"> currently presents t</w:t>
      </w:r>
      <w:r w:rsidRPr="00383A89">
        <w:rPr>
          <w:lang w:val="en-GB"/>
        </w:rPr>
        <w:t xml:space="preserve">he most powerful </w:t>
      </w:r>
      <w:r w:rsidR="00E73DA3" w:rsidRPr="00383A89">
        <w:rPr>
          <w:lang w:val="en-GB"/>
        </w:rPr>
        <w:t>liver-related GEM</w:t>
      </w:r>
      <w:r w:rsidR="003D257C" w:rsidRPr="00383A89">
        <w:rPr>
          <w:lang w:val="en-GB"/>
        </w:rPr>
        <w:t>. It wa</w:t>
      </w:r>
      <w:r w:rsidRPr="00383A89">
        <w:rPr>
          <w:lang w:val="en-GB"/>
        </w:rPr>
        <w:t xml:space="preserve">s established with </w:t>
      </w:r>
      <w:r w:rsidR="00796598" w:rsidRPr="00383A89">
        <w:rPr>
          <w:lang w:val="en-GB"/>
        </w:rPr>
        <w:t xml:space="preserve">the combination </w:t>
      </w:r>
      <w:r w:rsidRPr="00383A89">
        <w:rPr>
          <w:lang w:val="en-GB"/>
        </w:rPr>
        <w:t xml:space="preserve">of various clinical, biochemical and genetic studies. </w:t>
      </w:r>
      <w:r w:rsidR="00796598" w:rsidRPr="00383A89">
        <w:rPr>
          <w:lang w:val="en-GB"/>
        </w:rPr>
        <w:t>Its</w:t>
      </w:r>
      <w:r w:rsidRPr="00383A89">
        <w:rPr>
          <w:lang w:val="en-GB"/>
        </w:rPr>
        <w:t xml:space="preserve"> main aim was </w:t>
      </w:r>
      <w:r w:rsidR="00796598" w:rsidRPr="00383A89">
        <w:rPr>
          <w:lang w:val="en-GB"/>
        </w:rPr>
        <w:t xml:space="preserve">to </w:t>
      </w:r>
      <w:r w:rsidRPr="00383A89">
        <w:rPr>
          <w:lang w:val="en-GB"/>
        </w:rPr>
        <w:t>provid</w:t>
      </w:r>
      <w:r w:rsidR="00796598" w:rsidRPr="00383A89">
        <w:rPr>
          <w:lang w:val="en-GB"/>
        </w:rPr>
        <w:t>e</w:t>
      </w:r>
      <w:r w:rsidRPr="00383A89">
        <w:rPr>
          <w:lang w:val="en-GB"/>
        </w:rPr>
        <w:t xml:space="preserve"> </w:t>
      </w:r>
      <w:r w:rsidR="00796598" w:rsidRPr="00383A89">
        <w:rPr>
          <w:lang w:val="en-GB"/>
        </w:rPr>
        <w:t>the</w:t>
      </w:r>
      <w:r w:rsidRPr="00383A89">
        <w:rPr>
          <w:lang w:val="en-GB"/>
        </w:rPr>
        <w:t xml:space="preserve"> identification of novel biomarkers and therapeutic targets for NAFLD. Simu</w:t>
      </w:r>
      <w:r w:rsidR="00D3614E">
        <w:rPr>
          <w:lang w:val="en-GB"/>
        </w:rPr>
        <w:t xml:space="preserve">lation of NAFLD progression to </w:t>
      </w:r>
      <w:r w:rsidR="00796598" w:rsidRPr="00383A89">
        <w:rPr>
          <w:lang w:val="en-GB"/>
        </w:rPr>
        <w:t>NASH has exposed</w:t>
      </w:r>
      <w:r w:rsidRPr="00383A89">
        <w:rPr>
          <w:lang w:val="en-GB"/>
        </w:rPr>
        <w:t xml:space="preserve"> serine deficiency</w:t>
      </w:r>
      <w:r w:rsidR="00D85E24" w:rsidRPr="00383A89">
        <w:rPr>
          <w:lang w:val="en-GB"/>
        </w:rPr>
        <w:t xml:space="preserve"> as the main cause</w:t>
      </w:r>
      <w:r w:rsidRPr="00383A89">
        <w:rPr>
          <w:lang w:val="en-GB"/>
        </w:rPr>
        <w:t xml:space="preserve"> in NASH patients. </w:t>
      </w:r>
      <w:r w:rsidRPr="00B138B4">
        <w:rPr>
          <w:i/>
          <w:lang w:val="en-GB"/>
        </w:rPr>
        <w:t>iHepatocyte2322</w:t>
      </w:r>
      <w:r w:rsidRPr="00383A89">
        <w:rPr>
          <w:lang w:val="en-GB"/>
        </w:rPr>
        <w:t xml:space="preserve"> </w:t>
      </w:r>
      <w:r w:rsidR="00F269CB" w:rsidRPr="00383A89">
        <w:rPr>
          <w:lang w:val="en-GB"/>
        </w:rPr>
        <w:t>was used to show</w:t>
      </w:r>
      <w:r w:rsidRPr="00383A89">
        <w:rPr>
          <w:lang w:val="en-GB"/>
        </w:rPr>
        <w:t xml:space="preserve"> that increasing serine level in hepatocytes as a consequence of the serine uptake as a dietary supplement could prevent NASH progression. Phosphoserine phosphatase and hydroxymethyltransferases</w:t>
      </w:r>
      <w:r w:rsidR="000E3508" w:rsidRPr="00383A89">
        <w:rPr>
          <w:lang w:val="en-GB"/>
        </w:rPr>
        <w:t xml:space="preserve"> </w:t>
      </w:r>
      <w:r w:rsidRPr="00383A89">
        <w:rPr>
          <w:lang w:val="en-GB"/>
        </w:rPr>
        <w:t>1</w:t>
      </w:r>
      <w:r w:rsidR="000E3508" w:rsidRPr="00383A89">
        <w:rPr>
          <w:lang w:val="en-GB"/>
        </w:rPr>
        <w:t xml:space="preserve"> </w:t>
      </w:r>
      <w:r w:rsidRPr="00383A89">
        <w:rPr>
          <w:lang w:val="en-GB"/>
        </w:rPr>
        <w:t xml:space="preserve">as well as branched chain amino-acid transaminase 1 </w:t>
      </w:r>
      <w:r w:rsidR="000E3508" w:rsidRPr="00383A89">
        <w:rPr>
          <w:lang w:val="en-GB"/>
        </w:rPr>
        <w:t xml:space="preserve">were </w:t>
      </w:r>
      <w:r w:rsidRPr="00383A89">
        <w:rPr>
          <w:lang w:val="en-GB"/>
        </w:rPr>
        <w:t>identified as potential therapeutic target</w:t>
      </w:r>
      <w:r w:rsidR="000E3508" w:rsidRPr="00383A89">
        <w:rPr>
          <w:lang w:val="en-GB"/>
        </w:rPr>
        <w:t>s</w:t>
      </w:r>
      <w:r w:rsidRPr="00383A89">
        <w:rPr>
          <w:lang w:val="en-GB"/>
        </w:rPr>
        <w:t xml:space="preserve"> for the treatment of NASH</w:t>
      </w:r>
      <w:r w:rsidR="00B138B4">
        <w:rPr>
          <w:lang w:val="en-GB"/>
        </w:rPr>
        <w:t>.</w:t>
      </w:r>
      <w:r w:rsidR="00C266D6" w:rsidRPr="00383A89">
        <w:rPr>
          <w:lang w:val="en-GB"/>
        </w:rPr>
        <w:fldChar w:fldCharType="begin" w:fldLock="1"/>
      </w:r>
      <w:r w:rsidR="00E8653E">
        <w:rPr>
          <w:lang w:val="en-GB"/>
        </w:rPr>
        <w:instrText>ADDIN CSL_CITATION { "citationItems" : [ { "id" : "ITEM-1", "itemData" : { "DOI" : "10.1038/ncomms4083", "ISBN" : "2041-1723 (Electronic) 2041-1723 (Linking)", "ISSN" : "2041-1723", "PMID" : "24419221", "abstract" : "Several liver disorders result from perturbations in the metabolism of hepatocytes, and their underlying mechanisms can be outlined through the use of genome-scale metabolic models (GEMs). Here we reconstruct a consensus GEM for hepatocytes, which we call iHepatocytes2322, that extends previous models by including an extensive description of lipid metabolism. We build iHepatocytes2322 using Human Metabolic Reaction 2.0 database and proteomics data in Human Protein Atlas, which experimentally validates the incorporated reactions. The reconstruction process enables improved annotation of the proteomics data using the network centric view of iHepatocytes2322. We then use iHepatocytes2322 to analyse transcriptomics data obtained from patients with non-alcoholic fatty liver disease. We show that blood concentrations of chondroitin and heparan sulphates are suitable for diagnosing non-alcoholic steatohepatitis and for the staging of non-alcoholic fatty liver disease. Furthermore, we observe serine deficiency in patients with NASH and identify PSPH, SHMT1 and BCAT1 as potential therapeutic targets for the treatment of non-alcoholic steatohepatitis.", "author" : [ { "dropping-particle" : "", "family" : "Mardinoglu", "given" : "A", "non-dropping-particle" : "", "parse-names" : false, "suffix" : "" }, { "dropping-particle" : "", "family" : "Agren", "given" : "R", "non-dropping-particle" : "", "parse-names" : false, "suffix" : "" }, { "dropping-particle" : "", "family" : "Kampf", "given" : "C", "non-dropping-particle" : "", "parse-names" : false, "suffix" : "" }, { "dropping-particle" : "", "family" : "Asplund", "given" : "A", "non-dropping-particle" : "", "parse-names" : false, "suffix" : "" }, { "dropping-particle" : "", "family" : "Uhlen", "given" : "M", "non-dropping-particle" : "", "parse-names" : false, "suffix" : "" }, { "dropping-particle" : "", "family" : "Nielsen", "given" : "J", "non-dropping-particle" : "", "parse-names" : false, "suffix" : "" } ], "container-title" : "Nature Communications", "id" : "ITEM-1", "issue" : "3083", "issued" : { "date-parts" : [ [ "2014" ] ] }, "page" : "1-11", "title" : "Genome-scale metabolic modelling of hepatocytes reveals serine deficiency in patients with non-alcoholic fatty liver disease.", "type" : "article-journal", "volume" : "5" }, "uris" : [ "http://www.mendeley.com/documents/?uuid=598f84bc-0dda-4b35-ad5b-4c2e954097b6" ] } ], "mendeley" : { "formattedCitation" : "&lt;sup&gt;&lt;sup&gt;48&lt;/sup&gt;&lt;/sup&gt;", "plainTextFormattedCitation" : "48", "previouslyFormattedCitation" : "&lt;sup&gt;&lt;sup&gt;48&lt;/sup&gt;&lt;/sup&gt;" }, "properties" : { "noteIndex" : 0 }, "schema" : "https://github.com/citation-style-language/schema/raw/master/csl-citation.json" }</w:instrText>
      </w:r>
      <w:r w:rsidR="00C266D6" w:rsidRPr="00383A89">
        <w:rPr>
          <w:lang w:val="en-GB"/>
        </w:rPr>
        <w:fldChar w:fldCharType="separate"/>
      </w:r>
      <w:r w:rsidR="00E8653E" w:rsidRPr="00E8653E">
        <w:rPr>
          <w:noProof/>
          <w:vertAlign w:val="superscript"/>
          <w:lang w:val="en-GB"/>
        </w:rPr>
        <w:t>48</w:t>
      </w:r>
      <w:r w:rsidR="00C266D6" w:rsidRPr="00383A89">
        <w:rPr>
          <w:lang w:val="en-GB"/>
        </w:rPr>
        <w:fldChar w:fldCharType="end"/>
      </w:r>
      <w:r w:rsidRPr="00383A89">
        <w:rPr>
          <w:lang w:val="en-GB"/>
        </w:rPr>
        <w:t xml:space="preserve"> </w:t>
      </w:r>
    </w:p>
    <w:p w14:paraId="0274FA48" w14:textId="28E5B0B9" w:rsidR="00741BB3" w:rsidRPr="00383A89" w:rsidRDefault="00741BB3" w:rsidP="00741BB3">
      <w:pPr>
        <w:jc w:val="both"/>
        <w:rPr>
          <w:lang w:val="en-GB"/>
        </w:rPr>
      </w:pPr>
      <w:r w:rsidRPr="00B138B4">
        <w:rPr>
          <w:i/>
          <w:lang w:val="en-GB"/>
        </w:rPr>
        <w:t>SteatoNet</w:t>
      </w:r>
      <w:r w:rsidR="00C266D6" w:rsidRPr="00383A89">
        <w:rPr>
          <w:lang w:val="en-GB"/>
        </w:rPr>
        <w:fldChar w:fldCharType="begin" w:fldLock="1"/>
      </w:r>
      <w:r w:rsidR="00E8653E">
        <w:rPr>
          <w:lang w:val="en-GB"/>
        </w:rPr>
        <w:instrText>ADDIN CSL_CITATION { "citationItems" : [ { "id" : "ITEM-1", "itemData" : { "DOI" : "10.1371/journal.pcbi.1003993", "ISBN" : "1553-7358 (Electronic) 1553-734X (Linking)", "PMID" : "25500563", "abstract" : "Current state-of-the-art mathematical models to investigate complex biological processes, in particular liver-associated pathologies, have limited expansiveness, flexibility, representation of integrated regulation and rely on the availability of detailed kinetic data. We generated the SteatoNet, a multi-pathway, multi-tissue model and in silico platform to investigate hepatic metabolism and its associated deregulations. SteatoNet is based on object-oriented modelling, an approach most commonly applied in automotive and process industries, whereby individual objects correspond to functional entities. Objects were compiled to feature two novel hepatic modelling aspects: the interaction of hepatic metabolic pathways with extra-hepatic tissues and the inclusion of transcriptional and post-transcriptional regulation. SteatoNet identification at normalised steady state circumvents the need for constraining kinetic parameters. Validation and identification of flux disturbances that have been proven experimentally in liver patients and animal models highlights the ability of SteatoNet to effectively describe biological behaviour. SteatoNet identifies crucial pathway branches (transport of glucose, lipids and ketone bodies) where changes in flux distribution drive the healthy liver towards hepatic steatosis, the primary stage of non-alcoholic fatty liver disease. Cholesterol metabolism and its transcription regulators are highlighted as novel steatosis factors. SteatoNet thus serves as an intuitive in silico platform to identify systemic changes associated with complex hepatic metabolic disorders.", "author" : [ { "dropping-particle" : "", "family" : "Naik", "given" : "A", "non-dropping-particle" : "", "parse-names" : false, "suffix" : "" }, { "dropping-particle" : "", "family" : "Rozman", "given" : "D", "non-dropping-particle" : "", "parse-names" : false, "suffix" : "" }, { "dropping-particle" : "", "family" : "Beli\u010d", "given" : "A", "non-dropping-particle" : "", "parse-names" : false, "suffix" : "" } ], "container-title" : "PLoS Comput Biol", "id" : "ITEM-1", "issue" : "12", "issued" : { "date-parts" : [ [ "2014" ] ] }, "note" : "Naik, Adviti\nRozman, Damjana\nBelic, Ales\neng\nResearch Support, Non-U.S. Gov't\n2014/12/17 06:00\nPLoS Comput Biol. 2014 Dec 11;10(12):e1003993. doi: 10.1371/journal.pcbi.1003993. eCollection 2014 Dec.", "page" : "e1003993", "title" : "SteatoNet: the first integrated human metabolic model with multi-layered regulation to investigate liver-associated pathologies", "type" : "article-journal", "volume" : "10" }, "uris" : [ "http://www.mendeley.com/documents/?uuid=69e56e84-78a5-4ca4-82c7-e82d714a4946" ] } ], "mendeley" : { "formattedCitation" : "&lt;sup&gt;&lt;sup&gt;70&lt;/sup&gt;&lt;/sup&gt;", "plainTextFormattedCitation" : "70", "previouslyFormattedCitation" : "&lt;sup&gt;&lt;sup&gt;70&lt;/sup&gt;&lt;/sup&gt;" }, "properties" : { "noteIndex" : 0 }, "schema" : "https://github.com/citation-style-language/schema/raw/master/csl-citation.json" }</w:instrText>
      </w:r>
      <w:r w:rsidR="00C266D6" w:rsidRPr="00383A89">
        <w:rPr>
          <w:lang w:val="en-GB"/>
        </w:rPr>
        <w:fldChar w:fldCharType="separate"/>
      </w:r>
      <w:r w:rsidR="00E8653E" w:rsidRPr="00E8653E">
        <w:rPr>
          <w:noProof/>
          <w:vertAlign w:val="superscript"/>
          <w:lang w:val="en-GB"/>
        </w:rPr>
        <w:t>70</w:t>
      </w:r>
      <w:r w:rsidR="00C266D6" w:rsidRPr="00383A89">
        <w:rPr>
          <w:lang w:val="en-GB"/>
        </w:rPr>
        <w:fldChar w:fldCharType="end"/>
      </w:r>
      <w:r w:rsidR="000E3508" w:rsidRPr="00383A89">
        <w:rPr>
          <w:lang w:val="en-GB"/>
        </w:rPr>
        <w:t xml:space="preserve"> presents an OOM model, which </w:t>
      </w:r>
      <w:r w:rsidRPr="00383A89">
        <w:rPr>
          <w:lang w:val="en-GB"/>
        </w:rPr>
        <w:t xml:space="preserve">was </w:t>
      </w:r>
      <w:r w:rsidR="000E3508" w:rsidRPr="00383A89">
        <w:rPr>
          <w:lang w:val="en-GB"/>
        </w:rPr>
        <w:t>established to increase the</w:t>
      </w:r>
      <w:r w:rsidRPr="00383A89">
        <w:rPr>
          <w:lang w:val="en-GB"/>
        </w:rPr>
        <w:t xml:space="preserve"> understanding of the </w:t>
      </w:r>
      <w:r w:rsidR="000E3508" w:rsidRPr="00383A89">
        <w:rPr>
          <w:lang w:val="en-GB"/>
        </w:rPr>
        <w:t xml:space="preserve">relations </w:t>
      </w:r>
      <w:r w:rsidRPr="00383A89">
        <w:rPr>
          <w:lang w:val="en-GB"/>
        </w:rPr>
        <w:t>between the liver and other organs in</w:t>
      </w:r>
      <w:r w:rsidR="00384FD4" w:rsidRPr="00383A89">
        <w:rPr>
          <w:lang w:val="en-GB"/>
        </w:rPr>
        <w:t xml:space="preserve"> the development </w:t>
      </w:r>
      <w:r w:rsidR="00FC41E9" w:rsidRPr="00383A89">
        <w:rPr>
          <w:lang w:val="en-GB"/>
        </w:rPr>
        <w:t>of NAFLD</w:t>
      </w:r>
      <w:r w:rsidRPr="00383A89">
        <w:rPr>
          <w:lang w:val="en-GB"/>
        </w:rPr>
        <w:t xml:space="preserve">. </w:t>
      </w:r>
      <w:r w:rsidRPr="00B138B4">
        <w:rPr>
          <w:i/>
          <w:lang w:val="en-GB"/>
        </w:rPr>
        <w:t>SteatoNet</w:t>
      </w:r>
      <w:r w:rsidRPr="00383A89">
        <w:rPr>
          <w:lang w:val="en-GB"/>
        </w:rPr>
        <w:t xml:space="preserve"> </w:t>
      </w:r>
      <w:r w:rsidR="00FC41E9" w:rsidRPr="00383A89">
        <w:rPr>
          <w:lang w:val="en-GB"/>
        </w:rPr>
        <w:t xml:space="preserve">was used to identify the </w:t>
      </w:r>
      <w:r w:rsidRPr="00383A89">
        <w:rPr>
          <w:lang w:val="en-GB"/>
        </w:rPr>
        <w:t xml:space="preserve">interactions between liver and adipose tissue </w:t>
      </w:r>
      <w:r w:rsidR="00FC41E9" w:rsidRPr="00383A89">
        <w:rPr>
          <w:lang w:val="en-GB"/>
        </w:rPr>
        <w:t>as</w:t>
      </w:r>
      <w:r w:rsidRPr="00383A89">
        <w:rPr>
          <w:lang w:val="en-GB"/>
        </w:rPr>
        <w:t xml:space="preserve"> critical for the pathogenesis of NAFLD. Ketone body meta</w:t>
      </w:r>
      <w:r w:rsidR="009475C2" w:rsidRPr="00383A89">
        <w:rPr>
          <w:lang w:val="en-GB"/>
        </w:rPr>
        <w:t xml:space="preserve">bolism, cholesterol transport, </w:t>
      </w:r>
      <w:r w:rsidRPr="00383A89">
        <w:rPr>
          <w:lang w:val="en-GB"/>
        </w:rPr>
        <w:t>and regulatory functions of farnesoid</w:t>
      </w:r>
      <w:r w:rsidR="009475C2" w:rsidRPr="00383A89">
        <w:rPr>
          <w:lang w:val="en-GB"/>
        </w:rPr>
        <w:t xml:space="preserve"> X receptor, liver X receptor</w:t>
      </w:r>
      <w:r w:rsidRPr="00383A89">
        <w:rPr>
          <w:lang w:val="en-GB"/>
        </w:rPr>
        <w:t xml:space="preserve"> and sterol regulatory element-binding protein 2 </w:t>
      </w:r>
      <w:r w:rsidR="00C65310" w:rsidRPr="00383A89">
        <w:rPr>
          <w:lang w:val="en-GB"/>
        </w:rPr>
        <w:t>we</w:t>
      </w:r>
      <w:r w:rsidRPr="00383A89">
        <w:rPr>
          <w:lang w:val="en-GB"/>
        </w:rPr>
        <w:t xml:space="preserve">re </w:t>
      </w:r>
      <w:r w:rsidR="003A51A9" w:rsidRPr="00383A89">
        <w:rPr>
          <w:lang w:val="en-GB"/>
        </w:rPr>
        <w:t>recognized</w:t>
      </w:r>
      <w:r w:rsidRPr="00383A89">
        <w:rPr>
          <w:lang w:val="en-GB"/>
        </w:rPr>
        <w:t xml:space="preserve"> as novel crucial steps of </w:t>
      </w:r>
      <w:r w:rsidR="00C65310" w:rsidRPr="00383A89">
        <w:rPr>
          <w:lang w:val="en-GB"/>
        </w:rPr>
        <w:t>NAFLD development</w:t>
      </w:r>
      <w:r w:rsidRPr="00383A89">
        <w:rPr>
          <w:lang w:val="en-GB"/>
        </w:rPr>
        <w:t xml:space="preserve"> and progressions. However, the liver is well known as one of the most sexually dimorphic non-reproductive organ</w:t>
      </w:r>
      <w:r w:rsidR="002234D2" w:rsidRPr="00383A89">
        <w:rPr>
          <w:lang w:val="en-GB"/>
        </w:rPr>
        <w:t>s</w:t>
      </w:r>
      <w:r w:rsidR="00C266D6" w:rsidRPr="00383A89">
        <w:rPr>
          <w:lang w:val="en-GB"/>
        </w:rPr>
        <w:fldChar w:fldCharType="begin" w:fldLock="1"/>
      </w:r>
      <w:r w:rsidR="00E8653E">
        <w:rPr>
          <w:lang w:val="en-GB"/>
        </w:rPr>
        <w:instrText>ADDIN CSL_CITATION { "citationItems" : [ { "id" : "ITEM-1", "itemData" : { "DOI" : "10.1146/annurev.ph.45.030183.000345", "ISBN" : "0066-4278 (Print)", "ISSN" : "0066-4278", "PMID" : "6189449", "abstract" : "That the liver in oviparous females supplies the major part of the egg yolk proteins requires a marked degree of sexual dimorphism of this organ. In addition to vitellogenin, several minor components (e.g. vitamin binding proteins) are supplied by the liver to the oocyte in oviparous animals and to the developing embryo in viviparous females. Other metabolic adjustments to maintain reproductive competency of the female (e.g. increased lipid synthesis, detoxification of the waste products of the developing embryo, and reproductively sensible steroid metabolism) are some of the physiological bases for the differences between the female and male liver. Sex-differences in several other hepatic proteins, enzymes, and hormone receptors have also been established. alpha 2mu Globulin, Bond's protein, and carbonic anhydrase are clear examples of the sex specificity of rat liver. Differential expression of the genes for the male- and female-specific proteins in the liver is brought about by the androgenic and estrogenic hormones. The hepatic receptors for these hormones also show a marked degree of sexual dimorphism. During development and aging, these receptors seem to appear when the need for these hormones is most critical. The timely appearance of the hepatic estrogen and androgen receptor and the facilitated action of these hormones are mediated through \"pre- and neonatal imprinting\" by the sex hormones, especially androgen. Exploration of the physiological and molecular basis of this \"imprinting\" mechanism remains an exciting area of contemporary endocrinology.", "author" : [ { "dropping-particle" : "", "family" : "Roy", "given" : "A K", "non-dropping-particle" : "", "parse-names" : false, "suffix" : "" }, { "dropping-particle" : "", "family" : "Chatterjee", "given" : "B", "non-dropping-particle" : "", "parse-names" : false, "suffix" : "" } ], "container-title" : "Annual review of physiology", "id" : "ITEM-1", "issue" : "August", "issued" : { "date-parts" : [ [ "1983" ] ] }, "page" : "37-50", "title" : "Sexual dimorphism in the liver.", "type" : "article-journal", "volume" : "45" }, "uris" : [ "http://www.mendeley.com/documents/?uuid=35c7c73a-f917-49d9-a271-860590a68ec0" ] } ], "mendeley" : { "formattedCitation" : "&lt;sup&gt;&lt;sup&gt;92&lt;/sup&gt;&lt;/sup&gt;", "plainTextFormattedCitation" : "92", "previouslyFormattedCitation" : "&lt;sup&gt;&lt;sup&gt;92&lt;/sup&gt;&lt;/sup&gt;" }, "properties" : { "noteIndex" : 0 }, "schema" : "https://github.com/citation-style-language/schema/raw/master/csl-citation.json" }</w:instrText>
      </w:r>
      <w:r w:rsidR="00C266D6" w:rsidRPr="00383A89">
        <w:rPr>
          <w:lang w:val="en-GB"/>
        </w:rPr>
        <w:fldChar w:fldCharType="separate"/>
      </w:r>
      <w:r w:rsidR="00E8653E" w:rsidRPr="00E8653E">
        <w:rPr>
          <w:noProof/>
          <w:vertAlign w:val="superscript"/>
          <w:lang w:val="en-GB"/>
        </w:rPr>
        <w:t>92</w:t>
      </w:r>
      <w:r w:rsidR="00C266D6" w:rsidRPr="00383A89">
        <w:rPr>
          <w:lang w:val="en-GB"/>
        </w:rPr>
        <w:fldChar w:fldCharType="end"/>
      </w:r>
      <w:r w:rsidR="00C65310" w:rsidRPr="00383A89">
        <w:rPr>
          <w:lang w:val="en-GB"/>
        </w:rPr>
        <w:t xml:space="preserve">, which is </w:t>
      </w:r>
      <w:r w:rsidR="008E794B" w:rsidRPr="00383A89">
        <w:rPr>
          <w:lang w:val="en-GB"/>
        </w:rPr>
        <w:t xml:space="preserve">also </w:t>
      </w:r>
      <w:r w:rsidR="00C65310" w:rsidRPr="00383A89">
        <w:rPr>
          <w:lang w:val="en-GB"/>
        </w:rPr>
        <w:t xml:space="preserve">indicated by </w:t>
      </w:r>
      <w:r w:rsidRPr="00383A89">
        <w:rPr>
          <w:lang w:val="en-GB"/>
        </w:rPr>
        <w:t>sex differences</w:t>
      </w:r>
      <w:r w:rsidR="00C65310" w:rsidRPr="00383A89">
        <w:rPr>
          <w:lang w:val="en-GB"/>
        </w:rPr>
        <w:t xml:space="preserve"> in liver-related disease prevalence and progression</w:t>
      </w:r>
      <w:r w:rsidR="00B138B4">
        <w:rPr>
          <w:lang w:val="en-GB"/>
        </w:rPr>
        <w:t>.</w:t>
      </w:r>
      <w:r w:rsidR="00C266D6" w:rsidRPr="00383A89">
        <w:rPr>
          <w:lang w:val="en-GB"/>
        </w:rPr>
        <w:fldChar w:fldCharType="begin" w:fldLock="1"/>
      </w:r>
      <w:r w:rsidR="008830B1">
        <w:rPr>
          <w:lang w:val="en-GB"/>
        </w:rPr>
        <w:instrText>ADDIN CSL_CITATION { "citationItems" : [ { "id" : "ITEM-1", "itemData" : { "DOI" : "10.3748/wjg.v20.i9.2127", "ISSN" : "22192840", "PMID" : "24605011", "abstract" : "Gender medicine focuses on the patho-physiological, clinical, prevention and treatment differences in diseases that are equally represented in men and women. The purpose of gender medicine is to ensure that each individual man and woman receives the best treatment possible based on scientific evidence. The concept of \"gender\" includes not only the sexual characteristics of individuals but also physiological and psychological attributes of men and women, including risk factors, protective/aggravating effects of sexual hormones and variances linked to genetics and corporal structures that explain biological and physiological differences between men and women. It is very important to consider all the biological, physiological, functional, psychological, social and cultural characteristics to provide patients with individualized disease management. Herein, we critically analyze the literature regarding gender differences for diseases and acquired conditions of the most representative hepatic pathologies: primary biliary cirrhosis, autoimmune hepatitis, primary sclerosing cholangitis, non alcoholic fatty liver disease and alcoholic liver disease, and viral chronic hepatitis B and C. The last section addresses hemochromatosis, which is a prevalent iron overload disorder in the Caucasian population. This review aims to describe data from the literature concerning viral chronic hepatitis during pregnancy, management during pregnancy and delivery, and new effective drugs for the prevention of maternal infection transmission without significant adverse effects or complications.", "author" : [ { "dropping-particle" : "", "family" : "Durazzo", "given" : "Marilena", "non-dropping-particle" : "", "parse-names" : false, "suffix" : "" }, { "dropping-particle" : "", "family" : "Belci", "given" : "Paola", "non-dropping-particle" : "", "parse-names" : false, "suffix" : "" }, { "dropping-particle" : "", "family" : "Collo", "given" : "Alessandro", "non-dropping-particle" : "", "parse-names" : false, "suffix" : "" }, { "dropping-particle" : "", "family" : "Prandi", "given" : "Vanessa", "non-dropping-particle" : "", "parse-names" : false, "suffix" : "" }, { "dropping-particle" : "", "family" : "Pistone", "given" : "Erika", "non-dropping-particle" : "", "parse-names" : false, "suffix" : "" }, { "dropping-particle" : "", "family" : "Martorana", "given" : "Maria", "non-dropping-particle" : "", "parse-names" : false, "suffix" : "" }, { "dropping-particle" : "", "family" : "Gambino", "given" : "Roberto", "non-dropping-particle" : "", "parse-names" : false, "suffix" : "" }, { "dropping-particle" : "", "family" : "Bo", "given" : "Simona", "non-dropping-particle" : "", "parse-names" : false, "suffix" : "" } ], "container-title" : "World Journal of Gastroenterology", "id" : "ITEM-1", "issue" : "9", "issued" : { "date-parts" : [ [ "2014" ] ] }, "page" : "2127-2135", "title" : "Gender specific medicine in liver diseases: A point of view", "type" : "article-journal", "volume" : "20" }, "uris" : [ "http://www.mendeley.com/documents/?uuid=dc4b7275-8afe-4069-8003-425edfdd4877" ] } ], "mendeley" : { "formattedCitation" : "&lt;sup&gt;&lt;sup&gt;93&lt;/sup&gt;&lt;/sup&gt;", "plainTextFormattedCitation" : "93", "previouslyFormattedCitation" : "&lt;sup&gt;&lt;sup&gt;93&lt;/sup&gt;&lt;/sup&gt;" }, "properties" : { "noteIndex" : 0 }, "schema" : "https://github.com/citation-style-language/schema/raw/master/csl-citation.json" }</w:instrText>
      </w:r>
      <w:r w:rsidR="00C266D6" w:rsidRPr="00383A89">
        <w:rPr>
          <w:lang w:val="en-GB"/>
        </w:rPr>
        <w:fldChar w:fldCharType="separate"/>
      </w:r>
      <w:r w:rsidR="00E8653E" w:rsidRPr="00E8653E">
        <w:rPr>
          <w:noProof/>
          <w:vertAlign w:val="superscript"/>
          <w:lang w:val="en-GB"/>
        </w:rPr>
        <w:t>93</w:t>
      </w:r>
      <w:r w:rsidR="00C266D6" w:rsidRPr="00383A89">
        <w:rPr>
          <w:lang w:val="en-GB"/>
        </w:rPr>
        <w:fldChar w:fldCharType="end"/>
      </w:r>
      <w:r w:rsidRPr="00383A89">
        <w:rPr>
          <w:lang w:val="en-GB"/>
        </w:rPr>
        <w:t xml:space="preserve"> Hepatic large-scale metabolic models are, </w:t>
      </w:r>
      <w:r w:rsidR="00EC507E" w:rsidRPr="00383A89">
        <w:rPr>
          <w:lang w:val="en-GB"/>
        </w:rPr>
        <w:t>on the other hand</w:t>
      </w:r>
      <w:r w:rsidRPr="00383A89">
        <w:rPr>
          <w:lang w:val="en-GB"/>
        </w:rPr>
        <w:t xml:space="preserve">, uniform models and do not </w:t>
      </w:r>
      <w:r w:rsidR="008E794B" w:rsidRPr="00383A89">
        <w:rPr>
          <w:lang w:val="en-GB"/>
        </w:rPr>
        <w:t xml:space="preserve">differentiate </w:t>
      </w:r>
      <w:r w:rsidRPr="00383A89">
        <w:rPr>
          <w:lang w:val="en-GB"/>
        </w:rPr>
        <w:t xml:space="preserve">between genders. They are constructed and validated mostly on male data, </w:t>
      </w:r>
      <w:r w:rsidR="00072B4A" w:rsidRPr="00383A89">
        <w:rPr>
          <w:lang w:val="en-GB"/>
        </w:rPr>
        <w:t>also</w:t>
      </w:r>
      <w:r w:rsidR="008E794B" w:rsidRPr="00383A89">
        <w:rPr>
          <w:lang w:val="en-GB"/>
        </w:rPr>
        <w:t xml:space="preserve"> </w:t>
      </w:r>
      <w:r w:rsidRPr="00383A89">
        <w:rPr>
          <w:lang w:val="en-GB"/>
        </w:rPr>
        <w:t>because of the lack of liver transcriptome-based studies that would take in</w:t>
      </w:r>
      <w:r w:rsidR="00072B4A" w:rsidRPr="00383A89">
        <w:rPr>
          <w:lang w:val="en-GB"/>
        </w:rPr>
        <w:t>to</w:t>
      </w:r>
      <w:r w:rsidRPr="00383A89">
        <w:rPr>
          <w:lang w:val="en-GB"/>
        </w:rPr>
        <w:t xml:space="preserve"> account both genders</w:t>
      </w:r>
      <w:r w:rsidR="00B138B4">
        <w:rPr>
          <w:lang w:val="en-GB"/>
        </w:rPr>
        <w:t>.</w:t>
      </w:r>
      <w:r w:rsidR="00A70531" w:rsidRPr="00383A89">
        <w:rPr>
          <w:lang w:val="en-GB"/>
        </w:rPr>
        <w:fldChar w:fldCharType="begin" w:fldLock="1"/>
      </w:r>
      <w:r w:rsidR="00E8653E">
        <w:rPr>
          <w:lang w:val="en-GB"/>
        </w:rPr>
        <w:instrText>ADDIN CSL_CITATION { "citationItems" : [ { "id" : "ITEM-1", "itemData" : { "DOI" : "10.1128/MCB.06312-11", "ISBN" : "1098-5549 (Electronic)\r0270-7306 (Linking)", "PMID" : "22158971", "abstract" : "Sex-dependent pituitary growth hormone (GH) secretory patterns determine the sex-biased expression of &gt;1,000 genes in mouse and rat liver, affecting lipid and drug metabolism, inflammation, and disease. A fundamental biological question is how robust differential expression can be achieved for hundreds of sex-biased genes simply based on the GH input signal pattern: pulsatile GH stimulation in males versus near-continuous GH exposure in females. STAT5 is an essential transcriptional mediator of the sex-dependent effects of GH in the liver, but the mechanisms that underlie its sex-dependent actions are obscure. Here we elucidate the dynamic, sex-dependent binding of STAT5 and the GH/STAT5-regulated repressor BCL6 to mouse liver chromatin genome wide, revealing a counteractive interplay between these two regulators of sex differences in liver gene expression. Our findings establish a close correlation between sex-dependent STAT5 binding and sex-biased target gene expression. Moreover, sex-dependent STAT5 binding correlated positively with sex-biased DNase hypersensitivity and H3-K4me1 and H3-K4me3 (activating) marks, correlated negatively with sex-biased H3-K27me3 (repressive) marks, and was associated with sex-differentially enriched motifs for HNF6/CDP factors. Importantly, BCL6 binding was preferentially associated with repression of female-biased STAT5 targets in male liver. Furthermore, BCL6 and STAT5 common targets but not BCL6 unique targets showed strong enrichment for lipid and drug metabolism. These findings provide a comprehensive, genome-wide view of the mechanisms whereby these two GH-regulated transcription factors establish and maintain sex differences affecting liver physiology and disease. The approaches used here to characterize sex-dependent STAT5 and BCL6 binding can be applied to other condition-specific regulatory factors and binding sites and their interplay with cooperative chromatin binding factors.", "author" : [ { "dropping-particle" : "", "family" : "Zhang", "given" : "Y", "non-dropping-particle" : "", "parse-names" : false, "suffix" : "" }, { "dropping-particle" : "V", "family" : "Laz", "given" : "E", "non-dropping-particle" : "", "parse-names" : false, "suffix" : "" }, { "dropping-particle" : "", "family" : "Waxman", "given" : "D J", "non-dropping-particle" : "", "parse-names" : false, "suffix" : "" } ], "container-title" : "Mol Cell Biol", "id" : "ITEM-1", "issue" : "4", "issued" : { "date-parts" : [ [ "2012" ] ] }, "note" : "Zhang, Yijing\nLaz, Ekaterina V\nWaxman, David J\neng\nR01 DK033765/DK/NIDDK NIH HHS/\nDK-33765/DK/NIDDK NIH HHS/\nResearch Support, N.I.H., Extramural\n2011/12/14 06:00\nMol Cell Biol. 2012 Feb;32(4):880-96. doi: 10.1128/MCB.06312-11. Epub 2011 Dec 12.", "page" : "880-896", "title" : "Dynamic, sex-differential STAT5 and BCL6 binding to sex-biased, growth hormone-regulated genes in adult mouse liver", "type" : "article-journal", "volume" : "32" }, "uris" : [ "http://www.mendeley.com/documents/?uuid=70d326ff-b9a0-4f79-b171-10ba009ee410" ] } ], "mendeley" : { "formattedCitation" : "&lt;sup&gt;&lt;sup&gt;94&lt;/sup&gt;&lt;/sup&gt;", "plainTextFormattedCitation" : "94", "previouslyFormattedCitation" : "&lt;sup&gt;&lt;sup&gt;94&lt;/sup&gt;&lt;/sup&gt;" }, "properties" : { "noteIndex" : 0 }, "schema" : "https://github.com/citation-style-language/schema/raw/master/csl-citation.json" }</w:instrText>
      </w:r>
      <w:r w:rsidR="00A70531" w:rsidRPr="00383A89">
        <w:rPr>
          <w:lang w:val="en-GB"/>
        </w:rPr>
        <w:fldChar w:fldCharType="separate"/>
      </w:r>
      <w:r w:rsidR="00E8653E" w:rsidRPr="00E8653E">
        <w:rPr>
          <w:noProof/>
          <w:vertAlign w:val="superscript"/>
          <w:lang w:val="en-GB"/>
        </w:rPr>
        <w:t>94</w:t>
      </w:r>
      <w:r w:rsidR="00A70531" w:rsidRPr="00383A89">
        <w:rPr>
          <w:lang w:val="en-GB"/>
        </w:rPr>
        <w:fldChar w:fldCharType="end"/>
      </w:r>
      <w:r w:rsidR="00045174" w:rsidRPr="00383A89">
        <w:rPr>
          <w:lang w:val="en-GB"/>
        </w:rPr>
        <w:t xml:space="preserve"> With the goal </w:t>
      </w:r>
      <w:r w:rsidRPr="00383A89">
        <w:rPr>
          <w:lang w:val="en-GB"/>
        </w:rPr>
        <w:t xml:space="preserve">to investigate differences in NAFLD progression between genders, we developed the </w:t>
      </w:r>
      <w:r w:rsidRPr="00B138B4">
        <w:rPr>
          <w:i/>
          <w:lang w:val="en-GB"/>
        </w:rPr>
        <w:t>LiverSex</w:t>
      </w:r>
      <w:r w:rsidRPr="00383A89">
        <w:rPr>
          <w:lang w:val="en-GB"/>
        </w:rPr>
        <w:t xml:space="preserve"> </w:t>
      </w:r>
      <w:r w:rsidR="006934F3" w:rsidRPr="00383A89">
        <w:rPr>
          <w:lang w:val="en-GB"/>
        </w:rPr>
        <w:t>model</w:t>
      </w:r>
      <w:r w:rsidR="00A70531" w:rsidRPr="00383A89">
        <w:rPr>
          <w:lang w:val="en-GB"/>
        </w:rPr>
        <w:fldChar w:fldCharType="begin" w:fldLock="1"/>
      </w:r>
      <w:r w:rsidR="001C27E1">
        <w:rPr>
          <w:lang w:val="en-GB"/>
        </w:rPr>
        <w:instrText>ADDIN CSL_CITATION { "citationItems" : [ { "id" : "ITEM-1", "itemData" : { "DOI" : "10.3389/fphys.2018.00360", "author" : [ { "dropping-particle" : "", "family" : "Cvitanovi\u0107 Toma\u0161", "given" : "Tanja", "non-dropping-particle" : "", "parse-names" : false, "suffix" : "" }, { "dropping-particle" : "", "family" : "Urlep", "given" : "\u017diga", "non-dropping-particle" : "", "parse-names" : false, "suffix" : "" }, { "dropping-particle" : "", "family" : "Mo\u0161kon", "given" : "Miha", "non-dropping-particle" : "", "parse-names" : false, "suffix" : "" }, { "dropping-particle" : "", "family" : "Mraz", "given" : "Miha", "non-dropping-particle" : "", "parse-names" : false, "suffix" : "" }, { "dropping-particle" : "", "family" : "Rozman", "given" : "Damjana", "non-dropping-particle" : "", "parse-names" : false, "suffix" : "" } ], "container-title" : "Frontiers in Physiology", "id" : "ITEM-1", "issued" : { "date-parts" : [ [ "2018" ] ] }, "page" : "360", "title" : "LiverSex Computational Model: Sexual Aspects in Hepatic Metabolism and Abnormalities", "type" : "article-journal", "volume" : "9" }, "uris" : [ "http://www.mendeley.com/documents/?uuid=41f34267-9a78-4e01-8a45-47913b721216" ] } ], "mendeley" : { "formattedCitation" : "&lt;sup&gt;&lt;sup&gt;20&lt;/sup&gt;&lt;/sup&gt;", "plainTextFormattedCitation" : "20", "previouslyFormattedCitation" : "&lt;sup&gt;&lt;sup&gt;20&lt;/sup&gt;&lt;/sup&gt;" }, "properties" : { "noteIndex" : 0 }, "schema" : "https://github.com/citation-style-language/schema/raw/master/csl-citation.json" }</w:instrText>
      </w:r>
      <w:r w:rsidR="00A70531" w:rsidRPr="00383A89">
        <w:rPr>
          <w:lang w:val="en-GB"/>
        </w:rPr>
        <w:fldChar w:fldCharType="separate"/>
      </w:r>
      <w:r w:rsidR="00A34EF8" w:rsidRPr="00A34EF8">
        <w:rPr>
          <w:noProof/>
          <w:vertAlign w:val="superscript"/>
          <w:lang w:val="en-GB"/>
        </w:rPr>
        <w:t>20</w:t>
      </w:r>
      <w:r w:rsidR="00A70531" w:rsidRPr="00383A89">
        <w:rPr>
          <w:lang w:val="en-GB"/>
        </w:rPr>
        <w:fldChar w:fldCharType="end"/>
      </w:r>
      <w:r w:rsidRPr="00383A89">
        <w:rPr>
          <w:lang w:val="en-GB"/>
        </w:rPr>
        <w:t>, the first gender-based, multi-tissue and multi-level liver metabolic computational model</w:t>
      </w:r>
      <w:r w:rsidR="00A35E7E" w:rsidRPr="00383A89">
        <w:rPr>
          <w:lang w:val="en-GB"/>
        </w:rPr>
        <w:t xml:space="preserve"> (see </w:t>
      </w:r>
      <w:r w:rsidR="001E7E31" w:rsidRPr="00383A89">
        <w:rPr>
          <w:lang w:val="en-GB"/>
        </w:rPr>
        <w:fldChar w:fldCharType="begin"/>
      </w:r>
      <w:r w:rsidR="001E7E31" w:rsidRPr="00383A89">
        <w:rPr>
          <w:lang w:val="en-GB"/>
        </w:rPr>
        <w:instrText xml:space="preserve"> REF _Ref511728064 \h  \* MERGEFORMAT </w:instrText>
      </w:r>
      <w:r w:rsidR="001E7E31" w:rsidRPr="00383A89">
        <w:rPr>
          <w:lang w:val="en-GB"/>
        </w:rPr>
      </w:r>
      <w:r w:rsidR="001E7E31" w:rsidRPr="00383A89">
        <w:rPr>
          <w:lang w:val="en-GB"/>
        </w:rPr>
        <w:fldChar w:fldCharType="separate"/>
      </w:r>
      <w:r w:rsidR="006869C6" w:rsidRPr="00383A89">
        <w:rPr>
          <w:lang w:val="en-GB"/>
        </w:rPr>
        <w:t xml:space="preserve">Figure </w:t>
      </w:r>
      <w:r w:rsidR="006869C6" w:rsidRPr="006869C6">
        <w:rPr>
          <w:noProof/>
          <w:lang w:val="en-GB"/>
        </w:rPr>
        <w:t>3</w:t>
      </w:r>
      <w:r w:rsidR="001E7E31" w:rsidRPr="00383A89">
        <w:rPr>
          <w:lang w:val="en-GB"/>
        </w:rPr>
        <w:fldChar w:fldCharType="end"/>
      </w:r>
      <w:r w:rsidR="00A35E7E" w:rsidRPr="00383A89">
        <w:rPr>
          <w:lang w:val="en-GB"/>
        </w:rPr>
        <w:t>)</w:t>
      </w:r>
      <w:r w:rsidRPr="00383A89">
        <w:rPr>
          <w:lang w:val="en-GB"/>
        </w:rPr>
        <w:t xml:space="preserve">. </w:t>
      </w:r>
      <w:r w:rsidRPr="00B138B4">
        <w:rPr>
          <w:i/>
          <w:lang w:val="en-GB"/>
        </w:rPr>
        <w:t>SteatoNet</w:t>
      </w:r>
      <w:r w:rsidRPr="00383A89">
        <w:rPr>
          <w:lang w:val="en-GB"/>
        </w:rPr>
        <w:t xml:space="preserve"> was reu</w:t>
      </w:r>
      <w:r w:rsidR="0089373B" w:rsidRPr="00383A89">
        <w:rPr>
          <w:lang w:val="en-GB"/>
        </w:rPr>
        <w:t xml:space="preserve">sed and adapted to </w:t>
      </w:r>
      <w:r w:rsidRPr="00383A89">
        <w:rPr>
          <w:lang w:val="en-GB"/>
        </w:rPr>
        <w:t xml:space="preserve">gender-based hormonal regulation of liver. The key step in the adaptation of liver metabolism to gender </w:t>
      </w:r>
      <w:r w:rsidR="00816B95" w:rsidRPr="00383A89">
        <w:rPr>
          <w:lang w:val="en-GB"/>
        </w:rPr>
        <w:t xml:space="preserve">was </w:t>
      </w:r>
      <w:r w:rsidRPr="00383A89">
        <w:rPr>
          <w:lang w:val="en-GB"/>
        </w:rPr>
        <w:t>the addition of androgen and estrogen receptor response</w:t>
      </w:r>
      <w:r w:rsidR="00816B95" w:rsidRPr="00383A89">
        <w:rPr>
          <w:lang w:val="en-GB"/>
        </w:rPr>
        <w:t>s</w:t>
      </w:r>
      <w:r w:rsidRPr="00383A89">
        <w:rPr>
          <w:lang w:val="en-GB"/>
        </w:rPr>
        <w:t xml:space="preserve"> to relevant hormones, the </w:t>
      </w:r>
      <w:r w:rsidR="001E7E31" w:rsidRPr="00383A89">
        <w:rPr>
          <w:lang w:val="en-GB"/>
        </w:rPr>
        <w:t xml:space="preserve">additions of </w:t>
      </w:r>
      <w:r w:rsidR="00816B95" w:rsidRPr="00383A89">
        <w:rPr>
          <w:lang w:val="en-GB"/>
        </w:rPr>
        <w:t>connections between</w:t>
      </w:r>
      <w:r w:rsidRPr="00383A89">
        <w:rPr>
          <w:lang w:val="en-GB"/>
        </w:rPr>
        <w:t xml:space="preserve"> sex steroids and growth hormone</w:t>
      </w:r>
      <w:r w:rsidR="00816B95" w:rsidRPr="00383A89">
        <w:rPr>
          <w:lang w:val="en-GB"/>
        </w:rPr>
        <w:t>,</w:t>
      </w:r>
      <w:r w:rsidRPr="00383A89">
        <w:rPr>
          <w:lang w:val="en-GB"/>
        </w:rPr>
        <w:t xml:space="preserve"> and </w:t>
      </w:r>
      <w:r w:rsidR="001E7E31" w:rsidRPr="00383A89">
        <w:rPr>
          <w:lang w:val="en-GB"/>
        </w:rPr>
        <w:t xml:space="preserve">the addition of </w:t>
      </w:r>
      <w:r w:rsidRPr="00383A89">
        <w:rPr>
          <w:lang w:val="en-GB"/>
        </w:rPr>
        <w:t xml:space="preserve">specific gender-based growth hormone release to the model. Hormonal regulation in </w:t>
      </w:r>
      <w:r w:rsidRPr="00B138B4">
        <w:rPr>
          <w:i/>
          <w:lang w:val="en-GB"/>
        </w:rPr>
        <w:t>LiverSe</w:t>
      </w:r>
      <w:r w:rsidR="008E794B" w:rsidRPr="00B138B4">
        <w:rPr>
          <w:i/>
          <w:lang w:val="en-GB"/>
        </w:rPr>
        <w:t>x</w:t>
      </w:r>
      <w:r w:rsidR="008E794B" w:rsidRPr="00383A89">
        <w:rPr>
          <w:lang w:val="en-GB"/>
        </w:rPr>
        <w:t xml:space="preserve"> was</w:t>
      </w:r>
      <w:r w:rsidRPr="00383A89">
        <w:rPr>
          <w:lang w:val="en-GB"/>
        </w:rPr>
        <w:t xml:space="preserve"> simplified to a level that still ensures normal function. Hormones </w:t>
      </w:r>
      <w:r w:rsidR="008E794B" w:rsidRPr="00383A89">
        <w:rPr>
          <w:lang w:val="en-GB"/>
        </w:rPr>
        <w:t>we</w:t>
      </w:r>
      <w:r w:rsidRPr="00383A89">
        <w:rPr>
          <w:lang w:val="en-GB"/>
        </w:rPr>
        <w:t xml:space="preserve">re organized into 3 groups: androgen, estrogens and growth hormone. Androgen </w:t>
      </w:r>
      <w:r w:rsidR="00816B95" w:rsidRPr="00383A89">
        <w:rPr>
          <w:lang w:val="en-GB"/>
        </w:rPr>
        <w:t>and</w:t>
      </w:r>
      <w:r w:rsidRPr="00383A89">
        <w:rPr>
          <w:lang w:val="en-GB"/>
        </w:rPr>
        <w:t xml:space="preserve"> </w:t>
      </w:r>
      <w:r w:rsidRPr="00383A89">
        <w:rPr>
          <w:lang w:val="en-GB"/>
        </w:rPr>
        <w:lastRenderedPageBreak/>
        <w:t>estrogen groups represent steroid hormones that regulate the development and maintenance of sex characteristics in mammals by binding to their corresponding receptor</w:t>
      </w:r>
      <w:r w:rsidR="00816B95" w:rsidRPr="00383A89">
        <w:rPr>
          <w:lang w:val="en-GB"/>
        </w:rPr>
        <w:t>s</w:t>
      </w:r>
      <w:r w:rsidR="00B138B4">
        <w:rPr>
          <w:lang w:val="en-GB"/>
        </w:rPr>
        <w:t>.</w:t>
      </w:r>
      <w:r w:rsidR="007E5D76" w:rsidRPr="00383A89">
        <w:rPr>
          <w:lang w:val="en-GB"/>
        </w:rPr>
        <w:fldChar w:fldCharType="begin" w:fldLock="1"/>
      </w:r>
      <w:r w:rsidR="00E8653E">
        <w:rPr>
          <w:lang w:val="en-GB"/>
        </w:rPr>
        <w:instrText>ADDIN CSL_CITATION { "citationItems" : [ { "id" : "ITEM-1", "itemData" : { "DOI" : "10.1146/annurev.ph.45.030183.000345", "ISBN" : "0066-4278 (Print)", "ISSN" : "0066-4278", "PMID" : "6189449", "abstract" : "That the liver in oviparous females supplies the major part of the egg yolk proteins requires a marked degree of sexual dimorphism of this organ. In addition to vitellogenin, several minor components (e.g. vitamin binding proteins) are supplied by the liver to the oocyte in oviparous animals and to the developing embryo in viviparous females. Other metabolic adjustments to maintain reproductive competency of the female (e.g. increased lipid synthesis, detoxification of the waste products of the developing embryo, and reproductively sensible steroid metabolism) are some of the physiological bases for the differences between the female and male liver. Sex-differences in several other hepatic proteins, enzymes, and hormone receptors have also been established. alpha 2mu Globulin, Bond's protein, and carbonic anhydrase are clear examples of the sex specificity of rat liver. Differential expression of the genes for the male- and female-specific proteins in the liver is brought about by the androgenic and estrogenic hormones. The hepatic receptors for these hormones also show a marked degree of sexual dimorphism. During development and aging, these receptors seem to appear when the need for these hormones is most critical. The timely appearance of the hepatic estrogen and androgen receptor and the facilitated action of these hormones are mediated through \"pre- and neonatal imprinting\" by the sex hormones, especially androgen. Exploration of the physiological and molecular basis of this \"imprinting\" mechanism remains an exciting area of contemporary endocrinology.", "author" : [ { "dropping-particle" : "", "family" : "Roy", "given" : "A K", "non-dropping-particle" : "", "parse-names" : false, "suffix" : "" }, { "dropping-particle" : "", "family" : "Chatterjee", "given" : "B", "non-dropping-particle" : "", "parse-names" : false, "suffix" : "" } ], "container-title" : "Annual review of physiology", "id" : "ITEM-1", "issue" : "August", "issued" : { "date-parts" : [ [ "1983" ] ] }, "page" : "37-50", "title" : "Sexual dimorphism in the liver.", "type" : "article-journal", "volume" : "45" }, "uris" : [ "http://www.mendeley.com/documents/?uuid=35c7c73a-f917-49d9-a271-860590a68ec0" ] } ], "mendeley" : { "formattedCitation" : "&lt;sup&gt;&lt;sup&gt;92&lt;/sup&gt;&lt;/sup&gt;", "plainTextFormattedCitation" : "92", "previouslyFormattedCitation" : "&lt;sup&gt;&lt;sup&gt;92&lt;/sup&gt;&lt;/sup&gt;" }, "properties" : { "noteIndex" : 0 }, "schema" : "https://github.com/citation-style-language/schema/raw/master/csl-citation.json" }</w:instrText>
      </w:r>
      <w:r w:rsidR="007E5D76" w:rsidRPr="00383A89">
        <w:rPr>
          <w:lang w:val="en-GB"/>
        </w:rPr>
        <w:fldChar w:fldCharType="separate"/>
      </w:r>
      <w:r w:rsidR="00E8653E" w:rsidRPr="00E8653E">
        <w:rPr>
          <w:noProof/>
          <w:vertAlign w:val="superscript"/>
          <w:lang w:val="en-GB"/>
        </w:rPr>
        <w:t>92</w:t>
      </w:r>
      <w:r w:rsidR="007E5D76" w:rsidRPr="00383A89">
        <w:rPr>
          <w:lang w:val="en-GB"/>
        </w:rPr>
        <w:fldChar w:fldCharType="end"/>
      </w:r>
      <w:r w:rsidRPr="00383A89">
        <w:rPr>
          <w:lang w:val="en-GB"/>
        </w:rPr>
        <w:t xml:space="preserve"> The growth hormone has a daily oscillatory </w:t>
      </w:r>
      <w:r w:rsidR="00816B95" w:rsidRPr="00383A89">
        <w:rPr>
          <w:lang w:val="en-GB"/>
        </w:rPr>
        <w:t>behaviour</w:t>
      </w:r>
      <w:r w:rsidRPr="00383A89">
        <w:rPr>
          <w:lang w:val="en-GB"/>
        </w:rPr>
        <w:t xml:space="preserve"> in males </w:t>
      </w:r>
      <w:r w:rsidR="00816B95" w:rsidRPr="00383A89">
        <w:rPr>
          <w:lang w:val="en-GB"/>
        </w:rPr>
        <w:t>and</w:t>
      </w:r>
      <w:r w:rsidRPr="00383A89">
        <w:rPr>
          <w:lang w:val="en-GB"/>
        </w:rPr>
        <w:t xml:space="preserve"> has a co</w:t>
      </w:r>
      <w:r w:rsidR="0094593D" w:rsidRPr="00383A89">
        <w:rPr>
          <w:lang w:val="en-GB"/>
        </w:rPr>
        <w:t>nstant concentration in females</w:t>
      </w:r>
      <w:r w:rsidR="00816B95" w:rsidRPr="00383A89">
        <w:rPr>
          <w:lang w:val="en-GB"/>
        </w:rPr>
        <w:t>, which was also included in the model</w:t>
      </w:r>
      <w:r w:rsidR="00B138B4">
        <w:rPr>
          <w:lang w:val="en-GB"/>
        </w:rPr>
        <w:t>.</w:t>
      </w:r>
      <w:r w:rsidR="007E5D76" w:rsidRPr="00383A89">
        <w:rPr>
          <w:lang w:val="en-GB"/>
        </w:rPr>
        <w:fldChar w:fldCharType="begin" w:fldLock="1"/>
      </w:r>
      <w:r w:rsidR="00E8653E">
        <w:rPr>
          <w:lang w:val="en-GB"/>
        </w:rPr>
        <w:instrText>ADDIN CSL_CITATION { "citationItems" : [ { "id" : "ITEM-1", "itemData" : { "ISBN" : "0888-8809", "author" : [ { "dropping-particle" : "", "family" : "Waxman", "given" : "David J", "non-dropping-particle" : "", "parse-names" : false, "suffix" : "" }, { "dropping-particle" : "", "family" : "O\u2019connor", "given" : "Caitlin", "non-dropping-particle" : "", "parse-names" : false, "suffix" : "" } ], "container-title" : "Molecular endocrinology", "id" : "ITEM-1", "issue" : "11", "issued" : { "date-parts" : [ [ "2006" ] ] }, "page" : "2613-2629", "title" : "Growth hormone regulation of sex-dependent liver gene expression", "type" : "article-journal", "volume" : "20" }, "uris" : [ "http://www.mendeley.com/documents/?uuid=8fd08caa-ed1e-445a-b007-811e4a9cd815" ] } ], "mendeley" : { "formattedCitation" : "&lt;sup&gt;&lt;sup&gt;95&lt;/sup&gt;&lt;/sup&gt;", "plainTextFormattedCitation" : "95", "previouslyFormattedCitation" : "&lt;sup&gt;&lt;sup&gt;95&lt;/sup&gt;&lt;/sup&gt;" }, "properties" : { "noteIndex" : 0 }, "schema" : "https://github.com/citation-style-language/schema/raw/master/csl-citation.json" }</w:instrText>
      </w:r>
      <w:r w:rsidR="007E5D76" w:rsidRPr="00383A89">
        <w:rPr>
          <w:lang w:val="en-GB"/>
        </w:rPr>
        <w:fldChar w:fldCharType="separate"/>
      </w:r>
      <w:r w:rsidR="00E8653E" w:rsidRPr="00E8653E">
        <w:rPr>
          <w:noProof/>
          <w:vertAlign w:val="superscript"/>
          <w:lang w:val="en-GB"/>
        </w:rPr>
        <w:t>95</w:t>
      </w:r>
      <w:r w:rsidR="007E5D76" w:rsidRPr="00383A89">
        <w:rPr>
          <w:lang w:val="en-GB"/>
        </w:rPr>
        <w:fldChar w:fldCharType="end"/>
      </w:r>
      <w:r w:rsidRPr="00383A89">
        <w:rPr>
          <w:lang w:val="en-GB"/>
        </w:rPr>
        <w:t xml:space="preserve"> The </w:t>
      </w:r>
      <w:r w:rsidR="00816B95" w:rsidRPr="00383A89">
        <w:rPr>
          <w:lang w:val="en-GB"/>
        </w:rPr>
        <w:t xml:space="preserve">dynamics of </w:t>
      </w:r>
      <w:r w:rsidRPr="00383A89">
        <w:rPr>
          <w:lang w:val="en-GB"/>
        </w:rPr>
        <w:t>estradiol</w:t>
      </w:r>
      <w:r w:rsidR="00816B95" w:rsidRPr="00383A89">
        <w:rPr>
          <w:lang w:val="en-GB"/>
        </w:rPr>
        <w:t xml:space="preserve"> in the female model</w:t>
      </w:r>
      <w:r w:rsidRPr="00383A89">
        <w:rPr>
          <w:lang w:val="en-GB"/>
        </w:rPr>
        <w:t xml:space="preserve"> </w:t>
      </w:r>
      <w:r w:rsidR="00816B95" w:rsidRPr="00383A89">
        <w:rPr>
          <w:lang w:val="en-GB"/>
        </w:rPr>
        <w:t xml:space="preserve">was described with </w:t>
      </w:r>
      <w:r w:rsidRPr="00383A89">
        <w:rPr>
          <w:lang w:val="en-GB"/>
        </w:rPr>
        <w:t>the monthly estrous cycle that cannot be found in males</w:t>
      </w:r>
      <w:r w:rsidR="00B138B4">
        <w:rPr>
          <w:lang w:val="en-GB"/>
        </w:rPr>
        <w:t>.</w:t>
      </w:r>
      <w:r w:rsidR="007E5D76" w:rsidRPr="00383A89">
        <w:rPr>
          <w:lang w:val="en-GB"/>
        </w:rPr>
        <w:fldChar w:fldCharType="begin" w:fldLock="1"/>
      </w:r>
      <w:r w:rsidR="00E8653E">
        <w:rPr>
          <w:lang w:val="en-GB"/>
        </w:rPr>
        <w:instrText>ADDIN CSL_CITATION { "citationItems" : [ { "id" : "ITEM-1", "itemData" : { "DOI" : "10.1038/oby.2004.185", "ISBN" : "1071-7323 (Print)\\r1071-7323 (Linking)", "ISSN" : "10717323", "PMID" : "15483213", "abstract" : "OBJECTIVE: To examine gender differences and hormonal regulation of resistin, adiponectin, and leptin. RESEARCH METHODS AND PROCEDURES: Plasma levels were measured, and mRNA expression in perigonadal fat was quantified by RNase protection assays. RESULTS: Plasma resistin declined with age despite an increase in adiposity in both genders. In male mice, plasma leptin increased, whereas adiponectin levels were constant. In females, both adiponectin and leptin levels increased with age. Resistin mRNA levels were significantly higher in female than male mice at all ages, whereas leptin and adiponectin mRNA levels were similar in fat from 6-week-old male and female mice, and sexual dimorphism was apparent only in the older mice, with higher levels apparent in females. Castration did not abolish gender differences in plasma levels or resistin, adiponectin, or leptin mRNAs. Castration of male mice did not significantly change adipokine mRNA levels or plasma levels of resistin or leptin; however, adiponectin was significantly increased. Dihydrotestosterone treatment had no effect on adipokine mRNA expression or resistin and adiponectin levels but increased leptin levels. In contrast, ovariectomy significantly increased resistin mRNA abundance and decreased leptin and adiponectin mRNAs. Plasma leptin levels were also increased by ovariectomy, whereas resistin and adiponectin levels were unchanged. Estrogen replacement significantly reduced resistin mRNA and increased leptin and adiponectin mRNA levels but had no effect on plasma adipokine levels. DISCUSSION: The gender differences in adipokine mRNA expression and plasma levels were not ablated by castration and seem to be dependent on other factors in addition to gonadal steroids.", "author" : [ { "dropping-particle" : "", "family" : "Gui", "given" : "Yaoting", "non-dropping-particle" : "", "parse-names" : false, "suffix" : "" }, { "dropping-particle" : "V.", "family" : "Silha", "given" : "Josef", "non-dropping-particle" : "", "parse-names" : false, "suffix" : "" }, { "dropping-particle" : "", "family" : "Murphy", "given" : "Liam J.", "non-dropping-particle" : "", "parse-names" : false, "suffix" : "" } ], "container-title" : "Obesity Research", "id" : "ITEM-1", "issue" : "9", "issued" : { "date-parts" : [ [ "2004" ] ] }, "page" : "1481-1491", "title" : "Sexual dimorphism and regulation of resistin, adiponectin, and leptin expression in the mouse", "type" : "article-journal", "volume" : "12" }, "uris" : [ "http://www.mendeley.com/documents/?uuid=24f4c27e-1ccf-4e4d-b02c-2cca3372e9bb" ] } ], "mendeley" : { "formattedCitation" : "&lt;sup&gt;&lt;sup&gt;96&lt;/sup&gt;&lt;/sup&gt;", "plainTextFormattedCitation" : "96", "previouslyFormattedCitation" : "&lt;sup&gt;&lt;sup&gt;96&lt;/sup&gt;&lt;/sup&gt;" }, "properties" : { "noteIndex" : 0 }, "schema" : "https://github.com/citation-style-language/schema/raw/master/csl-citation.json" }</w:instrText>
      </w:r>
      <w:r w:rsidR="007E5D76" w:rsidRPr="00383A89">
        <w:rPr>
          <w:lang w:val="en-GB"/>
        </w:rPr>
        <w:fldChar w:fldCharType="separate"/>
      </w:r>
      <w:r w:rsidR="00E8653E" w:rsidRPr="00E8653E">
        <w:rPr>
          <w:noProof/>
          <w:vertAlign w:val="superscript"/>
          <w:lang w:val="en-GB"/>
        </w:rPr>
        <w:t>96</w:t>
      </w:r>
      <w:r w:rsidR="007E5D76" w:rsidRPr="00383A89">
        <w:rPr>
          <w:lang w:val="en-GB"/>
        </w:rPr>
        <w:fldChar w:fldCharType="end"/>
      </w:r>
      <w:r w:rsidRPr="00383A89">
        <w:rPr>
          <w:lang w:val="en-GB"/>
        </w:rPr>
        <w:t xml:space="preserve"> With these alterations, </w:t>
      </w:r>
      <w:r w:rsidRPr="00B138B4">
        <w:rPr>
          <w:i/>
          <w:lang w:val="en-GB"/>
        </w:rPr>
        <w:t>LiverSex</w:t>
      </w:r>
      <w:r w:rsidRPr="00383A89">
        <w:rPr>
          <w:lang w:val="en-GB"/>
        </w:rPr>
        <w:t xml:space="preserve"> </w:t>
      </w:r>
      <w:r w:rsidR="00C5153B" w:rsidRPr="00383A89">
        <w:rPr>
          <w:lang w:val="en-GB"/>
        </w:rPr>
        <w:t>was</w:t>
      </w:r>
      <w:r w:rsidR="00FC1190" w:rsidRPr="00383A89">
        <w:rPr>
          <w:lang w:val="en-GB"/>
        </w:rPr>
        <w:t xml:space="preserve"> able to </w:t>
      </w:r>
      <w:r w:rsidRPr="00383A89">
        <w:rPr>
          <w:lang w:val="en-GB"/>
        </w:rPr>
        <w:t xml:space="preserve">provide detailed insights into gender dependent complex liver pathologies in the liver-related disease </w:t>
      </w:r>
      <w:r w:rsidR="009D7955" w:rsidRPr="00383A89">
        <w:rPr>
          <w:lang w:val="en-GB"/>
        </w:rPr>
        <w:t>development</w:t>
      </w:r>
      <w:r w:rsidRPr="00383A89">
        <w:rPr>
          <w:lang w:val="en-GB"/>
        </w:rPr>
        <w:t xml:space="preserve"> and progression. The model identified the cardinal gender dependent metabolic pathways such as partition of fatty acids to ketone body production, VLDL synthesis, and fatty acids oxidation, together with deposition of triglycerides as lipid droplets, which are involved in accumulation of triglyceride as one of the initial steps of NAFLD</w:t>
      </w:r>
      <w:r w:rsidR="009D7955" w:rsidRPr="00383A89">
        <w:rPr>
          <w:lang w:val="en-GB"/>
        </w:rPr>
        <w:t>. Later was</w:t>
      </w:r>
      <w:r w:rsidRPr="00383A89">
        <w:rPr>
          <w:lang w:val="en-GB"/>
        </w:rPr>
        <w:t xml:space="preserve"> recognized as </w:t>
      </w:r>
      <w:r w:rsidR="009D7955" w:rsidRPr="00383A89">
        <w:rPr>
          <w:lang w:val="en-GB"/>
        </w:rPr>
        <w:t xml:space="preserve">substantially </w:t>
      </w:r>
      <w:r w:rsidRPr="00383A89">
        <w:rPr>
          <w:lang w:val="en-GB"/>
        </w:rPr>
        <w:t>more sensitive in females in response to a high-fat diet challenge. The ability to partition fatty acids into different pathways might be one of the possible protective mechanisms in females leading to delayed NAFLD p</w:t>
      </w:r>
      <w:r w:rsidR="00FC1190" w:rsidRPr="00383A89">
        <w:rPr>
          <w:lang w:val="en-GB"/>
        </w:rPr>
        <w:t>rogression compared to males. In</w:t>
      </w:r>
      <w:r w:rsidRPr="00383A89">
        <w:rPr>
          <w:lang w:val="en-GB"/>
        </w:rPr>
        <w:t xml:space="preserve"> the same way, PGC1A, PPARα, FXR and LXR </w:t>
      </w:r>
      <w:r w:rsidR="00FC1190" w:rsidRPr="00383A89">
        <w:rPr>
          <w:lang w:val="en-GB"/>
        </w:rPr>
        <w:t>we</w:t>
      </w:r>
      <w:r w:rsidRPr="00383A89">
        <w:rPr>
          <w:lang w:val="en-GB"/>
        </w:rPr>
        <w:t>re identified as regulatory factors, which could become influential in gender dependent personalized treatment of NAFLD.</w:t>
      </w:r>
    </w:p>
    <w:p w14:paraId="7E9C90FB" w14:textId="794EC2BC" w:rsidR="00A35E7E" w:rsidRPr="00383A89" w:rsidRDefault="00F3175F" w:rsidP="00A35E7E">
      <w:pPr>
        <w:keepNext/>
        <w:jc w:val="center"/>
        <w:rPr>
          <w:lang w:val="en-GB"/>
        </w:rPr>
      </w:pPr>
      <w:r w:rsidRPr="00383A89">
        <w:rPr>
          <w:noProof/>
          <w:lang w:val="en-GB" w:eastAsia="en-GB"/>
        </w:rPr>
        <w:drawing>
          <wp:inline distT="0" distB="0" distL="0" distR="0" wp14:anchorId="5D919903" wp14:editId="2D692D48">
            <wp:extent cx="3619363" cy="264949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png"/>
                    <pic:cNvPicPr/>
                  </pic:nvPicPr>
                  <pic:blipFill>
                    <a:blip r:embed="rId11">
                      <a:extLst>
                        <a:ext uri="{28A0092B-C50C-407E-A947-70E740481C1C}">
                          <a14:useLocalDpi xmlns:a14="http://schemas.microsoft.com/office/drawing/2010/main" val="0"/>
                        </a:ext>
                      </a:extLst>
                    </a:blip>
                    <a:stretch>
                      <a:fillRect/>
                    </a:stretch>
                  </pic:blipFill>
                  <pic:spPr>
                    <a:xfrm>
                      <a:off x="0" y="0"/>
                      <a:ext cx="3628262" cy="2656007"/>
                    </a:xfrm>
                    <a:prstGeom prst="rect">
                      <a:avLst/>
                    </a:prstGeom>
                  </pic:spPr>
                </pic:pic>
              </a:graphicData>
            </a:graphic>
          </wp:inline>
        </w:drawing>
      </w:r>
    </w:p>
    <w:p w14:paraId="4F7B27D8" w14:textId="7579E2B4" w:rsidR="00A35E7E" w:rsidRPr="00383A89" w:rsidRDefault="00A35E7E" w:rsidP="00A35E7E">
      <w:pPr>
        <w:pStyle w:val="Napis"/>
        <w:rPr>
          <w:i w:val="0"/>
          <w:color w:val="auto"/>
          <w:sz w:val="22"/>
          <w:szCs w:val="22"/>
          <w:lang w:val="en-GB"/>
        </w:rPr>
      </w:pPr>
      <w:bookmarkStart w:id="5" w:name="_Ref511728064"/>
      <w:r w:rsidRPr="00383A89">
        <w:rPr>
          <w:i w:val="0"/>
          <w:color w:val="auto"/>
          <w:sz w:val="22"/>
          <w:szCs w:val="22"/>
          <w:lang w:val="en-GB"/>
        </w:rPr>
        <w:t xml:space="preserve">Figure </w:t>
      </w:r>
      <w:r w:rsidRPr="00383A89">
        <w:rPr>
          <w:i w:val="0"/>
          <w:color w:val="auto"/>
          <w:sz w:val="22"/>
          <w:szCs w:val="22"/>
          <w:lang w:val="en-GB"/>
        </w:rPr>
        <w:fldChar w:fldCharType="begin"/>
      </w:r>
      <w:r w:rsidRPr="00383A89">
        <w:rPr>
          <w:i w:val="0"/>
          <w:color w:val="auto"/>
          <w:sz w:val="22"/>
          <w:szCs w:val="22"/>
          <w:lang w:val="en-GB"/>
        </w:rPr>
        <w:instrText xml:space="preserve"> SEQ Figure \* ARABIC </w:instrText>
      </w:r>
      <w:r w:rsidRPr="00383A89">
        <w:rPr>
          <w:i w:val="0"/>
          <w:color w:val="auto"/>
          <w:sz w:val="22"/>
          <w:szCs w:val="22"/>
          <w:lang w:val="en-GB"/>
        </w:rPr>
        <w:fldChar w:fldCharType="separate"/>
      </w:r>
      <w:r w:rsidR="006869C6">
        <w:rPr>
          <w:i w:val="0"/>
          <w:noProof/>
          <w:color w:val="auto"/>
          <w:sz w:val="22"/>
          <w:szCs w:val="22"/>
          <w:lang w:val="en-GB"/>
        </w:rPr>
        <w:t>3</w:t>
      </w:r>
      <w:r w:rsidRPr="00383A89">
        <w:rPr>
          <w:i w:val="0"/>
          <w:color w:val="auto"/>
          <w:sz w:val="22"/>
          <w:szCs w:val="22"/>
          <w:lang w:val="en-GB"/>
        </w:rPr>
        <w:fldChar w:fldCharType="end"/>
      </w:r>
      <w:bookmarkEnd w:id="5"/>
      <w:r w:rsidRPr="00383A89">
        <w:rPr>
          <w:i w:val="0"/>
          <w:color w:val="auto"/>
          <w:sz w:val="22"/>
          <w:szCs w:val="22"/>
          <w:lang w:val="en-GB"/>
        </w:rPr>
        <w:t xml:space="preserve">: </w:t>
      </w:r>
      <w:r w:rsidRPr="00383A89">
        <w:rPr>
          <w:color w:val="auto"/>
          <w:sz w:val="22"/>
          <w:szCs w:val="22"/>
          <w:lang w:val="en-GB"/>
        </w:rPr>
        <w:t>LiverSex</w:t>
      </w:r>
      <w:r w:rsidRPr="00383A89">
        <w:rPr>
          <w:i w:val="0"/>
          <w:color w:val="auto"/>
          <w:sz w:val="22"/>
          <w:szCs w:val="22"/>
          <w:lang w:val="en-GB"/>
        </w:rPr>
        <w:t xml:space="preserve"> presents </w:t>
      </w:r>
      <w:r w:rsidR="00010319" w:rsidRPr="00383A89">
        <w:rPr>
          <w:i w:val="0"/>
          <w:color w:val="auto"/>
          <w:sz w:val="22"/>
          <w:szCs w:val="22"/>
          <w:lang w:val="en-GB"/>
        </w:rPr>
        <w:t xml:space="preserve">the </w:t>
      </w:r>
      <w:r w:rsidRPr="00383A89">
        <w:rPr>
          <w:i w:val="0"/>
          <w:color w:val="auto"/>
          <w:sz w:val="22"/>
          <w:szCs w:val="22"/>
          <w:lang w:val="en-GB"/>
        </w:rPr>
        <w:t xml:space="preserve">gender-based adaptation of </w:t>
      </w:r>
      <w:r w:rsidR="00D10A11" w:rsidRPr="00383A89">
        <w:rPr>
          <w:i w:val="0"/>
          <w:color w:val="auto"/>
          <w:sz w:val="22"/>
          <w:szCs w:val="22"/>
          <w:lang w:val="en-GB"/>
        </w:rPr>
        <w:t xml:space="preserve">the </w:t>
      </w:r>
      <w:r w:rsidRPr="00383A89">
        <w:rPr>
          <w:color w:val="auto"/>
          <w:sz w:val="22"/>
          <w:szCs w:val="22"/>
          <w:lang w:val="en-GB"/>
        </w:rPr>
        <w:t>SteatoNet</w:t>
      </w:r>
      <w:r w:rsidRPr="00383A89">
        <w:rPr>
          <w:i w:val="0"/>
          <w:color w:val="auto"/>
          <w:sz w:val="22"/>
          <w:szCs w:val="22"/>
          <w:lang w:val="en-GB"/>
        </w:rPr>
        <w:t xml:space="preserve"> model</w:t>
      </w:r>
      <w:r w:rsidR="00581ED8" w:rsidRPr="00383A89">
        <w:rPr>
          <w:i w:val="0"/>
          <w:color w:val="auto"/>
          <w:sz w:val="22"/>
          <w:szCs w:val="22"/>
          <w:lang w:val="en-GB"/>
        </w:rPr>
        <w:t>,</w:t>
      </w:r>
      <w:r w:rsidRPr="00383A89">
        <w:rPr>
          <w:i w:val="0"/>
          <w:color w:val="auto"/>
          <w:sz w:val="22"/>
          <w:szCs w:val="22"/>
          <w:lang w:val="en-GB"/>
        </w:rPr>
        <w:t xml:space="preserve"> and is able to provid</w:t>
      </w:r>
      <w:r w:rsidR="00010319" w:rsidRPr="00383A89">
        <w:rPr>
          <w:i w:val="0"/>
          <w:color w:val="auto"/>
          <w:sz w:val="22"/>
          <w:szCs w:val="22"/>
          <w:lang w:val="en-GB"/>
        </w:rPr>
        <w:t>e detailed insights into gender-</w:t>
      </w:r>
      <w:r w:rsidRPr="00383A89">
        <w:rPr>
          <w:i w:val="0"/>
          <w:color w:val="auto"/>
          <w:sz w:val="22"/>
          <w:szCs w:val="22"/>
          <w:lang w:val="en-GB"/>
        </w:rPr>
        <w:t>dependent complex liver pathologies. The adaptation was performed with the addition of androgen and estrogen receptor responses, the addition of connections between sex steroids and growth hormone, and the addition of gender-based growth hormone release</w:t>
      </w:r>
      <w:r w:rsidR="00F3175F" w:rsidRPr="00383A89">
        <w:rPr>
          <w:i w:val="0"/>
          <w:color w:val="auto"/>
          <w:sz w:val="22"/>
          <w:szCs w:val="22"/>
          <w:lang w:val="en-GB"/>
        </w:rPr>
        <w:t xml:space="preserve"> (see </w:t>
      </w:r>
      <w:r w:rsidR="00F3175F" w:rsidRPr="00383A89">
        <w:rPr>
          <w:i w:val="0"/>
          <w:color w:val="auto"/>
          <w:sz w:val="22"/>
          <w:szCs w:val="22"/>
          <w:lang w:val="en-GB"/>
        </w:rPr>
        <w:fldChar w:fldCharType="begin" w:fldLock="1"/>
      </w:r>
      <w:r w:rsidR="001C27E1">
        <w:rPr>
          <w:i w:val="0"/>
          <w:color w:val="auto"/>
          <w:sz w:val="22"/>
          <w:szCs w:val="22"/>
          <w:lang w:val="en-GB"/>
        </w:rPr>
        <w:instrText>ADDIN CSL_CITATION { "citationItems" : [ { "id" : "ITEM-1", "itemData" : { "DOI" : "10.3389/fphys.2018.00360", "author" : [ { "dropping-particle" : "", "family" : "Cvitanovi\u0107 Toma\u0161", "given" : "Tanja", "non-dropping-particle" : "", "parse-names" : false, "suffix" : "" }, { "dropping-particle" : "", "family" : "Urlep", "given" : "\u017diga", "non-dropping-particle" : "", "parse-names" : false, "suffix" : "" }, { "dropping-particle" : "", "family" : "Mo\u0161kon", "given" : "Miha", "non-dropping-particle" : "", "parse-names" : false, "suffix" : "" }, { "dropping-particle" : "", "family" : "Mraz", "given" : "Miha", "non-dropping-particle" : "", "parse-names" : false, "suffix" : "" }, { "dropping-particle" : "", "family" : "Rozman", "given" : "Damjana", "non-dropping-particle" : "", "parse-names" : false, "suffix" : "" } ], "container-title" : "Frontiers in Physiology", "id" : "ITEM-1", "issued" : { "date-parts" : [ [ "2018" ] ] }, "page" : "360", "title" : "LiverSex Computational Model: Sexual Aspects in Hepatic Metabolism and Abnormalities", "type" : "article-journal", "volume" : "9" }, "uris" : [ "http://www.mendeley.com/documents/?uuid=41f34267-9a78-4e01-8a45-47913b721216" ] } ], "mendeley" : { "formattedCitation" : "&lt;sup&gt;&lt;sup&gt;20&lt;/sup&gt;&lt;/sup&gt;", "plainTextFormattedCitation" : "20", "previouslyFormattedCitation" : "&lt;sup&gt;&lt;sup&gt;20&lt;/sup&gt;&lt;/sup&gt;" }, "properties" : { "noteIndex" : 0 }, "schema" : "https://github.com/citation-style-language/schema/raw/master/csl-citation.json" }</w:instrText>
      </w:r>
      <w:r w:rsidR="00F3175F" w:rsidRPr="00383A89">
        <w:rPr>
          <w:i w:val="0"/>
          <w:color w:val="auto"/>
          <w:sz w:val="22"/>
          <w:szCs w:val="22"/>
          <w:lang w:val="en-GB"/>
        </w:rPr>
        <w:fldChar w:fldCharType="separate"/>
      </w:r>
      <w:r w:rsidR="00A34EF8" w:rsidRPr="00A34EF8">
        <w:rPr>
          <w:i w:val="0"/>
          <w:noProof/>
          <w:color w:val="auto"/>
          <w:sz w:val="22"/>
          <w:szCs w:val="22"/>
          <w:vertAlign w:val="superscript"/>
          <w:lang w:val="en-GB"/>
        </w:rPr>
        <w:t>20</w:t>
      </w:r>
      <w:r w:rsidR="00F3175F" w:rsidRPr="00383A89">
        <w:rPr>
          <w:i w:val="0"/>
          <w:color w:val="auto"/>
          <w:sz w:val="22"/>
          <w:szCs w:val="22"/>
          <w:lang w:val="en-GB"/>
        </w:rPr>
        <w:fldChar w:fldCharType="end"/>
      </w:r>
      <w:r w:rsidR="00F3175F" w:rsidRPr="00383A89">
        <w:rPr>
          <w:i w:val="0"/>
          <w:color w:val="auto"/>
          <w:sz w:val="22"/>
          <w:szCs w:val="22"/>
          <w:lang w:val="en-GB"/>
        </w:rPr>
        <w:t>)</w:t>
      </w:r>
      <w:r w:rsidRPr="00383A89">
        <w:rPr>
          <w:i w:val="0"/>
          <w:color w:val="auto"/>
          <w:sz w:val="22"/>
          <w:szCs w:val="22"/>
          <w:lang w:val="en-GB"/>
        </w:rPr>
        <w:t>.</w:t>
      </w:r>
    </w:p>
    <w:p w14:paraId="32165CF2" w14:textId="77777777" w:rsidR="00723843" w:rsidRPr="00383A89" w:rsidRDefault="00723843" w:rsidP="00723843">
      <w:pPr>
        <w:pStyle w:val="Naslov1"/>
        <w:rPr>
          <w:lang w:val="en-GB"/>
        </w:rPr>
      </w:pPr>
      <w:r w:rsidRPr="00383A89">
        <w:rPr>
          <w:lang w:val="en-GB"/>
        </w:rPr>
        <w:t>Future perspectives</w:t>
      </w:r>
    </w:p>
    <w:p w14:paraId="6D972D9F" w14:textId="2063FA11" w:rsidR="00B02534" w:rsidRPr="00383A89" w:rsidRDefault="00B02534" w:rsidP="00B02534">
      <w:pPr>
        <w:rPr>
          <w:lang w:val="en-GB"/>
        </w:rPr>
      </w:pPr>
      <w:r w:rsidRPr="00383A89">
        <w:rPr>
          <w:lang w:val="en-GB"/>
        </w:rPr>
        <w:t>In systems medicine, computational models can be applied for diagnos</w:t>
      </w:r>
      <w:r w:rsidR="00092C42" w:rsidRPr="00383A89">
        <w:rPr>
          <w:lang w:val="en-GB"/>
        </w:rPr>
        <w:t>tics</w:t>
      </w:r>
      <w:r w:rsidRPr="00383A89">
        <w:rPr>
          <w:lang w:val="en-GB"/>
        </w:rPr>
        <w:t xml:space="preserve">, for prediction of disease progression, and for optimal selection of suitable therapeutic strategies. They give us the opportunity </w:t>
      </w:r>
      <w:r w:rsidR="002F450D" w:rsidRPr="00383A89">
        <w:rPr>
          <w:lang w:val="en-GB"/>
        </w:rPr>
        <w:t>to</w:t>
      </w:r>
      <w:r w:rsidRPr="00383A89">
        <w:rPr>
          <w:lang w:val="en-GB"/>
        </w:rPr>
        <w:t xml:space="preserve"> personalis</w:t>
      </w:r>
      <w:r w:rsidR="002F450D" w:rsidRPr="00383A89">
        <w:rPr>
          <w:lang w:val="en-GB"/>
        </w:rPr>
        <w:t>e</w:t>
      </w:r>
      <w:r w:rsidRPr="00383A89">
        <w:rPr>
          <w:lang w:val="en-GB"/>
        </w:rPr>
        <w:t xml:space="preserve"> the clinical care to the </w:t>
      </w:r>
      <w:r w:rsidR="002F450D" w:rsidRPr="00383A89">
        <w:rPr>
          <w:lang w:val="en-GB"/>
        </w:rPr>
        <w:t>patient</w:t>
      </w:r>
      <w:r w:rsidRPr="00383A89">
        <w:rPr>
          <w:lang w:val="en-GB"/>
        </w:rPr>
        <w:t>s</w:t>
      </w:r>
      <w:r w:rsidR="002F450D" w:rsidRPr="00383A89">
        <w:rPr>
          <w:lang w:val="en-GB"/>
        </w:rPr>
        <w:t>’</w:t>
      </w:r>
      <w:r w:rsidRPr="00383A89">
        <w:rPr>
          <w:lang w:val="en-GB"/>
        </w:rPr>
        <w:t xml:space="preserve"> anatomy, physiology, genomic background, etc. In addition, systems medicine </w:t>
      </w:r>
      <w:r w:rsidR="002F450D" w:rsidRPr="00383A89">
        <w:rPr>
          <w:lang w:val="en-GB"/>
        </w:rPr>
        <w:t xml:space="preserve">approaches </w:t>
      </w:r>
      <w:r w:rsidRPr="00383A89">
        <w:rPr>
          <w:lang w:val="en-GB"/>
        </w:rPr>
        <w:t xml:space="preserve">highlight patient specific aspects on the development and progression </w:t>
      </w:r>
      <w:r w:rsidR="00C614A6" w:rsidRPr="00383A89">
        <w:rPr>
          <w:lang w:val="en-GB"/>
        </w:rPr>
        <w:t xml:space="preserve">of the </w:t>
      </w:r>
      <w:r w:rsidRPr="00383A89">
        <w:rPr>
          <w:lang w:val="en-GB"/>
        </w:rPr>
        <w:t>disease</w:t>
      </w:r>
      <w:r w:rsidR="00F157BF" w:rsidRPr="00383A89">
        <w:rPr>
          <w:lang w:val="en-GB"/>
        </w:rPr>
        <w:t>s</w:t>
      </w:r>
      <w:r w:rsidRPr="00383A89">
        <w:rPr>
          <w:lang w:val="en-GB"/>
        </w:rPr>
        <w:t>.</w:t>
      </w:r>
    </w:p>
    <w:p w14:paraId="6910AD64" w14:textId="5451E14D" w:rsidR="00B02534" w:rsidRPr="00383A89" w:rsidRDefault="00F157BF" w:rsidP="00B02534">
      <w:pPr>
        <w:spacing w:before="100" w:beforeAutospacing="1" w:after="100" w:afterAutospacing="1"/>
        <w:jc w:val="both"/>
        <w:rPr>
          <w:lang w:val="en-GB"/>
        </w:rPr>
      </w:pPr>
      <w:r w:rsidRPr="00383A89">
        <w:rPr>
          <w:lang w:val="en-GB"/>
        </w:rPr>
        <w:lastRenderedPageBreak/>
        <w:t>The l</w:t>
      </w:r>
      <w:r w:rsidR="00B02534" w:rsidRPr="00383A89">
        <w:rPr>
          <w:lang w:val="en-GB"/>
        </w:rPr>
        <w:t xml:space="preserve">iver has a major physiological </w:t>
      </w:r>
      <w:r w:rsidRPr="00383A89">
        <w:rPr>
          <w:lang w:val="en-GB"/>
        </w:rPr>
        <w:t>role in</w:t>
      </w:r>
      <w:r w:rsidR="00B02534" w:rsidRPr="00383A89">
        <w:rPr>
          <w:lang w:val="en-GB"/>
        </w:rPr>
        <w:t xml:space="preserve"> the fine-tuning of metabolic pathways, including functions associated with health and disease. A comprehensive characterization of liver maintenance and disruption</w:t>
      </w:r>
      <w:r w:rsidRPr="00383A89">
        <w:rPr>
          <w:lang w:val="en-GB"/>
        </w:rPr>
        <w:t>s</w:t>
      </w:r>
      <w:r w:rsidR="00B02534" w:rsidRPr="00383A89">
        <w:rPr>
          <w:lang w:val="en-GB"/>
        </w:rPr>
        <w:t xml:space="preserve"> might be crucial in preventive medicine and in the design of safer </w:t>
      </w:r>
      <w:r w:rsidR="00DE2269" w:rsidRPr="00383A89">
        <w:rPr>
          <w:lang w:val="en-GB"/>
        </w:rPr>
        <w:t xml:space="preserve">and more efficient </w:t>
      </w:r>
      <w:r w:rsidR="00B02534" w:rsidRPr="00383A89">
        <w:rPr>
          <w:lang w:val="en-GB"/>
        </w:rPr>
        <w:t xml:space="preserve">therapeutic approaches. </w:t>
      </w:r>
      <w:r w:rsidR="00B02534" w:rsidRPr="00383A89">
        <w:rPr>
          <w:color w:val="211E21"/>
          <w:lang w:val="en-GB"/>
        </w:rPr>
        <w:t xml:space="preserve">Systems medicine may help with finding preventive approaches for diseases of hepatic metabolism. </w:t>
      </w:r>
    </w:p>
    <w:p w14:paraId="3FD8D5FB" w14:textId="2195CA18" w:rsidR="00B02534" w:rsidRPr="00383A89" w:rsidRDefault="00B02534" w:rsidP="00B02534">
      <w:pPr>
        <w:spacing w:before="100" w:beforeAutospacing="1" w:after="100" w:afterAutospacing="1"/>
        <w:jc w:val="both"/>
        <w:rPr>
          <w:lang w:val="en-GB"/>
        </w:rPr>
      </w:pPr>
      <w:r w:rsidRPr="00383A89">
        <w:rPr>
          <w:lang w:val="en-GB"/>
        </w:rPr>
        <w:t xml:space="preserve">Computational models </w:t>
      </w:r>
      <w:r w:rsidR="00F157BF" w:rsidRPr="00383A89">
        <w:rPr>
          <w:lang w:val="en-GB"/>
        </w:rPr>
        <w:t xml:space="preserve">complement experimental </w:t>
      </w:r>
      <w:r w:rsidRPr="00383A89">
        <w:rPr>
          <w:lang w:val="en-GB"/>
        </w:rPr>
        <w:t xml:space="preserve">data </w:t>
      </w:r>
      <w:r w:rsidR="00F157BF" w:rsidRPr="00383A89">
        <w:rPr>
          <w:lang w:val="en-GB"/>
        </w:rPr>
        <w:t>and</w:t>
      </w:r>
      <w:r w:rsidRPr="00383A89">
        <w:rPr>
          <w:lang w:val="en-GB"/>
        </w:rPr>
        <w:t xml:space="preserve"> can </w:t>
      </w:r>
      <w:r w:rsidR="00DE2269" w:rsidRPr="00383A89">
        <w:rPr>
          <w:lang w:val="en-GB"/>
        </w:rPr>
        <w:t>be used for diagnostic purposes, for</w:t>
      </w:r>
      <w:r w:rsidRPr="00383A89">
        <w:rPr>
          <w:lang w:val="en-GB"/>
        </w:rPr>
        <w:t xml:space="preserve"> identification of drug targets</w:t>
      </w:r>
      <w:r w:rsidR="00DE2269" w:rsidRPr="00383A89">
        <w:rPr>
          <w:lang w:val="en-GB"/>
        </w:rPr>
        <w:t xml:space="preserve"> and</w:t>
      </w:r>
      <w:r w:rsidRPr="00383A89">
        <w:rPr>
          <w:lang w:val="en-GB"/>
        </w:rPr>
        <w:t xml:space="preserve"> for personalized care </w:t>
      </w:r>
      <w:r w:rsidR="00DE2269" w:rsidRPr="00383A89">
        <w:rPr>
          <w:lang w:val="en-GB"/>
        </w:rPr>
        <w:t>of</w:t>
      </w:r>
      <w:r w:rsidRPr="00383A89">
        <w:rPr>
          <w:lang w:val="en-GB"/>
        </w:rPr>
        <w:t xml:space="preserve"> patients with liver diseases. There is an urgent need for new therapies in hepatology, as the mortality and morbidity in many liver diseases is still high</w:t>
      </w:r>
      <w:r w:rsidR="00F157BF" w:rsidRPr="00383A89">
        <w:rPr>
          <w:lang w:val="en-GB"/>
        </w:rPr>
        <w:t>.</w:t>
      </w:r>
      <w:r w:rsidRPr="00383A89">
        <w:rPr>
          <w:lang w:val="en-GB"/>
        </w:rPr>
        <w:t xml:space="preserve"> </w:t>
      </w:r>
      <w:r w:rsidR="00F157BF" w:rsidRPr="00383A89">
        <w:rPr>
          <w:lang w:val="en-GB"/>
        </w:rPr>
        <w:t>E</w:t>
      </w:r>
      <w:r w:rsidRPr="00383A89">
        <w:rPr>
          <w:lang w:val="en-GB"/>
        </w:rPr>
        <w:t>nd-stage liver disease</w:t>
      </w:r>
      <w:r w:rsidR="00F157BF" w:rsidRPr="00383A89">
        <w:rPr>
          <w:lang w:val="en-GB"/>
        </w:rPr>
        <w:t>s</w:t>
      </w:r>
      <w:r w:rsidRPr="00383A89">
        <w:rPr>
          <w:lang w:val="en-GB"/>
        </w:rPr>
        <w:t xml:space="preserve"> and cancer</w:t>
      </w:r>
      <w:r w:rsidR="00F157BF" w:rsidRPr="00383A89">
        <w:rPr>
          <w:lang w:val="en-GB"/>
        </w:rPr>
        <w:t>s</w:t>
      </w:r>
      <w:r w:rsidRPr="00383A89">
        <w:rPr>
          <w:lang w:val="en-GB"/>
        </w:rPr>
        <w:t xml:space="preserve"> share a similar </w:t>
      </w:r>
      <w:r w:rsidR="00F157BF" w:rsidRPr="00383A89">
        <w:rPr>
          <w:lang w:val="en-GB"/>
        </w:rPr>
        <w:t>dismal</w:t>
      </w:r>
      <w:r w:rsidRPr="00383A89">
        <w:rPr>
          <w:lang w:val="en-GB"/>
        </w:rPr>
        <w:t xml:space="preserve"> prognosis. </w:t>
      </w:r>
      <w:r w:rsidR="00F157BF" w:rsidRPr="00383A89">
        <w:rPr>
          <w:lang w:val="en-GB"/>
        </w:rPr>
        <w:t>I</w:t>
      </w:r>
      <w:r w:rsidRPr="00383A89">
        <w:rPr>
          <w:lang w:val="en-GB"/>
        </w:rPr>
        <w:t>n comparison to the recent progress in personalized medicine in oncology</w:t>
      </w:r>
      <w:r w:rsidR="00F157BF" w:rsidRPr="00383A89">
        <w:rPr>
          <w:lang w:val="en-GB"/>
        </w:rPr>
        <w:t>,</w:t>
      </w:r>
      <w:r w:rsidRPr="00383A89">
        <w:rPr>
          <w:lang w:val="en-GB"/>
        </w:rPr>
        <w:t xml:space="preserve"> personalized medicine in hepatology still remains in its infancy. Several liver diseases</w:t>
      </w:r>
      <w:r w:rsidR="006026AC" w:rsidRPr="00383A89">
        <w:rPr>
          <w:lang w:val="en-GB"/>
        </w:rPr>
        <w:t>, such as progression of NAFLD to HCC via NASH,</w:t>
      </w:r>
      <w:r w:rsidR="00DE2269" w:rsidRPr="00383A89">
        <w:rPr>
          <w:lang w:val="en-GB"/>
        </w:rPr>
        <w:t xml:space="preserve"> are still hard to characterize in the context of </w:t>
      </w:r>
      <w:r w:rsidR="007D4502" w:rsidRPr="00383A89">
        <w:rPr>
          <w:lang w:val="en-GB"/>
        </w:rPr>
        <w:t xml:space="preserve">their </w:t>
      </w:r>
      <w:r w:rsidRPr="00383A89">
        <w:rPr>
          <w:lang w:val="en-GB"/>
        </w:rPr>
        <w:t>predicti</w:t>
      </w:r>
      <w:r w:rsidR="00E026DB" w:rsidRPr="00383A89">
        <w:rPr>
          <w:lang w:val="en-GB"/>
        </w:rPr>
        <w:t>ve</w:t>
      </w:r>
      <w:r w:rsidRPr="00383A89">
        <w:rPr>
          <w:lang w:val="en-GB"/>
        </w:rPr>
        <w:t xml:space="preserve"> outcome. In the future, broad molecular profiling of liver diseases</w:t>
      </w:r>
      <w:r w:rsidR="0039382C" w:rsidRPr="00383A89">
        <w:rPr>
          <w:lang w:val="en-GB"/>
        </w:rPr>
        <w:t>, their</w:t>
      </w:r>
      <w:r w:rsidR="00BC5B8E" w:rsidRPr="00383A89">
        <w:rPr>
          <w:lang w:val="en-GB"/>
        </w:rPr>
        <w:t xml:space="preserve"> integration in computational models </w:t>
      </w:r>
      <w:r w:rsidRPr="00383A89">
        <w:rPr>
          <w:lang w:val="en-GB"/>
        </w:rPr>
        <w:t xml:space="preserve">and </w:t>
      </w:r>
      <w:r w:rsidR="00BC5B8E" w:rsidRPr="00383A89">
        <w:rPr>
          <w:lang w:val="en-GB"/>
        </w:rPr>
        <w:t xml:space="preserve">their </w:t>
      </w:r>
      <w:r w:rsidRPr="00383A89">
        <w:rPr>
          <w:lang w:val="en-GB"/>
        </w:rPr>
        <w:t>validat</w:t>
      </w:r>
      <w:r w:rsidR="00F157BF" w:rsidRPr="00383A89">
        <w:rPr>
          <w:lang w:val="en-GB"/>
        </w:rPr>
        <w:t xml:space="preserve">ion </w:t>
      </w:r>
      <w:r w:rsidR="00BC5B8E" w:rsidRPr="00383A89">
        <w:rPr>
          <w:lang w:val="en-GB"/>
        </w:rPr>
        <w:t xml:space="preserve">in </w:t>
      </w:r>
      <w:r w:rsidRPr="00383A89">
        <w:rPr>
          <w:lang w:val="en-GB"/>
        </w:rPr>
        <w:t>clinical trials</w:t>
      </w:r>
      <w:r w:rsidR="00DF20E1" w:rsidRPr="00383A89">
        <w:rPr>
          <w:lang w:val="en-GB"/>
        </w:rPr>
        <w:t>, in females and males</w:t>
      </w:r>
      <w:r w:rsidR="0039382C" w:rsidRPr="00383A89">
        <w:rPr>
          <w:lang w:val="en-GB"/>
        </w:rPr>
        <w:t xml:space="preserve"> could</w:t>
      </w:r>
      <w:r w:rsidRPr="00383A89">
        <w:rPr>
          <w:lang w:val="en-GB"/>
        </w:rPr>
        <w:t xml:space="preserve"> improve the current</w:t>
      </w:r>
      <w:r w:rsidR="00E14B28" w:rsidRPr="00383A89">
        <w:rPr>
          <w:lang w:val="en-GB"/>
        </w:rPr>
        <w:t xml:space="preserve"> </w:t>
      </w:r>
      <w:r w:rsidRPr="00383A89">
        <w:rPr>
          <w:lang w:val="en-GB"/>
        </w:rPr>
        <w:t>treatment options with individualized care.</w:t>
      </w:r>
    </w:p>
    <w:p w14:paraId="22A6621B" w14:textId="0F0D7B04" w:rsidR="00F157BF" w:rsidRPr="00383A89" w:rsidRDefault="00F157BF" w:rsidP="00F157BF">
      <w:pPr>
        <w:rPr>
          <w:shd w:val="clear" w:color="auto" w:fill="FFFFFF"/>
          <w:lang w:val="en-GB"/>
        </w:rPr>
      </w:pPr>
      <w:r w:rsidRPr="00383A89">
        <w:rPr>
          <w:lang w:val="en-GB"/>
        </w:rPr>
        <w:t xml:space="preserve">Scientific society </w:t>
      </w:r>
      <w:r w:rsidRPr="00383A89">
        <w:rPr>
          <w:shd w:val="clear" w:color="auto" w:fill="FFFFFF"/>
          <w:lang w:val="en-GB"/>
        </w:rPr>
        <w:t xml:space="preserve">has entered a new era in which computational methods and technologies have a key role in investigation of the human body. </w:t>
      </w:r>
      <w:r w:rsidR="00B138B4">
        <w:rPr>
          <w:shd w:val="clear" w:color="auto" w:fill="FFFFFF"/>
          <w:lang w:val="en-GB"/>
        </w:rPr>
        <w:t>EuroPhysiome</w:t>
      </w:r>
      <w:r w:rsidR="00DF7DB3" w:rsidRPr="00383A89">
        <w:rPr>
          <w:shd w:val="clear" w:color="auto" w:fill="FFFFFF"/>
          <w:lang w:val="en-GB"/>
        </w:rPr>
        <w:fldChar w:fldCharType="begin" w:fldLock="1"/>
      </w:r>
      <w:r w:rsidR="00E8653E">
        <w:rPr>
          <w:shd w:val="clear" w:color="auto" w:fill="FFFFFF"/>
          <w:lang w:val="en-GB"/>
        </w:rPr>
        <w:instrText>ADDIN CSL_CITATION { "citationItems" : [ { "id" : "ITEM-1", "itemData" : { "DOI" : "10.1098/rsta.2008.0089", "ISBN" : "1364-503X (Print)\\n1364-503X (Linking)", "ISSN" : "1364-503X", "PMID" : "18559316", "abstract" : "Biomedical science and its allied disciplines are entering a new era in which computational methods and technologies are poised to play a prevalent role in supporting collaborative investigation of the human body. Within Europe, this has its focus in the virtual physiological human (VPH), which is an evolving entity that has emerged from the EuroPhysiome initiative and the strategy for the EuroPhysiome (STEP) consortium. The VPH is intended to be a solution to common infrastructure needs for physiome projects across the globe, providing a unifying architecture that facilitates integration and prediction, ultimately creating a framework capable of describing Homo sapiens in silico. The routine reliance of the biomedical industry, biomedical research and clinical practice on information technology (IT) highlights the importance of a tailor-made and robust IT infrastructure, but numerous challenges need to be addressed if the VPH is to become a mature technological reality. Appropriate investment will reap considerable rewards, since it is anticipated that the VPH will influence all sectors of society, with implications predominantly for improved healthcare, improved competitiveness in industry and greater understanding of (patho)physiological processes. This paper considers issues pertinent to the development of the VPH, highlighted by the work of the STEP consortium.", "author" : [ { "dropping-particle" : "", "family" : "Fenner", "given" : "J. W.", "non-dropping-particle" : "", "parse-names" : false, "suffix" : "" }, { "dropping-particle" : "", "family" : "Brook", "given" : "B.", "non-dropping-particle" : "", "parse-names" : false, "suffix" : "" }, { "dropping-particle" : "", "family" : "Clapworthy", "given" : "G.", "non-dropping-particle" : "", "parse-names" : false, "suffix" : "" }, { "dropping-particle" : "V.", "family" : "Coveney", "given" : "P.", "non-dropping-particle" : "", "parse-names" : false, "suffix" : "" }, { "dropping-particle" : "", "family" : "Feipel", "given" : "V.", "non-dropping-particle" : "", "parse-names" : false, "suffix" : "" }, { "dropping-particle" : "", "family" : "Gregersen", "given" : "H.", "non-dropping-particle" : "", "parse-names" : false, "suffix" : "" }, { "dropping-particle" : "", "family" : "Hose", "given" : "D. R.", "non-dropping-particle" : "", "parse-names" : false, "suffix" : "" }, { "dropping-particle" : "", "family" : "Kohl", "given" : "P.", "non-dropping-particle" : "", "parse-names" : false, "suffix" : "" }, { "dropping-particle" : "", "family" : "Lawford", "given" : "P.", "non-dropping-particle" : "", "parse-names" : false, "suffix" : "" }, { "dropping-particle" : "", "family" : "McCormack", "given" : "K. M.", "non-dropping-particle" : "", "parse-names" : false, "suffix" : "" }, { "dropping-particle" : "", "family" : "Pinney", "given" : "D.", "non-dropping-particle" : "", "parse-names" : false, "suffix" : "" }, { "dropping-particle" : "", "family" : "Thomas", "given" : "S. R.", "non-dropping-particle" : "", "parse-names" : false, "suffix" : "" }, { "dropping-particle" : "", "family" : "Sint Jan", "given" : "S.", "non-dropping-particle" : "Van", "parse-names" : false, "suffix" : "" }, { "dropping-particle" : "", "family" : "Waters", "given" : "S.", "non-dropping-particle" : "", "parse-names" : false, "suffix" : "" }, { "dropping-particle" : "", "family" : "Viceconti", "given" : "M.", "non-dropping-particle" : "", "parse-names" : false, "suffix" : "" } ], "container-title" : "Philosophical Transactions of the Royal Society A: Mathematical, Physical and Engineering Sciences", "id" : "ITEM-1", "issue" : "1878", "issued" : { "date-parts" : [ [ "2008" ] ] }, "page" : "2979-2999", "title" : "The EuroPhysiome, STEP and a roadmap for the virtual physiological human", "type" : "article-journal", "volume" : "366" }, "uris" : [ "http://www.mendeley.com/documents/?uuid=719f40f3-e4bc-4ad3-ad51-6405e103934a" ] }, { "id" : "ITEM-2", "itemData" : { "DOI" : "10.1098/rsta.2010.0048", "ISBN" : "1364-503X (Print)\\r1364-503X (Linking)", "ISSN" : "1364-503X", "PMID" : "24427536", "abstract" : "European funding under Framework 7 (FP7) for the virtual physiological human (VPH) project has been in place now for 5 years. The VPH Network of Excellence (NoE) has been set up to help develop common standards, open source software, freely accessible data and model repositories, and various training and dissemination activities for the project. It is also working to coordinate the many clinically targeted projects that have been funded under the FP7 calls. An initial vision for the VPH was defined by the FP6 STEP project in 2006. In 2010, we wrote an assessment of the accomplishments of the first two years of the VPH in which we considered the biomedical science, healthcare and information and communications technology challenges facing the project (Hunter et al. 2010 Phil. Trans. R. Soc. A 368, 2595-2614 (doi:10.1098/rsta.2010.0048)). We proposed that a not-for-profit professional umbrella organization, the VPH Institute, should be established as a means of sustaining the VPH vision beyond the time-frame of the NoE. Here, we update and extend this assessment and in particular address the following issues raised in response to Hunter et al.: (i) a vision for the VPH updated in the light of progress made so far, (ii) biomedical science and healthcare challenges that the VPH initiative can address while also providing innovation opportunities for the European industry, and (iii) external changes needed in regulatory policy and business models to realize the full potential that the VPH has to offer to industry, clinics and society generally.", "author" : [ { "dropping-particle" : "", "family" : "Hunter", "given" : "P.", "non-dropping-particle" : "", "parse-names" : false, "suffix" : "" }, { "dropping-particle" : "V.", "family" : "Coveney", "given" : "P.", "non-dropping-particle" : "", "parse-names" : false, "suffix" : "" }, { "dropping-particle" : "", "family" : "Bono", "given" : "B.", "non-dropping-particle" : "de", "parse-names" : false, "suffix" : "" }, { "dropping-particle" : "", "family" : "Diaz", "given" : "V.", "non-dropping-particle" : "", "parse-names" : false, "suffix" : "" }, { "dropping-particle" : "", "family" : "Fenner", "given" : "J.", "non-dropping-particle" : "", "parse-names" : false, "suffix" : "" }, { "dropping-particle" : "", "family" : "Frangi", "given" : "A. F.", "non-dropping-particle" : "", "parse-names" : false, "suffix" : "" }, { "dropping-particle" : "", "family" : "Harris", "given" : "P.", "non-dropping-particle" : "", "parse-names" : false, "suffix" : "" }, { "dropping-particle" : "", "family" : "Hose", "given" : "R.", "non-dropping-particle" : "", "parse-names" : false, "suffix" : "" }, { "dropping-particle" : "", "family" : "Kohl", "given" : "P.", "non-dropping-particle" : "", "parse-names" : false, "suffix" : "" }, { "dropping-particle" : "", "family" : "Lawford", "given" : "P.", "non-dropping-particle" : "", "parse-names" : false, "suffix" : "" }, { "dropping-particle" : "", "family" : "McCormack", "given" : "K.", "non-dropping-particle" : "", "parse-names" : false, "suffix" : "" }, { "dropping-particle" : "", "family" : "Mendes", "given" : "M.", "non-dropping-particle" : "", "parse-names" : false, "suffix" : "" }, { "dropping-particle" : "", "family" : "Omholt", "given" : "S.", "non-dropping-particle" : "", "parse-names" : false, "suffix" : "" }, { "dropping-particle" : "", "family" : "Quarteroni", "given" : "A.", "non-dropping-particle" : "", "parse-names" : false, "suffix" : "" }, { "dropping-particle" : "", "family" : "Skar", "given" : "J.", "non-dropping-particle" : "", "parse-names" : false, "suffix" : "" }, { "dropping-particle" : "", "family" : "Tegner", "given" : "J.", "non-dropping-particle" : "", "parse-names" : false, "suffix" : "" }, { "dropping-particle" : "", "family" : "Randall Thomas", "given" : "S.", "non-dropping-particle" : "", "parse-names" : false, "suffix" : "" }, { "dropping-particle" : "", "family" : "Tollis", "given" : "I.", "non-dropping-particle" : "", "parse-names" : false, "suffix" : "" }, { "dropping-particle" : "", "family" : "Tsamardinos", "given" : "I.", "non-dropping-particle" : "", "parse-names" : false, "suffix" : "" }, { "dropping-particle" : "", "family" : "Beek", "given" : "J. H. G. M.", "non-dropping-particle" : "van", "parse-names" : false, "suffix" : "" }, { "dropping-particle" : "", "family" : "Viceconti", "given" : "M.", "non-dropping-particle" : "", "parse-names" : false, "suffix" : "" } ], "container-title" : "Philosophical Transactions of the Royal Society A: Mathematical, Physical and Engineering Sciences", "id" : "ITEM-2", "issue" : "1920", "issued" : { "date-parts" : [ [ "2010" ] ] }, "page" : "2595-2614", "title" : "A vision and strategy for the virtual physiological human in 2010 and beyond", "type" : "article-journal", "volume" : "368" }, "uris" : [ "http://www.mendeley.com/documents/?uuid=17826a53-0835-43ba-87f4-b357e8f44486" ] }, { "id" : "ITEM-3", "itemData" : { "author" : [ { "dropping-particle" : "", "family" : "Hunter", "given" : "Peter", "non-dropping-particle" : "", "parse-names" : false, "suffix" : "" }, { "dropping-particle" : "", "family" : "Chapman", "given" : "Tara", "non-dropping-particle" : "", "parse-names" : false, "suffix" : "" }, { "dropping-particle" : "V", "family" : "Coveney", "given" : "Peter", "non-dropping-particle" : "", "parse-names" : false, "suffix" : "" }, { "dropping-particle" : "", "family" : "Bono", "given" : "Bernard", "non-dropping-particle" : "De", "parse-names" : false, "suffix" : "" }, { "dropping-particle" : "", "family" : "Diaz", "given" : "Vanessa", "non-dropping-particle" : "", "parse-names" : false, "suffix" : "" }, { "dropping-particle" : "", "family" : "Fenner", "given" : "John", "non-dropping-particle" : "", "parse-names" : false, "suffix" : "" }, { "dropping-particle" : "", "family" : "Frangi", "given" : "Alejandro F", "non-dropping-particle" : "", "parse-names" : false, "suffix" : "" }, { "dropping-particle" : "", "family" : "Harris", "given" : "Peter", "non-dropping-particle" : "", "parse-names" : false, "suffix" : "" }, { "dropping-particle" : "", "family" : "Hose", "given" : "Rod", "non-dropping-particle" : "", "parse-names" : false, "suffix" : "" }, { "dropping-particle" : "", "family" : "Kohl", "given" : "Peter", "non-dropping-particle" : "", "parse-names" : false, "suffix" : "" }, { "dropping-particle" : "", "family" : "others", "given" : "", "non-dropping-particle" : "", "parse-names" : false, "suffix" : "" } ], "container-title" : "Interface focus", "id" : "ITEM-3", "issue" : "2", "issued" : { "date-parts" : [ [ "2013" ] ] }, "page" : "20130004", "publisher" : "Royal Society", "title" : "A vision and strategy for the virtual physiological human: 2012 update", "type" : "article-journal", "volume" : "3" }, "uris" : [ "http://www.mendeley.com/documents/?uuid=507119ce-022e-4c4e-a32e-fd5ad0eee913" ] } ], "mendeley" : { "formattedCitation" : "&lt;sup&gt;&lt;sup&gt;97&lt;/sup&gt;\u2013&lt;sup&gt;99&lt;/sup&gt;&lt;/sup&gt;", "plainTextFormattedCitation" : "97\u201399", "previouslyFormattedCitation" : "&lt;sup&gt;&lt;sup&gt;97&lt;/sup&gt;\u2013&lt;sup&gt;99&lt;/sup&gt;&lt;/sup&gt;" }, "properties" : { "noteIndex" : 0 }, "schema" : "https://github.com/citation-style-language/schema/raw/master/csl-citation.json" }</w:instrText>
      </w:r>
      <w:r w:rsidR="00DF7DB3" w:rsidRPr="00383A89">
        <w:rPr>
          <w:shd w:val="clear" w:color="auto" w:fill="FFFFFF"/>
          <w:lang w:val="en-GB"/>
        </w:rPr>
        <w:fldChar w:fldCharType="separate"/>
      </w:r>
      <w:r w:rsidR="00E8653E" w:rsidRPr="00E8653E">
        <w:rPr>
          <w:noProof/>
          <w:shd w:val="clear" w:color="auto" w:fill="FFFFFF"/>
          <w:vertAlign w:val="superscript"/>
          <w:lang w:val="en-GB"/>
        </w:rPr>
        <w:t>97–99</w:t>
      </w:r>
      <w:r w:rsidR="00DF7DB3" w:rsidRPr="00383A89">
        <w:rPr>
          <w:shd w:val="clear" w:color="auto" w:fill="FFFFFF"/>
          <w:lang w:val="en-GB"/>
        </w:rPr>
        <w:fldChar w:fldCharType="end"/>
      </w:r>
      <w:r w:rsidR="00DF7DB3" w:rsidRPr="00383A89">
        <w:rPr>
          <w:lang w:val="en-GB"/>
        </w:rPr>
        <w:t xml:space="preserve"> </w:t>
      </w:r>
      <w:r w:rsidR="00DF7DB3" w:rsidRPr="00383A89">
        <w:rPr>
          <w:shd w:val="clear" w:color="auto" w:fill="FFFFFF"/>
          <w:lang w:val="en-GB"/>
        </w:rPr>
        <w:t xml:space="preserve">is an European project, which created a framework for modelling the human body using computational methods which incorporate the biochemistry, biophysics, and anatomy of cells, tissues and organs known as </w:t>
      </w:r>
      <w:r w:rsidR="00DF7DB3" w:rsidRPr="00383A89">
        <w:rPr>
          <w:i/>
          <w:iCs/>
          <w:bdr w:val="none" w:sz="0" w:space="0" w:color="auto" w:frame="1"/>
          <w:lang w:val="en-GB"/>
        </w:rPr>
        <w:t>Homo sapiens in silico</w:t>
      </w:r>
      <w:r w:rsidR="00DF7DB3" w:rsidRPr="00383A89">
        <w:rPr>
          <w:shd w:val="clear" w:color="auto" w:fill="FFFFFF"/>
          <w:lang w:val="en-GB"/>
        </w:rPr>
        <w:t xml:space="preserve">. </w:t>
      </w:r>
      <w:r w:rsidRPr="00383A89">
        <w:rPr>
          <w:shd w:val="clear" w:color="auto" w:fill="FFFFFF"/>
          <w:lang w:val="en-GB"/>
        </w:rPr>
        <w:t xml:space="preserve">These methods </w:t>
      </w:r>
      <w:r w:rsidRPr="00383A89">
        <w:rPr>
          <w:lang w:val="en-GB"/>
        </w:rPr>
        <w:t xml:space="preserve">aim to design a computational version of </w:t>
      </w:r>
      <w:r w:rsidR="00DF20E1" w:rsidRPr="00383A89">
        <w:rPr>
          <w:lang w:val="en-GB"/>
        </w:rPr>
        <w:t xml:space="preserve">the </w:t>
      </w:r>
      <w:r w:rsidRPr="00383A89">
        <w:rPr>
          <w:lang w:val="en-GB"/>
        </w:rPr>
        <w:t>human body within the next 20 years</w:t>
      </w:r>
      <w:r w:rsidR="00B138B4">
        <w:rPr>
          <w:lang w:val="en-GB"/>
        </w:rPr>
        <w:t>.</w:t>
      </w:r>
      <w:r w:rsidRPr="00383A89">
        <w:rPr>
          <w:lang w:val="en-GB"/>
        </w:rPr>
        <w:fldChar w:fldCharType="begin" w:fldLock="1"/>
      </w:r>
      <w:r w:rsidR="00E8653E">
        <w:rPr>
          <w:lang w:val="en-GB"/>
        </w:rPr>
        <w:instrText>ADDIN CSL_CITATION { "citationItems" : [ { "id" : "ITEM-1", "itemData" : { "DOI" : "10.1016/j.ejps.2011.06.006", "ISBN" : "09280987 (ISSN)", "ISSN" : "09280987", "PMID" : "21704158", "abstract" : "The development of disease may be characterized as a pathological shift of homeostasis; the main goal of contemporary drug treatment is, therefore, to return the pathological homeostasis back to the normal physiological range. From the view point of systems biology, homeostasis emerges from the interactions within the network of biomolecules (e.g. DNA, mRNA, proteins), and, hence, understanding how drugs impact upon the entire network should improve their efficacy at returning the network (body) to physiological homeostasis. Large, mechanism-based computer models, such as the anticipated human whole body models (silicon or virtual human), may help in the development of such network-targeting drugs. Using the philosophical concept of weak and strong emergence, we shall here take a more general look at the paradigm of network-targeting drugs, and propose our approaches to scale the strength of strong emergence. We apply these approaches to several biological examples and demonstrate their utility to reveal principles of bio-modeling. We discuss this in the perspective of building the silicon human. \u00a9 2011 Elsevier B.V. All rights reserved.", "author" : [ { "dropping-particle" : "", "family" : "Kolodkin", "given" : "Alexey", "non-dropping-particle" : "", "parse-names" : false, "suffix" : "" }, { "dropping-particle" : "", "family" : "Boogerd", "given" : "Fred C.", "non-dropping-particle" : "", "parse-names" : false, "suffix" : "" }, { "dropping-particle" : "", "family" : "Plant", "given" : "Nick", "non-dropping-particle" : "", "parse-names" : false, "suffix" : "" }, { "dropping-particle" : "", "family" : "Bruggeman", "given" : "Frank J.", "non-dropping-particle" : "", "parse-names" : false, "suffix" : "" }, { "dropping-particle" : "", "family" : "Goncharuk", "given" : "Valeri", "non-dropping-particle" : "", "parse-names" : false, "suffix" : "" }, { "dropping-particle" : "", "family" : "Lunshof", "given" : "Jeantine", "non-dropping-particle" : "", "parse-names" : false, "suffix" : "" }, { "dropping-particle" : "", "family" : "Moreno-Sanchez", "given" : "Rafael", "non-dropping-particle" : "", "parse-names" : false, "suffix" : "" }, { "dropping-particle" : "", "family" : "Yilmaz", "given" : "Nilgun", "non-dropping-particle" : "", "parse-names" : false, "suffix" : "" }, { "dropping-particle" : "", "family" : "Bakker", "given" : "Barbara M.", "non-dropping-particle" : "", "parse-names" : false, "suffix" : "" }, { "dropping-particle" : "", "family" : "Snoep", "given" : "Jacky L.", "non-dropping-particle" : "", "parse-names" : false, "suffix" : "" }, { "dropping-particle" : "", "family" : "Balling", "given" : "Rudi", "non-dropping-particle" : "", "parse-names" : false, "suffix" : "" }, { "dropping-particle" : "V.", "family" : "Westerhoff", "given" : "Hans", "non-dropping-particle" : "", "parse-names" : false, "suffix" : "" } ], "container-title" : "European Journal of Pharmaceutical Sciences", "id" : "ITEM-1", "issue" : "4", "issued" : { "date-parts" : [ [ "2012" ] ] }, "page" : "190-197", "title" : "Emergence of the silicon human and network targeting drugs", "type" : "article-journal", "volume" : "46" }, "uris" : [ "http://www.mendeley.com/documents/?uuid=b9c1fd53-499b-4af7-8ac4-7a937d63e1f5" ] } ], "mendeley" : { "formattedCitation" : "&lt;sup&gt;&lt;sup&gt;100&lt;/sup&gt;&lt;/sup&gt;", "plainTextFormattedCitation" : "100", "previouslyFormattedCitation" : "&lt;sup&gt;&lt;sup&gt;100&lt;/sup&gt;&lt;/sup&gt;" }, "properties" : { "noteIndex" : 0 }, "schema" : "https://github.com/citation-style-language/schema/raw/master/csl-citation.json" }</w:instrText>
      </w:r>
      <w:r w:rsidRPr="00383A89">
        <w:rPr>
          <w:lang w:val="en-GB"/>
        </w:rPr>
        <w:fldChar w:fldCharType="separate"/>
      </w:r>
      <w:r w:rsidR="00E8653E" w:rsidRPr="00E8653E">
        <w:rPr>
          <w:noProof/>
          <w:vertAlign w:val="superscript"/>
          <w:lang w:val="en-GB"/>
        </w:rPr>
        <w:t>100</w:t>
      </w:r>
      <w:r w:rsidRPr="00383A89">
        <w:rPr>
          <w:lang w:val="en-GB"/>
        </w:rPr>
        <w:fldChar w:fldCharType="end"/>
      </w:r>
      <w:r w:rsidR="00B138B4">
        <w:rPr>
          <w:lang w:val="en-GB"/>
        </w:rPr>
        <w:t xml:space="preserve"> </w:t>
      </w:r>
      <w:r w:rsidR="005361EC" w:rsidRPr="00383A89">
        <w:rPr>
          <w:shd w:val="clear" w:color="auto" w:fill="FFFFFF"/>
          <w:lang w:val="en-GB"/>
        </w:rPr>
        <w:t>This will provide the comprehensive insights into the dynamics of the h</w:t>
      </w:r>
      <w:r w:rsidR="00B23513" w:rsidRPr="00383A89">
        <w:rPr>
          <w:shd w:val="clear" w:color="auto" w:fill="FFFFFF"/>
          <w:lang w:val="en-GB"/>
        </w:rPr>
        <w:t xml:space="preserve">uman body and </w:t>
      </w:r>
      <w:r w:rsidR="005361EC" w:rsidRPr="00383A89">
        <w:rPr>
          <w:shd w:val="clear" w:color="auto" w:fill="FFFFFF"/>
          <w:lang w:val="en-GB"/>
        </w:rPr>
        <w:t>development and progression of complex diseases</w:t>
      </w:r>
      <w:r w:rsidR="00B23513" w:rsidRPr="00383A89">
        <w:rPr>
          <w:shd w:val="clear" w:color="auto" w:fill="FFFFFF"/>
          <w:lang w:val="en-GB"/>
        </w:rPr>
        <w:t>,</w:t>
      </w:r>
      <w:r w:rsidR="005361EC" w:rsidRPr="00383A89">
        <w:rPr>
          <w:shd w:val="clear" w:color="auto" w:fill="FFFFFF"/>
          <w:lang w:val="en-GB"/>
        </w:rPr>
        <w:t xml:space="preserve"> and </w:t>
      </w:r>
      <w:r w:rsidR="00B23513" w:rsidRPr="00383A89">
        <w:rPr>
          <w:shd w:val="clear" w:color="auto" w:fill="FFFFFF"/>
          <w:lang w:val="en-GB"/>
        </w:rPr>
        <w:t xml:space="preserve">increase </w:t>
      </w:r>
      <w:r w:rsidR="005361EC" w:rsidRPr="00383A89">
        <w:rPr>
          <w:shd w:val="clear" w:color="auto" w:fill="FFFFFF"/>
          <w:lang w:val="en-GB"/>
        </w:rPr>
        <w:t xml:space="preserve">their treatment potentials in the context of preventive and personalized medicine. </w:t>
      </w:r>
    </w:p>
    <w:p w14:paraId="27D90889" w14:textId="4127620E" w:rsidR="0049521B" w:rsidRPr="00383A89" w:rsidRDefault="0049521B" w:rsidP="0049521B">
      <w:pPr>
        <w:spacing w:after="0"/>
        <w:jc w:val="both"/>
        <w:rPr>
          <w:bCs/>
          <w:lang w:val="en-GB"/>
        </w:rPr>
      </w:pPr>
      <w:r w:rsidRPr="00383A89">
        <w:rPr>
          <w:shd w:val="clear" w:color="auto" w:fill="FFFFFF"/>
          <w:lang w:val="en-GB"/>
        </w:rPr>
        <w:t xml:space="preserve">In conclusion, </w:t>
      </w:r>
      <w:r w:rsidRPr="00383A89">
        <w:rPr>
          <w:bCs/>
          <w:lang w:val="en-GB"/>
        </w:rPr>
        <w:t xml:space="preserve">despite spectacular advances in the post-genome era, there is </w:t>
      </w:r>
      <w:r w:rsidRPr="00383A89">
        <w:rPr>
          <w:lang w:val="en-GB"/>
        </w:rPr>
        <w:t>a gap between experimental data and medical knowledge, and an even greater gap between new knowledge in terms of clinical utility and benefit</w:t>
      </w:r>
      <w:r w:rsidR="003906EF" w:rsidRPr="00383A89">
        <w:rPr>
          <w:lang w:val="en-GB"/>
        </w:rPr>
        <w:t>s</w:t>
      </w:r>
      <w:r w:rsidRPr="00383A89">
        <w:rPr>
          <w:lang w:val="en-GB"/>
        </w:rPr>
        <w:t xml:space="preserve"> to the patients</w:t>
      </w:r>
      <w:r w:rsidRPr="00383A89">
        <w:rPr>
          <w:bCs/>
          <w:lang w:val="en-GB"/>
        </w:rPr>
        <w:t>. W</w:t>
      </w:r>
      <w:r w:rsidRPr="00383A89">
        <w:rPr>
          <w:lang w:val="en-GB"/>
        </w:rPr>
        <w:t>e still suffer from multifactorial disorders that affect large</w:t>
      </w:r>
      <w:r w:rsidR="00A86957" w:rsidRPr="00383A89">
        <w:rPr>
          <w:lang w:val="en-GB"/>
        </w:rPr>
        <w:t>-</w:t>
      </w:r>
      <w:r w:rsidRPr="00383A89">
        <w:rPr>
          <w:lang w:val="en-GB"/>
        </w:rPr>
        <w:t>scale populations and we are unable to guide the epidemics due to the knowledge gaps. Progressive liver diseases arising from metabolic cause</w:t>
      </w:r>
      <w:r w:rsidR="00163D09" w:rsidRPr="00383A89">
        <w:rPr>
          <w:lang w:val="en-GB"/>
        </w:rPr>
        <w:t>s</w:t>
      </w:r>
      <w:r w:rsidRPr="00383A89">
        <w:rPr>
          <w:lang w:val="en-GB"/>
        </w:rPr>
        <w:t xml:space="preserve"> are a typical example where the classical approaches have not lead to sufficient progress. It is thus timely to introduce multi-disciplinary approaches and tackle NAFLD</w:t>
      </w:r>
      <w:r w:rsidRPr="00383A89">
        <w:rPr>
          <w:b/>
          <w:lang w:val="en-GB"/>
        </w:rPr>
        <w:t xml:space="preserve"> </w:t>
      </w:r>
      <w:r w:rsidRPr="00383A89">
        <w:rPr>
          <w:lang w:val="en-GB"/>
        </w:rPr>
        <w:t xml:space="preserve">by combining biochemical experimentation with the state-of-the-art modelling. There are no approved therapies for NAFLD and the compounds currently in Phase III clinical trials may very likely face safety and efficacy issues. Further research and more individualized disease progression monitoring is also affected by a current lack of reliable non-invasive biomarkers. It is thus evident that in </w:t>
      </w:r>
      <w:r w:rsidR="00C83B78" w:rsidRPr="00383A89">
        <w:rPr>
          <w:lang w:val="en-GB"/>
        </w:rPr>
        <w:t>addition</w:t>
      </w:r>
      <w:r w:rsidRPr="00383A89">
        <w:rPr>
          <w:lang w:val="en-GB"/>
        </w:rPr>
        <w:t xml:space="preserve"> to experimental and clinical work we also need models to help us decrease the burden </w:t>
      </w:r>
      <w:r w:rsidR="00CD073E" w:rsidRPr="00383A89">
        <w:rPr>
          <w:lang w:val="en-GB"/>
        </w:rPr>
        <w:t xml:space="preserve">of </w:t>
      </w:r>
      <w:r w:rsidRPr="00383A89">
        <w:rPr>
          <w:lang w:val="en-GB"/>
        </w:rPr>
        <w:t xml:space="preserve">liver pathologies. </w:t>
      </w:r>
    </w:p>
    <w:p w14:paraId="432FBC5B" w14:textId="3BDA9BC2" w:rsidR="0049521B" w:rsidRPr="00383A89" w:rsidRDefault="0049521B" w:rsidP="00F157BF">
      <w:pPr>
        <w:rPr>
          <w:lang w:val="en-GB"/>
        </w:rPr>
      </w:pPr>
    </w:p>
    <w:p w14:paraId="68EEC08F" w14:textId="77777777" w:rsidR="00F157BF" w:rsidRPr="00383A89" w:rsidRDefault="00F157BF" w:rsidP="00B02534">
      <w:pPr>
        <w:spacing w:before="100" w:beforeAutospacing="1" w:after="100" w:afterAutospacing="1"/>
        <w:jc w:val="both"/>
        <w:rPr>
          <w:lang w:val="en-GB"/>
        </w:rPr>
      </w:pPr>
    </w:p>
    <w:p w14:paraId="3B5059D9" w14:textId="77777777" w:rsidR="00723843" w:rsidRPr="00383A89" w:rsidRDefault="00723843" w:rsidP="00B02534">
      <w:pPr>
        <w:pStyle w:val="Naslov1"/>
        <w:numPr>
          <w:ilvl w:val="0"/>
          <w:numId w:val="0"/>
        </w:numPr>
        <w:ind w:left="357" w:hanging="357"/>
        <w:rPr>
          <w:lang w:val="en-GB"/>
        </w:rPr>
      </w:pPr>
      <w:r w:rsidRPr="00383A89">
        <w:rPr>
          <w:lang w:val="en-GB"/>
        </w:rPr>
        <w:t>Acknowledgments</w:t>
      </w:r>
    </w:p>
    <w:p w14:paraId="1493AF1A" w14:textId="7E4A95AD" w:rsidR="00A63748" w:rsidRPr="00383A89" w:rsidRDefault="004C527A" w:rsidP="004C527A">
      <w:pPr>
        <w:rPr>
          <w:lang w:val="en-GB"/>
        </w:rPr>
      </w:pPr>
      <w:r w:rsidRPr="00383A89">
        <w:rPr>
          <w:lang w:val="en-GB"/>
        </w:rPr>
        <w:t>Supported by the resources of FP7 CASyM (Coordinating Action Systems Medicine Europe, grant no. 305033)</w:t>
      </w:r>
      <w:r w:rsidR="00C94433" w:rsidRPr="00383A89">
        <w:rPr>
          <w:lang w:val="en-GB"/>
        </w:rPr>
        <w:t>,</w:t>
      </w:r>
      <w:r w:rsidRPr="00383A89">
        <w:rPr>
          <w:lang w:val="en-GB"/>
        </w:rPr>
        <w:t xml:space="preserve"> by Slovenian Research Agency grants P1-0390, P2-0359, and </w:t>
      </w:r>
      <w:r w:rsidR="00C94433" w:rsidRPr="00383A89">
        <w:rPr>
          <w:lang w:val="en-GB"/>
        </w:rPr>
        <w:t xml:space="preserve">by </w:t>
      </w:r>
      <w:r w:rsidRPr="00383A89">
        <w:rPr>
          <w:lang w:val="en-GB"/>
        </w:rPr>
        <w:t>the infrastructure grant ELIXIR.</w:t>
      </w:r>
    </w:p>
    <w:p w14:paraId="3F6B07B6" w14:textId="52B94ACD" w:rsidR="00B4415E" w:rsidRPr="00383A89" w:rsidRDefault="00B4415E" w:rsidP="00B4415E">
      <w:pPr>
        <w:pStyle w:val="Naslov1"/>
        <w:rPr>
          <w:lang w:val="en-GB"/>
        </w:rPr>
      </w:pPr>
      <w:r w:rsidRPr="00383A89">
        <w:rPr>
          <w:lang w:val="en-GB"/>
        </w:rPr>
        <w:t>References</w:t>
      </w:r>
    </w:p>
    <w:p w14:paraId="19491290" w14:textId="68D9B6BE" w:rsidR="001D38E1" w:rsidRPr="001D38E1" w:rsidRDefault="00A70531" w:rsidP="001D38E1">
      <w:pPr>
        <w:widowControl w:val="0"/>
        <w:autoSpaceDE w:val="0"/>
        <w:autoSpaceDN w:val="0"/>
        <w:adjustRightInd w:val="0"/>
        <w:ind w:left="640" w:hanging="640"/>
        <w:rPr>
          <w:noProof/>
          <w:szCs w:val="24"/>
        </w:rPr>
      </w:pPr>
      <w:r w:rsidRPr="00383A89">
        <w:rPr>
          <w:lang w:val="en-GB"/>
        </w:rPr>
        <w:fldChar w:fldCharType="begin" w:fldLock="1"/>
      </w:r>
      <w:r w:rsidRPr="00383A89">
        <w:rPr>
          <w:lang w:val="en-GB"/>
        </w:rPr>
        <w:instrText xml:space="preserve">ADDIN Mendeley Bibliography CSL_BIBLIOGRAPHY </w:instrText>
      </w:r>
      <w:r w:rsidRPr="00383A89">
        <w:rPr>
          <w:lang w:val="en-GB"/>
        </w:rPr>
        <w:fldChar w:fldCharType="separate"/>
      </w:r>
      <w:r w:rsidR="001D38E1" w:rsidRPr="001D38E1">
        <w:rPr>
          <w:noProof/>
          <w:szCs w:val="24"/>
        </w:rPr>
        <w:t>1.</w:t>
      </w:r>
      <w:r w:rsidR="001D38E1" w:rsidRPr="001D38E1">
        <w:rPr>
          <w:noProof/>
          <w:szCs w:val="24"/>
        </w:rPr>
        <w:tab/>
        <w:t xml:space="preserve">Younossi, Z.; Henry, L. Contribution of Alcoholic and Nonalcoholic Fatty Liver Disease to the Burden of Liver-Related Morbidity and Mortality. </w:t>
      </w:r>
      <w:r w:rsidR="001D38E1" w:rsidRPr="001D38E1">
        <w:rPr>
          <w:i/>
          <w:iCs/>
          <w:noProof/>
          <w:szCs w:val="24"/>
        </w:rPr>
        <w:t>Gastroenterology</w:t>
      </w:r>
      <w:r w:rsidR="001D38E1" w:rsidRPr="001D38E1">
        <w:rPr>
          <w:noProof/>
          <w:szCs w:val="24"/>
        </w:rPr>
        <w:t xml:space="preserve"> </w:t>
      </w:r>
      <w:r w:rsidR="001D38E1" w:rsidRPr="001D38E1">
        <w:rPr>
          <w:b/>
          <w:bCs/>
          <w:noProof/>
          <w:szCs w:val="24"/>
        </w:rPr>
        <w:t>2016</w:t>
      </w:r>
      <w:r w:rsidR="001D38E1" w:rsidRPr="001D38E1">
        <w:rPr>
          <w:noProof/>
          <w:szCs w:val="24"/>
        </w:rPr>
        <w:t xml:space="preserve">, </w:t>
      </w:r>
      <w:r w:rsidR="001D38E1" w:rsidRPr="001D38E1">
        <w:rPr>
          <w:i/>
          <w:iCs/>
          <w:noProof/>
          <w:szCs w:val="24"/>
        </w:rPr>
        <w:t>150</w:t>
      </w:r>
      <w:r w:rsidR="001D38E1" w:rsidRPr="001D38E1">
        <w:rPr>
          <w:noProof/>
          <w:szCs w:val="24"/>
        </w:rPr>
        <w:t>, 1778–1785.</w:t>
      </w:r>
    </w:p>
    <w:p w14:paraId="2359D743"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2.</w:t>
      </w:r>
      <w:r w:rsidRPr="001D38E1">
        <w:rPr>
          <w:noProof/>
          <w:szCs w:val="24"/>
        </w:rPr>
        <w:tab/>
        <w:t xml:space="preserve">Naik, A.; Košir, R.; Rozman, D. Genomic Aspects of NAFLD Pathogenesis. </w:t>
      </w:r>
      <w:r w:rsidRPr="001D38E1">
        <w:rPr>
          <w:i/>
          <w:iCs/>
          <w:noProof/>
          <w:szCs w:val="24"/>
        </w:rPr>
        <w:t>Genomics</w:t>
      </w:r>
      <w:r w:rsidRPr="001D38E1">
        <w:rPr>
          <w:noProof/>
          <w:szCs w:val="24"/>
        </w:rPr>
        <w:t xml:space="preserve"> </w:t>
      </w:r>
      <w:r w:rsidRPr="001D38E1">
        <w:rPr>
          <w:b/>
          <w:bCs/>
          <w:noProof/>
          <w:szCs w:val="24"/>
        </w:rPr>
        <w:t>2013</w:t>
      </w:r>
      <w:r w:rsidRPr="001D38E1">
        <w:rPr>
          <w:noProof/>
          <w:szCs w:val="24"/>
        </w:rPr>
        <w:t xml:space="preserve">, </w:t>
      </w:r>
      <w:r w:rsidRPr="001D38E1">
        <w:rPr>
          <w:i/>
          <w:iCs/>
          <w:noProof/>
          <w:szCs w:val="24"/>
        </w:rPr>
        <w:t>102</w:t>
      </w:r>
      <w:r w:rsidRPr="001D38E1">
        <w:rPr>
          <w:noProof/>
          <w:szCs w:val="24"/>
        </w:rPr>
        <w:t>, 84–95.</w:t>
      </w:r>
    </w:p>
    <w:p w14:paraId="48A3DA9D"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3.</w:t>
      </w:r>
      <w:r w:rsidRPr="001D38E1">
        <w:rPr>
          <w:noProof/>
          <w:szCs w:val="24"/>
        </w:rPr>
        <w:tab/>
        <w:t xml:space="preserve">Blagotinšek, K.; Rozman, D. Targeting Signalling Pathways in Hepatocellular Carcinoma. </w:t>
      </w:r>
      <w:r w:rsidRPr="001D38E1">
        <w:rPr>
          <w:i/>
          <w:iCs/>
          <w:noProof/>
          <w:szCs w:val="24"/>
        </w:rPr>
        <w:t>Curr. Pharm. Des.</w:t>
      </w:r>
      <w:r w:rsidRPr="001D38E1">
        <w:rPr>
          <w:noProof/>
          <w:szCs w:val="24"/>
        </w:rPr>
        <w:t xml:space="preserve"> </w:t>
      </w:r>
      <w:r w:rsidRPr="001D38E1">
        <w:rPr>
          <w:b/>
          <w:bCs/>
          <w:noProof/>
          <w:szCs w:val="24"/>
        </w:rPr>
        <w:t>2017</w:t>
      </w:r>
      <w:r w:rsidRPr="001D38E1">
        <w:rPr>
          <w:noProof/>
          <w:szCs w:val="24"/>
        </w:rPr>
        <w:t xml:space="preserve">, </w:t>
      </w:r>
      <w:r w:rsidRPr="001D38E1">
        <w:rPr>
          <w:i/>
          <w:iCs/>
          <w:noProof/>
          <w:szCs w:val="24"/>
        </w:rPr>
        <w:t>23</w:t>
      </w:r>
      <w:r w:rsidRPr="001D38E1">
        <w:rPr>
          <w:noProof/>
          <w:szCs w:val="24"/>
        </w:rPr>
        <w:t>, 170–175.</w:t>
      </w:r>
    </w:p>
    <w:p w14:paraId="5106987E"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4.</w:t>
      </w:r>
      <w:r w:rsidRPr="001D38E1">
        <w:rPr>
          <w:noProof/>
          <w:szCs w:val="24"/>
        </w:rPr>
        <w:tab/>
        <w:t xml:space="preserve">Ačimovič, J.; Rozman, D. Steroidal Triterpenes of Cholesterol Synthesis. </w:t>
      </w:r>
      <w:r w:rsidRPr="001D38E1">
        <w:rPr>
          <w:i/>
          <w:iCs/>
          <w:noProof/>
          <w:szCs w:val="24"/>
        </w:rPr>
        <w:t>Molecules</w:t>
      </w:r>
      <w:r w:rsidRPr="001D38E1">
        <w:rPr>
          <w:noProof/>
          <w:szCs w:val="24"/>
        </w:rPr>
        <w:t xml:space="preserve"> </w:t>
      </w:r>
      <w:r w:rsidRPr="001D38E1">
        <w:rPr>
          <w:b/>
          <w:bCs/>
          <w:noProof/>
          <w:szCs w:val="24"/>
        </w:rPr>
        <w:t>2013</w:t>
      </w:r>
      <w:r w:rsidRPr="001D38E1">
        <w:rPr>
          <w:noProof/>
          <w:szCs w:val="24"/>
        </w:rPr>
        <w:t xml:space="preserve">, </w:t>
      </w:r>
      <w:r w:rsidRPr="001D38E1">
        <w:rPr>
          <w:i/>
          <w:iCs/>
          <w:noProof/>
          <w:szCs w:val="24"/>
        </w:rPr>
        <w:t>18</w:t>
      </w:r>
      <w:r w:rsidRPr="001D38E1">
        <w:rPr>
          <w:noProof/>
          <w:szCs w:val="24"/>
        </w:rPr>
        <w:t>, 4002–4017.</w:t>
      </w:r>
    </w:p>
    <w:p w14:paraId="0515035A"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5.</w:t>
      </w:r>
      <w:r w:rsidRPr="001D38E1">
        <w:rPr>
          <w:noProof/>
          <w:szCs w:val="24"/>
        </w:rPr>
        <w:tab/>
        <w:t xml:space="preserve">Seliskar, M.; Rozman, D. Mammalian Cytochromes P450 -Importance of Tissue Specificity. </w:t>
      </w:r>
      <w:r w:rsidRPr="001D38E1">
        <w:rPr>
          <w:i/>
          <w:iCs/>
          <w:noProof/>
          <w:szCs w:val="24"/>
        </w:rPr>
        <w:t>Biochim Biophys Acta</w:t>
      </w:r>
      <w:r w:rsidRPr="001D38E1">
        <w:rPr>
          <w:noProof/>
          <w:szCs w:val="24"/>
        </w:rPr>
        <w:t xml:space="preserve"> </w:t>
      </w:r>
      <w:r w:rsidRPr="001D38E1">
        <w:rPr>
          <w:b/>
          <w:bCs/>
          <w:noProof/>
          <w:szCs w:val="24"/>
        </w:rPr>
        <w:t>2007</w:t>
      </w:r>
      <w:r w:rsidRPr="001D38E1">
        <w:rPr>
          <w:noProof/>
          <w:szCs w:val="24"/>
        </w:rPr>
        <w:t xml:space="preserve">, </w:t>
      </w:r>
      <w:r w:rsidRPr="001D38E1">
        <w:rPr>
          <w:i/>
          <w:iCs/>
          <w:noProof/>
          <w:szCs w:val="24"/>
        </w:rPr>
        <w:t>1770</w:t>
      </w:r>
      <w:r w:rsidRPr="001D38E1">
        <w:rPr>
          <w:noProof/>
          <w:szCs w:val="24"/>
        </w:rPr>
        <w:t>, 458–466.</w:t>
      </w:r>
    </w:p>
    <w:p w14:paraId="122E448D"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6.</w:t>
      </w:r>
      <w:r w:rsidRPr="001D38E1">
        <w:rPr>
          <w:noProof/>
          <w:szCs w:val="24"/>
        </w:rPr>
        <w:tab/>
        <w:t xml:space="preserve">Fink, M.; Acimovic, J.; Rezen, T.; Tansek, N.; Rozman, D. Cholesterogenic Lanosterol 14alpha-Demethylase (CYP51) Is an Immediate Early Response Gene. </w:t>
      </w:r>
      <w:r w:rsidRPr="001D38E1">
        <w:rPr>
          <w:i/>
          <w:iCs/>
          <w:noProof/>
          <w:szCs w:val="24"/>
        </w:rPr>
        <w:t>Endocrinology</w:t>
      </w:r>
      <w:r w:rsidRPr="001D38E1">
        <w:rPr>
          <w:noProof/>
          <w:szCs w:val="24"/>
        </w:rPr>
        <w:t xml:space="preserve"> </w:t>
      </w:r>
      <w:r w:rsidRPr="001D38E1">
        <w:rPr>
          <w:b/>
          <w:bCs/>
          <w:noProof/>
          <w:szCs w:val="24"/>
        </w:rPr>
        <w:t>2005</w:t>
      </w:r>
      <w:r w:rsidRPr="001D38E1">
        <w:rPr>
          <w:noProof/>
          <w:szCs w:val="24"/>
        </w:rPr>
        <w:t xml:space="preserve">, </w:t>
      </w:r>
      <w:r w:rsidRPr="001D38E1">
        <w:rPr>
          <w:i/>
          <w:iCs/>
          <w:noProof/>
          <w:szCs w:val="24"/>
        </w:rPr>
        <w:t>146</w:t>
      </w:r>
      <w:r w:rsidRPr="001D38E1">
        <w:rPr>
          <w:noProof/>
          <w:szCs w:val="24"/>
        </w:rPr>
        <w:t>, 5321–5331.</w:t>
      </w:r>
    </w:p>
    <w:p w14:paraId="14089930"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7.</w:t>
      </w:r>
      <w:r w:rsidRPr="001D38E1">
        <w:rPr>
          <w:noProof/>
          <w:szCs w:val="24"/>
        </w:rPr>
        <w:tab/>
        <w:t xml:space="preserve">Kosir, R.; Prosenc Zmrzljak, U.; Korencic, A.; Juvan, P.; Acimovic, J.; Rozman, D. Mouse Genotypes Drive the Liver and Adrenal Gland Clocks. </w:t>
      </w:r>
      <w:r w:rsidRPr="001D38E1">
        <w:rPr>
          <w:i/>
          <w:iCs/>
          <w:noProof/>
          <w:szCs w:val="24"/>
        </w:rPr>
        <w:t>Sci. Rep.</w:t>
      </w:r>
      <w:r w:rsidRPr="001D38E1">
        <w:rPr>
          <w:noProof/>
          <w:szCs w:val="24"/>
        </w:rPr>
        <w:t xml:space="preserve"> </w:t>
      </w:r>
      <w:r w:rsidRPr="001D38E1">
        <w:rPr>
          <w:b/>
          <w:bCs/>
          <w:noProof/>
          <w:szCs w:val="24"/>
        </w:rPr>
        <w:t>2016</w:t>
      </w:r>
      <w:r w:rsidRPr="001D38E1">
        <w:rPr>
          <w:noProof/>
          <w:szCs w:val="24"/>
        </w:rPr>
        <w:t xml:space="preserve">, </w:t>
      </w:r>
      <w:r w:rsidRPr="001D38E1">
        <w:rPr>
          <w:i/>
          <w:iCs/>
          <w:noProof/>
          <w:szCs w:val="24"/>
        </w:rPr>
        <w:t>6</w:t>
      </w:r>
      <w:r w:rsidRPr="001D38E1">
        <w:rPr>
          <w:noProof/>
          <w:szCs w:val="24"/>
        </w:rPr>
        <w:t>, 31955.</w:t>
      </w:r>
    </w:p>
    <w:p w14:paraId="28E97040"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8.</w:t>
      </w:r>
      <w:r w:rsidRPr="001D38E1">
        <w:rPr>
          <w:noProof/>
          <w:szCs w:val="24"/>
        </w:rPr>
        <w:tab/>
        <w:t xml:space="preserve">Lorbek, G.; Perše, M.; Jeruc, J.; Juvan, P.; Gutierrez-Mariscal, F. M.; Lewinska, M.; Gebhardt, R.; Horvat, S.; Björkhem, I.; Rozman, D. Lessons from Hepatocyte-Specific Cyp51 Knockout Mice: Impaired Cholesterol Synthesis Leads to Oval Cell-Driven Liver Injury. </w:t>
      </w:r>
      <w:r w:rsidRPr="001D38E1">
        <w:rPr>
          <w:i/>
          <w:iCs/>
          <w:noProof/>
          <w:szCs w:val="24"/>
        </w:rPr>
        <w:t>Sci. Rep.</w:t>
      </w:r>
      <w:r w:rsidRPr="001D38E1">
        <w:rPr>
          <w:noProof/>
          <w:szCs w:val="24"/>
        </w:rPr>
        <w:t xml:space="preserve"> </w:t>
      </w:r>
      <w:r w:rsidRPr="001D38E1">
        <w:rPr>
          <w:b/>
          <w:bCs/>
          <w:noProof/>
          <w:szCs w:val="24"/>
        </w:rPr>
        <w:t>2015</w:t>
      </w:r>
      <w:r w:rsidRPr="001D38E1">
        <w:rPr>
          <w:noProof/>
          <w:szCs w:val="24"/>
        </w:rPr>
        <w:t xml:space="preserve">, </w:t>
      </w:r>
      <w:r w:rsidRPr="001D38E1">
        <w:rPr>
          <w:i/>
          <w:iCs/>
          <w:noProof/>
          <w:szCs w:val="24"/>
        </w:rPr>
        <w:t>5</w:t>
      </w:r>
      <w:r w:rsidRPr="001D38E1">
        <w:rPr>
          <w:noProof/>
          <w:szCs w:val="24"/>
        </w:rPr>
        <w:t>, 8777.</w:t>
      </w:r>
    </w:p>
    <w:p w14:paraId="1E84085D"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9.</w:t>
      </w:r>
      <w:r w:rsidRPr="001D38E1">
        <w:rPr>
          <w:noProof/>
          <w:szCs w:val="24"/>
        </w:rPr>
        <w:tab/>
        <w:t xml:space="preserve">Keber, R.; Motaln, H.; Wagner, K. D.; Debeljak, N.; Rassoulzadegan, M.; Ačimovič, J.; Rozman, D.; Horvat, S. Mouse Knockout of the Cholesterogenic Cytochrome P450 Lanosterol 14α-Demethylase (Cyp51) Resembles Antley-Bixler Syndrome. </w:t>
      </w:r>
      <w:r w:rsidRPr="001D38E1">
        <w:rPr>
          <w:i/>
          <w:iCs/>
          <w:noProof/>
          <w:szCs w:val="24"/>
        </w:rPr>
        <w:t>J. Biol. Chem.</w:t>
      </w:r>
      <w:r w:rsidRPr="001D38E1">
        <w:rPr>
          <w:noProof/>
          <w:szCs w:val="24"/>
        </w:rPr>
        <w:t xml:space="preserve"> </w:t>
      </w:r>
      <w:r w:rsidRPr="001D38E1">
        <w:rPr>
          <w:b/>
          <w:bCs/>
          <w:noProof/>
          <w:szCs w:val="24"/>
        </w:rPr>
        <w:t>2011</w:t>
      </w:r>
      <w:r w:rsidRPr="001D38E1">
        <w:rPr>
          <w:noProof/>
          <w:szCs w:val="24"/>
        </w:rPr>
        <w:t xml:space="preserve">, </w:t>
      </w:r>
      <w:r w:rsidRPr="001D38E1">
        <w:rPr>
          <w:i/>
          <w:iCs/>
          <w:noProof/>
          <w:szCs w:val="24"/>
        </w:rPr>
        <w:t>286</w:t>
      </w:r>
      <w:r w:rsidRPr="001D38E1">
        <w:rPr>
          <w:noProof/>
          <w:szCs w:val="24"/>
        </w:rPr>
        <w:t>, 29086–29097.</w:t>
      </w:r>
    </w:p>
    <w:p w14:paraId="4A41ABB4"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10.</w:t>
      </w:r>
      <w:r w:rsidRPr="001D38E1">
        <w:rPr>
          <w:noProof/>
          <w:szCs w:val="24"/>
        </w:rPr>
        <w:tab/>
        <w:t xml:space="preserve">Urlep, Ž.; Lorbek, G.; Perše, M.; Jeruc, J.; Juvan, P.; Matz-Soja, M.; Gebhardt, R.; Björkhem, </w:t>
      </w:r>
      <w:r w:rsidRPr="001D38E1">
        <w:rPr>
          <w:noProof/>
          <w:szCs w:val="24"/>
        </w:rPr>
        <w:lastRenderedPageBreak/>
        <w:t xml:space="preserve">I.; Hall, J. A.; Bonneau, R. Disrupting Hepatocyte Cyp51 from Cholesterol Synthesis Leads to Progressive Liver Injury in the Developing Mouse and Decreases RORC Signalling. </w:t>
      </w:r>
      <w:r w:rsidRPr="001D38E1">
        <w:rPr>
          <w:i/>
          <w:iCs/>
          <w:noProof/>
          <w:szCs w:val="24"/>
        </w:rPr>
        <w:t>Sci. Rep.</w:t>
      </w:r>
      <w:r w:rsidRPr="001D38E1">
        <w:rPr>
          <w:noProof/>
          <w:szCs w:val="24"/>
        </w:rPr>
        <w:t xml:space="preserve"> </w:t>
      </w:r>
      <w:r w:rsidRPr="001D38E1">
        <w:rPr>
          <w:b/>
          <w:bCs/>
          <w:noProof/>
          <w:szCs w:val="24"/>
        </w:rPr>
        <w:t>2017</w:t>
      </w:r>
      <w:r w:rsidRPr="001D38E1">
        <w:rPr>
          <w:noProof/>
          <w:szCs w:val="24"/>
        </w:rPr>
        <w:t xml:space="preserve">, </w:t>
      </w:r>
      <w:r w:rsidRPr="001D38E1">
        <w:rPr>
          <w:i/>
          <w:iCs/>
          <w:noProof/>
          <w:szCs w:val="24"/>
        </w:rPr>
        <w:t>7</w:t>
      </w:r>
      <w:r w:rsidRPr="001D38E1">
        <w:rPr>
          <w:noProof/>
          <w:szCs w:val="24"/>
        </w:rPr>
        <w:t>, 40775.</w:t>
      </w:r>
    </w:p>
    <w:p w14:paraId="54650303"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11.</w:t>
      </w:r>
      <w:r w:rsidRPr="001D38E1">
        <w:rPr>
          <w:noProof/>
          <w:szCs w:val="24"/>
        </w:rPr>
        <w:tab/>
        <w:t xml:space="preserve">Kovač, U.; Rozman, D. Genetics of Non‐alcoholic Fatty Liver Disease. In </w:t>
      </w:r>
      <w:r w:rsidRPr="001D38E1">
        <w:rPr>
          <w:i/>
          <w:iCs/>
          <w:noProof/>
          <w:szCs w:val="24"/>
        </w:rPr>
        <w:t>eLS</w:t>
      </w:r>
      <w:r w:rsidRPr="001D38E1">
        <w:rPr>
          <w:noProof/>
          <w:szCs w:val="24"/>
        </w:rPr>
        <w:t>; John Wiley &amp; Sons, Ltd, 2015.</w:t>
      </w:r>
    </w:p>
    <w:p w14:paraId="42317623"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12.</w:t>
      </w:r>
      <w:r w:rsidRPr="001D38E1">
        <w:rPr>
          <w:noProof/>
          <w:szCs w:val="24"/>
        </w:rPr>
        <w:tab/>
        <w:t xml:space="preserve">Skubic, C.; Drakulić, Ž.; Rozman, D. Pharmacogenetic Considerations for Personalized Therapy When Tackling Nonalcoholic Fatty Liver Disease: The Perspective of Genes, Drugs, and the Sex. </w:t>
      </w:r>
      <w:r w:rsidRPr="001D38E1">
        <w:rPr>
          <w:i/>
          <w:iCs/>
          <w:noProof/>
          <w:szCs w:val="24"/>
        </w:rPr>
        <w:t>Submitted</w:t>
      </w:r>
      <w:r w:rsidRPr="001D38E1">
        <w:rPr>
          <w:noProof/>
          <w:szCs w:val="24"/>
        </w:rPr>
        <w:t xml:space="preserve"> </w:t>
      </w:r>
      <w:r w:rsidRPr="001D38E1">
        <w:rPr>
          <w:b/>
          <w:bCs/>
          <w:noProof/>
          <w:szCs w:val="24"/>
        </w:rPr>
        <w:t>2018</w:t>
      </w:r>
      <w:r w:rsidRPr="001D38E1">
        <w:rPr>
          <w:noProof/>
          <w:szCs w:val="24"/>
        </w:rPr>
        <w:t>.</w:t>
      </w:r>
    </w:p>
    <w:p w14:paraId="7E8DF3B4"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13.</w:t>
      </w:r>
      <w:r w:rsidRPr="001D38E1">
        <w:rPr>
          <w:noProof/>
          <w:szCs w:val="24"/>
        </w:rPr>
        <w:tab/>
        <w:t xml:space="preserve">Cvitanović, T.; Reichert, M. C.; Moškon, M.; Mraz, M.; Lammert, F.; Rozman, D. Large-Scale Computational Models of Liver Metabolism: How Far from the Clinics? </w:t>
      </w:r>
      <w:r w:rsidRPr="001D38E1">
        <w:rPr>
          <w:i/>
          <w:iCs/>
          <w:noProof/>
          <w:szCs w:val="24"/>
        </w:rPr>
        <w:t>Hepatology</w:t>
      </w:r>
      <w:r w:rsidRPr="001D38E1">
        <w:rPr>
          <w:noProof/>
          <w:szCs w:val="24"/>
        </w:rPr>
        <w:t xml:space="preserve"> </w:t>
      </w:r>
      <w:r w:rsidRPr="001D38E1">
        <w:rPr>
          <w:b/>
          <w:bCs/>
          <w:noProof/>
          <w:szCs w:val="24"/>
        </w:rPr>
        <w:t>2017</w:t>
      </w:r>
      <w:r w:rsidRPr="001D38E1">
        <w:rPr>
          <w:noProof/>
          <w:szCs w:val="24"/>
        </w:rPr>
        <w:t xml:space="preserve">, </w:t>
      </w:r>
      <w:r w:rsidRPr="001D38E1">
        <w:rPr>
          <w:i/>
          <w:iCs/>
          <w:noProof/>
          <w:szCs w:val="24"/>
        </w:rPr>
        <w:t>66</w:t>
      </w:r>
      <w:r w:rsidRPr="001D38E1">
        <w:rPr>
          <w:noProof/>
          <w:szCs w:val="24"/>
        </w:rPr>
        <w:t>, 1323–1334.</w:t>
      </w:r>
    </w:p>
    <w:p w14:paraId="26CB3C2D"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14.</w:t>
      </w:r>
      <w:r w:rsidRPr="001D38E1">
        <w:rPr>
          <w:noProof/>
          <w:szCs w:val="24"/>
        </w:rPr>
        <w:tab/>
        <w:t xml:space="preserve">Duffy, D. J. Problems, Challenges and Promises: Perspectives on Precision Medicine. </w:t>
      </w:r>
      <w:r w:rsidRPr="001D38E1">
        <w:rPr>
          <w:i/>
          <w:iCs/>
          <w:noProof/>
          <w:szCs w:val="24"/>
        </w:rPr>
        <w:t>Brief. Bioinform.</w:t>
      </w:r>
      <w:r w:rsidRPr="001D38E1">
        <w:rPr>
          <w:noProof/>
          <w:szCs w:val="24"/>
        </w:rPr>
        <w:t xml:space="preserve"> </w:t>
      </w:r>
      <w:r w:rsidRPr="001D38E1">
        <w:rPr>
          <w:b/>
          <w:bCs/>
          <w:noProof/>
          <w:szCs w:val="24"/>
        </w:rPr>
        <w:t>2016</w:t>
      </w:r>
      <w:r w:rsidRPr="001D38E1">
        <w:rPr>
          <w:noProof/>
          <w:szCs w:val="24"/>
        </w:rPr>
        <w:t xml:space="preserve">, </w:t>
      </w:r>
      <w:r w:rsidRPr="001D38E1">
        <w:rPr>
          <w:i/>
          <w:iCs/>
          <w:noProof/>
          <w:szCs w:val="24"/>
        </w:rPr>
        <w:t>17</w:t>
      </w:r>
      <w:r w:rsidRPr="001D38E1">
        <w:rPr>
          <w:noProof/>
          <w:szCs w:val="24"/>
        </w:rPr>
        <w:t>, 494–504.</w:t>
      </w:r>
    </w:p>
    <w:p w14:paraId="5DD04085"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15.</w:t>
      </w:r>
      <w:r w:rsidRPr="001D38E1">
        <w:rPr>
          <w:noProof/>
          <w:szCs w:val="24"/>
        </w:rPr>
        <w:tab/>
        <w:t xml:space="preserve">Wolkenhauer, O. Why Model? </w:t>
      </w:r>
      <w:r w:rsidRPr="001D38E1">
        <w:rPr>
          <w:i/>
          <w:iCs/>
          <w:noProof/>
          <w:szCs w:val="24"/>
        </w:rPr>
        <w:t>Front. Physiol.</w:t>
      </w:r>
      <w:r w:rsidRPr="001D38E1">
        <w:rPr>
          <w:noProof/>
          <w:szCs w:val="24"/>
        </w:rPr>
        <w:t xml:space="preserve"> </w:t>
      </w:r>
      <w:r w:rsidRPr="001D38E1">
        <w:rPr>
          <w:b/>
          <w:bCs/>
          <w:noProof/>
          <w:szCs w:val="24"/>
        </w:rPr>
        <w:t>2014</w:t>
      </w:r>
      <w:r w:rsidRPr="001D38E1">
        <w:rPr>
          <w:noProof/>
          <w:szCs w:val="24"/>
        </w:rPr>
        <w:t xml:space="preserve">, </w:t>
      </w:r>
      <w:r w:rsidRPr="001D38E1">
        <w:rPr>
          <w:i/>
          <w:iCs/>
          <w:noProof/>
          <w:szCs w:val="24"/>
        </w:rPr>
        <w:t>5</w:t>
      </w:r>
      <w:r w:rsidRPr="001D38E1">
        <w:rPr>
          <w:noProof/>
          <w:szCs w:val="24"/>
        </w:rPr>
        <w:t>, 21.</w:t>
      </w:r>
    </w:p>
    <w:p w14:paraId="194814AC"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16.</w:t>
      </w:r>
      <w:r w:rsidRPr="001D38E1">
        <w:rPr>
          <w:noProof/>
          <w:szCs w:val="24"/>
        </w:rPr>
        <w:tab/>
        <w:t xml:space="preserve">Mengel, B.; Hunziker, A.; Pedersen, L.; Trusina, A.; Jensen, M. H.; Krishna, S. Modeling Oscillatory Control in NF-KB, P53 and Wnt Signaling. </w:t>
      </w:r>
      <w:r w:rsidRPr="001D38E1">
        <w:rPr>
          <w:i/>
          <w:iCs/>
          <w:noProof/>
          <w:szCs w:val="24"/>
        </w:rPr>
        <w:t>Curr. Opin. Genet. Dev.</w:t>
      </w:r>
      <w:r w:rsidRPr="001D38E1">
        <w:rPr>
          <w:noProof/>
          <w:szCs w:val="24"/>
        </w:rPr>
        <w:t xml:space="preserve"> </w:t>
      </w:r>
      <w:r w:rsidRPr="001D38E1">
        <w:rPr>
          <w:b/>
          <w:bCs/>
          <w:noProof/>
          <w:szCs w:val="24"/>
        </w:rPr>
        <w:t>2010</w:t>
      </w:r>
      <w:r w:rsidRPr="001D38E1">
        <w:rPr>
          <w:noProof/>
          <w:szCs w:val="24"/>
        </w:rPr>
        <w:t xml:space="preserve">, </w:t>
      </w:r>
      <w:r w:rsidRPr="001D38E1">
        <w:rPr>
          <w:i/>
          <w:iCs/>
          <w:noProof/>
          <w:szCs w:val="24"/>
        </w:rPr>
        <w:t>20</w:t>
      </w:r>
      <w:r w:rsidRPr="001D38E1">
        <w:rPr>
          <w:noProof/>
          <w:szCs w:val="24"/>
        </w:rPr>
        <w:t>, 656–664.</w:t>
      </w:r>
    </w:p>
    <w:p w14:paraId="7D4DC29A"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17.</w:t>
      </w:r>
      <w:r w:rsidRPr="001D38E1">
        <w:rPr>
          <w:noProof/>
          <w:szCs w:val="24"/>
        </w:rPr>
        <w:tab/>
        <w:t xml:space="preserve">Brunk, E.; Sahoo, S.; Zielinski, D. C.; Altunkaya, A.; Dräger, A.; Mih, N.; Gatto, F.; Nilsson, A.; Preciat Gonzalez, G. A.; Aurich, M. K.; et al. Recon3D Enables a Three-Dimensional View of Gene Variation in Human Metabolism. </w:t>
      </w:r>
      <w:r w:rsidRPr="001D38E1">
        <w:rPr>
          <w:i/>
          <w:iCs/>
          <w:noProof/>
          <w:szCs w:val="24"/>
        </w:rPr>
        <w:t>Nat. Biotechnol.</w:t>
      </w:r>
      <w:r w:rsidRPr="001D38E1">
        <w:rPr>
          <w:noProof/>
          <w:szCs w:val="24"/>
        </w:rPr>
        <w:t xml:space="preserve"> </w:t>
      </w:r>
      <w:r w:rsidRPr="001D38E1">
        <w:rPr>
          <w:b/>
          <w:bCs/>
          <w:noProof/>
          <w:szCs w:val="24"/>
        </w:rPr>
        <w:t>2018</w:t>
      </w:r>
      <w:r w:rsidRPr="001D38E1">
        <w:rPr>
          <w:noProof/>
          <w:szCs w:val="24"/>
        </w:rPr>
        <w:t xml:space="preserve">, </w:t>
      </w:r>
      <w:r w:rsidRPr="001D38E1">
        <w:rPr>
          <w:i/>
          <w:iCs/>
          <w:noProof/>
          <w:szCs w:val="24"/>
        </w:rPr>
        <w:t>36</w:t>
      </w:r>
      <w:r w:rsidRPr="001D38E1">
        <w:rPr>
          <w:noProof/>
          <w:szCs w:val="24"/>
        </w:rPr>
        <w:t>, 272–281.</w:t>
      </w:r>
    </w:p>
    <w:p w14:paraId="2B2F9006"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18.</w:t>
      </w:r>
      <w:r w:rsidRPr="001D38E1">
        <w:rPr>
          <w:noProof/>
          <w:szCs w:val="24"/>
        </w:rPr>
        <w:tab/>
        <w:t xml:space="preserve">Karr, J. R.; Sanghvi, J. C.; MacKlin, D. N.; Gutschow, M. V.; Jacobs, J. M.; Bolival, B.; Assad-Garcia, N.; Glass, J. I.; Covert, M. W. A Whole-Cell Computational Model Predicts Phenotype from Genotype. </w:t>
      </w:r>
      <w:r w:rsidRPr="001D38E1">
        <w:rPr>
          <w:i/>
          <w:iCs/>
          <w:noProof/>
          <w:szCs w:val="24"/>
        </w:rPr>
        <w:t>Cell</w:t>
      </w:r>
      <w:r w:rsidRPr="001D38E1">
        <w:rPr>
          <w:noProof/>
          <w:szCs w:val="24"/>
        </w:rPr>
        <w:t xml:space="preserve"> </w:t>
      </w:r>
      <w:r w:rsidRPr="001D38E1">
        <w:rPr>
          <w:b/>
          <w:bCs/>
          <w:noProof/>
          <w:szCs w:val="24"/>
        </w:rPr>
        <w:t>2012</w:t>
      </w:r>
      <w:r w:rsidRPr="001D38E1">
        <w:rPr>
          <w:noProof/>
          <w:szCs w:val="24"/>
        </w:rPr>
        <w:t xml:space="preserve">, </w:t>
      </w:r>
      <w:r w:rsidRPr="001D38E1">
        <w:rPr>
          <w:i/>
          <w:iCs/>
          <w:noProof/>
          <w:szCs w:val="24"/>
        </w:rPr>
        <w:t>150</w:t>
      </w:r>
      <w:r w:rsidRPr="001D38E1">
        <w:rPr>
          <w:noProof/>
          <w:szCs w:val="24"/>
        </w:rPr>
        <w:t>, 389–401.</w:t>
      </w:r>
    </w:p>
    <w:p w14:paraId="5AB4F63E"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19.</w:t>
      </w:r>
      <w:r w:rsidRPr="001D38E1">
        <w:rPr>
          <w:noProof/>
          <w:szCs w:val="24"/>
        </w:rPr>
        <w:tab/>
        <w:t xml:space="preserve">Hoehme, S.; Friebel, A.; Hammad, S.; Drasdo, D.; Hengstler, J. G. Creation of Three-Dimensional Liver Tissue Models from Experimental Images for Systems Medicine. </w:t>
      </w:r>
      <w:r w:rsidRPr="001D38E1">
        <w:rPr>
          <w:i/>
          <w:iCs/>
          <w:noProof/>
          <w:szCs w:val="24"/>
        </w:rPr>
        <w:t>Methods Mol. Biol.</w:t>
      </w:r>
      <w:r w:rsidRPr="001D38E1">
        <w:rPr>
          <w:noProof/>
          <w:szCs w:val="24"/>
        </w:rPr>
        <w:t xml:space="preserve"> </w:t>
      </w:r>
      <w:r w:rsidRPr="001D38E1">
        <w:rPr>
          <w:b/>
          <w:bCs/>
          <w:noProof/>
          <w:szCs w:val="24"/>
        </w:rPr>
        <w:t>2017</w:t>
      </w:r>
      <w:r w:rsidRPr="001D38E1">
        <w:rPr>
          <w:noProof/>
          <w:szCs w:val="24"/>
        </w:rPr>
        <w:t xml:space="preserve">, </w:t>
      </w:r>
      <w:r w:rsidRPr="001D38E1">
        <w:rPr>
          <w:i/>
          <w:iCs/>
          <w:noProof/>
          <w:szCs w:val="24"/>
        </w:rPr>
        <w:t>1506</w:t>
      </w:r>
      <w:r w:rsidRPr="001D38E1">
        <w:rPr>
          <w:noProof/>
          <w:szCs w:val="24"/>
        </w:rPr>
        <w:t>, 319–362.</w:t>
      </w:r>
    </w:p>
    <w:p w14:paraId="6B578DF9"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20.</w:t>
      </w:r>
      <w:r w:rsidRPr="001D38E1">
        <w:rPr>
          <w:noProof/>
          <w:szCs w:val="24"/>
        </w:rPr>
        <w:tab/>
        <w:t xml:space="preserve">Cvitanović Tomaš, T.; Urlep, Ž.; Moškon, M.; Mraz, M.; Rozman, D. LiverSex Computational Model: Sexual Aspects in Hepatic Metabolism and Abnormalities. </w:t>
      </w:r>
      <w:r w:rsidRPr="001D38E1">
        <w:rPr>
          <w:i/>
          <w:iCs/>
          <w:noProof/>
          <w:szCs w:val="24"/>
        </w:rPr>
        <w:t>Front. Physiol.</w:t>
      </w:r>
      <w:r w:rsidRPr="001D38E1">
        <w:rPr>
          <w:noProof/>
          <w:szCs w:val="24"/>
        </w:rPr>
        <w:t xml:space="preserve"> </w:t>
      </w:r>
      <w:r w:rsidRPr="001D38E1">
        <w:rPr>
          <w:b/>
          <w:bCs/>
          <w:noProof/>
          <w:szCs w:val="24"/>
        </w:rPr>
        <w:t>2018</w:t>
      </w:r>
      <w:r w:rsidRPr="001D38E1">
        <w:rPr>
          <w:noProof/>
          <w:szCs w:val="24"/>
        </w:rPr>
        <w:t xml:space="preserve">, </w:t>
      </w:r>
      <w:r w:rsidRPr="001D38E1">
        <w:rPr>
          <w:i/>
          <w:iCs/>
          <w:noProof/>
          <w:szCs w:val="24"/>
        </w:rPr>
        <w:t>9</w:t>
      </w:r>
      <w:r w:rsidRPr="001D38E1">
        <w:rPr>
          <w:noProof/>
          <w:szCs w:val="24"/>
        </w:rPr>
        <w:t>, 360.</w:t>
      </w:r>
    </w:p>
    <w:p w14:paraId="18EE876A"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21.</w:t>
      </w:r>
      <w:r w:rsidRPr="001D38E1">
        <w:rPr>
          <w:noProof/>
          <w:szCs w:val="24"/>
        </w:rPr>
        <w:tab/>
        <w:t xml:space="preserve">Ingalls, B. P. </w:t>
      </w:r>
      <w:r w:rsidRPr="001D38E1">
        <w:rPr>
          <w:i/>
          <w:iCs/>
          <w:noProof/>
          <w:szCs w:val="24"/>
        </w:rPr>
        <w:t>Mathematical Modelling in Systems Biology: An Introduction</w:t>
      </w:r>
      <w:r w:rsidRPr="001D38E1">
        <w:rPr>
          <w:noProof/>
          <w:szCs w:val="24"/>
        </w:rPr>
        <w:t>; MIT Press, 2014.</w:t>
      </w:r>
    </w:p>
    <w:p w14:paraId="11CDAE06"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22.</w:t>
      </w:r>
      <w:r w:rsidRPr="001D38E1">
        <w:rPr>
          <w:noProof/>
          <w:szCs w:val="24"/>
        </w:rPr>
        <w:tab/>
        <w:t xml:space="preserve">Kærn, M.; Blake, W. J.; Collins, J. J. The Engineering of Gene Regulatory Networks. </w:t>
      </w:r>
      <w:r w:rsidRPr="001D38E1">
        <w:rPr>
          <w:i/>
          <w:iCs/>
          <w:noProof/>
          <w:szCs w:val="24"/>
        </w:rPr>
        <w:t>Annu. Rev. Biomed. Eng.</w:t>
      </w:r>
      <w:r w:rsidRPr="001D38E1">
        <w:rPr>
          <w:noProof/>
          <w:szCs w:val="24"/>
        </w:rPr>
        <w:t xml:space="preserve"> </w:t>
      </w:r>
      <w:r w:rsidRPr="001D38E1">
        <w:rPr>
          <w:b/>
          <w:bCs/>
          <w:noProof/>
          <w:szCs w:val="24"/>
        </w:rPr>
        <w:t>2003</w:t>
      </w:r>
      <w:r w:rsidRPr="001D38E1">
        <w:rPr>
          <w:noProof/>
          <w:szCs w:val="24"/>
        </w:rPr>
        <w:t xml:space="preserve">, </w:t>
      </w:r>
      <w:r w:rsidRPr="001D38E1">
        <w:rPr>
          <w:i/>
          <w:iCs/>
          <w:noProof/>
          <w:szCs w:val="24"/>
        </w:rPr>
        <w:t>5</w:t>
      </w:r>
      <w:r w:rsidRPr="001D38E1">
        <w:rPr>
          <w:noProof/>
          <w:szCs w:val="24"/>
        </w:rPr>
        <w:t>, 179–206.</w:t>
      </w:r>
    </w:p>
    <w:p w14:paraId="1A99DEB8"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lastRenderedPageBreak/>
        <w:t>23.</w:t>
      </w:r>
      <w:r w:rsidRPr="001D38E1">
        <w:rPr>
          <w:noProof/>
          <w:szCs w:val="24"/>
        </w:rPr>
        <w:tab/>
        <w:t xml:space="preserve">Turner, T. E.; Schnell, S.; Burrage, K. Stochastic Approaches for Modelling in Vivo Reactions. </w:t>
      </w:r>
      <w:r w:rsidRPr="001D38E1">
        <w:rPr>
          <w:i/>
          <w:iCs/>
          <w:noProof/>
          <w:szCs w:val="24"/>
        </w:rPr>
        <w:t>Comput. Biol. Chem.</w:t>
      </w:r>
      <w:r w:rsidRPr="001D38E1">
        <w:rPr>
          <w:noProof/>
          <w:szCs w:val="24"/>
        </w:rPr>
        <w:t xml:space="preserve"> </w:t>
      </w:r>
      <w:r w:rsidRPr="001D38E1">
        <w:rPr>
          <w:b/>
          <w:bCs/>
          <w:noProof/>
          <w:szCs w:val="24"/>
        </w:rPr>
        <w:t>2004</w:t>
      </w:r>
      <w:r w:rsidRPr="001D38E1">
        <w:rPr>
          <w:noProof/>
          <w:szCs w:val="24"/>
        </w:rPr>
        <w:t xml:space="preserve">, </w:t>
      </w:r>
      <w:r w:rsidRPr="001D38E1">
        <w:rPr>
          <w:i/>
          <w:iCs/>
          <w:noProof/>
          <w:szCs w:val="24"/>
        </w:rPr>
        <w:t>28</w:t>
      </w:r>
      <w:r w:rsidRPr="001D38E1">
        <w:rPr>
          <w:noProof/>
          <w:szCs w:val="24"/>
        </w:rPr>
        <w:t>, 165–178.</w:t>
      </w:r>
    </w:p>
    <w:p w14:paraId="1C01F7B6"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24.</w:t>
      </w:r>
      <w:r w:rsidRPr="001D38E1">
        <w:rPr>
          <w:noProof/>
          <w:szCs w:val="24"/>
        </w:rPr>
        <w:tab/>
        <w:t xml:space="preserve">Gillespie, D. T. Deterministic Limit of Stochastical Chemical Kinetics. </w:t>
      </w:r>
      <w:r w:rsidRPr="001D38E1">
        <w:rPr>
          <w:i/>
          <w:iCs/>
          <w:noProof/>
          <w:szCs w:val="24"/>
        </w:rPr>
        <w:t>J. Phys. Chem. B</w:t>
      </w:r>
      <w:r w:rsidRPr="001D38E1">
        <w:rPr>
          <w:noProof/>
          <w:szCs w:val="24"/>
        </w:rPr>
        <w:t xml:space="preserve"> </w:t>
      </w:r>
      <w:r w:rsidRPr="001D38E1">
        <w:rPr>
          <w:b/>
          <w:bCs/>
          <w:noProof/>
          <w:szCs w:val="24"/>
        </w:rPr>
        <w:t>2009</w:t>
      </w:r>
      <w:r w:rsidRPr="001D38E1">
        <w:rPr>
          <w:noProof/>
          <w:szCs w:val="24"/>
        </w:rPr>
        <w:t xml:space="preserve">, </w:t>
      </w:r>
      <w:r w:rsidRPr="001D38E1">
        <w:rPr>
          <w:i/>
          <w:iCs/>
          <w:noProof/>
          <w:szCs w:val="24"/>
        </w:rPr>
        <w:t>113</w:t>
      </w:r>
      <w:r w:rsidRPr="001D38E1">
        <w:rPr>
          <w:noProof/>
          <w:szCs w:val="24"/>
        </w:rPr>
        <w:t>, 1640–1644.</w:t>
      </w:r>
    </w:p>
    <w:p w14:paraId="1288C3CE"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25.</w:t>
      </w:r>
      <w:r w:rsidRPr="001D38E1">
        <w:rPr>
          <w:noProof/>
          <w:szCs w:val="24"/>
        </w:rPr>
        <w:tab/>
        <w:t xml:space="preserve">Karlebach, G.; Shamir, R. Modelling and Analysis of Gene Regulatory Networks. </w:t>
      </w:r>
      <w:r w:rsidRPr="001D38E1">
        <w:rPr>
          <w:i/>
          <w:iCs/>
          <w:noProof/>
          <w:szCs w:val="24"/>
        </w:rPr>
        <w:t>Nat. Rev. Mol. Cell Biol.</w:t>
      </w:r>
      <w:r w:rsidRPr="001D38E1">
        <w:rPr>
          <w:noProof/>
          <w:szCs w:val="24"/>
        </w:rPr>
        <w:t xml:space="preserve"> </w:t>
      </w:r>
      <w:r w:rsidRPr="001D38E1">
        <w:rPr>
          <w:b/>
          <w:bCs/>
          <w:noProof/>
          <w:szCs w:val="24"/>
        </w:rPr>
        <w:t>2008</w:t>
      </w:r>
      <w:r w:rsidRPr="001D38E1">
        <w:rPr>
          <w:noProof/>
          <w:szCs w:val="24"/>
        </w:rPr>
        <w:t xml:space="preserve">, </w:t>
      </w:r>
      <w:r w:rsidRPr="001D38E1">
        <w:rPr>
          <w:i/>
          <w:iCs/>
          <w:noProof/>
          <w:szCs w:val="24"/>
        </w:rPr>
        <w:t>9</w:t>
      </w:r>
      <w:r w:rsidRPr="001D38E1">
        <w:rPr>
          <w:noProof/>
          <w:szCs w:val="24"/>
        </w:rPr>
        <w:t>, 770–780.</w:t>
      </w:r>
    </w:p>
    <w:p w14:paraId="23CC82A4"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26.</w:t>
      </w:r>
      <w:r w:rsidRPr="001D38E1">
        <w:rPr>
          <w:noProof/>
          <w:szCs w:val="24"/>
        </w:rPr>
        <w:tab/>
        <w:t xml:space="preserve">De Jong, H. Modeling and Simulation of Genetic Regulatory Systems: A Literature Review. </w:t>
      </w:r>
      <w:r w:rsidRPr="001D38E1">
        <w:rPr>
          <w:i/>
          <w:iCs/>
          <w:noProof/>
          <w:szCs w:val="24"/>
        </w:rPr>
        <w:t>J. Comput. Biol.</w:t>
      </w:r>
      <w:r w:rsidRPr="001D38E1">
        <w:rPr>
          <w:noProof/>
          <w:szCs w:val="24"/>
        </w:rPr>
        <w:t xml:space="preserve"> </w:t>
      </w:r>
      <w:r w:rsidRPr="001D38E1">
        <w:rPr>
          <w:b/>
          <w:bCs/>
          <w:noProof/>
          <w:szCs w:val="24"/>
        </w:rPr>
        <w:t>2002</w:t>
      </w:r>
      <w:r w:rsidRPr="001D38E1">
        <w:rPr>
          <w:noProof/>
          <w:szCs w:val="24"/>
        </w:rPr>
        <w:t xml:space="preserve">, </w:t>
      </w:r>
      <w:r w:rsidRPr="001D38E1">
        <w:rPr>
          <w:i/>
          <w:iCs/>
          <w:noProof/>
          <w:szCs w:val="24"/>
        </w:rPr>
        <w:t>9</w:t>
      </w:r>
      <w:r w:rsidRPr="001D38E1">
        <w:rPr>
          <w:noProof/>
          <w:szCs w:val="24"/>
        </w:rPr>
        <w:t>, 67–103.</w:t>
      </w:r>
    </w:p>
    <w:p w14:paraId="77BC8805"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27.</w:t>
      </w:r>
      <w:r w:rsidRPr="001D38E1">
        <w:rPr>
          <w:noProof/>
          <w:szCs w:val="24"/>
        </w:rPr>
        <w:tab/>
        <w:t xml:space="preserve">Gillespie, D. T. Exact Stochastic Simulation of Coupled Chemical Reactions. </w:t>
      </w:r>
      <w:r w:rsidRPr="001D38E1">
        <w:rPr>
          <w:i/>
          <w:iCs/>
          <w:noProof/>
          <w:szCs w:val="24"/>
        </w:rPr>
        <w:t>J. Phys. Chem.</w:t>
      </w:r>
      <w:r w:rsidRPr="001D38E1">
        <w:rPr>
          <w:noProof/>
          <w:szCs w:val="24"/>
        </w:rPr>
        <w:t xml:space="preserve"> </w:t>
      </w:r>
      <w:r w:rsidRPr="001D38E1">
        <w:rPr>
          <w:b/>
          <w:bCs/>
          <w:noProof/>
          <w:szCs w:val="24"/>
        </w:rPr>
        <w:t>1977</w:t>
      </w:r>
      <w:r w:rsidRPr="001D38E1">
        <w:rPr>
          <w:noProof/>
          <w:szCs w:val="24"/>
        </w:rPr>
        <w:t xml:space="preserve">, </w:t>
      </w:r>
      <w:r w:rsidRPr="001D38E1">
        <w:rPr>
          <w:i/>
          <w:iCs/>
          <w:noProof/>
          <w:szCs w:val="24"/>
        </w:rPr>
        <w:t>81</w:t>
      </w:r>
      <w:r w:rsidRPr="001D38E1">
        <w:rPr>
          <w:noProof/>
          <w:szCs w:val="24"/>
        </w:rPr>
        <w:t>, 2340–2361.</w:t>
      </w:r>
    </w:p>
    <w:p w14:paraId="16BB1BBC"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28.</w:t>
      </w:r>
      <w:r w:rsidRPr="001D38E1">
        <w:rPr>
          <w:noProof/>
          <w:szCs w:val="24"/>
        </w:rPr>
        <w:tab/>
        <w:t xml:space="preserve">Petroni, M.; Zimic, N.; Mraz, M.; Moškon, M. Stochastic Simulation Algorithm for Gene Regulatory Networks with Multiple Binding Sites. </w:t>
      </w:r>
      <w:r w:rsidRPr="001D38E1">
        <w:rPr>
          <w:i/>
          <w:iCs/>
          <w:noProof/>
          <w:szCs w:val="24"/>
        </w:rPr>
        <w:t>J. Comput. Biol.</w:t>
      </w:r>
      <w:r w:rsidRPr="001D38E1">
        <w:rPr>
          <w:noProof/>
          <w:szCs w:val="24"/>
        </w:rPr>
        <w:t xml:space="preserve"> </w:t>
      </w:r>
      <w:r w:rsidRPr="001D38E1">
        <w:rPr>
          <w:b/>
          <w:bCs/>
          <w:noProof/>
          <w:szCs w:val="24"/>
        </w:rPr>
        <w:t>2015</w:t>
      </w:r>
      <w:r w:rsidRPr="001D38E1">
        <w:rPr>
          <w:noProof/>
          <w:szCs w:val="24"/>
        </w:rPr>
        <w:t xml:space="preserve">, </w:t>
      </w:r>
      <w:r w:rsidRPr="001D38E1">
        <w:rPr>
          <w:i/>
          <w:iCs/>
          <w:noProof/>
          <w:szCs w:val="24"/>
        </w:rPr>
        <w:t>22</w:t>
      </w:r>
      <w:r w:rsidRPr="001D38E1">
        <w:rPr>
          <w:noProof/>
          <w:szCs w:val="24"/>
        </w:rPr>
        <w:t>, 218–226.</w:t>
      </w:r>
    </w:p>
    <w:p w14:paraId="2323AEC6"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29.</w:t>
      </w:r>
      <w:r w:rsidRPr="001D38E1">
        <w:rPr>
          <w:noProof/>
          <w:szCs w:val="24"/>
        </w:rPr>
        <w:tab/>
        <w:t xml:space="preserve">Babtie, A. C.; Stumpf, M. P. H. How to Deal with Parameters for Whole-Cell Modelling. </w:t>
      </w:r>
      <w:r w:rsidRPr="001D38E1">
        <w:rPr>
          <w:i/>
          <w:iCs/>
          <w:noProof/>
          <w:szCs w:val="24"/>
        </w:rPr>
        <w:t>J. R. Soc. Interface</w:t>
      </w:r>
      <w:r w:rsidRPr="001D38E1">
        <w:rPr>
          <w:noProof/>
          <w:szCs w:val="24"/>
        </w:rPr>
        <w:t xml:space="preserve"> </w:t>
      </w:r>
      <w:r w:rsidRPr="001D38E1">
        <w:rPr>
          <w:b/>
          <w:bCs/>
          <w:noProof/>
          <w:szCs w:val="24"/>
        </w:rPr>
        <w:t>2017</w:t>
      </w:r>
      <w:r w:rsidRPr="001D38E1">
        <w:rPr>
          <w:noProof/>
          <w:szCs w:val="24"/>
        </w:rPr>
        <w:t xml:space="preserve">, </w:t>
      </w:r>
      <w:r w:rsidRPr="001D38E1">
        <w:rPr>
          <w:i/>
          <w:iCs/>
          <w:noProof/>
          <w:szCs w:val="24"/>
        </w:rPr>
        <w:t>14</w:t>
      </w:r>
      <w:r w:rsidRPr="001D38E1">
        <w:rPr>
          <w:noProof/>
          <w:szCs w:val="24"/>
        </w:rPr>
        <w:t>, 20170237.</w:t>
      </w:r>
    </w:p>
    <w:p w14:paraId="2AF4B39A"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30.</w:t>
      </w:r>
      <w:r w:rsidRPr="001D38E1">
        <w:rPr>
          <w:noProof/>
          <w:szCs w:val="24"/>
        </w:rPr>
        <w:tab/>
        <w:t xml:space="preserve">Ashyraliyev, M.; Fomekong-Nanfack, Y.; Kaandorp, J. A.; Blom, J. G. Systems Biology: Parameter Estimation for Biochemical Models. </w:t>
      </w:r>
      <w:r w:rsidRPr="001D38E1">
        <w:rPr>
          <w:i/>
          <w:iCs/>
          <w:noProof/>
          <w:szCs w:val="24"/>
        </w:rPr>
        <w:t>FEBS J.</w:t>
      </w:r>
      <w:r w:rsidRPr="001D38E1">
        <w:rPr>
          <w:noProof/>
          <w:szCs w:val="24"/>
        </w:rPr>
        <w:t xml:space="preserve"> </w:t>
      </w:r>
      <w:r w:rsidRPr="001D38E1">
        <w:rPr>
          <w:b/>
          <w:bCs/>
          <w:noProof/>
          <w:szCs w:val="24"/>
        </w:rPr>
        <w:t>2009</w:t>
      </w:r>
      <w:r w:rsidRPr="001D38E1">
        <w:rPr>
          <w:noProof/>
          <w:szCs w:val="24"/>
        </w:rPr>
        <w:t xml:space="preserve">, </w:t>
      </w:r>
      <w:r w:rsidRPr="001D38E1">
        <w:rPr>
          <w:i/>
          <w:iCs/>
          <w:noProof/>
          <w:szCs w:val="24"/>
        </w:rPr>
        <w:t>276</w:t>
      </w:r>
      <w:r w:rsidRPr="001D38E1">
        <w:rPr>
          <w:noProof/>
          <w:szCs w:val="24"/>
        </w:rPr>
        <w:t>, 886–902.</w:t>
      </w:r>
    </w:p>
    <w:p w14:paraId="089AF457"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31.</w:t>
      </w:r>
      <w:r w:rsidRPr="001D38E1">
        <w:rPr>
          <w:noProof/>
          <w:szCs w:val="24"/>
        </w:rPr>
        <w:tab/>
        <w:t xml:space="preserve">Gábor, A.; Banga, J. R. Robust and Efficient Parameter Estimation in Dynamic Models of Biological Systems. </w:t>
      </w:r>
      <w:r w:rsidRPr="001D38E1">
        <w:rPr>
          <w:i/>
          <w:iCs/>
          <w:noProof/>
          <w:szCs w:val="24"/>
        </w:rPr>
        <w:t>BMC Syst. Biol.</w:t>
      </w:r>
      <w:r w:rsidRPr="001D38E1">
        <w:rPr>
          <w:noProof/>
          <w:szCs w:val="24"/>
        </w:rPr>
        <w:t xml:space="preserve"> </w:t>
      </w:r>
      <w:r w:rsidRPr="001D38E1">
        <w:rPr>
          <w:b/>
          <w:bCs/>
          <w:noProof/>
          <w:szCs w:val="24"/>
        </w:rPr>
        <w:t>2015</w:t>
      </w:r>
      <w:r w:rsidRPr="001D38E1">
        <w:rPr>
          <w:noProof/>
          <w:szCs w:val="24"/>
        </w:rPr>
        <w:t xml:space="preserve">, </w:t>
      </w:r>
      <w:r w:rsidRPr="001D38E1">
        <w:rPr>
          <w:i/>
          <w:iCs/>
          <w:noProof/>
          <w:szCs w:val="24"/>
        </w:rPr>
        <w:t>9</w:t>
      </w:r>
      <w:r w:rsidRPr="001D38E1">
        <w:rPr>
          <w:noProof/>
          <w:szCs w:val="24"/>
        </w:rPr>
        <w:t>, 74.</w:t>
      </w:r>
    </w:p>
    <w:p w14:paraId="3B9C5578"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32.</w:t>
      </w:r>
      <w:r w:rsidRPr="001D38E1">
        <w:rPr>
          <w:noProof/>
          <w:szCs w:val="24"/>
        </w:rPr>
        <w:tab/>
        <w:t xml:space="preserve">Zhan, C.; Yeung, L. F. Parameter Estimation in Systems Biology Models Using Spline Approximation. </w:t>
      </w:r>
      <w:r w:rsidRPr="001D38E1">
        <w:rPr>
          <w:i/>
          <w:iCs/>
          <w:noProof/>
          <w:szCs w:val="24"/>
        </w:rPr>
        <w:t>BMC Syst. Biol.</w:t>
      </w:r>
      <w:r w:rsidRPr="001D38E1">
        <w:rPr>
          <w:noProof/>
          <w:szCs w:val="24"/>
        </w:rPr>
        <w:t xml:space="preserve"> </w:t>
      </w:r>
      <w:r w:rsidRPr="001D38E1">
        <w:rPr>
          <w:b/>
          <w:bCs/>
          <w:noProof/>
          <w:szCs w:val="24"/>
        </w:rPr>
        <w:t>2011</w:t>
      </w:r>
      <w:r w:rsidRPr="001D38E1">
        <w:rPr>
          <w:noProof/>
          <w:szCs w:val="24"/>
        </w:rPr>
        <w:t xml:space="preserve">, </w:t>
      </w:r>
      <w:r w:rsidRPr="001D38E1">
        <w:rPr>
          <w:i/>
          <w:iCs/>
          <w:noProof/>
          <w:szCs w:val="24"/>
        </w:rPr>
        <w:t>5</w:t>
      </w:r>
      <w:r w:rsidRPr="001D38E1">
        <w:rPr>
          <w:noProof/>
          <w:szCs w:val="24"/>
        </w:rPr>
        <w:t>, 14.</w:t>
      </w:r>
    </w:p>
    <w:p w14:paraId="7787A858"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33.</w:t>
      </w:r>
      <w:r w:rsidRPr="001D38E1">
        <w:rPr>
          <w:noProof/>
          <w:szCs w:val="24"/>
        </w:rPr>
        <w:tab/>
        <w:t xml:space="preserve">Sun, J.; Garibaldi, J. M.; Hodgman, C. Parameter Estimation Using Metaheuristics in Systems Biology: A Comprehensive Review. </w:t>
      </w:r>
      <w:r w:rsidRPr="001D38E1">
        <w:rPr>
          <w:i/>
          <w:iCs/>
          <w:noProof/>
          <w:szCs w:val="24"/>
        </w:rPr>
        <w:t>IEEE/ACM Trans. Comput. Biol. Bioinforma.</w:t>
      </w:r>
      <w:r w:rsidRPr="001D38E1">
        <w:rPr>
          <w:noProof/>
          <w:szCs w:val="24"/>
        </w:rPr>
        <w:t xml:space="preserve"> </w:t>
      </w:r>
      <w:r w:rsidRPr="001D38E1">
        <w:rPr>
          <w:b/>
          <w:bCs/>
          <w:noProof/>
          <w:szCs w:val="24"/>
        </w:rPr>
        <w:t>2012</w:t>
      </w:r>
      <w:r w:rsidRPr="001D38E1">
        <w:rPr>
          <w:noProof/>
          <w:szCs w:val="24"/>
        </w:rPr>
        <w:t xml:space="preserve">, </w:t>
      </w:r>
      <w:r w:rsidRPr="001D38E1">
        <w:rPr>
          <w:i/>
          <w:iCs/>
          <w:noProof/>
          <w:szCs w:val="24"/>
        </w:rPr>
        <w:t>9</w:t>
      </w:r>
      <w:r w:rsidRPr="001D38E1">
        <w:rPr>
          <w:noProof/>
          <w:szCs w:val="24"/>
        </w:rPr>
        <w:t>, 185–202.</w:t>
      </w:r>
    </w:p>
    <w:p w14:paraId="2A522A50"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34.</w:t>
      </w:r>
      <w:r w:rsidRPr="001D38E1">
        <w:rPr>
          <w:noProof/>
          <w:szCs w:val="24"/>
        </w:rPr>
        <w:tab/>
        <w:t xml:space="preserve">Lillacci, G.; Khammash, M. Parameter Estimation and Model Selection in Computational Biology. </w:t>
      </w:r>
      <w:r w:rsidRPr="001D38E1">
        <w:rPr>
          <w:i/>
          <w:iCs/>
          <w:noProof/>
          <w:szCs w:val="24"/>
        </w:rPr>
        <w:t>PLoS Comput. Biol.</w:t>
      </w:r>
      <w:r w:rsidRPr="001D38E1">
        <w:rPr>
          <w:noProof/>
          <w:szCs w:val="24"/>
        </w:rPr>
        <w:t xml:space="preserve"> </w:t>
      </w:r>
      <w:r w:rsidRPr="001D38E1">
        <w:rPr>
          <w:b/>
          <w:bCs/>
          <w:noProof/>
          <w:szCs w:val="24"/>
        </w:rPr>
        <w:t>2010</w:t>
      </w:r>
      <w:r w:rsidRPr="001D38E1">
        <w:rPr>
          <w:noProof/>
          <w:szCs w:val="24"/>
        </w:rPr>
        <w:t xml:space="preserve">, </w:t>
      </w:r>
      <w:r w:rsidRPr="001D38E1">
        <w:rPr>
          <w:i/>
          <w:iCs/>
          <w:noProof/>
          <w:szCs w:val="24"/>
        </w:rPr>
        <w:t>6</w:t>
      </w:r>
      <w:r w:rsidRPr="001D38E1">
        <w:rPr>
          <w:noProof/>
          <w:szCs w:val="24"/>
        </w:rPr>
        <w:t>, e1000696.</w:t>
      </w:r>
    </w:p>
    <w:p w14:paraId="2D2DF9BC"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35.</w:t>
      </w:r>
      <w:r w:rsidRPr="001D38E1">
        <w:rPr>
          <w:noProof/>
          <w:szCs w:val="24"/>
        </w:rPr>
        <w:tab/>
        <w:t xml:space="preserve">Penas, D. R.; González, P.; Egea, J. A.; Doallo, R.; Banga, J. R. Parameter Estimation in Large-Scale Systems Biology Models: A Parallel and Self-Adaptive Cooperative Strategy. </w:t>
      </w:r>
      <w:r w:rsidRPr="001D38E1">
        <w:rPr>
          <w:i/>
          <w:iCs/>
          <w:noProof/>
          <w:szCs w:val="24"/>
        </w:rPr>
        <w:t>BMC Bioinformatics</w:t>
      </w:r>
      <w:r w:rsidRPr="001D38E1">
        <w:rPr>
          <w:noProof/>
          <w:szCs w:val="24"/>
        </w:rPr>
        <w:t xml:space="preserve"> </w:t>
      </w:r>
      <w:r w:rsidRPr="001D38E1">
        <w:rPr>
          <w:b/>
          <w:bCs/>
          <w:noProof/>
          <w:szCs w:val="24"/>
        </w:rPr>
        <w:t>2017</w:t>
      </w:r>
      <w:r w:rsidRPr="001D38E1">
        <w:rPr>
          <w:noProof/>
          <w:szCs w:val="24"/>
        </w:rPr>
        <w:t xml:space="preserve">, </w:t>
      </w:r>
      <w:r w:rsidRPr="001D38E1">
        <w:rPr>
          <w:i/>
          <w:iCs/>
          <w:noProof/>
          <w:szCs w:val="24"/>
        </w:rPr>
        <w:t>18</w:t>
      </w:r>
      <w:r w:rsidRPr="001D38E1">
        <w:rPr>
          <w:noProof/>
          <w:szCs w:val="24"/>
        </w:rPr>
        <w:t>, 1–24.</w:t>
      </w:r>
    </w:p>
    <w:p w14:paraId="57D25D63"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36.</w:t>
      </w:r>
      <w:r w:rsidRPr="001D38E1">
        <w:rPr>
          <w:noProof/>
          <w:szCs w:val="24"/>
        </w:rPr>
        <w:tab/>
        <w:t xml:space="preserve">Rozman, D. From Nonalcoholic Fatty Liver Disease to Hepatocellular Carcinoma: A Systems Understanding. </w:t>
      </w:r>
      <w:r w:rsidRPr="001D38E1">
        <w:rPr>
          <w:i/>
          <w:iCs/>
          <w:noProof/>
          <w:szCs w:val="24"/>
        </w:rPr>
        <w:t>Dig. Dis. Sci.</w:t>
      </w:r>
      <w:r w:rsidRPr="001D38E1">
        <w:rPr>
          <w:noProof/>
          <w:szCs w:val="24"/>
        </w:rPr>
        <w:t xml:space="preserve"> </w:t>
      </w:r>
      <w:r w:rsidRPr="001D38E1">
        <w:rPr>
          <w:b/>
          <w:bCs/>
          <w:noProof/>
          <w:szCs w:val="24"/>
        </w:rPr>
        <w:t>2014</w:t>
      </w:r>
      <w:r w:rsidRPr="001D38E1">
        <w:rPr>
          <w:noProof/>
          <w:szCs w:val="24"/>
        </w:rPr>
        <w:t xml:space="preserve">, </w:t>
      </w:r>
      <w:r w:rsidRPr="001D38E1">
        <w:rPr>
          <w:i/>
          <w:iCs/>
          <w:noProof/>
          <w:szCs w:val="24"/>
        </w:rPr>
        <w:t>59</w:t>
      </w:r>
      <w:r w:rsidRPr="001D38E1">
        <w:rPr>
          <w:noProof/>
          <w:szCs w:val="24"/>
        </w:rPr>
        <w:t>, 238–241.</w:t>
      </w:r>
    </w:p>
    <w:p w14:paraId="3C5592BB"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37.</w:t>
      </w:r>
      <w:r w:rsidRPr="001D38E1">
        <w:rPr>
          <w:noProof/>
          <w:szCs w:val="24"/>
        </w:rPr>
        <w:tab/>
        <w:t xml:space="preserve">Saadatpour, A.; Réka, A. Boolean Modeling of Biological Regulatory Networks: A </w:t>
      </w:r>
      <w:r w:rsidRPr="001D38E1">
        <w:rPr>
          <w:noProof/>
          <w:szCs w:val="24"/>
        </w:rPr>
        <w:lastRenderedPageBreak/>
        <w:t xml:space="preserve">Methodology Tutorial. </w:t>
      </w:r>
      <w:r w:rsidRPr="001D38E1">
        <w:rPr>
          <w:i/>
          <w:iCs/>
          <w:noProof/>
          <w:szCs w:val="24"/>
        </w:rPr>
        <w:t>Methods</w:t>
      </w:r>
      <w:r w:rsidRPr="001D38E1">
        <w:rPr>
          <w:noProof/>
          <w:szCs w:val="24"/>
        </w:rPr>
        <w:t xml:space="preserve"> </w:t>
      </w:r>
      <w:r w:rsidRPr="001D38E1">
        <w:rPr>
          <w:b/>
          <w:bCs/>
          <w:noProof/>
          <w:szCs w:val="24"/>
        </w:rPr>
        <w:t>2013</w:t>
      </w:r>
      <w:r w:rsidRPr="001D38E1">
        <w:rPr>
          <w:noProof/>
          <w:szCs w:val="24"/>
        </w:rPr>
        <w:t xml:space="preserve">, </w:t>
      </w:r>
      <w:r w:rsidRPr="001D38E1">
        <w:rPr>
          <w:i/>
          <w:iCs/>
          <w:noProof/>
          <w:szCs w:val="24"/>
        </w:rPr>
        <w:t>62</w:t>
      </w:r>
      <w:r w:rsidRPr="001D38E1">
        <w:rPr>
          <w:noProof/>
          <w:szCs w:val="24"/>
        </w:rPr>
        <w:t>, 3–12.</w:t>
      </w:r>
    </w:p>
    <w:p w14:paraId="39EADBC3"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38.</w:t>
      </w:r>
      <w:r w:rsidRPr="001D38E1">
        <w:rPr>
          <w:noProof/>
          <w:szCs w:val="24"/>
        </w:rPr>
        <w:tab/>
        <w:t xml:space="preserve">O’Brien, E. J.; Monk, J. M.; Palsson, B. O. Using Genome-Scale Models to Predict Biological Capabilities. </w:t>
      </w:r>
      <w:r w:rsidRPr="001D38E1">
        <w:rPr>
          <w:i/>
          <w:iCs/>
          <w:noProof/>
          <w:szCs w:val="24"/>
        </w:rPr>
        <w:t>Cell</w:t>
      </w:r>
      <w:r w:rsidRPr="001D38E1">
        <w:rPr>
          <w:noProof/>
          <w:szCs w:val="24"/>
        </w:rPr>
        <w:t xml:space="preserve"> </w:t>
      </w:r>
      <w:r w:rsidRPr="001D38E1">
        <w:rPr>
          <w:b/>
          <w:bCs/>
          <w:noProof/>
          <w:szCs w:val="24"/>
        </w:rPr>
        <w:t>2015</w:t>
      </w:r>
      <w:r w:rsidRPr="001D38E1">
        <w:rPr>
          <w:noProof/>
          <w:szCs w:val="24"/>
        </w:rPr>
        <w:t xml:space="preserve">, </w:t>
      </w:r>
      <w:r w:rsidRPr="001D38E1">
        <w:rPr>
          <w:i/>
          <w:iCs/>
          <w:noProof/>
          <w:szCs w:val="24"/>
        </w:rPr>
        <w:t>161</w:t>
      </w:r>
      <w:r w:rsidRPr="001D38E1">
        <w:rPr>
          <w:noProof/>
          <w:szCs w:val="24"/>
        </w:rPr>
        <w:t>, 971–987.</w:t>
      </w:r>
    </w:p>
    <w:p w14:paraId="01FD9ACA"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39.</w:t>
      </w:r>
      <w:r w:rsidRPr="001D38E1">
        <w:rPr>
          <w:noProof/>
          <w:szCs w:val="24"/>
        </w:rPr>
        <w:tab/>
        <w:t xml:space="preserve">Wynn, M. L.; Consul, N.; Merajver, S. D.; Schnell, S. Logic-Based Models in Systems Biology: A Predictive and Parameter-Free Network Analysis Method. </w:t>
      </w:r>
      <w:r w:rsidRPr="001D38E1">
        <w:rPr>
          <w:i/>
          <w:iCs/>
          <w:noProof/>
          <w:szCs w:val="24"/>
        </w:rPr>
        <w:t>Integr. Biol.</w:t>
      </w:r>
      <w:r w:rsidRPr="001D38E1">
        <w:rPr>
          <w:noProof/>
          <w:szCs w:val="24"/>
        </w:rPr>
        <w:t xml:space="preserve"> </w:t>
      </w:r>
      <w:r w:rsidRPr="001D38E1">
        <w:rPr>
          <w:b/>
          <w:bCs/>
          <w:noProof/>
          <w:szCs w:val="24"/>
        </w:rPr>
        <w:t>2012</w:t>
      </w:r>
      <w:r w:rsidRPr="001D38E1">
        <w:rPr>
          <w:noProof/>
          <w:szCs w:val="24"/>
        </w:rPr>
        <w:t xml:space="preserve">, </w:t>
      </w:r>
      <w:r w:rsidRPr="001D38E1">
        <w:rPr>
          <w:i/>
          <w:iCs/>
          <w:noProof/>
          <w:szCs w:val="24"/>
        </w:rPr>
        <w:t>4</w:t>
      </w:r>
      <w:r w:rsidRPr="001D38E1">
        <w:rPr>
          <w:noProof/>
          <w:szCs w:val="24"/>
        </w:rPr>
        <w:t>, 1323.</w:t>
      </w:r>
    </w:p>
    <w:p w14:paraId="7927EDC7"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40.</w:t>
      </w:r>
      <w:r w:rsidRPr="001D38E1">
        <w:rPr>
          <w:noProof/>
          <w:szCs w:val="24"/>
        </w:rPr>
        <w:tab/>
        <w:t xml:space="preserve">Le Novere, N. Quantitative and Logic Modelling of Molecular and Gene Networks. </w:t>
      </w:r>
      <w:r w:rsidRPr="001D38E1">
        <w:rPr>
          <w:i/>
          <w:iCs/>
          <w:noProof/>
          <w:szCs w:val="24"/>
        </w:rPr>
        <w:t>Nat. Rev. Genet.</w:t>
      </w:r>
      <w:r w:rsidRPr="001D38E1">
        <w:rPr>
          <w:noProof/>
          <w:szCs w:val="24"/>
        </w:rPr>
        <w:t xml:space="preserve"> </w:t>
      </w:r>
      <w:r w:rsidRPr="001D38E1">
        <w:rPr>
          <w:b/>
          <w:bCs/>
          <w:noProof/>
          <w:szCs w:val="24"/>
        </w:rPr>
        <w:t>2015</w:t>
      </w:r>
      <w:r w:rsidRPr="001D38E1">
        <w:rPr>
          <w:noProof/>
          <w:szCs w:val="24"/>
        </w:rPr>
        <w:t xml:space="preserve">, </w:t>
      </w:r>
      <w:r w:rsidRPr="001D38E1">
        <w:rPr>
          <w:i/>
          <w:iCs/>
          <w:noProof/>
          <w:szCs w:val="24"/>
        </w:rPr>
        <w:t>16</w:t>
      </w:r>
      <w:r w:rsidRPr="001D38E1">
        <w:rPr>
          <w:noProof/>
          <w:szCs w:val="24"/>
        </w:rPr>
        <w:t>, 146–158.</w:t>
      </w:r>
    </w:p>
    <w:p w14:paraId="0BD9E68E"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41.</w:t>
      </w:r>
      <w:r w:rsidRPr="001D38E1">
        <w:rPr>
          <w:noProof/>
          <w:szCs w:val="24"/>
        </w:rPr>
        <w:tab/>
        <w:t xml:space="preserve">Ivanov, I. Boolean Models of Genomic Regulatory Networks: Reduction Mappings, Inference, and External Control. </w:t>
      </w:r>
      <w:r w:rsidRPr="001D38E1">
        <w:rPr>
          <w:i/>
          <w:iCs/>
          <w:noProof/>
          <w:szCs w:val="24"/>
        </w:rPr>
        <w:t>Curr. Genomics</w:t>
      </w:r>
      <w:r w:rsidRPr="001D38E1">
        <w:rPr>
          <w:noProof/>
          <w:szCs w:val="24"/>
        </w:rPr>
        <w:t xml:space="preserve"> </w:t>
      </w:r>
      <w:r w:rsidRPr="001D38E1">
        <w:rPr>
          <w:b/>
          <w:bCs/>
          <w:noProof/>
          <w:szCs w:val="24"/>
        </w:rPr>
        <w:t>2009</w:t>
      </w:r>
      <w:r w:rsidRPr="001D38E1">
        <w:rPr>
          <w:noProof/>
          <w:szCs w:val="24"/>
        </w:rPr>
        <w:t xml:space="preserve">, </w:t>
      </w:r>
      <w:r w:rsidRPr="001D38E1">
        <w:rPr>
          <w:i/>
          <w:iCs/>
          <w:noProof/>
          <w:szCs w:val="24"/>
        </w:rPr>
        <w:t>10</w:t>
      </w:r>
      <w:r w:rsidRPr="001D38E1">
        <w:rPr>
          <w:noProof/>
          <w:szCs w:val="24"/>
        </w:rPr>
        <w:t>, 375–387.</w:t>
      </w:r>
    </w:p>
    <w:p w14:paraId="416E9859"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42.</w:t>
      </w:r>
      <w:r w:rsidRPr="001D38E1">
        <w:rPr>
          <w:noProof/>
          <w:szCs w:val="24"/>
        </w:rPr>
        <w:tab/>
        <w:t xml:space="preserve">Martin, S.; Zhang, Z.; Martino, A.; Faulon, J. L. Boolean Dynamics of Genetic Regulatory Networks Inferred from Microarray Time Series Data. </w:t>
      </w:r>
      <w:r w:rsidRPr="001D38E1">
        <w:rPr>
          <w:i/>
          <w:iCs/>
          <w:noProof/>
          <w:szCs w:val="24"/>
        </w:rPr>
        <w:t>Bioinformatics</w:t>
      </w:r>
      <w:r w:rsidRPr="001D38E1">
        <w:rPr>
          <w:noProof/>
          <w:szCs w:val="24"/>
        </w:rPr>
        <w:t xml:space="preserve"> </w:t>
      </w:r>
      <w:r w:rsidRPr="001D38E1">
        <w:rPr>
          <w:b/>
          <w:bCs/>
          <w:noProof/>
          <w:szCs w:val="24"/>
        </w:rPr>
        <w:t>2007</w:t>
      </w:r>
      <w:r w:rsidRPr="001D38E1">
        <w:rPr>
          <w:noProof/>
          <w:szCs w:val="24"/>
        </w:rPr>
        <w:t xml:space="preserve">, </w:t>
      </w:r>
      <w:r w:rsidRPr="001D38E1">
        <w:rPr>
          <w:i/>
          <w:iCs/>
          <w:noProof/>
          <w:szCs w:val="24"/>
        </w:rPr>
        <w:t>23</w:t>
      </w:r>
      <w:r w:rsidRPr="001D38E1">
        <w:rPr>
          <w:noProof/>
          <w:szCs w:val="24"/>
        </w:rPr>
        <w:t>, 866–874.</w:t>
      </w:r>
    </w:p>
    <w:p w14:paraId="4AD7621A"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43.</w:t>
      </w:r>
      <w:r w:rsidRPr="001D38E1">
        <w:rPr>
          <w:noProof/>
          <w:szCs w:val="24"/>
        </w:rPr>
        <w:tab/>
        <w:t xml:space="preserve">Rejc, Ž.; Magdevska, L.; Tršelič, T.; Osolin, T.; Vodopivec, R.; Mraz, J.; Pavliha, E.; Zimic, N.; Cvitanović, T.; Rozman, D.; et al. Computational Modelling of Genome-Scale Metabolic Networks and Its Application to CHO Cell Cultures. </w:t>
      </w:r>
      <w:r w:rsidRPr="001D38E1">
        <w:rPr>
          <w:i/>
          <w:iCs/>
          <w:noProof/>
          <w:szCs w:val="24"/>
        </w:rPr>
        <w:t>Comput. Biol. Med.</w:t>
      </w:r>
      <w:r w:rsidRPr="001D38E1">
        <w:rPr>
          <w:noProof/>
          <w:szCs w:val="24"/>
        </w:rPr>
        <w:t xml:space="preserve"> </w:t>
      </w:r>
      <w:r w:rsidRPr="001D38E1">
        <w:rPr>
          <w:b/>
          <w:bCs/>
          <w:noProof/>
          <w:szCs w:val="24"/>
        </w:rPr>
        <w:t>2017</w:t>
      </w:r>
      <w:r w:rsidRPr="001D38E1">
        <w:rPr>
          <w:noProof/>
          <w:szCs w:val="24"/>
        </w:rPr>
        <w:t xml:space="preserve">, </w:t>
      </w:r>
      <w:r w:rsidRPr="001D38E1">
        <w:rPr>
          <w:i/>
          <w:iCs/>
          <w:noProof/>
          <w:szCs w:val="24"/>
        </w:rPr>
        <w:t>88</w:t>
      </w:r>
      <w:r w:rsidRPr="001D38E1">
        <w:rPr>
          <w:noProof/>
          <w:szCs w:val="24"/>
        </w:rPr>
        <w:t>, 150–160.</w:t>
      </w:r>
    </w:p>
    <w:p w14:paraId="43DB5C22"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44.</w:t>
      </w:r>
      <w:r w:rsidRPr="001D38E1">
        <w:rPr>
          <w:noProof/>
          <w:szCs w:val="24"/>
        </w:rPr>
        <w:tab/>
        <w:t xml:space="preserve">Orth, J. D.; Conrad, T. M.; Na, J.; Lerman, J. A.; Nam, H.; Feist, A. M.; Palsson, B. A Comprehensive Genome-Scale Reconstruction of Escherichia Coli Metabolism. </w:t>
      </w:r>
      <w:r w:rsidRPr="001D38E1">
        <w:rPr>
          <w:i/>
          <w:iCs/>
          <w:noProof/>
          <w:szCs w:val="24"/>
        </w:rPr>
        <w:t>Mol. Syst. Biol.</w:t>
      </w:r>
      <w:r w:rsidRPr="001D38E1">
        <w:rPr>
          <w:noProof/>
          <w:szCs w:val="24"/>
        </w:rPr>
        <w:t xml:space="preserve"> </w:t>
      </w:r>
      <w:r w:rsidRPr="001D38E1">
        <w:rPr>
          <w:b/>
          <w:bCs/>
          <w:noProof/>
          <w:szCs w:val="24"/>
        </w:rPr>
        <w:t>2011</w:t>
      </w:r>
      <w:r w:rsidRPr="001D38E1">
        <w:rPr>
          <w:noProof/>
          <w:szCs w:val="24"/>
        </w:rPr>
        <w:t xml:space="preserve">, </w:t>
      </w:r>
      <w:r w:rsidRPr="001D38E1">
        <w:rPr>
          <w:i/>
          <w:iCs/>
          <w:noProof/>
          <w:szCs w:val="24"/>
        </w:rPr>
        <w:t>11</w:t>
      </w:r>
      <w:r w:rsidRPr="001D38E1">
        <w:rPr>
          <w:noProof/>
          <w:szCs w:val="24"/>
        </w:rPr>
        <w:t>, 535.</w:t>
      </w:r>
    </w:p>
    <w:p w14:paraId="516A5247"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45.</w:t>
      </w:r>
      <w:r w:rsidRPr="001D38E1">
        <w:rPr>
          <w:noProof/>
          <w:szCs w:val="24"/>
        </w:rPr>
        <w:tab/>
        <w:t xml:space="preserve">Sánchez, B. J.; Nielsen, J. Genome Scale Models of Yeast: Towards Standardized Evaluation and Consistent Omic Integration. </w:t>
      </w:r>
      <w:r w:rsidRPr="001D38E1">
        <w:rPr>
          <w:i/>
          <w:iCs/>
          <w:noProof/>
          <w:szCs w:val="24"/>
        </w:rPr>
        <w:t>Integr. Biol.</w:t>
      </w:r>
      <w:r w:rsidRPr="001D38E1">
        <w:rPr>
          <w:noProof/>
          <w:szCs w:val="24"/>
        </w:rPr>
        <w:t xml:space="preserve"> </w:t>
      </w:r>
      <w:r w:rsidRPr="001D38E1">
        <w:rPr>
          <w:b/>
          <w:bCs/>
          <w:noProof/>
          <w:szCs w:val="24"/>
        </w:rPr>
        <w:t>2015</w:t>
      </w:r>
      <w:r w:rsidRPr="001D38E1">
        <w:rPr>
          <w:noProof/>
          <w:szCs w:val="24"/>
        </w:rPr>
        <w:t xml:space="preserve">, </w:t>
      </w:r>
      <w:r w:rsidRPr="001D38E1">
        <w:rPr>
          <w:i/>
          <w:iCs/>
          <w:noProof/>
          <w:szCs w:val="24"/>
        </w:rPr>
        <w:t>7</w:t>
      </w:r>
      <w:r w:rsidRPr="001D38E1">
        <w:rPr>
          <w:noProof/>
          <w:szCs w:val="24"/>
        </w:rPr>
        <w:t>, 846–858.</w:t>
      </w:r>
    </w:p>
    <w:p w14:paraId="76E34408"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46.</w:t>
      </w:r>
      <w:r w:rsidRPr="001D38E1">
        <w:rPr>
          <w:noProof/>
          <w:szCs w:val="24"/>
        </w:rPr>
        <w:tab/>
        <w:t xml:space="preserve">Hefzi, H.; Ang, K. S.; Hanscho, M.; Bordbar, A.; Ruckerbauer, D.; Lakshmanan, M.; Orellana, C. A.; Baycin-Hizal, D.; Huang, Y.; Ley, D.; et al. A Consensus Genome-Scale Reconstruction of Chinese Hamster Ovary Cell Metabolism. </w:t>
      </w:r>
      <w:r w:rsidRPr="001D38E1">
        <w:rPr>
          <w:i/>
          <w:iCs/>
          <w:noProof/>
          <w:szCs w:val="24"/>
        </w:rPr>
        <w:t>Cell Syst.</w:t>
      </w:r>
      <w:r w:rsidRPr="001D38E1">
        <w:rPr>
          <w:noProof/>
          <w:szCs w:val="24"/>
        </w:rPr>
        <w:t xml:space="preserve"> </w:t>
      </w:r>
      <w:r w:rsidRPr="001D38E1">
        <w:rPr>
          <w:b/>
          <w:bCs/>
          <w:noProof/>
          <w:szCs w:val="24"/>
        </w:rPr>
        <w:t>2016</w:t>
      </w:r>
      <w:r w:rsidRPr="001D38E1">
        <w:rPr>
          <w:noProof/>
          <w:szCs w:val="24"/>
        </w:rPr>
        <w:t xml:space="preserve">, </w:t>
      </w:r>
      <w:r w:rsidRPr="001D38E1">
        <w:rPr>
          <w:i/>
          <w:iCs/>
          <w:noProof/>
          <w:szCs w:val="24"/>
        </w:rPr>
        <w:t>3</w:t>
      </w:r>
      <w:r w:rsidRPr="001D38E1">
        <w:rPr>
          <w:noProof/>
          <w:szCs w:val="24"/>
        </w:rPr>
        <w:t>, 434–443.</w:t>
      </w:r>
    </w:p>
    <w:p w14:paraId="07B5E9BC"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47.</w:t>
      </w:r>
      <w:r w:rsidRPr="001D38E1">
        <w:rPr>
          <w:noProof/>
          <w:szCs w:val="24"/>
        </w:rPr>
        <w:tab/>
        <w:t xml:space="preserve">Wang, Y.; Eddy, J. A.; Price, N. D. Reconstruction of Genome-Scale Metabolic Models for 126 Human Tissues Using MCADRE. </w:t>
      </w:r>
      <w:r w:rsidRPr="001D38E1">
        <w:rPr>
          <w:i/>
          <w:iCs/>
          <w:noProof/>
          <w:szCs w:val="24"/>
        </w:rPr>
        <w:t>BMC Syst. Biol.</w:t>
      </w:r>
      <w:r w:rsidRPr="001D38E1">
        <w:rPr>
          <w:noProof/>
          <w:szCs w:val="24"/>
        </w:rPr>
        <w:t xml:space="preserve"> </w:t>
      </w:r>
      <w:r w:rsidRPr="001D38E1">
        <w:rPr>
          <w:b/>
          <w:bCs/>
          <w:noProof/>
          <w:szCs w:val="24"/>
        </w:rPr>
        <w:t>2012</w:t>
      </w:r>
      <w:r w:rsidRPr="001D38E1">
        <w:rPr>
          <w:noProof/>
          <w:szCs w:val="24"/>
        </w:rPr>
        <w:t xml:space="preserve">, </w:t>
      </w:r>
      <w:r w:rsidRPr="001D38E1">
        <w:rPr>
          <w:i/>
          <w:iCs/>
          <w:noProof/>
          <w:szCs w:val="24"/>
        </w:rPr>
        <w:t>6</w:t>
      </w:r>
      <w:r w:rsidRPr="001D38E1">
        <w:rPr>
          <w:noProof/>
          <w:szCs w:val="24"/>
        </w:rPr>
        <w:t>, 153.</w:t>
      </w:r>
    </w:p>
    <w:p w14:paraId="68D48A77"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48.</w:t>
      </w:r>
      <w:r w:rsidRPr="001D38E1">
        <w:rPr>
          <w:noProof/>
          <w:szCs w:val="24"/>
        </w:rPr>
        <w:tab/>
        <w:t xml:space="preserve">Mardinoglu, A.; Agren, R.; Kampf, C.; Asplund, A.; Uhlen, M.; Nielsen, J. Genome-Scale Metabolic Modelling of Hepatocytes Reveals Serine Deficiency in Patients with Non-Alcoholic Fatty Liver Disease. </w:t>
      </w:r>
      <w:r w:rsidRPr="001D38E1">
        <w:rPr>
          <w:i/>
          <w:iCs/>
          <w:noProof/>
          <w:szCs w:val="24"/>
        </w:rPr>
        <w:t>Nat. Commun.</w:t>
      </w:r>
      <w:r w:rsidRPr="001D38E1">
        <w:rPr>
          <w:noProof/>
          <w:szCs w:val="24"/>
        </w:rPr>
        <w:t xml:space="preserve"> </w:t>
      </w:r>
      <w:r w:rsidRPr="001D38E1">
        <w:rPr>
          <w:b/>
          <w:bCs/>
          <w:noProof/>
          <w:szCs w:val="24"/>
        </w:rPr>
        <w:t>2014</w:t>
      </w:r>
      <w:r w:rsidRPr="001D38E1">
        <w:rPr>
          <w:noProof/>
          <w:szCs w:val="24"/>
        </w:rPr>
        <w:t xml:space="preserve">, </w:t>
      </w:r>
      <w:r w:rsidRPr="001D38E1">
        <w:rPr>
          <w:i/>
          <w:iCs/>
          <w:noProof/>
          <w:szCs w:val="24"/>
        </w:rPr>
        <w:t>5</w:t>
      </w:r>
      <w:r w:rsidRPr="001D38E1">
        <w:rPr>
          <w:noProof/>
          <w:szCs w:val="24"/>
        </w:rPr>
        <w:t>, 1–11.</w:t>
      </w:r>
    </w:p>
    <w:p w14:paraId="3CD0E7C6"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49.</w:t>
      </w:r>
      <w:r w:rsidRPr="001D38E1">
        <w:rPr>
          <w:noProof/>
          <w:szCs w:val="24"/>
        </w:rPr>
        <w:tab/>
        <w:t xml:space="preserve">Ghaffari, P.; Mardinoglu, A.; Nielsen, J. Cancer Metabolism: A Modeling Perspective. </w:t>
      </w:r>
      <w:r w:rsidRPr="001D38E1">
        <w:rPr>
          <w:i/>
          <w:iCs/>
          <w:noProof/>
          <w:szCs w:val="24"/>
        </w:rPr>
        <w:t>Front. Physiol.</w:t>
      </w:r>
      <w:r w:rsidRPr="001D38E1">
        <w:rPr>
          <w:noProof/>
          <w:szCs w:val="24"/>
        </w:rPr>
        <w:t xml:space="preserve"> </w:t>
      </w:r>
      <w:r w:rsidRPr="001D38E1">
        <w:rPr>
          <w:b/>
          <w:bCs/>
          <w:noProof/>
          <w:szCs w:val="24"/>
        </w:rPr>
        <w:t>2015</w:t>
      </w:r>
      <w:r w:rsidRPr="001D38E1">
        <w:rPr>
          <w:noProof/>
          <w:szCs w:val="24"/>
        </w:rPr>
        <w:t xml:space="preserve">, </w:t>
      </w:r>
      <w:r w:rsidRPr="001D38E1">
        <w:rPr>
          <w:i/>
          <w:iCs/>
          <w:noProof/>
          <w:szCs w:val="24"/>
        </w:rPr>
        <w:t>6</w:t>
      </w:r>
      <w:r w:rsidRPr="001D38E1">
        <w:rPr>
          <w:noProof/>
          <w:szCs w:val="24"/>
        </w:rPr>
        <w:t>, 382.</w:t>
      </w:r>
    </w:p>
    <w:p w14:paraId="35586A07"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50.</w:t>
      </w:r>
      <w:r w:rsidRPr="001D38E1">
        <w:rPr>
          <w:noProof/>
          <w:szCs w:val="24"/>
        </w:rPr>
        <w:tab/>
        <w:t xml:space="preserve">Agren, R.; Mardinoglu, A.; Asplund, A.; Kampf, C.; Uhlen, M.; Nielsen, J. Identification of </w:t>
      </w:r>
      <w:r w:rsidRPr="001D38E1">
        <w:rPr>
          <w:noProof/>
          <w:szCs w:val="24"/>
        </w:rPr>
        <w:lastRenderedPageBreak/>
        <w:t xml:space="preserve">Anticancer Drugs for Hepatocellular Carcinoma through Personalized Genome-Scale Metabolic Modeling. </w:t>
      </w:r>
      <w:r w:rsidRPr="001D38E1">
        <w:rPr>
          <w:i/>
          <w:iCs/>
          <w:noProof/>
          <w:szCs w:val="24"/>
        </w:rPr>
        <w:t>Mol. Syst. Biol.</w:t>
      </w:r>
      <w:r w:rsidRPr="001D38E1">
        <w:rPr>
          <w:noProof/>
          <w:szCs w:val="24"/>
        </w:rPr>
        <w:t xml:space="preserve"> </w:t>
      </w:r>
      <w:r w:rsidRPr="001D38E1">
        <w:rPr>
          <w:b/>
          <w:bCs/>
          <w:noProof/>
          <w:szCs w:val="24"/>
        </w:rPr>
        <w:t>2014</w:t>
      </w:r>
      <w:r w:rsidRPr="001D38E1">
        <w:rPr>
          <w:noProof/>
          <w:szCs w:val="24"/>
        </w:rPr>
        <w:t xml:space="preserve">, </w:t>
      </w:r>
      <w:r w:rsidRPr="001D38E1">
        <w:rPr>
          <w:i/>
          <w:iCs/>
          <w:noProof/>
          <w:szCs w:val="24"/>
        </w:rPr>
        <w:t>10</w:t>
      </w:r>
      <w:r w:rsidRPr="001D38E1">
        <w:rPr>
          <w:noProof/>
          <w:szCs w:val="24"/>
        </w:rPr>
        <w:t>, 721.</w:t>
      </w:r>
    </w:p>
    <w:p w14:paraId="1BE852E1"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51.</w:t>
      </w:r>
      <w:r w:rsidRPr="001D38E1">
        <w:rPr>
          <w:noProof/>
          <w:szCs w:val="24"/>
        </w:rPr>
        <w:tab/>
        <w:t xml:space="preserve">Becker, S. A.; Palsson, B. O. Context-Specific Metabolic Networks Are Consistent with Experiments. </w:t>
      </w:r>
      <w:r w:rsidRPr="001D38E1">
        <w:rPr>
          <w:i/>
          <w:iCs/>
          <w:noProof/>
          <w:szCs w:val="24"/>
        </w:rPr>
        <w:t>PLoS Comput. Biol.</w:t>
      </w:r>
      <w:r w:rsidRPr="001D38E1">
        <w:rPr>
          <w:noProof/>
          <w:szCs w:val="24"/>
        </w:rPr>
        <w:t xml:space="preserve"> </w:t>
      </w:r>
      <w:r w:rsidRPr="001D38E1">
        <w:rPr>
          <w:b/>
          <w:bCs/>
          <w:noProof/>
          <w:szCs w:val="24"/>
        </w:rPr>
        <w:t>2008</w:t>
      </w:r>
      <w:r w:rsidRPr="001D38E1">
        <w:rPr>
          <w:noProof/>
          <w:szCs w:val="24"/>
        </w:rPr>
        <w:t xml:space="preserve">, </w:t>
      </w:r>
      <w:r w:rsidRPr="001D38E1">
        <w:rPr>
          <w:i/>
          <w:iCs/>
          <w:noProof/>
          <w:szCs w:val="24"/>
        </w:rPr>
        <w:t>4</w:t>
      </w:r>
      <w:r w:rsidRPr="001D38E1">
        <w:rPr>
          <w:noProof/>
          <w:szCs w:val="24"/>
        </w:rPr>
        <w:t>, e1000082.</w:t>
      </w:r>
    </w:p>
    <w:p w14:paraId="3AC04E64"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52.</w:t>
      </w:r>
      <w:r w:rsidRPr="001D38E1">
        <w:rPr>
          <w:noProof/>
          <w:szCs w:val="24"/>
        </w:rPr>
        <w:tab/>
        <w:t xml:space="preserve">Schultz, A.; Qutub, A. A. Reconstruction of Tissue-Specific Metabolic Networks Using CORDA. </w:t>
      </w:r>
      <w:r w:rsidRPr="001D38E1">
        <w:rPr>
          <w:i/>
          <w:iCs/>
          <w:noProof/>
          <w:szCs w:val="24"/>
        </w:rPr>
        <w:t>PLoS Comput. Biol.</w:t>
      </w:r>
      <w:r w:rsidRPr="001D38E1">
        <w:rPr>
          <w:noProof/>
          <w:szCs w:val="24"/>
        </w:rPr>
        <w:t xml:space="preserve"> </w:t>
      </w:r>
      <w:r w:rsidRPr="001D38E1">
        <w:rPr>
          <w:b/>
          <w:bCs/>
          <w:noProof/>
          <w:szCs w:val="24"/>
        </w:rPr>
        <w:t>2016</w:t>
      </w:r>
      <w:r w:rsidRPr="001D38E1">
        <w:rPr>
          <w:noProof/>
          <w:szCs w:val="24"/>
        </w:rPr>
        <w:t xml:space="preserve">, </w:t>
      </w:r>
      <w:r w:rsidRPr="001D38E1">
        <w:rPr>
          <w:i/>
          <w:iCs/>
          <w:noProof/>
          <w:szCs w:val="24"/>
        </w:rPr>
        <w:t>12</w:t>
      </w:r>
      <w:r w:rsidRPr="001D38E1">
        <w:rPr>
          <w:noProof/>
          <w:szCs w:val="24"/>
        </w:rPr>
        <w:t>, 1–33.</w:t>
      </w:r>
    </w:p>
    <w:p w14:paraId="7E8C2532"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53.</w:t>
      </w:r>
      <w:r w:rsidRPr="001D38E1">
        <w:rPr>
          <w:noProof/>
          <w:szCs w:val="24"/>
        </w:rPr>
        <w:tab/>
        <w:t xml:space="preserve">Orth, J. D.; Thiele, I.; Palsson, B. Ø. What Is Flux Balance Analysis? </w:t>
      </w:r>
      <w:r w:rsidRPr="001D38E1">
        <w:rPr>
          <w:i/>
          <w:iCs/>
          <w:noProof/>
          <w:szCs w:val="24"/>
        </w:rPr>
        <w:t>Nat. Biotechnol.</w:t>
      </w:r>
      <w:r w:rsidRPr="001D38E1">
        <w:rPr>
          <w:noProof/>
          <w:szCs w:val="24"/>
        </w:rPr>
        <w:t xml:space="preserve"> </w:t>
      </w:r>
      <w:r w:rsidRPr="001D38E1">
        <w:rPr>
          <w:b/>
          <w:bCs/>
          <w:noProof/>
          <w:szCs w:val="24"/>
        </w:rPr>
        <w:t>2010</w:t>
      </w:r>
      <w:r w:rsidRPr="001D38E1">
        <w:rPr>
          <w:noProof/>
          <w:szCs w:val="24"/>
        </w:rPr>
        <w:t xml:space="preserve">, </w:t>
      </w:r>
      <w:r w:rsidRPr="001D38E1">
        <w:rPr>
          <w:i/>
          <w:iCs/>
          <w:noProof/>
          <w:szCs w:val="24"/>
        </w:rPr>
        <w:t>28</w:t>
      </w:r>
      <w:r w:rsidRPr="001D38E1">
        <w:rPr>
          <w:noProof/>
          <w:szCs w:val="24"/>
        </w:rPr>
        <w:t>, 245–248.</w:t>
      </w:r>
    </w:p>
    <w:p w14:paraId="617BEB52"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54.</w:t>
      </w:r>
      <w:r w:rsidRPr="001D38E1">
        <w:rPr>
          <w:noProof/>
          <w:szCs w:val="24"/>
        </w:rPr>
        <w:tab/>
        <w:t xml:space="preserve">Heirendt, L.; Arreckx, S.; Pfau, T.; Mendoza, S. N.; Richelle, A.; Heinken, A.; Haraldsdóttir, H. S.; Wachowiak, J.; Keating, S. M.; Vlasov, V.; et al. Creation and Analysis of Biochemical Constraint-Based Models: The COBRA Toolbox v3.0. </w:t>
      </w:r>
      <w:r w:rsidRPr="001D38E1">
        <w:rPr>
          <w:i/>
          <w:iCs/>
          <w:noProof/>
          <w:szCs w:val="24"/>
        </w:rPr>
        <w:t>Dev. Biol.</w:t>
      </w:r>
      <w:r w:rsidRPr="001D38E1">
        <w:rPr>
          <w:noProof/>
          <w:szCs w:val="24"/>
        </w:rPr>
        <w:t xml:space="preserve"> </w:t>
      </w:r>
      <w:r w:rsidRPr="001D38E1">
        <w:rPr>
          <w:b/>
          <w:bCs/>
          <w:noProof/>
          <w:szCs w:val="24"/>
        </w:rPr>
        <w:t>2017</w:t>
      </w:r>
      <w:r w:rsidRPr="001D38E1">
        <w:rPr>
          <w:noProof/>
          <w:szCs w:val="24"/>
        </w:rPr>
        <w:t xml:space="preserve">, </w:t>
      </w:r>
      <w:r w:rsidRPr="001D38E1">
        <w:rPr>
          <w:i/>
          <w:iCs/>
          <w:noProof/>
          <w:szCs w:val="24"/>
        </w:rPr>
        <w:t>276</w:t>
      </w:r>
      <w:r w:rsidRPr="001D38E1">
        <w:rPr>
          <w:noProof/>
          <w:szCs w:val="24"/>
        </w:rPr>
        <w:t>, 391–402.</w:t>
      </w:r>
    </w:p>
    <w:p w14:paraId="69FF81E0"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55.</w:t>
      </w:r>
      <w:r w:rsidRPr="001D38E1">
        <w:rPr>
          <w:noProof/>
          <w:szCs w:val="24"/>
        </w:rPr>
        <w:tab/>
        <w:t xml:space="preserve">Lee, S.; Zhang, C.; Kilicarslan, M.; Piening, B. D.; Bjornson, E.; Hallström, B. M.; Groen, A. K.; Ferrannini, E.; Laakso, M.; Snyder, M.; et al. Integrated Network Analysis Reveals an Association between Plasma Mannose Levels and Insulin Resistance. </w:t>
      </w:r>
      <w:r w:rsidRPr="001D38E1">
        <w:rPr>
          <w:i/>
          <w:iCs/>
          <w:noProof/>
          <w:szCs w:val="24"/>
        </w:rPr>
        <w:t>Cell Metab.</w:t>
      </w:r>
      <w:r w:rsidRPr="001D38E1">
        <w:rPr>
          <w:noProof/>
          <w:szCs w:val="24"/>
        </w:rPr>
        <w:t xml:space="preserve"> </w:t>
      </w:r>
      <w:r w:rsidRPr="001D38E1">
        <w:rPr>
          <w:b/>
          <w:bCs/>
          <w:noProof/>
          <w:szCs w:val="24"/>
        </w:rPr>
        <w:t>2016</w:t>
      </w:r>
      <w:r w:rsidRPr="001D38E1">
        <w:rPr>
          <w:noProof/>
          <w:szCs w:val="24"/>
        </w:rPr>
        <w:t xml:space="preserve">, </w:t>
      </w:r>
      <w:r w:rsidRPr="001D38E1">
        <w:rPr>
          <w:i/>
          <w:iCs/>
          <w:noProof/>
          <w:szCs w:val="24"/>
        </w:rPr>
        <w:t>24</w:t>
      </w:r>
      <w:r w:rsidRPr="001D38E1">
        <w:rPr>
          <w:noProof/>
          <w:szCs w:val="24"/>
        </w:rPr>
        <w:t>, 172–184.</w:t>
      </w:r>
    </w:p>
    <w:p w14:paraId="0A266D75"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56.</w:t>
      </w:r>
      <w:r w:rsidRPr="001D38E1">
        <w:rPr>
          <w:noProof/>
          <w:szCs w:val="24"/>
        </w:rPr>
        <w:tab/>
        <w:t xml:space="preserve">Lee, S.; Mardinoglu, A.; Zhang, C.; Lee, D.; Nielsen, J. Dysregulated Signaling Hubs of Liver Lipid Metabolism Reveal Hepatocellular Carcinoma Pathogenesis. </w:t>
      </w:r>
      <w:r w:rsidRPr="001D38E1">
        <w:rPr>
          <w:i/>
          <w:iCs/>
          <w:noProof/>
          <w:szCs w:val="24"/>
        </w:rPr>
        <w:t>Nucleic Acids Res.</w:t>
      </w:r>
      <w:r w:rsidRPr="001D38E1">
        <w:rPr>
          <w:noProof/>
          <w:szCs w:val="24"/>
        </w:rPr>
        <w:t xml:space="preserve"> </w:t>
      </w:r>
      <w:r w:rsidRPr="001D38E1">
        <w:rPr>
          <w:b/>
          <w:bCs/>
          <w:noProof/>
          <w:szCs w:val="24"/>
        </w:rPr>
        <w:t>2016</w:t>
      </w:r>
      <w:r w:rsidRPr="001D38E1">
        <w:rPr>
          <w:noProof/>
          <w:szCs w:val="24"/>
        </w:rPr>
        <w:t xml:space="preserve">, </w:t>
      </w:r>
      <w:r w:rsidRPr="001D38E1">
        <w:rPr>
          <w:i/>
          <w:iCs/>
          <w:noProof/>
          <w:szCs w:val="24"/>
        </w:rPr>
        <w:t>44</w:t>
      </w:r>
      <w:r w:rsidRPr="001D38E1">
        <w:rPr>
          <w:noProof/>
          <w:szCs w:val="24"/>
        </w:rPr>
        <w:t>, 5529–5539.</w:t>
      </w:r>
    </w:p>
    <w:p w14:paraId="7F41D760"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57.</w:t>
      </w:r>
      <w:r w:rsidRPr="001D38E1">
        <w:rPr>
          <w:noProof/>
          <w:szCs w:val="24"/>
        </w:rPr>
        <w:tab/>
        <w:t xml:space="preserve">Karr, J. R.; Takahashi, K.; Funahashi, A. The Principles of Whole-Cell Modeling. </w:t>
      </w:r>
      <w:r w:rsidRPr="001D38E1">
        <w:rPr>
          <w:i/>
          <w:iCs/>
          <w:noProof/>
          <w:szCs w:val="24"/>
        </w:rPr>
        <w:t>Curr. Opin. Microbiol.</w:t>
      </w:r>
      <w:r w:rsidRPr="001D38E1">
        <w:rPr>
          <w:noProof/>
          <w:szCs w:val="24"/>
        </w:rPr>
        <w:t xml:space="preserve"> </w:t>
      </w:r>
      <w:r w:rsidRPr="001D38E1">
        <w:rPr>
          <w:b/>
          <w:bCs/>
          <w:noProof/>
          <w:szCs w:val="24"/>
        </w:rPr>
        <w:t>2015</w:t>
      </w:r>
      <w:r w:rsidRPr="001D38E1">
        <w:rPr>
          <w:noProof/>
          <w:szCs w:val="24"/>
        </w:rPr>
        <w:t xml:space="preserve">, </w:t>
      </w:r>
      <w:r w:rsidRPr="001D38E1">
        <w:rPr>
          <w:i/>
          <w:iCs/>
          <w:noProof/>
          <w:szCs w:val="24"/>
        </w:rPr>
        <w:t>27</w:t>
      </w:r>
      <w:r w:rsidRPr="001D38E1">
        <w:rPr>
          <w:noProof/>
          <w:szCs w:val="24"/>
        </w:rPr>
        <w:t>, 18–24.</w:t>
      </w:r>
    </w:p>
    <w:p w14:paraId="1BF06EB8"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58.</w:t>
      </w:r>
      <w:r w:rsidRPr="001D38E1">
        <w:rPr>
          <w:noProof/>
          <w:szCs w:val="24"/>
        </w:rPr>
        <w:tab/>
        <w:t xml:space="preserve">Widmer, L. A.; Stelling, J. Bridging Intracellular Scales by Mechanistic Computational Models. </w:t>
      </w:r>
      <w:r w:rsidRPr="001D38E1">
        <w:rPr>
          <w:i/>
          <w:iCs/>
          <w:noProof/>
          <w:szCs w:val="24"/>
        </w:rPr>
        <w:t>Curr. Opin. Biotechnol.</w:t>
      </w:r>
      <w:r w:rsidRPr="001D38E1">
        <w:rPr>
          <w:noProof/>
          <w:szCs w:val="24"/>
        </w:rPr>
        <w:t xml:space="preserve"> </w:t>
      </w:r>
      <w:r w:rsidRPr="001D38E1">
        <w:rPr>
          <w:b/>
          <w:bCs/>
          <w:noProof/>
          <w:szCs w:val="24"/>
        </w:rPr>
        <w:t>2018</w:t>
      </w:r>
      <w:r w:rsidRPr="001D38E1">
        <w:rPr>
          <w:noProof/>
          <w:szCs w:val="24"/>
        </w:rPr>
        <w:t xml:space="preserve">, </w:t>
      </w:r>
      <w:r w:rsidRPr="001D38E1">
        <w:rPr>
          <w:i/>
          <w:iCs/>
          <w:noProof/>
          <w:szCs w:val="24"/>
        </w:rPr>
        <w:t>52</w:t>
      </w:r>
      <w:r w:rsidRPr="001D38E1">
        <w:rPr>
          <w:noProof/>
          <w:szCs w:val="24"/>
        </w:rPr>
        <w:t>, 17–24.</w:t>
      </w:r>
    </w:p>
    <w:p w14:paraId="71D45199"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59.</w:t>
      </w:r>
      <w:r w:rsidRPr="001D38E1">
        <w:rPr>
          <w:noProof/>
          <w:szCs w:val="24"/>
        </w:rPr>
        <w:tab/>
        <w:t xml:space="preserve">Apri, M.; De Gee, M.; Van Mourik, S.; Molenaar, J. Identifying Optimal Models to Represent Biochemical Systems. </w:t>
      </w:r>
      <w:r w:rsidRPr="001D38E1">
        <w:rPr>
          <w:i/>
          <w:iCs/>
          <w:noProof/>
          <w:szCs w:val="24"/>
        </w:rPr>
        <w:t>PLoS One</w:t>
      </w:r>
      <w:r w:rsidRPr="001D38E1">
        <w:rPr>
          <w:noProof/>
          <w:szCs w:val="24"/>
        </w:rPr>
        <w:t xml:space="preserve"> </w:t>
      </w:r>
      <w:r w:rsidRPr="001D38E1">
        <w:rPr>
          <w:b/>
          <w:bCs/>
          <w:noProof/>
          <w:szCs w:val="24"/>
        </w:rPr>
        <w:t>2014</w:t>
      </w:r>
      <w:r w:rsidRPr="001D38E1">
        <w:rPr>
          <w:noProof/>
          <w:szCs w:val="24"/>
        </w:rPr>
        <w:t xml:space="preserve">, </w:t>
      </w:r>
      <w:r w:rsidRPr="001D38E1">
        <w:rPr>
          <w:i/>
          <w:iCs/>
          <w:noProof/>
          <w:szCs w:val="24"/>
        </w:rPr>
        <w:t>9</w:t>
      </w:r>
      <w:r w:rsidRPr="001D38E1">
        <w:rPr>
          <w:noProof/>
          <w:szCs w:val="24"/>
        </w:rPr>
        <w:t>, e83664.</w:t>
      </w:r>
    </w:p>
    <w:p w14:paraId="794B42BB"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60.</w:t>
      </w:r>
      <w:r w:rsidRPr="001D38E1">
        <w:rPr>
          <w:noProof/>
          <w:szCs w:val="24"/>
        </w:rPr>
        <w:tab/>
        <w:t xml:space="preserve">Nikolaev, E. V.; Sontag, E. D. Quorum-Sensing Synchronization of Synthetic Toggle Switches: A Design Based on Monotone Dynamical Systems Theory. </w:t>
      </w:r>
      <w:r w:rsidRPr="001D38E1">
        <w:rPr>
          <w:i/>
          <w:iCs/>
          <w:noProof/>
          <w:szCs w:val="24"/>
        </w:rPr>
        <w:t>PLoS Comput. Biol.</w:t>
      </w:r>
      <w:r w:rsidRPr="001D38E1">
        <w:rPr>
          <w:noProof/>
          <w:szCs w:val="24"/>
        </w:rPr>
        <w:t xml:space="preserve"> </w:t>
      </w:r>
      <w:r w:rsidRPr="001D38E1">
        <w:rPr>
          <w:b/>
          <w:bCs/>
          <w:noProof/>
          <w:szCs w:val="24"/>
        </w:rPr>
        <w:t>2016</w:t>
      </w:r>
      <w:r w:rsidRPr="001D38E1">
        <w:rPr>
          <w:noProof/>
          <w:szCs w:val="24"/>
        </w:rPr>
        <w:t xml:space="preserve">, </w:t>
      </w:r>
      <w:r w:rsidRPr="001D38E1">
        <w:rPr>
          <w:i/>
          <w:iCs/>
          <w:noProof/>
          <w:szCs w:val="24"/>
        </w:rPr>
        <w:t>12</w:t>
      </w:r>
      <w:r w:rsidRPr="001D38E1">
        <w:rPr>
          <w:noProof/>
          <w:szCs w:val="24"/>
        </w:rPr>
        <w:t>, e1004881.</w:t>
      </w:r>
    </w:p>
    <w:p w14:paraId="574BEC5B" w14:textId="5B82D0B9" w:rsidR="001D38E1" w:rsidRPr="001D38E1" w:rsidRDefault="001D38E1" w:rsidP="001D38E1">
      <w:pPr>
        <w:widowControl w:val="0"/>
        <w:autoSpaceDE w:val="0"/>
        <w:autoSpaceDN w:val="0"/>
        <w:adjustRightInd w:val="0"/>
        <w:ind w:left="640" w:hanging="640"/>
        <w:rPr>
          <w:noProof/>
          <w:szCs w:val="24"/>
        </w:rPr>
      </w:pPr>
      <w:r w:rsidRPr="001D38E1">
        <w:rPr>
          <w:noProof/>
          <w:szCs w:val="24"/>
        </w:rPr>
        <w:t>61.</w:t>
      </w:r>
      <w:r w:rsidRPr="001D38E1">
        <w:rPr>
          <w:noProof/>
          <w:szCs w:val="24"/>
        </w:rPr>
        <w:tab/>
        <w:t xml:space="preserve">Chen, Y.; Kim, J. K.; Hirning, A. J.; Josić, K.; Bennett, M. R. Emergent Genetic Oscillations in a Synthetic Microbial Consortium. </w:t>
      </w:r>
      <w:r>
        <w:rPr>
          <w:i/>
          <w:iCs/>
          <w:noProof/>
          <w:szCs w:val="24"/>
        </w:rPr>
        <w:t>Science</w:t>
      </w:r>
      <w:r w:rsidRPr="001D38E1">
        <w:rPr>
          <w:i/>
          <w:iCs/>
          <w:noProof/>
          <w:szCs w:val="24"/>
        </w:rPr>
        <w:t>.</w:t>
      </w:r>
      <w:r w:rsidRPr="001D38E1">
        <w:rPr>
          <w:noProof/>
          <w:szCs w:val="24"/>
        </w:rPr>
        <w:t xml:space="preserve"> </w:t>
      </w:r>
      <w:r w:rsidRPr="001D38E1">
        <w:rPr>
          <w:b/>
          <w:bCs/>
          <w:noProof/>
          <w:szCs w:val="24"/>
        </w:rPr>
        <w:t>2015</w:t>
      </w:r>
      <w:r w:rsidRPr="001D38E1">
        <w:rPr>
          <w:noProof/>
          <w:szCs w:val="24"/>
        </w:rPr>
        <w:t xml:space="preserve">, </w:t>
      </w:r>
      <w:r w:rsidRPr="001D38E1">
        <w:rPr>
          <w:i/>
          <w:iCs/>
          <w:noProof/>
          <w:szCs w:val="24"/>
        </w:rPr>
        <w:t>349</w:t>
      </w:r>
      <w:r w:rsidRPr="001D38E1">
        <w:rPr>
          <w:noProof/>
          <w:szCs w:val="24"/>
        </w:rPr>
        <w:t>, 986–989.</w:t>
      </w:r>
    </w:p>
    <w:p w14:paraId="16B7329B"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62.</w:t>
      </w:r>
      <w:r w:rsidRPr="001D38E1">
        <w:rPr>
          <w:noProof/>
          <w:szCs w:val="24"/>
        </w:rPr>
        <w:tab/>
        <w:t xml:space="preserve">Ricken, T.; Werner, D.; Holzhütter, H. G.; König, M.; Dahmen, U.; Dirsch, O. Modeling Function–perfusion Behavior in Liver Lobules Including Tissue, Blood, Glucose, Lactate and Glycogen by Use of a Coupled Two-Scale PDE–ODE Approach. </w:t>
      </w:r>
      <w:r w:rsidRPr="001D38E1">
        <w:rPr>
          <w:i/>
          <w:iCs/>
          <w:noProof/>
          <w:szCs w:val="24"/>
        </w:rPr>
        <w:t xml:space="preserve">Biomech. Model. </w:t>
      </w:r>
      <w:r w:rsidRPr="001D38E1">
        <w:rPr>
          <w:i/>
          <w:iCs/>
          <w:noProof/>
          <w:szCs w:val="24"/>
        </w:rPr>
        <w:lastRenderedPageBreak/>
        <w:t>Mechanobiol.</w:t>
      </w:r>
      <w:r w:rsidRPr="001D38E1">
        <w:rPr>
          <w:noProof/>
          <w:szCs w:val="24"/>
        </w:rPr>
        <w:t xml:space="preserve"> </w:t>
      </w:r>
      <w:r w:rsidRPr="001D38E1">
        <w:rPr>
          <w:b/>
          <w:bCs/>
          <w:noProof/>
          <w:szCs w:val="24"/>
        </w:rPr>
        <w:t>2015</w:t>
      </w:r>
      <w:r w:rsidRPr="001D38E1">
        <w:rPr>
          <w:noProof/>
          <w:szCs w:val="24"/>
        </w:rPr>
        <w:t xml:space="preserve">, </w:t>
      </w:r>
      <w:r w:rsidRPr="001D38E1">
        <w:rPr>
          <w:i/>
          <w:iCs/>
          <w:noProof/>
          <w:szCs w:val="24"/>
        </w:rPr>
        <w:t>14</w:t>
      </w:r>
      <w:r w:rsidRPr="001D38E1">
        <w:rPr>
          <w:noProof/>
          <w:szCs w:val="24"/>
        </w:rPr>
        <w:t>, 515–536.</w:t>
      </w:r>
    </w:p>
    <w:p w14:paraId="0D1D2C18"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63.</w:t>
      </w:r>
      <w:r w:rsidRPr="001D38E1">
        <w:rPr>
          <w:noProof/>
          <w:szCs w:val="24"/>
        </w:rPr>
        <w:tab/>
        <w:t xml:space="preserve">Gorochowski, T. E. Agent-Based Modelling in Synthetic Biology. </w:t>
      </w:r>
      <w:r w:rsidRPr="001D38E1">
        <w:rPr>
          <w:i/>
          <w:iCs/>
          <w:noProof/>
          <w:szCs w:val="24"/>
        </w:rPr>
        <w:t>Essays Biochem.</w:t>
      </w:r>
      <w:r w:rsidRPr="001D38E1">
        <w:rPr>
          <w:noProof/>
          <w:szCs w:val="24"/>
        </w:rPr>
        <w:t xml:space="preserve"> </w:t>
      </w:r>
      <w:r w:rsidRPr="001D38E1">
        <w:rPr>
          <w:b/>
          <w:bCs/>
          <w:noProof/>
          <w:szCs w:val="24"/>
        </w:rPr>
        <w:t>2016</w:t>
      </w:r>
      <w:r w:rsidRPr="001D38E1">
        <w:rPr>
          <w:noProof/>
          <w:szCs w:val="24"/>
        </w:rPr>
        <w:t xml:space="preserve">, </w:t>
      </w:r>
      <w:r w:rsidRPr="001D38E1">
        <w:rPr>
          <w:i/>
          <w:iCs/>
          <w:noProof/>
          <w:szCs w:val="24"/>
        </w:rPr>
        <w:t>60</w:t>
      </w:r>
      <w:r w:rsidRPr="001D38E1">
        <w:rPr>
          <w:noProof/>
          <w:szCs w:val="24"/>
        </w:rPr>
        <w:t>, 325–336.</w:t>
      </w:r>
    </w:p>
    <w:p w14:paraId="333148A5"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64.</w:t>
      </w:r>
      <w:r w:rsidRPr="001D38E1">
        <w:rPr>
          <w:noProof/>
          <w:szCs w:val="24"/>
        </w:rPr>
        <w:tab/>
        <w:t xml:space="preserve">Matyjaszkiewicz, A.; Fiore, G.; Annunziata, F.; Grierson, C. S.; Savery, N. J.; Marucci, L.; Di Bernardo, M. BSim 2.0: An Advanced Agent-Based Cell Simulator. </w:t>
      </w:r>
      <w:r w:rsidRPr="001D38E1">
        <w:rPr>
          <w:i/>
          <w:iCs/>
          <w:noProof/>
          <w:szCs w:val="24"/>
        </w:rPr>
        <w:t>ACS Synth. Biol.</w:t>
      </w:r>
      <w:r w:rsidRPr="001D38E1">
        <w:rPr>
          <w:noProof/>
          <w:szCs w:val="24"/>
        </w:rPr>
        <w:t xml:space="preserve"> </w:t>
      </w:r>
      <w:r w:rsidRPr="001D38E1">
        <w:rPr>
          <w:b/>
          <w:bCs/>
          <w:noProof/>
          <w:szCs w:val="24"/>
        </w:rPr>
        <w:t>2017</w:t>
      </w:r>
      <w:r w:rsidRPr="001D38E1">
        <w:rPr>
          <w:noProof/>
          <w:szCs w:val="24"/>
        </w:rPr>
        <w:t xml:space="preserve">, </w:t>
      </w:r>
      <w:r w:rsidRPr="001D38E1">
        <w:rPr>
          <w:i/>
          <w:iCs/>
          <w:noProof/>
          <w:szCs w:val="24"/>
        </w:rPr>
        <w:t>6</w:t>
      </w:r>
      <w:r w:rsidRPr="001D38E1">
        <w:rPr>
          <w:noProof/>
          <w:szCs w:val="24"/>
        </w:rPr>
        <w:t>, 1969–1972.</w:t>
      </w:r>
    </w:p>
    <w:p w14:paraId="04BCB710"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65.</w:t>
      </w:r>
      <w:r w:rsidRPr="001D38E1">
        <w:rPr>
          <w:noProof/>
          <w:szCs w:val="24"/>
        </w:rPr>
        <w:tab/>
        <w:t xml:space="preserve">Swat M H, Thomas G L, Belmonte J M, Shirinifard A, Hmeljak D, G. J. A. Multi-Scale Modeling of Tissues Using CompuCell3D. </w:t>
      </w:r>
      <w:r w:rsidRPr="001D38E1">
        <w:rPr>
          <w:i/>
          <w:iCs/>
          <w:noProof/>
          <w:szCs w:val="24"/>
        </w:rPr>
        <w:t>Methods Cell Biol.</w:t>
      </w:r>
      <w:r w:rsidRPr="001D38E1">
        <w:rPr>
          <w:noProof/>
          <w:szCs w:val="24"/>
        </w:rPr>
        <w:t xml:space="preserve"> </w:t>
      </w:r>
      <w:r w:rsidRPr="001D38E1">
        <w:rPr>
          <w:b/>
          <w:bCs/>
          <w:noProof/>
          <w:szCs w:val="24"/>
        </w:rPr>
        <w:t>2012</w:t>
      </w:r>
      <w:r w:rsidRPr="001D38E1">
        <w:rPr>
          <w:noProof/>
          <w:szCs w:val="24"/>
        </w:rPr>
        <w:t xml:space="preserve">, </w:t>
      </w:r>
      <w:r w:rsidRPr="001D38E1">
        <w:rPr>
          <w:i/>
          <w:iCs/>
          <w:noProof/>
          <w:szCs w:val="24"/>
        </w:rPr>
        <w:t>110</w:t>
      </w:r>
      <w:r w:rsidRPr="001D38E1">
        <w:rPr>
          <w:noProof/>
          <w:szCs w:val="24"/>
        </w:rPr>
        <w:t>, 325–366.</w:t>
      </w:r>
    </w:p>
    <w:p w14:paraId="56C7A179"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66.</w:t>
      </w:r>
      <w:r w:rsidRPr="001D38E1">
        <w:rPr>
          <w:noProof/>
          <w:szCs w:val="24"/>
        </w:rPr>
        <w:tab/>
        <w:t xml:space="preserve">Friebel, A.; Neitsch, J.; Johann, T.; Hammad, S.; Hengstler, J. G.; Drasdo, D.; Hoehme, S. TiQuant: Software for Tissue Analysis, Quantification and Surface Reconstruction. </w:t>
      </w:r>
      <w:r w:rsidRPr="001D38E1">
        <w:rPr>
          <w:i/>
          <w:iCs/>
          <w:noProof/>
          <w:szCs w:val="24"/>
        </w:rPr>
        <w:t>Bioinformatics</w:t>
      </w:r>
      <w:r w:rsidRPr="001D38E1">
        <w:rPr>
          <w:noProof/>
          <w:szCs w:val="24"/>
        </w:rPr>
        <w:t xml:space="preserve"> </w:t>
      </w:r>
      <w:r w:rsidRPr="001D38E1">
        <w:rPr>
          <w:b/>
          <w:bCs/>
          <w:noProof/>
          <w:szCs w:val="24"/>
        </w:rPr>
        <w:t>2015</w:t>
      </w:r>
      <w:r w:rsidRPr="001D38E1">
        <w:rPr>
          <w:noProof/>
          <w:szCs w:val="24"/>
        </w:rPr>
        <w:t xml:space="preserve">, </w:t>
      </w:r>
      <w:r w:rsidRPr="001D38E1">
        <w:rPr>
          <w:i/>
          <w:iCs/>
          <w:noProof/>
          <w:szCs w:val="24"/>
        </w:rPr>
        <w:t>31</w:t>
      </w:r>
      <w:r w:rsidRPr="001D38E1">
        <w:rPr>
          <w:noProof/>
          <w:szCs w:val="24"/>
        </w:rPr>
        <w:t>, 3234–3236.</w:t>
      </w:r>
    </w:p>
    <w:p w14:paraId="438A95CB"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67.</w:t>
      </w:r>
      <w:r w:rsidRPr="001D38E1">
        <w:rPr>
          <w:noProof/>
          <w:szCs w:val="24"/>
        </w:rPr>
        <w:tab/>
        <w:t xml:space="preserve">Dutta-Moscato, J.; Solovyev, A.; Mi, Q.; Nishikawa, T.; Soto-Gutierrez, A.; Fox, I. J.; Vodovotz, Y. A Multiscale Agent-Based in Silico Model of Liver Fibrosis Progression. </w:t>
      </w:r>
      <w:r w:rsidRPr="001D38E1">
        <w:rPr>
          <w:i/>
          <w:iCs/>
          <w:noProof/>
          <w:szCs w:val="24"/>
        </w:rPr>
        <w:t>Front. Bioeng. Biotechnol.</w:t>
      </w:r>
      <w:r w:rsidRPr="001D38E1">
        <w:rPr>
          <w:noProof/>
          <w:szCs w:val="24"/>
        </w:rPr>
        <w:t xml:space="preserve"> </w:t>
      </w:r>
      <w:r w:rsidRPr="001D38E1">
        <w:rPr>
          <w:b/>
          <w:bCs/>
          <w:noProof/>
          <w:szCs w:val="24"/>
        </w:rPr>
        <w:t>2014</w:t>
      </w:r>
      <w:r w:rsidRPr="001D38E1">
        <w:rPr>
          <w:noProof/>
          <w:szCs w:val="24"/>
        </w:rPr>
        <w:t xml:space="preserve">, </w:t>
      </w:r>
      <w:r w:rsidRPr="001D38E1">
        <w:rPr>
          <w:i/>
          <w:iCs/>
          <w:noProof/>
          <w:szCs w:val="24"/>
        </w:rPr>
        <w:t>2</w:t>
      </w:r>
      <w:r w:rsidRPr="001D38E1">
        <w:rPr>
          <w:noProof/>
          <w:szCs w:val="24"/>
        </w:rPr>
        <w:t>, 18.</w:t>
      </w:r>
    </w:p>
    <w:p w14:paraId="36A169BC"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68.</w:t>
      </w:r>
      <w:r w:rsidRPr="001D38E1">
        <w:rPr>
          <w:noProof/>
          <w:szCs w:val="24"/>
        </w:rPr>
        <w:tab/>
        <w:t xml:space="preserve">Wolkenhauer, O.; Auffray, C.; Brass, O.; Clairambault, J.; Deutsch, A.; Drasdo, D.; Gervasio, F.; Preziosi, L.; Maini, P.; Marciniak-Czochra, A.; et al. Enabling Multiscale Modeling in Systems Medicine. </w:t>
      </w:r>
      <w:r w:rsidRPr="001D38E1">
        <w:rPr>
          <w:i/>
          <w:iCs/>
          <w:noProof/>
          <w:szCs w:val="24"/>
        </w:rPr>
        <w:t>Genome Med.</w:t>
      </w:r>
      <w:r w:rsidRPr="001D38E1">
        <w:rPr>
          <w:noProof/>
          <w:szCs w:val="24"/>
        </w:rPr>
        <w:t xml:space="preserve"> </w:t>
      </w:r>
      <w:r w:rsidRPr="001D38E1">
        <w:rPr>
          <w:b/>
          <w:bCs/>
          <w:noProof/>
          <w:szCs w:val="24"/>
        </w:rPr>
        <w:t>2014</w:t>
      </w:r>
      <w:r w:rsidRPr="001D38E1">
        <w:rPr>
          <w:noProof/>
          <w:szCs w:val="24"/>
        </w:rPr>
        <w:t xml:space="preserve">, </w:t>
      </w:r>
      <w:r w:rsidRPr="001D38E1">
        <w:rPr>
          <w:i/>
          <w:iCs/>
          <w:noProof/>
          <w:szCs w:val="24"/>
        </w:rPr>
        <w:t>6</w:t>
      </w:r>
      <w:r w:rsidRPr="001D38E1">
        <w:rPr>
          <w:noProof/>
          <w:szCs w:val="24"/>
        </w:rPr>
        <w:t>, 4–6.</w:t>
      </w:r>
    </w:p>
    <w:p w14:paraId="696214BB"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69.</w:t>
      </w:r>
      <w:r w:rsidRPr="001D38E1">
        <w:rPr>
          <w:noProof/>
          <w:szCs w:val="24"/>
        </w:rPr>
        <w:tab/>
        <w:t xml:space="preserve">Belič, A.; Ačimovič, J.; Naik, A.; Goličnik, M. Analysis of the Steady-State Relations and Control-Algorithm Characterisation in a Mathematical Model of Cholesterol Biosynthesis. </w:t>
      </w:r>
      <w:r w:rsidRPr="001D38E1">
        <w:rPr>
          <w:i/>
          <w:iCs/>
          <w:noProof/>
          <w:szCs w:val="24"/>
        </w:rPr>
        <w:t>Simul. Model. Pract. Theory</w:t>
      </w:r>
      <w:r w:rsidRPr="001D38E1">
        <w:rPr>
          <w:noProof/>
          <w:szCs w:val="24"/>
        </w:rPr>
        <w:t xml:space="preserve"> </w:t>
      </w:r>
      <w:r w:rsidRPr="001D38E1">
        <w:rPr>
          <w:b/>
          <w:bCs/>
          <w:noProof/>
          <w:szCs w:val="24"/>
        </w:rPr>
        <w:t>2013</w:t>
      </w:r>
      <w:r w:rsidRPr="001D38E1">
        <w:rPr>
          <w:noProof/>
          <w:szCs w:val="24"/>
        </w:rPr>
        <w:t xml:space="preserve">, </w:t>
      </w:r>
      <w:r w:rsidRPr="001D38E1">
        <w:rPr>
          <w:i/>
          <w:iCs/>
          <w:noProof/>
          <w:szCs w:val="24"/>
        </w:rPr>
        <w:t>33</w:t>
      </w:r>
      <w:r w:rsidRPr="001D38E1">
        <w:rPr>
          <w:noProof/>
          <w:szCs w:val="24"/>
        </w:rPr>
        <w:t>, 18–27.</w:t>
      </w:r>
    </w:p>
    <w:p w14:paraId="72C2360D"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70.</w:t>
      </w:r>
      <w:r w:rsidRPr="001D38E1">
        <w:rPr>
          <w:noProof/>
          <w:szCs w:val="24"/>
        </w:rPr>
        <w:tab/>
        <w:t xml:space="preserve">Naik, A.; Rozman, D.; Belič, A. SteatoNet: The First Integrated Human Metabolic Model with Multi-Layered Regulation to Investigate Liver-Associated Pathologies. </w:t>
      </w:r>
      <w:r w:rsidRPr="001D38E1">
        <w:rPr>
          <w:i/>
          <w:iCs/>
          <w:noProof/>
          <w:szCs w:val="24"/>
        </w:rPr>
        <w:t>PLoS Comput Biol</w:t>
      </w:r>
      <w:r w:rsidRPr="001D38E1">
        <w:rPr>
          <w:noProof/>
          <w:szCs w:val="24"/>
        </w:rPr>
        <w:t xml:space="preserve"> </w:t>
      </w:r>
      <w:r w:rsidRPr="001D38E1">
        <w:rPr>
          <w:b/>
          <w:bCs/>
          <w:noProof/>
          <w:szCs w:val="24"/>
        </w:rPr>
        <w:t>2014</w:t>
      </w:r>
      <w:r w:rsidRPr="001D38E1">
        <w:rPr>
          <w:noProof/>
          <w:szCs w:val="24"/>
        </w:rPr>
        <w:t xml:space="preserve">, </w:t>
      </w:r>
      <w:r w:rsidRPr="001D38E1">
        <w:rPr>
          <w:i/>
          <w:iCs/>
          <w:noProof/>
          <w:szCs w:val="24"/>
        </w:rPr>
        <w:t>10</w:t>
      </w:r>
      <w:r w:rsidRPr="001D38E1">
        <w:rPr>
          <w:noProof/>
          <w:szCs w:val="24"/>
        </w:rPr>
        <w:t>, e1003993.</w:t>
      </w:r>
    </w:p>
    <w:p w14:paraId="1FA0950C"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71.</w:t>
      </w:r>
      <w:r w:rsidRPr="001D38E1">
        <w:rPr>
          <w:noProof/>
          <w:szCs w:val="24"/>
        </w:rPr>
        <w:tab/>
        <w:t xml:space="preserve">Ayers, D.; Day, P. J. Systems Medicine: The Application of Systems Biology Approaches for Modern Medical Research and Drug Development. </w:t>
      </w:r>
      <w:r w:rsidRPr="001D38E1">
        <w:rPr>
          <w:i/>
          <w:iCs/>
          <w:noProof/>
          <w:szCs w:val="24"/>
        </w:rPr>
        <w:t>Mol. Biol. Int.</w:t>
      </w:r>
      <w:r w:rsidRPr="001D38E1">
        <w:rPr>
          <w:noProof/>
          <w:szCs w:val="24"/>
        </w:rPr>
        <w:t xml:space="preserve"> </w:t>
      </w:r>
      <w:r w:rsidRPr="001D38E1">
        <w:rPr>
          <w:b/>
          <w:bCs/>
          <w:noProof/>
          <w:szCs w:val="24"/>
        </w:rPr>
        <w:t>2015</w:t>
      </w:r>
      <w:r w:rsidRPr="001D38E1">
        <w:rPr>
          <w:noProof/>
          <w:szCs w:val="24"/>
        </w:rPr>
        <w:t xml:space="preserve">, </w:t>
      </w:r>
      <w:r w:rsidRPr="001D38E1">
        <w:rPr>
          <w:i/>
          <w:iCs/>
          <w:noProof/>
          <w:szCs w:val="24"/>
        </w:rPr>
        <w:t>2015</w:t>
      </w:r>
      <w:r w:rsidRPr="001D38E1">
        <w:rPr>
          <w:noProof/>
          <w:szCs w:val="24"/>
        </w:rPr>
        <w:t>, 1–8.</w:t>
      </w:r>
    </w:p>
    <w:p w14:paraId="6E82BECE"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72.</w:t>
      </w:r>
      <w:r w:rsidRPr="001D38E1">
        <w:rPr>
          <w:noProof/>
          <w:szCs w:val="24"/>
        </w:rPr>
        <w:tab/>
        <w:t xml:space="preserve">Guilder, L.; Pula, S.; Pierre, G. Metabolic Disorders Presenting as Liver Disease. </w:t>
      </w:r>
      <w:r w:rsidRPr="001D38E1">
        <w:rPr>
          <w:i/>
          <w:iCs/>
          <w:noProof/>
          <w:szCs w:val="24"/>
        </w:rPr>
        <w:t>Paediatr. Child Heal. (United Kingdom)</w:t>
      </w:r>
      <w:r w:rsidRPr="001D38E1">
        <w:rPr>
          <w:noProof/>
          <w:szCs w:val="24"/>
        </w:rPr>
        <w:t xml:space="preserve"> </w:t>
      </w:r>
      <w:r w:rsidRPr="001D38E1">
        <w:rPr>
          <w:b/>
          <w:bCs/>
          <w:noProof/>
          <w:szCs w:val="24"/>
        </w:rPr>
        <w:t>2017</w:t>
      </w:r>
      <w:r w:rsidRPr="001D38E1">
        <w:rPr>
          <w:noProof/>
          <w:szCs w:val="24"/>
        </w:rPr>
        <w:t xml:space="preserve">, </w:t>
      </w:r>
      <w:r w:rsidRPr="001D38E1">
        <w:rPr>
          <w:i/>
          <w:iCs/>
          <w:noProof/>
          <w:szCs w:val="24"/>
        </w:rPr>
        <w:t>27</w:t>
      </w:r>
      <w:r w:rsidRPr="001D38E1">
        <w:rPr>
          <w:noProof/>
          <w:szCs w:val="24"/>
        </w:rPr>
        <w:t>, 533–539.</w:t>
      </w:r>
    </w:p>
    <w:p w14:paraId="28DECFAF"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73.</w:t>
      </w:r>
      <w:r w:rsidRPr="001D38E1">
        <w:rPr>
          <w:noProof/>
          <w:szCs w:val="24"/>
        </w:rPr>
        <w:tab/>
        <w:t xml:space="preserve">Hafezi-Bakhtiari, S.; Adeyi, O. A. Metabolic Disorders of the Liver. </w:t>
      </w:r>
      <w:r w:rsidRPr="001D38E1">
        <w:rPr>
          <w:i/>
          <w:iCs/>
          <w:noProof/>
          <w:szCs w:val="24"/>
        </w:rPr>
        <w:t>Diagnostic Histopathol.</w:t>
      </w:r>
      <w:r w:rsidRPr="001D38E1">
        <w:rPr>
          <w:noProof/>
          <w:szCs w:val="24"/>
        </w:rPr>
        <w:t xml:space="preserve"> </w:t>
      </w:r>
      <w:r w:rsidRPr="001D38E1">
        <w:rPr>
          <w:b/>
          <w:bCs/>
          <w:noProof/>
          <w:szCs w:val="24"/>
        </w:rPr>
        <w:t>2014</w:t>
      </w:r>
      <w:r w:rsidRPr="001D38E1">
        <w:rPr>
          <w:noProof/>
          <w:szCs w:val="24"/>
        </w:rPr>
        <w:t xml:space="preserve">, </w:t>
      </w:r>
      <w:r w:rsidRPr="001D38E1">
        <w:rPr>
          <w:i/>
          <w:iCs/>
          <w:noProof/>
          <w:szCs w:val="24"/>
        </w:rPr>
        <w:t>20</w:t>
      </w:r>
      <w:r w:rsidRPr="001D38E1">
        <w:rPr>
          <w:noProof/>
          <w:szCs w:val="24"/>
        </w:rPr>
        <w:t>, 125–133.</w:t>
      </w:r>
    </w:p>
    <w:p w14:paraId="06D24751"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74.</w:t>
      </w:r>
      <w:r w:rsidRPr="001D38E1">
        <w:rPr>
          <w:noProof/>
          <w:szCs w:val="24"/>
        </w:rPr>
        <w:tab/>
        <w:t xml:space="preserve">Gille, C.; Bölling, C.; Hoppe, A.; Bulik, S.; Hoffmann, S.; Hübner, K.; Karlstädt, A.; Ganeshan, R.; König, M.; Rother, K.; et al. HepatoNet1: A Comprehensive Metabolic Reconstruction of the Human Hepatocyte for the Analysis of Liver Physiology. </w:t>
      </w:r>
      <w:r w:rsidRPr="001D38E1">
        <w:rPr>
          <w:i/>
          <w:iCs/>
          <w:noProof/>
          <w:szCs w:val="24"/>
        </w:rPr>
        <w:t>Mol. Syst. Biol.</w:t>
      </w:r>
      <w:r w:rsidRPr="001D38E1">
        <w:rPr>
          <w:noProof/>
          <w:szCs w:val="24"/>
        </w:rPr>
        <w:t xml:space="preserve"> </w:t>
      </w:r>
      <w:r w:rsidRPr="001D38E1">
        <w:rPr>
          <w:b/>
          <w:bCs/>
          <w:noProof/>
          <w:szCs w:val="24"/>
        </w:rPr>
        <w:lastRenderedPageBreak/>
        <w:t>2010</w:t>
      </w:r>
      <w:r w:rsidRPr="001D38E1">
        <w:rPr>
          <w:noProof/>
          <w:szCs w:val="24"/>
        </w:rPr>
        <w:t xml:space="preserve">, </w:t>
      </w:r>
      <w:r w:rsidRPr="001D38E1">
        <w:rPr>
          <w:i/>
          <w:iCs/>
          <w:noProof/>
          <w:szCs w:val="24"/>
        </w:rPr>
        <w:t>6</w:t>
      </w:r>
      <w:r w:rsidRPr="001D38E1">
        <w:rPr>
          <w:noProof/>
          <w:szCs w:val="24"/>
        </w:rPr>
        <w:t>, 411.</w:t>
      </w:r>
    </w:p>
    <w:p w14:paraId="4C06A0A1"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75.</w:t>
      </w:r>
      <w:r w:rsidRPr="001D38E1">
        <w:rPr>
          <w:noProof/>
          <w:szCs w:val="24"/>
        </w:rPr>
        <w:tab/>
        <w:t xml:space="preserve">Björnson, E.; Mukhopadhyay, B.; Asplund, A.; Pristovsek, N.; Cinar, R.; Romeo, S.; Uhlen, M.; Kunos, G.; Nielsen, J.; Mardinoglu, A. Stratification of Hepatocellular Carcinoma Patients Based on Acetate Utilization. </w:t>
      </w:r>
      <w:r w:rsidRPr="001D38E1">
        <w:rPr>
          <w:i/>
          <w:iCs/>
          <w:noProof/>
          <w:szCs w:val="24"/>
        </w:rPr>
        <w:t>Cell Rep.</w:t>
      </w:r>
      <w:r w:rsidRPr="001D38E1">
        <w:rPr>
          <w:noProof/>
          <w:szCs w:val="24"/>
        </w:rPr>
        <w:t xml:space="preserve"> </w:t>
      </w:r>
      <w:r w:rsidRPr="001D38E1">
        <w:rPr>
          <w:b/>
          <w:bCs/>
          <w:noProof/>
          <w:szCs w:val="24"/>
        </w:rPr>
        <w:t>2015</w:t>
      </w:r>
      <w:r w:rsidRPr="001D38E1">
        <w:rPr>
          <w:noProof/>
          <w:szCs w:val="24"/>
        </w:rPr>
        <w:t xml:space="preserve">, </w:t>
      </w:r>
      <w:r w:rsidRPr="001D38E1">
        <w:rPr>
          <w:i/>
          <w:iCs/>
          <w:noProof/>
          <w:szCs w:val="24"/>
        </w:rPr>
        <w:t>13</w:t>
      </w:r>
      <w:r w:rsidRPr="001D38E1">
        <w:rPr>
          <w:noProof/>
          <w:szCs w:val="24"/>
        </w:rPr>
        <w:t>, 2014–2026.</w:t>
      </w:r>
    </w:p>
    <w:p w14:paraId="354D0ECA"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76.</w:t>
      </w:r>
      <w:r w:rsidRPr="001D38E1">
        <w:rPr>
          <w:noProof/>
          <w:szCs w:val="24"/>
        </w:rPr>
        <w:tab/>
        <w:t xml:space="preserve">Klover, P. J.; Mooney, R. A. Hepatocytes: Critical for Glucose Homeostasis. </w:t>
      </w:r>
      <w:r w:rsidRPr="001D38E1">
        <w:rPr>
          <w:i/>
          <w:iCs/>
          <w:noProof/>
          <w:szCs w:val="24"/>
        </w:rPr>
        <w:t>Int. J. Biochem. Cell Biol.</w:t>
      </w:r>
      <w:r w:rsidRPr="001D38E1">
        <w:rPr>
          <w:noProof/>
          <w:szCs w:val="24"/>
        </w:rPr>
        <w:t xml:space="preserve"> </w:t>
      </w:r>
      <w:r w:rsidRPr="001D38E1">
        <w:rPr>
          <w:b/>
          <w:bCs/>
          <w:noProof/>
          <w:szCs w:val="24"/>
        </w:rPr>
        <w:t>2004</w:t>
      </w:r>
      <w:r w:rsidRPr="001D38E1">
        <w:rPr>
          <w:noProof/>
          <w:szCs w:val="24"/>
        </w:rPr>
        <w:t xml:space="preserve">, </w:t>
      </w:r>
      <w:r w:rsidRPr="001D38E1">
        <w:rPr>
          <w:i/>
          <w:iCs/>
          <w:noProof/>
          <w:szCs w:val="24"/>
        </w:rPr>
        <w:t>36</w:t>
      </w:r>
      <w:r w:rsidRPr="001D38E1">
        <w:rPr>
          <w:noProof/>
          <w:szCs w:val="24"/>
        </w:rPr>
        <w:t>, 753–758.</w:t>
      </w:r>
    </w:p>
    <w:p w14:paraId="683D2E1A"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77.</w:t>
      </w:r>
      <w:r w:rsidRPr="001D38E1">
        <w:rPr>
          <w:noProof/>
          <w:szCs w:val="24"/>
        </w:rPr>
        <w:tab/>
        <w:t xml:space="preserve">König, M.; Bulik, S.; Holzhütter, H.-G. Quantifying the Contribution of the Liver to Glucose Homeostasis: A Detailed Kinetic Model of Human Hepatic Glucose Metabolism. </w:t>
      </w:r>
      <w:r w:rsidRPr="001D38E1">
        <w:rPr>
          <w:i/>
          <w:iCs/>
          <w:noProof/>
          <w:szCs w:val="24"/>
        </w:rPr>
        <w:t>PLoS Comput. Biol.</w:t>
      </w:r>
      <w:r w:rsidRPr="001D38E1">
        <w:rPr>
          <w:noProof/>
          <w:szCs w:val="24"/>
        </w:rPr>
        <w:t xml:space="preserve"> </w:t>
      </w:r>
      <w:r w:rsidRPr="001D38E1">
        <w:rPr>
          <w:b/>
          <w:bCs/>
          <w:noProof/>
          <w:szCs w:val="24"/>
        </w:rPr>
        <w:t>2012</w:t>
      </w:r>
      <w:r w:rsidRPr="001D38E1">
        <w:rPr>
          <w:noProof/>
          <w:szCs w:val="24"/>
        </w:rPr>
        <w:t xml:space="preserve">, </w:t>
      </w:r>
      <w:r w:rsidRPr="001D38E1">
        <w:rPr>
          <w:i/>
          <w:iCs/>
          <w:noProof/>
          <w:szCs w:val="24"/>
        </w:rPr>
        <w:t>8</w:t>
      </w:r>
      <w:r w:rsidRPr="001D38E1">
        <w:rPr>
          <w:noProof/>
          <w:szCs w:val="24"/>
        </w:rPr>
        <w:t>, e1002577.</w:t>
      </w:r>
    </w:p>
    <w:p w14:paraId="0E1E89AB"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78.</w:t>
      </w:r>
      <w:r w:rsidRPr="001D38E1">
        <w:rPr>
          <w:noProof/>
          <w:szCs w:val="24"/>
        </w:rPr>
        <w:tab/>
        <w:t xml:space="preserve">Ashworth, W. B.; Davies, N. A.; Bogle, I. D. L. A Computational Model of Hepatic Energy Metabolism: Understanding Zonated Damage and Steatosis in NAFLD. </w:t>
      </w:r>
      <w:r w:rsidRPr="001D38E1">
        <w:rPr>
          <w:i/>
          <w:iCs/>
          <w:noProof/>
          <w:szCs w:val="24"/>
        </w:rPr>
        <w:t>PLoS Comput. Biol.</w:t>
      </w:r>
      <w:r w:rsidRPr="001D38E1">
        <w:rPr>
          <w:noProof/>
          <w:szCs w:val="24"/>
        </w:rPr>
        <w:t xml:space="preserve"> </w:t>
      </w:r>
      <w:r w:rsidRPr="001D38E1">
        <w:rPr>
          <w:b/>
          <w:bCs/>
          <w:noProof/>
          <w:szCs w:val="24"/>
        </w:rPr>
        <w:t>2016</w:t>
      </w:r>
      <w:r w:rsidRPr="001D38E1">
        <w:rPr>
          <w:noProof/>
          <w:szCs w:val="24"/>
        </w:rPr>
        <w:t xml:space="preserve">, </w:t>
      </w:r>
      <w:r w:rsidRPr="001D38E1">
        <w:rPr>
          <w:i/>
          <w:iCs/>
          <w:noProof/>
          <w:szCs w:val="24"/>
        </w:rPr>
        <w:t>12</w:t>
      </w:r>
      <w:r w:rsidRPr="001D38E1">
        <w:rPr>
          <w:noProof/>
          <w:szCs w:val="24"/>
        </w:rPr>
        <w:t>, e1005105.</w:t>
      </w:r>
    </w:p>
    <w:p w14:paraId="44942004"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79.</w:t>
      </w:r>
      <w:r w:rsidRPr="001D38E1">
        <w:rPr>
          <w:noProof/>
          <w:szCs w:val="24"/>
        </w:rPr>
        <w:tab/>
        <w:t xml:space="preserve">Schleicher, J.; Dahmen, U.; Guthke, R.; Schuster, S. Zonation of Hepatic Fat Accumulation: Insights from Mathematical Modelling of Nutrient Gradients and Fatty Acid Uptake. </w:t>
      </w:r>
      <w:r w:rsidRPr="001D38E1">
        <w:rPr>
          <w:i/>
          <w:iCs/>
          <w:noProof/>
          <w:szCs w:val="24"/>
        </w:rPr>
        <w:t>J. R. Soc. Interface</w:t>
      </w:r>
      <w:r w:rsidRPr="001D38E1">
        <w:rPr>
          <w:noProof/>
          <w:szCs w:val="24"/>
        </w:rPr>
        <w:t xml:space="preserve"> </w:t>
      </w:r>
      <w:r w:rsidRPr="001D38E1">
        <w:rPr>
          <w:b/>
          <w:bCs/>
          <w:noProof/>
          <w:szCs w:val="24"/>
        </w:rPr>
        <w:t>2017</w:t>
      </w:r>
      <w:r w:rsidRPr="001D38E1">
        <w:rPr>
          <w:noProof/>
          <w:szCs w:val="24"/>
        </w:rPr>
        <w:t xml:space="preserve">, </w:t>
      </w:r>
      <w:r w:rsidRPr="001D38E1">
        <w:rPr>
          <w:i/>
          <w:iCs/>
          <w:noProof/>
          <w:szCs w:val="24"/>
        </w:rPr>
        <w:t>14</w:t>
      </w:r>
      <w:r w:rsidRPr="001D38E1">
        <w:rPr>
          <w:noProof/>
          <w:szCs w:val="24"/>
        </w:rPr>
        <w:t>, 20170443.</w:t>
      </w:r>
    </w:p>
    <w:p w14:paraId="019D0A74"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80.</w:t>
      </w:r>
      <w:r w:rsidRPr="001D38E1">
        <w:rPr>
          <w:noProof/>
          <w:szCs w:val="24"/>
        </w:rPr>
        <w:tab/>
        <w:t xml:space="preserve">Mitchell, S.; Mendes, P. A Computational Model of Liver Iron Metabolism. </w:t>
      </w:r>
      <w:r w:rsidRPr="001D38E1">
        <w:rPr>
          <w:i/>
          <w:iCs/>
          <w:noProof/>
          <w:szCs w:val="24"/>
        </w:rPr>
        <w:t>PLoS Comput. Biol.</w:t>
      </w:r>
      <w:r w:rsidRPr="001D38E1">
        <w:rPr>
          <w:noProof/>
          <w:szCs w:val="24"/>
        </w:rPr>
        <w:t xml:space="preserve"> </w:t>
      </w:r>
      <w:r w:rsidRPr="001D38E1">
        <w:rPr>
          <w:b/>
          <w:bCs/>
          <w:noProof/>
          <w:szCs w:val="24"/>
        </w:rPr>
        <w:t>2013</w:t>
      </w:r>
      <w:r w:rsidRPr="001D38E1">
        <w:rPr>
          <w:noProof/>
          <w:szCs w:val="24"/>
        </w:rPr>
        <w:t xml:space="preserve">, </w:t>
      </w:r>
      <w:r w:rsidRPr="001D38E1">
        <w:rPr>
          <w:i/>
          <w:iCs/>
          <w:noProof/>
          <w:szCs w:val="24"/>
        </w:rPr>
        <w:t>9</w:t>
      </w:r>
      <w:r w:rsidRPr="001D38E1">
        <w:rPr>
          <w:noProof/>
          <w:szCs w:val="24"/>
        </w:rPr>
        <w:t>, e1003299.</w:t>
      </w:r>
    </w:p>
    <w:p w14:paraId="00A6C52F"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81.</w:t>
      </w:r>
      <w:r w:rsidRPr="001D38E1">
        <w:rPr>
          <w:noProof/>
          <w:szCs w:val="24"/>
        </w:rPr>
        <w:tab/>
        <w:t xml:space="preserve">Sluka, J. P.; Fu, X.; Swat, M.; Belmonte, J. M.; Cosmanescu, A.; Clendenon, S. G.; Wambaugh, J. F.; Glazier, J. A. A Liver-Centric Multiscale Modeling Framework for Xenobiotics. </w:t>
      </w:r>
      <w:r w:rsidRPr="001D38E1">
        <w:rPr>
          <w:i/>
          <w:iCs/>
          <w:noProof/>
          <w:szCs w:val="24"/>
        </w:rPr>
        <w:t>PLoS One</w:t>
      </w:r>
      <w:r w:rsidRPr="001D38E1">
        <w:rPr>
          <w:noProof/>
          <w:szCs w:val="24"/>
        </w:rPr>
        <w:t xml:space="preserve"> </w:t>
      </w:r>
      <w:r w:rsidRPr="001D38E1">
        <w:rPr>
          <w:b/>
          <w:bCs/>
          <w:noProof/>
          <w:szCs w:val="24"/>
        </w:rPr>
        <w:t>2016</w:t>
      </w:r>
      <w:r w:rsidRPr="001D38E1">
        <w:rPr>
          <w:noProof/>
          <w:szCs w:val="24"/>
        </w:rPr>
        <w:t xml:space="preserve">, </w:t>
      </w:r>
      <w:r w:rsidRPr="001D38E1">
        <w:rPr>
          <w:i/>
          <w:iCs/>
          <w:noProof/>
          <w:szCs w:val="24"/>
        </w:rPr>
        <w:t>11</w:t>
      </w:r>
      <w:r w:rsidRPr="001D38E1">
        <w:rPr>
          <w:noProof/>
          <w:szCs w:val="24"/>
        </w:rPr>
        <w:t>, e0162428.</w:t>
      </w:r>
    </w:p>
    <w:p w14:paraId="18E742AB"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82.</w:t>
      </w:r>
      <w:r w:rsidRPr="001D38E1">
        <w:rPr>
          <w:noProof/>
          <w:szCs w:val="24"/>
        </w:rPr>
        <w:tab/>
        <w:t xml:space="preserve">Drasdo, D.; Hoehme, S.; Hengstler, J. G. How Predictive Quantitative Modelling of Tissue Organization Can Inform Liver Disease Pathogenesis. </w:t>
      </w:r>
      <w:r w:rsidRPr="001D38E1">
        <w:rPr>
          <w:i/>
          <w:iCs/>
          <w:noProof/>
          <w:szCs w:val="24"/>
        </w:rPr>
        <w:t>J. Hepatol.</w:t>
      </w:r>
      <w:r w:rsidRPr="001D38E1">
        <w:rPr>
          <w:noProof/>
          <w:szCs w:val="24"/>
        </w:rPr>
        <w:t xml:space="preserve"> </w:t>
      </w:r>
      <w:r w:rsidRPr="001D38E1">
        <w:rPr>
          <w:b/>
          <w:bCs/>
          <w:noProof/>
          <w:szCs w:val="24"/>
        </w:rPr>
        <w:t>2014</w:t>
      </w:r>
      <w:r w:rsidRPr="001D38E1">
        <w:rPr>
          <w:noProof/>
          <w:szCs w:val="24"/>
        </w:rPr>
        <w:t xml:space="preserve">, </w:t>
      </w:r>
      <w:r w:rsidRPr="001D38E1">
        <w:rPr>
          <w:i/>
          <w:iCs/>
          <w:noProof/>
          <w:szCs w:val="24"/>
        </w:rPr>
        <w:t>61</w:t>
      </w:r>
      <w:r w:rsidRPr="001D38E1">
        <w:rPr>
          <w:noProof/>
          <w:szCs w:val="24"/>
        </w:rPr>
        <w:t>, 951–956.</w:t>
      </w:r>
    </w:p>
    <w:p w14:paraId="7AF547A2"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83.</w:t>
      </w:r>
      <w:r w:rsidRPr="001D38E1">
        <w:rPr>
          <w:noProof/>
          <w:szCs w:val="24"/>
        </w:rPr>
        <w:tab/>
        <w:t xml:space="preserve">Naito, Y. A Computational Model of the Hepatic Lobule. In </w:t>
      </w:r>
      <w:r w:rsidRPr="001D38E1">
        <w:rPr>
          <w:i/>
          <w:iCs/>
          <w:noProof/>
          <w:szCs w:val="24"/>
        </w:rPr>
        <w:t>E-Cell System</w:t>
      </w:r>
      <w:r w:rsidRPr="001D38E1">
        <w:rPr>
          <w:noProof/>
          <w:szCs w:val="24"/>
        </w:rPr>
        <w:t>; Springer: New York, 2013; pp 143–155.</w:t>
      </w:r>
    </w:p>
    <w:p w14:paraId="2ECA1B89"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84.</w:t>
      </w:r>
      <w:r w:rsidRPr="001D38E1">
        <w:rPr>
          <w:noProof/>
          <w:szCs w:val="24"/>
        </w:rPr>
        <w:tab/>
        <w:t xml:space="preserve">Hoehme, S.; Brulport, M.; Bauer, A.; Bedawy, E.; Schormann, W.; Hermes, M.; Puppe, V.; Gebhardt, R.; Zellmer, S.; Schwarz, M.; et al. Prediction and Validation of Cell Alignment along Microvessels as Order Principle to Restore Tissue Architecture in Liver Regeneration. </w:t>
      </w:r>
      <w:r w:rsidRPr="001D38E1">
        <w:rPr>
          <w:i/>
          <w:iCs/>
          <w:noProof/>
          <w:szCs w:val="24"/>
        </w:rPr>
        <w:t>Proc. Natl. Acad. Sci.</w:t>
      </w:r>
      <w:r w:rsidRPr="001D38E1">
        <w:rPr>
          <w:noProof/>
          <w:szCs w:val="24"/>
        </w:rPr>
        <w:t xml:space="preserve"> </w:t>
      </w:r>
      <w:r w:rsidRPr="001D38E1">
        <w:rPr>
          <w:b/>
          <w:bCs/>
          <w:noProof/>
          <w:szCs w:val="24"/>
        </w:rPr>
        <w:t>2010</w:t>
      </w:r>
      <w:r w:rsidRPr="001D38E1">
        <w:rPr>
          <w:noProof/>
          <w:szCs w:val="24"/>
        </w:rPr>
        <w:t xml:space="preserve">, </w:t>
      </w:r>
      <w:r w:rsidRPr="001D38E1">
        <w:rPr>
          <w:i/>
          <w:iCs/>
          <w:noProof/>
          <w:szCs w:val="24"/>
        </w:rPr>
        <w:t>107</w:t>
      </w:r>
      <w:r w:rsidRPr="001D38E1">
        <w:rPr>
          <w:noProof/>
          <w:szCs w:val="24"/>
        </w:rPr>
        <w:t>, 10371–10376.</w:t>
      </w:r>
    </w:p>
    <w:p w14:paraId="1A8F1470"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85.</w:t>
      </w:r>
      <w:r w:rsidRPr="001D38E1">
        <w:rPr>
          <w:noProof/>
          <w:szCs w:val="24"/>
        </w:rPr>
        <w:tab/>
        <w:t xml:space="preserve">Chan, S. L.; Wong, A. M.; Lee, K.; Wong, N.; Chan, A. K. C. Personalized Therapy for Hepatocellular Carcinoma: Where Are We Now? </w:t>
      </w:r>
      <w:r w:rsidRPr="001D38E1">
        <w:rPr>
          <w:i/>
          <w:iCs/>
          <w:noProof/>
          <w:szCs w:val="24"/>
        </w:rPr>
        <w:t>Cancer Treat. Rev.</w:t>
      </w:r>
      <w:r w:rsidRPr="001D38E1">
        <w:rPr>
          <w:noProof/>
          <w:szCs w:val="24"/>
        </w:rPr>
        <w:t xml:space="preserve"> </w:t>
      </w:r>
      <w:r w:rsidRPr="001D38E1">
        <w:rPr>
          <w:b/>
          <w:bCs/>
          <w:noProof/>
          <w:szCs w:val="24"/>
        </w:rPr>
        <w:t>2016</w:t>
      </w:r>
      <w:r w:rsidRPr="001D38E1">
        <w:rPr>
          <w:noProof/>
          <w:szCs w:val="24"/>
        </w:rPr>
        <w:t xml:space="preserve">, </w:t>
      </w:r>
      <w:r w:rsidRPr="001D38E1">
        <w:rPr>
          <w:i/>
          <w:iCs/>
          <w:noProof/>
          <w:szCs w:val="24"/>
        </w:rPr>
        <w:t>45</w:t>
      </w:r>
      <w:r w:rsidRPr="001D38E1">
        <w:rPr>
          <w:noProof/>
          <w:szCs w:val="24"/>
        </w:rPr>
        <w:t>, 77–86.</w:t>
      </w:r>
    </w:p>
    <w:p w14:paraId="7E0FD2F7"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86.</w:t>
      </w:r>
      <w:r w:rsidRPr="001D38E1">
        <w:rPr>
          <w:noProof/>
          <w:szCs w:val="24"/>
        </w:rPr>
        <w:tab/>
        <w:t xml:space="preserve">Yang, J. D.; Roberts, L. R. Hepatocellular Carcinoma: A Global View. </w:t>
      </w:r>
      <w:r w:rsidRPr="001D38E1">
        <w:rPr>
          <w:i/>
          <w:iCs/>
          <w:noProof/>
          <w:szCs w:val="24"/>
        </w:rPr>
        <w:t>Nat. Rev. Gastroenterol. Hepatol.</w:t>
      </w:r>
      <w:r w:rsidRPr="001D38E1">
        <w:rPr>
          <w:noProof/>
          <w:szCs w:val="24"/>
        </w:rPr>
        <w:t xml:space="preserve"> </w:t>
      </w:r>
      <w:r w:rsidRPr="001D38E1">
        <w:rPr>
          <w:b/>
          <w:bCs/>
          <w:noProof/>
          <w:szCs w:val="24"/>
        </w:rPr>
        <w:t>2010</w:t>
      </w:r>
      <w:r w:rsidRPr="001D38E1">
        <w:rPr>
          <w:noProof/>
          <w:szCs w:val="24"/>
        </w:rPr>
        <w:t xml:space="preserve">, </w:t>
      </w:r>
      <w:r w:rsidRPr="001D38E1">
        <w:rPr>
          <w:i/>
          <w:iCs/>
          <w:noProof/>
          <w:szCs w:val="24"/>
        </w:rPr>
        <w:t>7</w:t>
      </w:r>
      <w:r w:rsidRPr="001D38E1">
        <w:rPr>
          <w:noProof/>
          <w:szCs w:val="24"/>
        </w:rPr>
        <w:t>, 448–458.</w:t>
      </w:r>
    </w:p>
    <w:p w14:paraId="401D5C78"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lastRenderedPageBreak/>
        <w:t>87.</w:t>
      </w:r>
      <w:r w:rsidRPr="001D38E1">
        <w:rPr>
          <w:noProof/>
          <w:szCs w:val="24"/>
        </w:rPr>
        <w:tab/>
        <w:t xml:space="preserve">Folger, O.; Jerby, L.; Frezza, C.; Gottlieb, E.; Ruppin, E.; Shlomi, T. Predicting Selective Drug Targets in Cancer through Metabolic Networks. </w:t>
      </w:r>
      <w:r w:rsidRPr="001D38E1">
        <w:rPr>
          <w:i/>
          <w:iCs/>
          <w:noProof/>
          <w:szCs w:val="24"/>
        </w:rPr>
        <w:t>Mol. Syst. Biol.</w:t>
      </w:r>
      <w:r w:rsidRPr="001D38E1">
        <w:rPr>
          <w:noProof/>
          <w:szCs w:val="24"/>
        </w:rPr>
        <w:t xml:space="preserve"> </w:t>
      </w:r>
      <w:r w:rsidRPr="001D38E1">
        <w:rPr>
          <w:b/>
          <w:bCs/>
          <w:noProof/>
          <w:szCs w:val="24"/>
        </w:rPr>
        <w:t>2011</w:t>
      </w:r>
      <w:r w:rsidRPr="001D38E1">
        <w:rPr>
          <w:noProof/>
          <w:szCs w:val="24"/>
        </w:rPr>
        <w:t xml:space="preserve">, </w:t>
      </w:r>
      <w:r w:rsidRPr="001D38E1">
        <w:rPr>
          <w:i/>
          <w:iCs/>
          <w:noProof/>
          <w:szCs w:val="24"/>
        </w:rPr>
        <w:t>7</w:t>
      </w:r>
      <w:r w:rsidRPr="001D38E1">
        <w:rPr>
          <w:noProof/>
          <w:szCs w:val="24"/>
        </w:rPr>
        <w:t>, 501.</w:t>
      </w:r>
    </w:p>
    <w:p w14:paraId="4171427B"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88.</w:t>
      </w:r>
      <w:r w:rsidRPr="001D38E1">
        <w:rPr>
          <w:noProof/>
          <w:szCs w:val="24"/>
        </w:rPr>
        <w:tab/>
        <w:t xml:space="preserve">Duarte, N. C.; Becker, S. A.; Jamshidi, N.; Thiele, I.; Mo, M. L.; Vo, T. D.; Srivas, R.; Palsson, B. O. Global Reconstruction of the Human Metabolic Network Based on Genomic and Bibliomic Data. </w:t>
      </w:r>
      <w:r w:rsidRPr="001D38E1">
        <w:rPr>
          <w:i/>
          <w:iCs/>
          <w:noProof/>
          <w:szCs w:val="24"/>
        </w:rPr>
        <w:t>Proc. Natl. Acad. Sci.</w:t>
      </w:r>
      <w:r w:rsidRPr="001D38E1">
        <w:rPr>
          <w:noProof/>
          <w:szCs w:val="24"/>
        </w:rPr>
        <w:t xml:space="preserve"> </w:t>
      </w:r>
      <w:r w:rsidRPr="001D38E1">
        <w:rPr>
          <w:b/>
          <w:bCs/>
          <w:noProof/>
          <w:szCs w:val="24"/>
        </w:rPr>
        <w:t>2007</w:t>
      </w:r>
      <w:r w:rsidRPr="001D38E1">
        <w:rPr>
          <w:noProof/>
          <w:szCs w:val="24"/>
        </w:rPr>
        <w:t xml:space="preserve">, </w:t>
      </w:r>
      <w:r w:rsidRPr="001D38E1">
        <w:rPr>
          <w:i/>
          <w:iCs/>
          <w:noProof/>
          <w:szCs w:val="24"/>
        </w:rPr>
        <w:t>104</w:t>
      </w:r>
      <w:r w:rsidRPr="001D38E1">
        <w:rPr>
          <w:noProof/>
          <w:szCs w:val="24"/>
        </w:rPr>
        <w:t>, 1777–1782.</w:t>
      </w:r>
    </w:p>
    <w:p w14:paraId="31104F30"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89.</w:t>
      </w:r>
      <w:r w:rsidRPr="001D38E1">
        <w:rPr>
          <w:noProof/>
          <w:szCs w:val="24"/>
        </w:rPr>
        <w:tab/>
        <w:t xml:space="preserve">Jerby, L.; Shlomi, T.; Ruppin, E. Computational Reconstruction of Tissue-Specific Metabolic Models: Application to Human Liver Metabolism. </w:t>
      </w:r>
      <w:r w:rsidRPr="001D38E1">
        <w:rPr>
          <w:i/>
          <w:iCs/>
          <w:noProof/>
          <w:szCs w:val="24"/>
        </w:rPr>
        <w:t>Mol. Syst. Biol.</w:t>
      </w:r>
      <w:r w:rsidRPr="001D38E1">
        <w:rPr>
          <w:noProof/>
          <w:szCs w:val="24"/>
        </w:rPr>
        <w:t xml:space="preserve"> </w:t>
      </w:r>
      <w:r w:rsidRPr="001D38E1">
        <w:rPr>
          <w:b/>
          <w:bCs/>
          <w:noProof/>
          <w:szCs w:val="24"/>
        </w:rPr>
        <w:t>2010</w:t>
      </w:r>
      <w:r w:rsidRPr="001D38E1">
        <w:rPr>
          <w:noProof/>
          <w:szCs w:val="24"/>
        </w:rPr>
        <w:t xml:space="preserve">, </w:t>
      </w:r>
      <w:r w:rsidRPr="001D38E1">
        <w:rPr>
          <w:i/>
          <w:iCs/>
          <w:noProof/>
          <w:szCs w:val="24"/>
        </w:rPr>
        <w:t>6</w:t>
      </w:r>
      <w:r w:rsidRPr="001D38E1">
        <w:rPr>
          <w:noProof/>
          <w:szCs w:val="24"/>
        </w:rPr>
        <w:t>, 401.</w:t>
      </w:r>
    </w:p>
    <w:p w14:paraId="59BAAA7F"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90.</w:t>
      </w:r>
      <w:r w:rsidRPr="001D38E1">
        <w:rPr>
          <w:noProof/>
          <w:szCs w:val="24"/>
        </w:rPr>
        <w:tab/>
        <w:t xml:space="preserve">Bordbar, A.; Feist, A. M.; Usaite-Black, R.; Woodcock, J.; Palsson, B. O.; Famili, I. A Multi-Tissue Type Genome-Scale Metabolic Network for Analysis of Whole-Body Systems Physiology. </w:t>
      </w:r>
      <w:r w:rsidRPr="001D38E1">
        <w:rPr>
          <w:i/>
          <w:iCs/>
          <w:noProof/>
          <w:szCs w:val="24"/>
        </w:rPr>
        <w:t>BMC Syst. Biol.</w:t>
      </w:r>
      <w:r w:rsidRPr="001D38E1">
        <w:rPr>
          <w:noProof/>
          <w:szCs w:val="24"/>
        </w:rPr>
        <w:t xml:space="preserve"> </w:t>
      </w:r>
      <w:r w:rsidRPr="001D38E1">
        <w:rPr>
          <w:b/>
          <w:bCs/>
          <w:noProof/>
          <w:szCs w:val="24"/>
        </w:rPr>
        <w:t>2011</w:t>
      </w:r>
      <w:r w:rsidRPr="001D38E1">
        <w:rPr>
          <w:noProof/>
          <w:szCs w:val="24"/>
        </w:rPr>
        <w:t xml:space="preserve">, </w:t>
      </w:r>
      <w:r w:rsidRPr="001D38E1">
        <w:rPr>
          <w:i/>
          <w:iCs/>
          <w:noProof/>
          <w:szCs w:val="24"/>
        </w:rPr>
        <w:t>5</w:t>
      </w:r>
      <w:r w:rsidRPr="001D38E1">
        <w:rPr>
          <w:noProof/>
          <w:szCs w:val="24"/>
        </w:rPr>
        <w:t>, 180.</w:t>
      </w:r>
    </w:p>
    <w:p w14:paraId="692B9D9B"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91.</w:t>
      </w:r>
      <w:r w:rsidRPr="001D38E1">
        <w:rPr>
          <w:noProof/>
          <w:szCs w:val="24"/>
        </w:rPr>
        <w:tab/>
        <w:t xml:space="preserve">Agren, R.; Bordel, S.; Mardinoglu, A.; Pornputtapong, N.; Nookaew, I.; Nielsen, J. Reconstruction of Genome-Scale Active Metabolic Networks for 69 Human Cell Types and 16 Cancer Types Using INIT. </w:t>
      </w:r>
      <w:r w:rsidRPr="001D38E1">
        <w:rPr>
          <w:i/>
          <w:iCs/>
          <w:noProof/>
          <w:szCs w:val="24"/>
        </w:rPr>
        <w:t>PLoS Comput. Biol.</w:t>
      </w:r>
      <w:r w:rsidRPr="001D38E1">
        <w:rPr>
          <w:noProof/>
          <w:szCs w:val="24"/>
        </w:rPr>
        <w:t xml:space="preserve"> </w:t>
      </w:r>
      <w:r w:rsidRPr="001D38E1">
        <w:rPr>
          <w:b/>
          <w:bCs/>
          <w:noProof/>
          <w:szCs w:val="24"/>
        </w:rPr>
        <w:t>2012</w:t>
      </w:r>
      <w:r w:rsidRPr="001D38E1">
        <w:rPr>
          <w:noProof/>
          <w:szCs w:val="24"/>
        </w:rPr>
        <w:t xml:space="preserve">, </w:t>
      </w:r>
      <w:r w:rsidRPr="001D38E1">
        <w:rPr>
          <w:i/>
          <w:iCs/>
          <w:noProof/>
          <w:szCs w:val="24"/>
        </w:rPr>
        <w:t>8</w:t>
      </w:r>
      <w:r w:rsidRPr="001D38E1">
        <w:rPr>
          <w:noProof/>
          <w:szCs w:val="24"/>
        </w:rPr>
        <w:t>, e1002518.</w:t>
      </w:r>
    </w:p>
    <w:p w14:paraId="494A2A7C"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92.</w:t>
      </w:r>
      <w:r w:rsidRPr="001D38E1">
        <w:rPr>
          <w:noProof/>
          <w:szCs w:val="24"/>
        </w:rPr>
        <w:tab/>
        <w:t xml:space="preserve">Roy, A. K.; Chatterjee, B. Sexual Dimorphism in the Liver. </w:t>
      </w:r>
      <w:r w:rsidRPr="001D38E1">
        <w:rPr>
          <w:i/>
          <w:iCs/>
          <w:noProof/>
          <w:szCs w:val="24"/>
        </w:rPr>
        <w:t>Annu. Rev. Physiol.</w:t>
      </w:r>
      <w:r w:rsidRPr="001D38E1">
        <w:rPr>
          <w:noProof/>
          <w:szCs w:val="24"/>
        </w:rPr>
        <w:t xml:space="preserve"> </w:t>
      </w:r>
      <w:r w:rsidRPr="001D38E1">
        <w:rPr>
          <w:b/>
          <w:bCs/>
          <w:noProof/>
          <w:szCs w:val="24"/>
        </w:rPr>
        <w:t>1983</w:t>
      </w:r>
      <w:r w:rsidRPr="001D38E1">
        <w:rPr>
          <w:noProof/>
          <w:szCs w:val="24"/>
        </w:rPr>
        <w:t xml:space="preserve">, </w:t>
      </w:r>
      <w:r w:rsidRPr="001D38E1">
        <w:rPr>
          <w:i/>
          <w:iCs/>
          <w:noProof/>
          <w:szCs w:val="24"/>
        </w:rPr>
        <w:t>45</w:t>
      </w:r>
      <w:r w:rsidRPr="001D38E1">
        <w:rPr>
          <w:noProof/>
          <w:szCs w:val="24"/>
        </w:rPr>
        <w:t>, 37–50.</w:t>
      </w:r>
    </w:p>
    <w:p w14:paraId="3D4CB575"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93.</w:t>
      </w:r>
      <w:r w:rsidRPr="001D38E1">
        <w:rPr>
          <w:noProof/>
          <w:szCs w:val="24"/>
        </w:rPr>
        <w:tab/>
        <w:t xml:space="preserve">Durazzo, M.; Belci, P.; Collo, A.; Prandi, V.; Pistone, E.; Martorana, M.; Gambino, R.; Bo, S. Gender Specific Medicine in Liver Diseases: A Point of View. </w:t>
      </w:r>
      <w:r w:rsidRPr="001D38E1">
        <w:rPr>
          <w:i/>
          <w:iCs/>
          <w:noProof/>
          <w:szCs w:val="24"/>
        </w:rPr>
        <w:t>World J. Gastroenterol.</w:t>
      </w:r>
      <w:r w:rsidRPr="001D38E1">
        <w:rPr>
          <w:noProof/>
          <w:szCs w:val="24"/>
        </w:rPr>
        <w:t xml:space="preserve"> </w:t>
      </w:r>
      <w:r w:rsidRPr="001D38E1">
        <w:rPr>
          <w:b/>
          <w:bCs/>
          <w:noProof/>
          <w:szCs w:val="24"/>
        </w:rPr>
        <w:t>2014</w:t>
      </w:r>
      <w:r w:rsidRPr="001D38E1">
        <w:rPr>
          <w:noProof/>
          <w:szCs w:val="24"/>
        </w:rPr>
        <w:t xml:space="preserve">, </w:t>
      </w:r>
      <w:r w:rsidRPr="001D38E1">
        <w:rPr>
          <w:i/>
          <w:iCs/>
          <w:noProof/>
          <w:szCs w:val="24"/>
        </w:rPr>
        <w:t>20</w:t>
      </w:r>
      <w:r w:rsidRPr="001D38E1">
        <w:rPr>
          <w:noProof/>
          <w:szCs w:val="24"/>
        </w:rPr>
        <w:t>, 2127–2135.</w:t>
      </w:r>
    </w:p>
    <w:p w14:paraId="42DA1E3F"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94.</w:t>
      </w:r>
      <w:r w:rsidRPr="001D38E1">
        <w:rPr>
          <w:noProof/>
          <w:szCs w:val="24"/>
        </w:rPr>
        <w:tab/>
        <w:t xml:space="preserve">Zhang, Y.; Laz, E. V; Waxman, D. J. Dynamic, Sex-Differential STAT5 and BCL6 Binding to Sex-Biased, Growth Hormone-Regulated Genes in Adult Mouse Liver. </w:t>
      </w:r>
      <w:r w:rsidRPr="001D38E1">
        <w:rPr>
          <w:i/>
          <w:iCs/>
          <w:noProof/>
          <w:szCs w:val="24"/>
        </w:rPr>
        <w:t>Mol Cell Biol</w:t>
      </w:r>
      <w:r w:rsidRPr="001D38E1">
        <w:rPr>
          <w:noProof/>
          <w:szCs w:val="24"/>
        </w:rPr>
        <w:t xml:space="preserve"> </w:t>
      </w:r>
      <w:r w:rsidRPr="001D38E1">
        <w:rPr>
          <w:b/>
          <w:bCs/>
          <w:noProof/>
          <w:szCs w:val="24"/>
        </w:rPr>
        <w:t>2012</w:t>
      </w:r>
      <w:r w:rsidRPr="001D38E1">
        <w:rPr>
          <w:noProof/>
          <w:szCs w:val="24"/>
        </w:rPr>
        <w:t xml:space="preserve">, </w:t>
      </w:r>
      <w:r w:rsidRPr="001D38E1">
        <w:rPr>
          <w:i/>
          <w:iCs/>
          <w:noProof/>
          <w:szCs w:val="24"/>
        </w:rPr>
        <w:t>32</w:t>
      </w:r>
      <w:r w:rsidRPr="001D38E1">
        <w:rPr>
          <w:noProof/>
          <w:szCs w:val="24"/>
        </w:rPr>
        <w:t>, 880–896.</w:t>
      </w:r>
    </w:p>
    <w:p w14:paraId="44C7416F"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95.</w:t>
      </w:r>
      <w:r w:rsidRPr="001D38E1">
        <w:rPr>
          <w:noProof/>
          <w:szCs w:val="24"/>
        </w:rPr>
        <w:tab/>
        <w:t xml:space="preserve">Waxman, D. J.; O’connor, C. Growth Hormone Regulation of Sex-Dependent Liver Gene Expression. </w:t>
      </w:r>
      <w:r w:rsidRPr="001D38E1">
        <w:rPr>
          <w:i/>
          <w:iCs/>
          <w:noProof/>
          <w:szCs w:val="24"/>
        </w:rPr>
        <w:t>Mol. Endocrinol.</w:t>
      </w:r>
      <w:r w:rsidRPr="001D38E1">
        <w:rPr>
          <w:noProof/>
          <w:szCs w:val="24"/>
        </w:rPr>
        <w:t xml:space="preserve"> </w:t>
      </w:r>
      <w:r w:rsidRPr="001D38E1">
        <w:rPr>
          <w:b/>
          <w:bCs/>
          <w:noProof/>
          <w:szCs w:val="24"/>
        </w:rPr>
        <w:t>2006</w:t>
      </w:r>
      <w:r w:rsidRPr="001D38E1">
        <w:rPr>
          <w:noProof/>
          <w:szCs w:val="24"/>
        </w:rPr>
        <w:t xml:space="preserve">, </w:t>
      </w:r>
      <w:r w:rsidRPr="001D38E1">
        <w:rPr>
          <w:i/>
          <w:iCs/>
          <w:noProof/>
          <w:szCs w:val="24"/>
        </w:rPr>
        <w:t>20</w:t>
      </w:r>
      <w:r w:rsidRPr="001D38E1">
        <w:rPr>
          <w:noProof/>
          <w:szCs w:val="24"/>
        </w:rPr>
        <w:t>, 2613–2629.</w:t>
      </w:r>
    </w:p>
    <w:p w14:paraId="2B262467"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96.</w:t>
      </w:r>
      <w:r w:rsidRPr="001D38E1">
        <w:rPr>
          <w:noProof/>
          <w:szCs w:val="24"/>
        </w:rPr>
        <w:tab/>
        <w:t xml:space="preserve">Gui, Y.; Silha, J. V.; Murphy, L. J. Sexual Dimorphism and Regulation of Resistin, Adiponectin, and Leptin Expression in the Mouse. </w:t>
      </w:r>
      <w:r w:rsidRPr="001D38E1">
        <w:rPr>
          <w:i/>
          <w:iCs/>
          <w:noProof/>
          <w:szCs w:val="24"/>
        </w:rPr>
        <w:t>Obes. Res.</w:t>
      </w:r>
      <w:r w:rsidRPr="001D38E1">
        <w:rPr>
          <w:noProof/>
          <w:szCs w:val="24"/>
        </w:rPr>
        <w:t xml:space="preserve"> </w:t>
      </w:r>
      <w:r w:rsidRPr="001D38E1">
        <w:rPr>
          <w:b/>
          <w:bCs/>
          <w:noProof/>
          <w:szCs w:val="24"/>
        </w:rPr>
        <w:t>2004</w:t>
      </w:r>
      <w:r w:rsidRPr="001D38E1">
        <w:rPr>
          <w:noProof/>
          <w:szCs w:val="24"/>
        </w:rPr>
        <w:t xml:space="preserve">, </w:t>
      </w:r>
      <w:r w:rsidRPr="001D38E1">
        <w:rPr>
          <w:i/>
          <w:iCs/>
          <w:noProof/>
          <w:szCs w:val="24"/>
        </w:rPr>
        <w:t>12</w:t>
      </w:r>
      <w:r w:rsidRPr="001D38E1">
        <w:rPr>
          <w:noProof/>
          <w:szCs w:val="24"/>
        </w:rPr>
        <w:t>, 1481–1491.</w:t>
      </w:r>
    </w:p>
    <w:p w14:paraId="714F5E87"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97.</w:t>
      </w:r>
      <w:r w:rsidRPr="001D38E1">
        <w:rPr>
          <w:noProof/>
          <w:szCs w:val="24"/>
        </w:rPr>
        <w:tab/>
        <w:t xml:space="preserve">Fenner, J. W.; Brook, B.; Clapworthy, G.; Coveney, P. V.; Feipel, V.; Gregersen, H.; Hose, D. R.; Kohl, P.; Lawford, P.; McCormack, K. M.; et al. The EuroPhysiome, STEP and a Roadmap for the Virtual Physiological Human. </w:t>
      </w:r>
      <w:r w:rsidRPr="001D38E1">
        <w:rPr>
          <w:i/>
          <w:iCs/>
          <w:noProof/>
          <w:szCs w:val="24"/>
        </w:rPr>
        <w:t>Philos. Trans. R. Soc. A Math. Phys. Eng. Sci.</w:t>
      </w:r>
      <w:r w:rsidRPr="001D38E1">
        <w:rPr>
          <w:noProof/>
          <w:szCs w:val="24"/>
        </w:rPr>
        <w:t xml:space="preserve"> </w:t>
      </w:r>
      <w:r w:rsidRPr="001D38E1">
        <w:rPr>
          <w:b/>
          <w:bCs/>
          <w:noProof/>
          <w:szCs w:val="24"/>
        </w:rPr>
        <w:t>2008</w:t>
      </w:r>
      <w:r w:rsidRPr="001D38E1">
        <w:rPr>
          <w:noProof/>
          <w:szCs w:val="24"/>
        </w:rPr>
        <w:t xml:space="preserve">, </w:t>
      </w:r>
      <w:r w:rsidRPr="001D38E1">
        <w:rPr>
          <w:i/>
          <w:iCs/>
          <w:noProof/>
          <w:szCs w:val="24"/>
        </w:rPr>
        <w:t>366</w:t>
      </w:r>
      <w:r w:rsidRPr="001D38E1">
        <w:rPr>
          <w:noProof/>
          <w:szCs w:val="24"/>
        </w:rPr>
        <w:t>, 2979–2999.</w:t>
      </w:r>
    </w:p>
    <w:p w14:paraId="0CEA5C74"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t>98.</w:t>
      </w:r>
      <w:r w:rsidRPr="001D38E1">
        <w:rPr>
          <w:noProof/>
          <w:szCs w:val="24"/>
        </w:rPr>
        <w:tab/>
        <w:t xml:space="preserve">Hunter, P.; Coveney, P. V.; de Bono, B.; Diaz, V.; Fenner, J.; Frangi, A. F.; Harris, P.; Hose, R.; Kohl, P.; Lawford, P.; et al. A Vision and Strategy for the Virtual Physiological Human in 2010 and Beyond. </w:t>
      </w:r>
      <w:r w:rsidRPr="001D38E1">
        <w:rPr>
          <w:i/>
          <w:iCs/>
          <w:noProof/>
          <w:szCs w:val="24"/>
        </w:rPr>
        <w:t>Philos. Trans. R. Soc. A Math. Phys. Eng. Sci.</w:t>
      </w:r>
      <w:r w:rsidRPr="001D38E1">
        <w:rPr>
          <w:noProof/>
          <w:szCs w:val="24"/>
        </w:rPr>
        <w:t xml:space="preserve"> </w:t>
      </w:r>
      <w:r w:rsidRPr="001D38E1">
        <w:rPr>
          <w:b/>
          <w:bCs/>
          <w:noProof/>
          <w:szCs w:val="24"/>
        </w:rPr>
        <w:t>2010</w:t>
      </w:r>
      <w:r w:rsidRPr="001D38E1">
        <w:rPr>
          <w:noProof/>
          <w:szCs w:val="24"/>
        </w:rPr>
        <w:t xml:space="preserve">, </w:t>
      </w:r>
      <w:r w:rsidRPr="001D38E1">
        <w:rPr>
          <w:i/>
          <w:iCs/>
          <w:noProof/>
          <w:szCs w:val="24"/>
        </w:rPr>
        <w:t>368</w:t>
      </w:r>
      <w:r w:rsidRPr="001D38E1">
        <w:rPr>
          <w:noProof/>
          <w:szCs w:val="24"/>
        </w:rPr>
        <w:t>, 2595–2614.</w:t>
      </w:r>
    </w:p>
    <w:p w14:paraId="15E987EA" w14:textId="77777777" w:rsidR="001D38E1" w:rsidRPr="001D38E1" w:rsidRDefault="001D38E1" w:rsidP="001D38E1">
      <w:pPr>
        <w:widowControl w:val="0"/>
        <w:autoSpaceDE w:val="0"/>
        <w:autoSpaceDN w:val="0"/>
        <w:adjustRightInd w:val="0"/>
        <w:ind w:left="640" w:hanging="640"/>
        <w:rPr>
          <w:noProof/>
          <w:szCs w:val="24"/>
        </w:rPr>
      </w:pPr>
      <w:r w:rsidRPr="001D38E1">
        <w:rPr>
          <w:noProof/>
          <w:szCs w:val="24"/>
        </w:rPr>
        <w:lastRenderedPageBreak/>
        <w:t>99.</w:t>
      </w:r>
      <w:r w:rsidRPr="001D38E1">
        <w:rPr>
          <w:noProof/>
          <w:szCs w:val="24"/>
        </w:rPr>
        <w:tab/>
        <w:t xml:space="preserve">Hunter, P.; Chapman, T.; Coveney, P. V; De Bono, B.; Diaz, V.; Fenner, J.; Frangi, A. F.; Harris, P.; Hose, R.; Kohl, P.; et al. A Vision and Strategy for the Virtual Physiological Human: 2012 Update. </w:t>
      </w:r>
      <w:r w:rsidRPr="001D38E1">
        <w:rPr>
          <w:i/>
          <w:iCs/>
          <w:noProof/>
          <w:szCs w:val="24"/>
        </w:rPr>
        <w:t>Interface Focus</w:t>
      </w:r>
      <w:r w:rsidRPr="001D38E1">
        <w:rPr>
          <w:noProof/>
          <w:szCs w:val="24"/>
        </w:rPr>
        <w:t xml:space="preserve"> </w:t>
      </w:r>
      <w:r w:rsidRPr="001D38E1">
        <w:rPr>
          <w:b/>
          <w:bCs/>
          <w:noProof/>
          <w:szCs w:val="24"/>
        </w:rPr>
        <w:t>2013</w:t>
      </w:r>
      <w:r w:rsidRPr="001D38E1">
        <w:rPr>
          <w:noProof/>
          <w:szCs w:val="24"/>
        </w:rPr>
        <w:t xml:space="preserve">, </w:t>
      </w:r>
      <w:r w:rsidRPr="001D38E1">
        <w:rPr>
          <w:i/>
          <w:iCs/>
          <w:noProof/>
          <w:szCs w:val="24"/>
        </w:rPr>
        <w:t>3</w:t>
      </w:r>
      <w:r w:rsidRPr="001D38E1">
        <w:rPr>
          <w:noProof/>
          <w:szCs w:val="24"/>
        </w:rPr>
        <w:t>, 20130004.</w:t>
      </w:r>
    </w:p>
    <w:p w14:paraId="3B0FD135" w14:textId="77777777" w:rsidR="001D38E1" w:rsidRPr="001D38E1" w:rsidRDefault="001D38E1" w:rsidP="001D38E1">
      <w:pPr>
        <w:widowControl w:val="0"/>
        <w:autoSpaceDE w:val="0"/>
        <w:autoSpaceDN w:val="0"/>
        <w:adjustRightInd w:val="0"/>
        <w:ind w:left="640" w:hanging="640"/>
        <w:rPr>
          <w:noProof/>
        </w:rPr>
      </w:pPr>
      <w:r w:rsidRPr="001D38E1">
        <w:rPr>
          <w:noProof/>
          <w:szCs w:val="24"/>
        </w:rPr>
        <w:t>100.</w:t>
      </w:r>
      <w:r w:rsidRPr="001D38E1">
        <w:rPr>
          <w:noProof/>
          <w:szCs w:val="24"/>
        </w:rPr>
        <w:tab/>
        <w:t xml:space="preserve">Kolodkin, A.; Boogerd, F. C.; Plant, N.; Bruggeman, F. J.; Goncharuk, V.; Lunshof, J.; Moreno-Sanchez, R.; Yilmaz, N.; Bakker, B. M.; Snoep, J. L.; et al. Emergence of the Silicon Human and Network Targeting Drugs. </w:t>
      </w:r>
      <w:r w:rsidRPr="001D38E1">
        <w:rPr>
          <w:i/>
          <w:iCs/>
          <w:noProof/>
          <w:szCs w:val="24"/>
        </w:rPr>
        <w:t>Eur. J. Pharm. Sci.</w:t>
      </w:r>
      <w:r w:rsidRPr="001D38E1">
        <w:rPr>
          <w:noProof/>
          <w:szCs w:val="24"/>
        </w:rPr>
        <w:t xml:space="preserve"> </w:t>
      </w:r>
      <w:r w:rsidRPr="001D38E1">
        <w:rPr>
          <w:b/>
          <w:bCs/>
          <w:noProof/>
          <w:szCs w:val="24"/>
        </w:rPr>
        <w:t>2012</w:t>
      </w:r>
      <w:r w:rsidRPr="001D38E1">
        <w:rPr>
          <w:noProof/>
          <w:szCs w:val="24"/>
        </w:rPr>
        <w:t xml:space="preserve">, </w:t>
      </w:r>
      <w:r w:rsidRPr="001D38E1">
        <w:rPr>
          <w:i/>
          <w:iCs/>
          <w:noProof/>
          <w:szCs w:val="24"/>
        </w:rPr>
        <w:t>46</w:t>
      </w:r>
      <w:r w:rsidRPr="001D38E1">
        <w:rPr>
          <w:noProof/>
          <w:szCs w:val="24"/>
        </w:rPr>
        <w:t>, 190–197.</w:t>
      </w:r>
    </w:p>
    <w:p w14:paraId="3103E967" w14:textId="62070B29" w:rsidR="00233504" w:rsidRPr="00383A89" w:rsidRDefault="00A70531" w:rsidP="00A70531">
      <w:pPr>
        <w:rPr>
          <w:lang w:val="en-GB"/>
        </w:rPr>
      </w:pPr>
      <w:r w:rsidRPr="00383A89">
        <w:rPr>
          <w:lang w:val="en-GB"/>
        </w:rPr>
        <w:fldChar w:fldCharType="end"/>
      </w:r>
    </w:p>
    <w:p w14:paraId="299B0558" w14:textId="77777777" w:rsidR="00B4415E" w:rsidRPr="00383A89" w:rsidRDefault="00B4415E">
      <w:pPr>
        <w:rPr>
          <w:lang w:val="en-GB"/>
        </w:rPr>
      </w:pPr>
    </w:p>
    <w:sectPr w:rsidR="00B4415E" w:rsidRPr="00383A89" w:rsidSect="002C6674">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BFF71" w14:textId="77777777" w:rsidR="00C62189" w:rsidRDefault="00C62189" w:rsidP="00AF6858">
      <w:pPr>
        <w:spacing w:after="0" w:line="240" w:lineRule="auto"/>
      </w:pPr>
      <w:r>
        <w:separator/>
      </w:r>
    </w:p>
  </w:endnote>
  <w:endnote w:type="continuationSeparator" w:id="0">
    <w:p w14:paraId="70FDA09A" w14:textId="77777777" w:rsidR="00C62189" w:rsidRDefault="00C62189" w:rsidP="00AF6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39984" w14:textId="77777777" w:rsidR="00C62189" w:rsidRDefault="00C62189" w:rsidP="00AF6858">
      <w:pPr>
        <w:spacing w:after="0" w:line="240" w:lineRule="auto"/>
      </w:pPr>
      <w:r>
        <w:separator/>
      </w:r>
    </w:p>
  </w:footnote>
  <w:footnote w:type="continuationSeparator" w:id="0">
    <w:p w14:paraId="0EA773BC" w14:textId="77777777" w:rsidR="00C62189" w:rsidRDefault="00C62189" w:rsidP="00AF68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120" w:legacyIndent="480"/>
      <w:lvlJc w:val="left"/>
      <w:pPr>
        <w:ind w:left="482" w:hanging="480"/>
      </w:pPr>
      <w:rPr>
        <w:rFonts w:cs="Times New Roman"/>
      </w:rPr>
    </w:lvl>
    <w:lvl w:ilvl="1">
      <w:start w:val="1"/>
      <w:numFmt w:val="decimal"/>
      <w:lvlText w:val="%1.%2."/>
      <w:legacy w:legacy="1" w:legacySpace="120" w:legacyIndent="720"/>
      <w:lvlJc w:val="left"/>
      <w:pPr>
        <w:ind w:left="1202" w:hanging="720"/>
      </w:pPr>
      <w:rPr>
        <w:rFonts w:cs="Times New Roman"/>
      </w:rPr>
    </w:lvl>
    <w:lvl w:ilvl="2">
      <w:start w:val="1"/>
      <w:numFmt w:val="decimal"/>
      <w:pStyle w:val="ListNumberLevel3"/>
      <w:lvlText w:val="%1.%2.%3."/>
      <w:legacy w:legacy="1" w:legacySpace="120" w:legacyIndent="720"/>
      <w:lvlJc w:val="left"/>
      <w:pPr>
        <w:ind w:left="1984" w:hanging="720"/>
      </w:pPr>
      <w:rPr>
        <w:rFonts w:cs="Times New Roman"/>
      </w:rPr>
    </w:lvl>
    <w:lvl w:ilvl="3">
      <w:start w:val="1"/>
      <w:numFmt w:val="decimal"/>
      <w:pStyle w:val="ListNumberLevel3"/>
      <w:lvlText w:val="%1.%2.%3.%4."/>
      <w:legacy w:legacy="1" w:legacySpace="120" w:legacyIndent="720"/>
      <w:lvlJc w:val="left"/>
      <w:pPr>
        <w:ind w:left="1984" w:hanging="720"/>
      </w:pPr>
      <w:rPr>
        <w:rFonts w:cs="Times New Roman"/>
      </w:rPr>
    </w:lvl>
    <w:lvl w:ilvl="4">
      <w:numFmt w:val="none"/>
      <w:lvlText w:val=""/>
      <w:lvlJc w:val="left"/>
      <w:rPr>
        <w:rFonts w:cs="Times New Roman"/>
      </w:rPr>
    </w:lvl>
    <w:lvl w:ilvl="5">
      <w:numFmt w:val="none"/>
      <w:lvlText w:val=""/>
      <w:lvlJc w:val="left"/>
      <w:rPr>
        <w:rFonts w:cs="Times New Roman"/>
      </w:rPr>
    </w:lvl>
    <w:lvl w:ilvl="6">
      <w:numFmt w:val="none"/>
      <w:pStyle w:val="Naslov7"/>
      <w:lvlText w:val=""/>
      <w:lvlJc w:val="left"/>
      <w:rPr>
        <w:rFonts w:cs="Times New Roman"/>
      </w:rPr>
    </w:lvl>
    <w:lvl w:ilvl="7">
      <w:numFmt w:val="none"/>
      <w:pStyle w:val="Naslov8"/>
      <w:lvlText w:val=""/>
      <w:lvlJc w:val="left"/>
      <w:rPr>
        <w:rFonts w:cs="Times New Roman"/>
      </w:rPr>
    </w:lvl>
    <w:lvl w:ilvl="8">
      <w:numFmt w:val="none"/>
      <w:pStyle w:val="Naslov9"/>
      <w:lvlText w:val=""/>
      <w:lvlJc w:val="left"/>
      <w:rPr>
        <w:rFonts w:cs="Times New Roman"/>
      </w:rPr>
    </w:lvl>
  </w:abstractNum>
  <w:abstractNum w:abstractNumId="1" w15:restartNumberingAfterBreak="0">
    <w:nsid w:val="00000001"/>
    <w:multiLevelType w:val="hybridMultilevel"/>
    <w:tmpl w:val="00000001"/>
    <w:lvl w:ilvl="0" w:tplc="00000001">
      <w:start w:val="4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1436F4F"/>
    <w:multiLevelType w:val="hybridMultilevel"/>
    <w:tmpl w:val="3B8235E4"/>
    <w:lvl w:ilvl="0" w:tplc="D622528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DB85016"/>
    <w:multiLevelType w:val="multilevel"/>
    <w:tmpl w:val="BF804B74"/>
    <w:lvl w:ilvl="0">
      <w:start w:val="1"/>
      <w:numFmt w:val="decimal"/>
      <w:lvlText w:val="%1."/>
      <w:lvlJc w:val="left"/>
      <w:pPr>
        <w:ind w:left="360" w:hanging="360"/>
      </w:pPr>
    </w:lvl>
    <w:lvl w:ilvl="1">
      <w:start w:val="1"/>
      <w:numFmt w:val="decimal"/>
      <w:pStyle w:val="Naslov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D57A85"/>
    <w:multiLevelType w:val="multilevel"/>
    <w:tmpl w:val="64908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26D3B8B"/>
    <w:multiLevelType w:val="hybridMultilevel"/>
    <w:tmpl w:val="1E60B420"/>
    <w:lvl w:ilvl="0" w:tplc="E3166798">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4684715"/>
    <w:multiLevelType w:val="hybridMultilevel"/>
    <w:tmpl w:val="AC5E003E"/>
    <w:lvl w:ilvl="0" w:tplc="E3166798">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5C14B61"/>
    <w:multiLevelType w:val="multilevel"/>
    <w:tmpl w:val="DF16FE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aslov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9CC343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5000C08"/>
    <w:multiLevelType w:val="multilevel"/>
    <w:tmpl w:val="C148A354"/>
    <w:lvl w:ilvl="0">
      <w:start w:val="1"/>
      <w:numFmt w:val="decimal"/>
      <w:pStyle w:val="Naslov1"/>
      <w:lvlText w:val="%1."/>
      <w:lvlJc w:val="left"/>
      <w:pPr>
        <w:ind w:left="4613"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3"/>
  </w:num>
  <w:num w:numId="3">
    <w:abstractNumId w:val="8"/>
  </w:num>
  <w:num w:numId="4">
    <w:abstractNumId w:val="4"/>
  </w:num>
  <w:num w:numId="5">
    <w:abstractNumId w:val="7"/>
  </w:num>
  <w:num w:numId="6">
    <w:abstractNumId w:val="2"/>
  </w:num>
  <w:num w:numId="7">
    <w:abstractNumId w:val="6"/>
  </w:num>
  <w:num w:numId="8">
    <w:abstractNumId w:val="5"/>
  </w:num>
  <w:num w:numId="9">
    <w:abstractNumId w:val="1"/>
  </w:num>
  <w:num w:numId="10">
    <w:abstractNumId w:val="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91C"/>
    <w:rsid w:val="00002C6F"/>
    <w:rsid w:val="00010319"/>
    <w:rsid w:val="00011A07"/>
    <w:rsid w:val="00020834"/>
    <w:rsid w:val="00022338"/>
    <w:rsid w:val="000248F9"/>
    <w:rsid w:val="000273B0"/>
    <w:rsid w:val="00027C33"/>
    <w:rsid w:val="00027CA9"/>
    <w:rsid w:val="000307AA"/>
    <w:rsid w:val="0004146A"/>
    <w:rsid w:val="00044FF2"/>
    <w:rsid w:val="00045174"/>
    <w:rsid w:val="00063142"/>
    <w:rsid w:val="000634C9"/>
    <w:rsid w:val="00072B4A"/>
    <w:rsid w:val="00073C55"/>
    <w:rsid w:val="000763AF"/>
    <w:rsid w:val="00080D1E"/>
    <w:rsid w:val="00084511"/>
    <w:rsid w:val="00087D77"/>
    <w:rsid w:val="00092C42"/>
    <w:rsid w:val="00095BEC"/>
    <w:rsid w:val="00095D95"/>
    <w:rsid w:val="0009736A"/>
    <w:rsid w:val="00097CB0"/>
    <w:rsid w:val="000A01C7"/>
    <w:rsid w:val="000B4A64"/>
    <w:rsid w:val="000B58D6"/>
    <w:rsid w:val="000B6CBC"/>
    <w:rsid w:val="000C4FDF"/>
    <w:rsid w:val="000D3E9A"/>
    <w:rsid w:val="000D6701"/>
    <w:rsid w:val="000E3508"/>
    <w:rsid w:val="000E5419"/>
    <w:rsid w:val="000F103D"/>
    <w:rsid w:val="000F43BA"/>
    <w:rsid w:val="000F740C"/>
    <w:rsid w:val="00100EF4"/>
    <w:rsid w:val="00104CA1"/>
    <w:rsid w:val="0011140E"/>
    <w:rsid w:val="00130BEE"/>
    <w:rsid w:val="0014794A"/>
    <w:rsid w:val="00152B70"/>
    <w:rsid w:val="00163D09"/>
    <w:rsid w:val="001705AE"/>
    <w:rsid w:val="001708FD"/>
    <w:rsid w:val="00171692"/>
    <w:rsid w:val="00172A66"/>
    <w:rsid w:val="00172DB8"/>
    <w:rsid w:val="001731E8"/>
    <w:rsid w:val="001739F1"/>
    <w:rsid w:val="001824CA"/>
    <w:rsid w:val="00182BAC"/>
    <w:rsid w:val="00185529"/>
    <w:rsid w:val="0018665A"/>
    <w:rsid w:val="00187755"/>
    <w:rsid w:val="001A3239"/>
    <w:rsid w:val="001A5608"/>
    <w:rsid w:val="001B6326"/>
    <w:rsid w:val="001B6C2E"/>
    <w:rsid w:val="001B7DF0"/>
    <w:rsid w:val="001C03A0"/>
    <w:rsid w:val="001C2134"/>
    <w:rsid w:val="001C27E1"/>
    <w:rsid w:val="001C37D7"/>
    <w:rsid w:val="001D38E1"/>
    <w:rsid w:val="001D4797"/>
    <w:rsid w:val="001D605E"/>
    <w:rsid w:val="001E5BFB"/>
    <w:rsid w:val="001E7E31"/>
    <w:rsid w:val="001F5EFD"/>
    <w:rsid w:val="00201D84"/>
    <w:rsid w:val="0020434A"/>
    <w:rsid w:val="00211451"/>
    <w:rsid w:val="0021166A"/>
    <w:rsid w:val="002119EC"/>
    <w:rsid w:val="00212424"/>
    <w:rsid w:val="00214341"/>
    <w:rsid w:val="00216473"/>
    <w:rsid w:val="002205CE"/>
    <w:rsid w:val="002234D2"/>
    <w:rsid w:val="0022435D"/>
    <w:rsid w:val="00232F4B"/>
    <w:rsid w:val="00233504"/>
    <w:rsid w:val="00235154"/>
    <w:rsid w:val="002366DA"/>
    <w:rsid w:val="0024444A"/>
    <w:rsid w:val="0024763D"/>
    <w:rsid w:val="00253604"/>
    <w:rsid w:val="00255EA5"/>
    <w:rsid w:val="002664F1"/>
    <w:rsid w:val="0026696B"/>
    <w:rsid w:val="00267467"/>
    <w:rsid w:val="00283322"/>
    <w:rsid w:val="00283C55"/>
    <w:rsid w:val="00286BFA"/>
    <w:rsid w:val="00297600"/>
    <w:rsid w:val="002A1866"/>
    <w:rsid w:val="002A62BE"/>
    <w:rsid w:val="002A6C20"/>
    <w:rsid w:val="002B0CD3"/>
    <w:rsid w:val="002B22DB"/>
    <w:rsid w:val="002C10CA"/>
    <w:rsid w:val="002C1899"/>
    <w:rsid w:val="002C6674"/>
    <w:rsid w:val="002D0AD5"/>
    <w:rsid w:val="002D34DB"/>
    <w:rsid w:val="002E40EF"/>
    <w:rsid w:val="002E61CD"/>
    <w:rsid w:val="002F450D"/>
    <w:rsid w:val="002F502D"/>
    <w:rsid w:val="002F7755"/>
    <w:rsid w:val="00300728"/>
    <w:rsid w:val="003054D8"/>
    <w:rsid w:val="00306E21"/>
    <w:rsid w:val="00312292"/>
    <w:rsid w:val="0032749C"/>
    <w:rsid w:val="00330BAB"/>
    <w:rsid w:val="00331376"/>
    <w:rsid w:val="00335A59"/>
    <w:rsid w:val="003367CC"/>
    <w:rsid w:val="00345D2C"/>
    <w:rsid w:val="0035023A"/>
    <w:rsid w:val="003565A5"/>
    <w:rsid w:val="003565F8"/>
    <w:rsid w:val="003660AD"/>
    <w:rsid w:val="003722E6"/>
    <w:rsid w:val="00374536"/>
    <w:rsid w:val="00380401"/>
    <w:rsid w:val="00383A89"/>
    <w:rsid w:val="00384FD4"/>
    <w:rsid w:val="003901D5"/>
    <w:rsid w:val="003906EF"/>
    <w:rsid w:val="00392906"/>
    <w:rsid w:val="0039382C"/>
    <w:rsid w:val="003A2C5F"/>
    <w:rsid w:val="003A367A"/>
    <w:rsid w:val="003A51A9"/>
    <w:rsid w:val="003B43CE"/>
    <w:rsid w:val="003B660A"/>
    <w:rsid w:val="003C1643"/>
    <w:rsid w:val="003D257C"/>
    <w:rsid w:val="003D3DC8"/>
    <w:rsid w:val="003D4925"/>
    <w:rsid w:val="003D7A69"/>
    <w:rsid w:val="003E0DF0"/>
    <w:rsid w:val="003E2453"/>
    <w:rsid w:val="003E517A"/>
    <w:rsid w:val="003E73B3"/>
    <w:rsid w:val="003E7AE7"/>
    <w:rsid w:val="003F046F"/>
    <w:rsid w:val="003F13B1"/>
    <w:rsid w:val="003F6567"/>
    <w:rsid w:val="00400794"/>
    <w:rsid w:val="004053F6"/>
    <w:rsid w:val="0040546B"/>
    <w:rsid w:val="00417B1D"/>
    <w:rsid w:val="0042658A"/>
    <w:rsid w:val="0043138D"/>
    <w:rsid w:val="00431C4D"/>
    <w:rsid w:val="00437397"/>
    <w:rsid w:val="0044043C"/>
    <w:rsid w:val="00441085"/>
    <w:rsid w:val="004421C1"/>
    <w:rsid w:val="00445A17"/>
    <w:rsid w:val="00452C53"/>
    <w:rsid w:val="00453418"/>
    <w:rsid w:val="00453F60"/>
    <w:rsid w:val="00460729"/>
    <w:rsid w:val="0047593C"/>
    <w:rsid w:val="004768DD"/>
    <w:rsid w:val="00481FA7"/>
    <w:rsid w:val="004833C4"/>
    <w:rsid w:val="00484219"/>
    <w:rsid w:val="00484E4D"/>
    <w:rsid w:val="004919E2"/>
    <w:rsid w:val="00492A50"/>
    <w:rsid w:val="0049521B"/>
    <w:rsid w:val="004971E1"/>
    <w:rsid w:val="00497984"/>
    <w:rsid w:val="004A12EF"/>
    <w:rsid w:val="004B2772"/>
    <w:rsid w:val="004B2E08"/>
    <w:rsid w:val="004B39FB"/>
    <w:rsid w:val="004C1502"/>
    <w:rsid w:val="004C527A"/>
    <w:rsid w:val="004C6DB0"/>
    <w:rsid w:val="004D069C"/>
    <w:rsid w:val="004D2CA9"/>
    <w:rsid w:val="004E1999"/>
    <w:rsid w:val="004E30D9"/>
    <w:rsid w:val="004F0B28"/>
    <w:rsid w:val="004F269C"/>
    <w:rsid w:val="00502352"/>
    <w:rsid w:val="00505482"/>
    <w:rsid w:val="00505FFA"/>
    <w:rsid w:val="00507DE5"/>
    <w:rsid w:val="00517823"/>
    <w:rsid w:val="00524C13"/>
    <w:rsid w:val="00525DE7"/>
    <w:rsid w:val="00532E37"/>
    <w:rsid w:val="005361EC"/>
    <w:rsid w:val="00543CC2"/>
    <w:rsid w:val="00544524"/>
    <w:rsid w:val="00551CD7"/>
    <w:rsid w:val="0055609F"/>
    <w:rsid w:val="005600AB"/>
    <w:rsid w:val="00575290"/>
    <w:rsid w:val="005767C6"/>
    <w:rsid w:val="00576DE1"/>
    <w:rsid w:val="00577249"/>
    <w:rsid w:val="00581ED8"/>
    <w:rsid w:val="00585CEA"/>
    <w:rsid w:val="00591AD8"/>
    <w:rsid w:val="00597BC7"/>
    <w:rsid w:val="005A1CAA"/>
    <w:rsid w:val="005A67E5"/>
    <w:rsid w:val="005B3A03"/>
    <w:rsid w:val="005C14AB"/>
    <w:rsid w:val="005C1E98"/>
    <w:rsid w:val="005C75D1"/>
    <w:rsid w:val="005D4D10"/>
    <w:rsid w:val="005D7A9D"/>
    <w:rsid w:val="005E0719"/>
    <w:rsid w:val="005E74F7"/>
    <w:rsid w:val="00600073"/>
    <w:rsid w:val="006004E6"/>
    <w:rsid w:val="00600E7A"/>
    <w:rsid w:val="006026AC"/>
    <w:rsid w:val="006047EF"/>
    <w:rsid w:val="00604C31"/>
    <w:rsid w:val="00604F9C"/>
    <w:rsid w:val="00605D7C"/>
    <w:rsid w:val="0060792E"/>
    <w:rsid w:val="00612394"/>
    <w:rsid w:val="0062415A"/>
    <w:rsid w:val="00633A0F"/>
    <w:rsid w:val="00642327"/>
    <w:rsid w:val="00642C4E"/>
    <w:rsid w:val="006503F0"/>
    <w:rsid w:val="00650704"/>
    <w:rsid w:val="0065087E"/>
    <w:rsid w:val="006700C4"/>
    <w:rsid w:val="00677D59"/>
    <w:rsid w:val="00686171"/>
    <w:rsid w:val="006869C6"/>
    <w:rsid w:val="006934CE"/>
    <w:rsid w:val="006934F3"/>
    <w:rsid w:val="006A0F5A"/>
    <w:rsid w:val="006B2C98"/>
    <w:rsid w:val="006B2DF4"/>
    <w:rsid w:val="006B6030"/>
    <w:rsid w:val="006C0B59"/>
    <w:rsid w:val="006D0EAE"/>
    <w:rsid w:val="006D0FFE"/>
    <w:rsid w:val="006D3A11"/>
    <w:rsid w:val="006D7A8F"/>
    <w:rsid w:val="006E4788"/>
    <w:rsid w:val="006E77C3"/>
    <w:rsid w:val="006F11BE"/>
    <w:rsid w:val="006F3AC4"/>
    <w:rsid w:val="006F408B"/>
    <w:rsid w:val="00700736"/>
    <w:rsid w:val="00702159"/>
    <w:rsid w:val="00702ED9"/>
    <w:rsid w:val="007041B4"/>
    <w:rsid w:val="00706E26"/>
    <w:rsid w:val="00721746"/>
    <w:rsid w:val="00723843"/>
    <w:rsid w:val="00723E48"/>
    <w:rsid w:val="00726E36"/>
    <w:rsid w:val="0073161F"/>
    <w:rsid w:val="00731A72"/>
    <w:rsid w:val="00740349"/>
    <w:rsid w:val="00741705"/>
    <w:rsid w:val="00741BB3"/>
    <w:rsid w:val="00750527"/>
    <w:rsid w:val="00752497"/>
    <w:rsid w:val="00754D9F"/>
    <w:rsid w:val="0076050C"/>
    <w:rsid w:val="00763435"/>
    <w:rsid w:val="007832CC"/>
    <w:rsid w:val="00793628"/>
    <w:rsid w:val="00794D54"/>
    <w:rsid w:val="00796598"/>
    <w:rsid w:val="00797138"/>
    <w:rsid w:val="007A3026"/>
    <w:rsid w:val="007A3E95"/>
    <w:rsid w:val="007B4D18"/>
    <w:rsid w:val="007C125B"/>
    <w:rsid w:val="007C56D8"/>
    <w:rsid w:val="007C5B67"/>
    <w:rsid w:val="007C5E8F"/>
    <w:rsid w:val="007C67AA"/>
    <w:rsid w:val="007C6A43"/>
    <w:rsid w:val="007C6C68"/>
    <w:rsid w:val="007D0C2B"/>
    <w:rsid w:val="007D348D"/>
    <w:rsid w:val="007D4502"/>
    <w:rsid w:val="007E5D76"/>
    <w:rsid w:val="007E732D"/>
    <w:rsid w:val="007F1D9F"/>
    <w:rsid w:val="007F2A75"/>
    <w:rsid w:val="007F56FA"/>
    <w:rsid w:val="00816B95"/>
    <w:rsid w:val="00817041"/>
    <w:rsid w:val="00820930"/>
    <w:rsid w:val="008239D2"/>
    <w:rsid w:val="00824C1C"/>
    <w:rsid w:val="008267B6"/>
    <w:rsid w:val="0084378E"/>
    <w:rsid w:val="00843C61"/>
    <w:rsid w:val="00845B6C"/>
    <w:rsid w:val="00850101"/>
    <w:rsid w:val="008512DC"/>
    <w:rsid w:val="008646F8"/>
    <w:rsid w:val="00866FC9"/>
    <w:rsid w:val="00875BB6"/>
    <w:rsid w:val="008766C7"/>
    <w:rsid w:val="008830B1"/>
    <w:rsid w:val="008842FD"/>
    <w:rsid w:val="00891C2F"/>
    <w:rsid w:val="0089373B"/>
    <w:rsid w:val="00895E34"/>
    <w:rsid w:val="008968EF"/>
    <w:rsid w:val="0089691C"/>
    <w:rsid w:val="008A1376"/>
    <w:rsid w:val="008A2E45"/>
    <w:rsid w:val="008A3E19"/>
    <w:rsid w:val="008A4D74"/>
    <w:rsid w:val="008A790D"/>
    <w:rsid w:val="008B1106"/>
    <w:rsid w:val="008B3C0B"/>
    <w:rsid w:val="008B59CF"/>
    <w:rsid w:val="008C6299"/>
    <w:rsid w:val="008C696A"/>
    <w:rsid w:val="008C74DA"/>
    <w:rsid w:val="008D2BE2"/>
    <w:rsid w:val="008D3551"/>
    <w:rsid w:val="008E3171"/>
    <w:rsid w:val="008E794B"/>
    <w:rsid w:val="008F42A3"/>
    <w:rsid w:val="008F553F"/>
    <w:rsid w:val="00906638"/>
    <w:rsid w:val="00910E7E"/>
    <w:rsid w:val="00914667"/>
    <w:rsid w:val="00923182"/>
    <w:rsid w:val="00924726"/>
    <w:rsid w:val="009315F8"/>
    <w:rsid w:val="00932D0B"/>
    <w:rsid w:val="0093325E"/>
    <w:rsid w:val="00940DFF"/>
    <w:rsid w:val="009412A0"/>
    <w:rsid w:val="009428C0"/>
    <w:rsid w:val="00944E6B"/>
    <w:rsid w:val="0094593D"/>
    <w:rsid w:val="00946FDE"/>
    <w:rsid w:val="009475C2"/>
    <w:rsid w:val="00957A75"/>
    <w:rsid w:val="00964B0E"/>
    <w:rsid w:val="009729EF"/>
    <w:rsid w:val="009765F4"/>
    <w:rsid w:val="00976FB2"/>
    <w:rsid w:val="00982357"/>
    <w:rsid w:val="0098446F"/>
    <w:rsid w:val="009867F1"/>
    <w:rsid w:val="00996845"/>
    <w:rsid w:val="009B102E"/>
    <w:rsid w:val="009B7320"/>
    <w:rsid w:val="009D5B8B"/>
    <w:rsid w:val="009D7955"/>
    <w:rsid w:val="009E66E3"/>
    <w:rsid w:val="009F23FF"/>
    <w:rsid w:val="009F6809"/>
    <w:rsid w:val="00A00E41"/>
    <w:rsid w:val="00A0196E"/>
    <w:rsid w:val="00A067AC"/>
    <w:rsid w:val="00A13C5A"/>
    <w:rsid w:val="00A3056A"/>
    <w:rsid w:val="00A34EF8"/>
    <w:rsid w:val="00A35E7E"/>
    <w:rsid w:val="00A41DC1"/>
    <w:rsid w:val="00A46EE3"/>
    <w:rsid w:val="00A472D9"/>
    <w:rsid w:val="00A5088B"/>
    <w:rsid w:val="00A52176"/>
    <w:rsid w:val="00A54D29"/>
    <w:rsid w:val="00A56B11"/>
    <w:rsid w:val="00A63748"/>
    <w:rsid w:val="00A66786"/>
    <w:rsid w:val="00A70531"/>
    <w:rsid w:val="00A721BC"/>
    <w:rsid w:val="00A77131"/>
    <w:rsid w:val="00A80B1D"/>
    <w:rsid w:val="00A86957"/>
    <w:rsid w:val="00A90351"/>
    <w:rsid w:val="00AA1B79"/>
    <w:rsid w:val="00AA1FA9"/>
    <w:rsid w:val="00AA2294"/>
    <w:rsid w:val="00AA2642"/>
    <w:rsid w:val="00AA4BAB"/>
    <w:rsid w:val="00AA5DFB"/>
    <w:rsid w:val="00AB3A76"/>
    <w:rsid w:val="00AC4EA6"/>
    <w:rsid w:val="00AD1DF2"/>
    <w:rsid w:val="00AD2DD0"/>
    <w:rsid w:val="00AD4D1A"/>
    <w:rsid w:val="00AE7C88"/>
    <w:rsid w:val="00AF1540"/>
    <w:rsid w:val="00AF52DF"/>
    <w:rsid w:val="00AF5AA9"/>
    <w:rsid w:val="00AF6858"/>
    <w:rsid w:val="00B003DE"/>
    <w:rsid w:val="00B00BA8"/>
    <w:rsid w:val="00B02534"/>
    <w:rsid w:val="00B074FF"/>
    <w:rsid w:val="00B1138F"/>
    <w:rsid w:val="00B1254F"/>
    <w:rsid w:val="00B138B4"/>
    <w:rsid w:val="00B14558"/>
    <w:rsid w:val="00B23513"/>
    <w:rsid w:val="00B26527"/>
    <w:rsid w:val="00B30888"/>
    <w:rsid w:val="00B428E7"/>
    <w:rsid w:val="00B4415E"/>
    <w:rsid w:val="00B47FF7"/>
    <w:rsid w:val="00B643C0"/>
    <w:rsid w:val="00B66631"/>
    <w:rsid w:val="00B90EE1"/>
    <w:rsid w:val="00B96CD4"/>
    <w:rsid w:val="00BA1B41"/>
    <w:rsid w:val="00BA25BE"/>
    <w:rsid w:val="00BB0EB9"/>
    <w:rsid w:val="00BB3CEB"/>
    <w:rsid w:val="00BB5138"/>
    <w:rsid w:val="00BB6A46"/>
    <w:rsid w:val="00BB6A57"/>
    <w:rsid w:val="00BC10A4"/>
    <w:rsid w:val="00BC28FD"/>
    <w:rsid w:val="00BC291D"/>
    <w:rsid w:val="00BC5B8E"/>
    <w:rsid w:val="00BE1F05"/>
    <w:rsid w:val="00BE2AA1"/>
    <w:rsid w:val="00BF6568"/>
    <w:rsid w:val="00C14025"/>
    <w:rsid w:val="00C1649E"/>
    <w:rsid w:val="00C2079C"/>
    <w:rsid w:val="00C21940"/>
    <w:rsid w:val="00C23A34"/>
    <w:rsid w:val="00C266D6"/>
    <w:rsid w:val="00C26E76"/>
    <w:rsid w:val="00C3205E"/>
    <w:rsid w:val="00C43D6C"/>
    <w:rsid w:val="00C47D1E"/>
    <w:rsid w:val="00C50931"/>
    <w:rsid w:val="00C5153B"/>
    <w:rsid w:val="00C541D3"/>
    <w:rsid w:val="00C614A6"/>
    <w:rsid w:val="00C62189"/>
    <w:rsid w:val="00C65310"/>
    <w:rsid w:val="00C83B78"/>
    <w:rsid w:val="00C877AB"/>
    <w:rsid w:val="00C94433"/>
    <w:rsid w:val="00CA1A6E"/>
    <w:rsid w:val="00CA33CF"/>
    <w:rsid w:val="00CA6D42"/>
    <w:rsid w:val="00CC47EE"/>
    <w:rsid w:val="00CC7F34"/>
    <w:rsid w:val="00CD073E"/>
    <w:rsid w:val="00CD0A20"/>
    <w:rsid w:val="00CD2A20"/>
    <w:rsid w:val="00CD43BF"/>
    <w:rsid w:val="00CD5298"/>
    <w:rsid w:val="00CD62E0"/>
    <w:rsid w:val="00CD68C3"/>
    <w:rsid w:val="00CE4252"/>
    <w:rsid w:val="00CF1FC5"/>
    <w:rsid w:val="00CF32A0"/>
    <w:rsid w:val="00CF5A15"/>
    <w:rsid w:val="00D05B5B"/>
    <w:rsid w:val="00D10A11"/>
    <w:rsid w:val="00D16C1F"/>
    <w:rsid w:val="00D22407"/>
    <w:rsid w:val="00D248C4"/>
    <w:rsid w:val="00D31D6D"/>
    <w:rsid w:val="00D32EC1"/>
    <w:rsid w:val="00D3614E"/>
    <w:rsid w:val="00D51883"/>
    <w:rsid w:val="00D54BF5"/>
    <w:rsid w:val="00D564E2"/>
    <w:rsid w:val="00D605F4"/>
    <w:rsid w:val="00D7179B"/>
    <w:rsid w:val="00D72A9D"/>
    <w:rsid w:val="00D73368"/>
    <w:rsid w:val="00D74896"/>
    <w:rsid w:val="00D772E3"/>
    <w:rsid w:val="00D775CA"/>
    <w:rsid w:val="00D84C13"/>
    <w:rsid w:val="00D85E24"/>
    <w:rsid w:val="00D8734B"/>
    <w:rsid w:val="00DB4F17"/>
    <w:rsid w:val="00DB51A6"/>
    <w:rsid w:val="00DB51BA"/>
    <w:rsid w:val="00DB51D7"/>
    <w:rsid w:val="00DB6708"/>
    <w:rsid w:val="00DB73C8"/>
    <w:rsid w:val="00DC20BB"/>
    <w:rsid w:val="00DC4AC3"/>
    <w:rsid w:val="00DD2533"/>
    <w:rsid w:val="00DD2AB5"/>
    <w:rsid w:val="00DD3485"/>
    <w:rsid w:val="00DE2269"/>
    <w:rsid w:val="00DE7713"/>
    <w:rsid w:val="00DF1342"/>
    <w:rsid w:val="00DF20E1"/>
    <w:rsid w:val="00DF2407"/>
    <w:rsid w:val="00DF4195"/>
    <w:rsid w:val="00DF7DB3"/>
    <w:rsid w:val="00E026DB"/>
    <w:rsid w:val="00E03882"/>
    <w:rsid w:val="00E0620C"/>
    <w:rsid w:val="00E11314"/>
    <w:rsid w:val="00E13DF3"/>
    <w:rsid w:val="00E14B28"/>
    <w:rsid w:val="00E1710B"/>
    <w:rsid w:val="00E1720F"/>
    <w:rsid w:val="00E3065B"/>
    <w:rsid w:val="00E32826"/>
    <w:rsid w:val="00E35494"/>
    <w:rsid w:val="00E41BFB"/>
    <w:rsid w:val="00E46B4A"/>
    <w:rsid w:val="00E5486D"/>
    <w:rsid w:val="00E55F11"/>
    <w:rsid w:val="00E679A5"/>
    <w:rsid w:val="00E73DA3"/>
    <w:rsid w:val="00E75464"/>
    <w:rsid w:val="00E827A3"/>
    <w:rsid w:val="00E8653E"/>
    <w:rsid w:val="00E87376"/>
    <w:rsid w:val="00E93B7B"/>
    <w:rsid w:val="00EA0989"/>
    <w:rsid w:val="00EB02C0"/>
    <w:rsid w:val="00EB6B4F"/>
    <w:rsid w:val="00EC2878"/>
    <w:rsid w:val="00EC507E"/>
    <w:rsid w:val="00EC7411"/>
    <w:rsid w:val="00ED6E96"/>
    <w:rsid w:val="00EE5203"/>
    <w:rsid w:val="00EE6FCD"/>
    <w:rsid w:val="00EE7B01"/>
    <w:rsid w:val="00F009DB"/>
    <w:rsid w:val="00F01DD6"/>
    <w:rsid w:val="00F157BF"/>
    <w:rsid w:val="00F2156E"/>
    <w:rsid w:val="00F269CB"/>
    <w:rsid w:val="00F311BB"/>
    <w:rsid w:val="00F3175F"/>
    <w:rsid w:val="00F3530F"/>
    <w:rsid w:val="00F37CDD"/>
    <w:rsid w:val="00F4146E"/>
    <w:rsid w:val="00F421C4"/>
    <w:rsid w:val="00F651C8"/>
    <w:rsid w:val="00F70DBA"/>
    <w:rsid w:val="00F75725"/>
    <w:rsid w:val="00F75F9A"/>
    <w:rsid w:val="00F77AA5"/>
    <w:rsid w:val="00F84114"/>
    <w:rsid w:val="00F84960"/>
    <w:rsid w:val="00F84C9D"/>
    <w:rsid w:val="00F8787A"/>
    <w:rsid w:val="00F94570"/>
    <w:rsid w:val="00F956A1"/>
    <w:rsid w:val="00F959A1"/>
    <w:rsid w:val="00F95A38"/>
    <w:rsid w:val="00FA56CE"/>
    <w:rsid w:val="00FA6F80"/>
    <w:rsid w:val="00FB1453"/>
    <w:rsid w:val="00FB2CD5"/>
    <w:rsid w:val="00FB3058"/>
    <w:rsid w:val="00FC1190"/>
    <w:rsid w:val="00FC2169"/>
    <w:rsid w:val="00FC41E9"/>
    <w:rsid w:val="00FD02C4"/>
    <w:rsid w:val="00FD5273"/>
    <w:rsid w:val="00FD540C"/>
    <w:rsid w:val="00FD7308"/>
    <w:rsid w:val="00FE1395"/>
    <w:rsid w:val="00FE2A9A"/>
    <w:rsid w:val="00FE570C"/>
    <w:rsid w:val="00FF3C17"/>
    <w:rsid w:val="00FF569B"/>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07F407"/>
  <w15:docId w15:val="{FB6AF2E3-EA59-430B-BA89-B59A7B19A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95A38"/>
    <w:pPr>
      <w:spacing w:line="360" w:lineRule="auto"/>
    </w:pPr>
    <w:rPr>
      <w:rFonts w:ascii="Times New Roman" w:hAnsi="Times New Roman" w:cs="Times New Roman"/>
    </w:rPr>
  </w:style>
  <w:style w:type="paragraph" w:styleId="Naslov1">
    <w:name w:val="heading 1"/>
    <w:basedOn w:val="Navaden"/>
    <w:next w:val="Navaden"/>
    <w:link w:val="Naslov1Znak"/>
    <w:uiPriority w:val="9"/>
    <w:qFormat/>
    <w:rsid w:val="00A63748"/>
    <w:pPr>
      <w:keepNext/>
      <w:keepLines/>
      <w:numPr>
        <w:numId w:val="1"/>
      </w:numPr>
      <w:spacing w:before="240" w:after="120"/>
      <w:ind w:left="357" w:hanging="357"/>
      <w:outlineLvl w:val="0"/>
    </w:pPr>
    <w:rPr>
      <w:rFonts w:eastAsiaTheme="majorEastAsia" w:cstheme="majorBidi"/>
      <w:sz w:val="28"/>
      <w:szCs w:val="28"/>
    </w:rPr>
  </w:style>
  <w:style w:type="paragraph" w:styleId="Naslov2">
    <w:name w:val="heading 2"/>
    <w:basedOn w:val="Navaden"/>
    <w:next w:val="Navaden"/>
    <w:link w:val="Naslov2Znak"/>
    <w:uiPriority w:val="9"/>
    <w:unhideWhenUsed/>
    <w:qFormat/>
    <w:rsid w:val="00932D0B"/>
    <w:pPr>
      <w:keepNext/>
      <w:keepLines/>
      <w:numPr>
        <w:ilvl w:val="1"/>
        <w:numId w:val="2"/>
      </w:numPr>
      <w:spacing w:before="40" w:after="0"/>
      <w:outlineLvl w:val="1"/>
    </w:pPr>
    <w:rPr>
      <w:rFonts w:eastAsiaTheme="majorEastAsia" w:cstheme="majorBidi"/>
      <w:sz w:val="26"/>
      <w:szCs w:val="26"/>
    </w:rPr>
  </w:style>
  <w:style w:type="paragraph" w:styleId="Naslov3">
    <w:name w:val="heading 3"/>
    <w:basedOn w:val="Navaden"/>
    <w:next w:val="Navaden"/>
    <w:link w:val="Naslov3Znak"/>
    <w:uiPriority w:val="9"/>
    <w:unhideWhenUsed/>
    <w:qFormat/>
    <w:rsid w:val="00932D0B"/>
    <w:pPr>
      <w:keepNext/>
      <w:keepLines/>
      <w:numPr>
        <w:ilvl w:val="2"/>
        <w:numId w:val="5"/>
      </w:numPr>
      <w:spacing w:before="40" w:after="0"/>
      <w:outlineLvl w:val="2"/>
    </w:pPr>
    <w:rPr>
      <w:rFonts w:eastAsiaTheme="majorEastAsia"/>
      <w:sz w:val="24"/>
      <w:szCs w:val="24"/>
    </w:rPr>
  </w:style>
  <w:style w:type="paragraph" w:styleId="Naslov4">
    <w:name w:val="heading 4"/>
    <w:basedOn w:val="Navaden"/>
    <w:next w:val="Navaden"/>
    <w:link w:val="Naslov4Znak"/>
    <w:uiPriority w:val="9"/>
    <w:semiHidden/>
    <w:unhideWhenUsed/>
    <w:qFormat/>
    <w:rsid w:val="006700C4"/>
    <w:pPr>
      <w:keepNext/>
      <w:keepLines/>
      <w:spacing w:before="200" w:after="0"/>
      <w:outlineLvl w:val="3"/>
    </w:pPr>
    <w:rPr>
      <w:rFonts w:asciiTheme="majorHAnsi" w:eastAsiaTheme="majorEastAsia" w:hAnsiTheme="majorHAnsi" w:cstheme="majorBidi"/>
      <w:b/>
      <w:bCs/>
      <w:i/>
      <w:iCs/>
      <w:color w:val="5B9BD5" w:themeColor="accent1"/>
    </w:rPr>
  </w:style>
  <w:style w:type="paragraph" w:styleId="Naslov7">
    <w:name w:val="heading 7"/>
    <w:basedOn w:val="Navaden"/>
    <w:next w:val="Navaden"/>
    <w:link w:val="Naslov7Znak"/>
    <w:uiPriority w:val="9"/>
    <w:qFormat/>
    <w:rsid w:val="004C6DB0"/>
    <w:pPr>
      <w:numPr>
        <w:ilvl w:val="6"/>
        <w:numId w:val="10"/>
      </w:numPr>
      <w:spacing w:before="240" w:after="60" w:line="240" w:lineRule="auto"/>
      <w:ind w:left="4748" w:hanging="708"/>
      <w:jc w:val="both"/>
      <w:outlineLvl w:val="6"/>
    </w:pPr>
    <w:rPr>
      <w:rFonts w:ascii="Arial" w:eastAsia="Times New Roman" w:hAnsi="Arial"/>
      <w:sz w:val="20"/>
      <w:szCs w:val="20"/>
      <w:lang w:val="en-GB" w:eastAsia="en-GB"/>
    </w:rPr>
  </w:style>
  <w:style w:type="paragraph" w:styleId="Naslov8">
    <w:name w:val="heading 8"/>
    <w:basedOn w:val="Navaden"/>
    <w:next w:val="Navaden"/>
    <w:link w:val="Naslov8Znak"/>
    <w:uiPriority w:val="9"/>
    <w:qFormat/>
    <w:rsid w:val="004C6DB0"/>
    <w:pPr>
      <w:numPr>
        <w:ilvl w:val="7"/>
        <w:numId w:val="10"/>
      </w:numPr>
      <w:spacing w:before="240" w:after="60" w:line="240" w:lineRule="auto"/>
      <w:ind w:left="5456" w:hanging="708"/>
      <w:jc w:val="both"/>
      <w:outlineLvl w:val="7"/>
    </w:pPr>
    <w:rPr>
      <w:rFonts w:ascii="Arial" w:eastAsia="Times New Roman" w:hAnsi="Arial"/>
      <w:i/>
      <w:sz w:val="20"/>
      <w:szCs w:val="20"/>
      <w:lang w:val="en-GB" w:eastAsia="en-GB"/>
    </w:rPr>
  </w:style>
  <w:style w:type="paragraph" w:styleId="Naslov9">
    <w:name w:val="heading 9"/>
    <w:basedOn w:val="Navaden"/>
    <w:next w:val="Navaden"/>
    <w:link w:val="Naslov9Znak"/>
    <w:uiPriority w:val="9"/>
    <w:qFormat/>
    <w:rsid w:val="004C6DB0"/>
    <w:pPr>
      <w:numPr>
        <w:ilvl w:val="8"/>
        <w:numId w:val="10"/>
      </w:numPr>
      <w:spacing w:before="240" w:after="60" w:line="240" w:lineRule="auto"/>
      <w:ind w:left="6164" w:hanging="708"/>
      <w:jc w:val="both"/>
      <w:outlineLvl w:val="8"/>
    </w:pPr>
    <w:rPr>
      <w:rFonts w:ascii="Arial" w:eastAsia="Times New Roman" w:hAnsi="Arial"/>
      <w:i/>
      <w:sz w:val="18"/>
      <w:szCs w:val="20"/>
      <w:lang w:val="en-GB" w:eastAsia="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14794A"/>
    <w:pPr>
      <w:spacing w:after="0" w:line="240" w:lineRule="auto"/>
    </w:pPr>
    <w:rPr>
      <w:rFonts w:ascii="Times New Roman" w:hAnsi="Times New Roman" w:cs="Times New Roman"/>
    </w:rPr>
  </w:style>
  <w:style w:type="character" w:customStyle="1" w:styleId="Naslov1Znak">
    <w:name w:val="Naslov 1 Znak"/>
    <w:basedOn w:val="Privzetapisavaodstavka"/>
    <w:link w:val="Naslov1"/>
    <w:uiPriority w:val="9"/>
    <w:rsid w:val="00A63748"/>
    <w:rPr>
      <w:rFonts w:ascii="Times New Roman" w:eastAsiaTheme="majorEastAsia" w:hAnsi="Times New Roman" w:cstheme="majorBidi"/>
      <w:sz w:val="28"/>
      <w:szCs w:val="28"/>
    </w:rPr>
  </w:style>
  <w:style w:type="character" w:customStyle="1" w:styleId="Naslov2Znak">
    <w:name w:val="Naslov 2 Znak"/>
    <w:basedOn w:val="Privzetapisavaodstavka"/>
    <w:link w:val="Naslov2"/>
    <w:uiPriority w:val="9"/>
    <w:rsid w:val="00932D0B"/>
    <w:rPr>
      <w:rFonts w:ascii="Times New Roman" w:eastAsiaTheme="majorEastAsia" w:hAnsi="Times New Roman" w:cstheme="majorBidi"/>
      <w:sz w:val="26"/>
      <w:szCs w:val="26"/>
    </w:rPr>
  </w:style>
  <w:style w:type="character" w:customStyle="1" w:styleId="Naslov3Znak">
    <w:name w:val="Naslov 3 Znak"/>
    <w:basedOn w:val="Privzetapisavaodstavka"/>
    <w:link w:val="Naslov3"/>
    <w:uiPriority w:val="9"/>
    <w:rsid w:val="00932D0B"/>
    <w:rPr>
      <w:rFonts w:ascii="Times New Roman" w:eastAsiaTheme="majorEastAsia" w:hAnsi="Times New Roman" w:cs="Times New Roman"/>
      <w:sz w:val="24"/>
      <w:szCs w:val="24"/>
    </w:rPr>
  </w:style>
  <w:style w:type="character" w:styleId="tevilkavrstice">
    <w:name w:val="line number"/>
    <w:basedOn w:val="Privzetapisavaodstavka"/>
    <w:uiPriority w:val="99"/>
    <w:semiHidden/>
    <w:unhideWhenUsed/>
    <w:rsid w:val="002C6674"/>
  </w:style>
  <w:style w:type="paragraph" w:styleId="Sprotnaopomba-besedilo">
    <w:name w:val="footnote text"/>
    <w:basedOn w:val="Navaden"/>
    <w:link w:val="Sprotnaopomba-besediloZnak"/>
    <w:uiPriority w:val="99"/>
    <w:semiHidden/>
    <w:unhideWhenUsed/>
    <w:rsid w:val="00AF6858"/>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AF6858"/>
    <w:rPr>
      <w:rFonts w:ascii="Times New Roman" w:hAnsi="Times New Roman" w:cs="Times New Roman"/>
      <w:sz w:val="20"/>
      <w:szCs w:val="20"/>
    </w:rPr>
  </w:style>
  <w:style w:type="character" w:styleId="Sprotnaopomba-sklic">
    <w:name w:val="footnote reference"/>
    <w:aliases w:val="Footnote symbol,Times 10 Point,Exposant 3 Point,Footnote reference number,Ref,de nota al pie,note TESI,SUPERS,EN Footnote text,EN Footnote Reference,Footnote Reference_LVL6,Footnote Reference_LVL61,Footnote number,f1"/>
    <w:basedOn w:val="Privzetapisavaodstavka"/>
    <w:uiPriority w:val="99"/>
    <w:unhideWhenUsed/>
    <w:rsid w:val="00AF6858"/>
    <w:rPr>
      <w:vertAlign w:val="superscript"/>
    </w:rPr>
  </w:style>
  <w:style w:type="paragraph" w:styleId="Bibliografija">
    <w:name w:val="Bibliography"/>
    <w:basedOn w:val="Navaden"/>
    <w:next w:val="Navaden"/>
    <w:uiPriority w:val="37"/>
    <w:unhideWhenUsed/>
    <w:rsid w:val="00AF6858"/>
  </w:style>
  <w:style w:type="paragraph" w:styleId="Odstavekseznama">
    <w:name w:val="List Paragraph"/>
    <w:basedOn w:val="Navaden"/>
    <w:uiPriority w:val="34"/>
    <w:qFormat/>
    <w:rsid w:val="00FF3C17"/>
    <w:pPr>
      <w:ind w:left="720"/>
      <w:contextualSpacing/>
    </w:pPr>
  </w:style>
  <w:style w:type="paragraph" w:styleId="Napis">
    <w:name w:val="caption"/>
    <w:basedOn w:val="Navaden"/>
    <w:next w:val="Navaden"/>
    <w:uiPriority w:val="35"/>
    <w:unhideWhenUsed/>
    <w:qFormat/>
    <w:rsid w:val="00D84C13"/>
    <w:pPr>
      <w:spacing w:after="200" w:line="240" w:lineRule="auto"/>
    </w:pPr>
    <w:rPr>
      <w:i/>
      <w:iCs/>
      <w:color w:val="44546A" w:themeColor="text2"/>
      <w:sz w:val="18"/>
      <w:szCs w:val="18"/>
    </w:rPr>
  </w:style>
  <w:style w:type="paragraph" w:styleId="Konnaopomba-besedilo">
    <w:name w:val="endnote text"/>
    <w:basedOn w:val="Navaden"/>
    <w:link w:val="Konnaopomba-besediloZnak"/>
    <w:uiPriority w:val="99"/>
    <w:semiHidden/>
    <w:unhideWhenUsed/>
    <w:rsid w:val="00FB1453"/>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FB1453"/>
    <w:rPr>
      <w:rFonts w:ascii="Times New Roman" w:hAnsi="Times New Roman" w:cs="Times New Roman"/>
      <w:sz w:val="20"/>
      <w:szCs w:val="20"/>
    </w:rPr>
  </w:style>
  <w:style w:type="character" w:styleId="Konnaopomba-sklic">
    <w:name w:val="endnote reference"/>
    <w:basedOn w:val="Privzetapisavaodstavka"/>
    <w:uiPriority w:val="99"/>
    <w:semiHidden/>
    <w:unhideWhenUsed/>
    <w:rsid w:val="00FB1453"/>
    <w:rPr>
      <w:vertAlign w:val="superscript"/>
    </w:rPr>
  </w:style>
  <w:style w:type="character" w:styleId="Pripombasklic">
    <w:name w:val="annotation reference"/>
    <w:basedOn w:val="Privzetapisavaodstavka"/>
    <w:uiPriority w:val="99"/>
    <w:semiHidden/>
    <w:unhideWhenUsed/>
    <w:rsid w:val="00F37CDD"/>
    <w:rPr>
      <w:sz w:val="16"/>
      <w:szCs w:val="16"/>
    </w:rPr>
  </w:style>
  <w:style w:type="paragraph" w:styleId="Pripombabesedilo">
    <w:name w:val="annotation text"/>
    <w:basedOn w:val="Navaden"/>
    <w:link w:val="PripombabesediloZnak"/>
    <w:uiPriority w:val="99"/>
    <w:semiHidden/>
    <w:unhideWhenUsed/>
    <w:rsid w:val="00F37CD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F37CDD"/>
    <w:rPr>
      <w:rFonts w:ascii="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F37CDD"/>
    <w:rPr>
      <w:b/>
      <w:bCs/>
    </w:rPr>
  </w:style>
  <w:style w:type="character" w:customStyle="1" w:styleId="ZadevapripombeZnak">
    <w:name w:val="Zadeva pripombe Znak"/>
    <w:basedOn w:val="PripombabesediloZnak"/>
    <w:link w:val="Zadevapripombe"/>
    <w:uiPriority w:val="99"/>
    <w:semiHidden/>
    <w:rsid w:val="00F37CDD"/>
    <w:rPr>
      <w:rFonts w:ascii="Times New Roman" w:hAnsi="Times New Roman" w:cs="Times New Roman"/>
      <w:b/>
      <w:bCs/>
      <w:sz w:val="20"/>
      <w:szCs w:val="20"/>
    </w:rPr>
  </w:style>
  <w:style w:type="paragraph" w:styleId="Besedilooblaka">
    <w:name w:val="Balloon Text"/>
    <w:basedOn w:val="Navaden"/>
    <w:link w:val="BesedilooblakaZnak"/>
    <w:uiPriority w:val="99"/>
    <w:semiHidden/>
    <w:unhideWhenUsed/>
    <w:rsid w:val="00F37CDD"/>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37CDD"/>
    <w:rPr>
      <w:rFonts w:ascii="Segoe UI" w:hAnsi="Segoe UI" w:cs="Segoe UI"/>
      <w:sz w:val="18"/>
      <w:szCs w:val="18"/>
    </w:rPr>
  </w:style>
  <w:style w:type="table" w:styleId="Tabelamrea">
    <w:name w:val="Table Grid"/>
    <w:basedOn w:val="Navadnatabela"/>
    <w:uiPriority w:val="39"/>
    <w:rsid w:val="00C16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0B58D6"/>
    <w:pPr>
      <w:spacing w:before="100" w:beforeAutospacing="1" w:after="100" w:afterAutospacing="1" w:line="240" w:lineRule="auto"/>
    </w:pPr>
    <w:rPr>
      <w:rFonts w:ascii="Times" w:hAnsi="Times"/>
      <w:sz w:val="20"/>
      <w:szCs w:val="20"/>
      <w:lang w:val="en-US"/>
    </w:rPr>
  </w:style>
  <w:style w:type="character" w:customStyle="1" w:styleId="current-selection">
    <w:name w:val="current-selection"/>
    <w:basedOn w:val="Privzetapisavaodstavka"/>
    <w:rsid w:val="001C37D7"/>
  </w:style>
  <w:style w:type="character" w:customStyle="1" w:styleId="a">
    <w:name w:val="_"/>
    <w:basedOn w:val="Privzetapisavaodstavka"/>
    <w:rsid w:val="001C37D7"/>
  </w:style>
  <w:style w:type="character" w:customStyle="1" w:styleId="enhanced-reference">
    <w:name w:val="enhanced-reference"/>
    <w:basedOn w:val="Privzetapisavaodstavka"/>
    <w:rsid w:val="001C37D7"/>
  </w:style>
  <w:style w:type="character" w:customStyle="1" w:styleId="apple-converted-space">
    <w:name w:val="apple-converted-space"/>
    <w:basedOn w:val="Privzetapisavaodstavka"/>
    <w:rsid w:val="008842FD"/>
  </w:style>
  <w:style w:type="character" w:styleId="Poudarek">
    <w:name w:val="Emphasis"/>
    <w:basedOn w:val="Privzetapisavaodstavka"/>
    <w:uiPriority w:val="20"/>
    <w:qFormat/>
    <w:rsid w:val="008842FD"/>
    <w:rPr>
      <w:i/>
      <w:iCs/>
    </w:rPr>
  </w:style>
  <w:style w:type="character" w:customStyle="1" w:styleId="highwire-citation-author">
    <w:name w:val="highwire-citation-author"/>
    <w:basedOn w:val="Privzetapisavaodstavka"/>
    <w:rsid w:val="006700C4"/>
  </w:style>
  <w:style w:type="character" w:customStyle="1" w:styleId="Naslov4Znak">
    <w:name w:val="Naslov 4 Znak"/>
    <w:basedOn w:val="Privzetapisavaodstavka"/>
    <w:link w:val="Naslov4"/>
    <w:uiPriority w:val="9"/>
    <w:semiHidden/>
    <w:rsid w:val="006700C4"/>
    <w:rPr>
      <w:rFonts w:asciiTheme="majorHAnsi" w:eastAsiaTheme="majorEastAsia" w:hAnsiTheme="majorHAnsi" w:cstheme="majorBidi"/>
      <w:b/>
      <w:bCs/>
      <w:i/>
      <w:iCs/>
      <w:color w:val="5B9BD5" w:themeColor="accent1"/>
    </w:rPr>
  </w:style>
  <w:style w:type="character" w:customStyle="1" w:styleId="hvr">
    <w:name w:val="hvr"/>
    <w:basedOn w:val="Privzetapisavaodstavka"/>
    <w:rsid w:val="000248F9"/>
  </w:style>
  <w:style w:type="character" w:styleId="Hiperpovezava">
    <w:name w:val="Hyperlink"/>
    <w:basedOn w:val="Privzetapisavaodstavka"/>
    <w:uiPriority w:val="99"/>
    <w:unhideWhenUsed/>
    <w:rsid w:val="00484219"/>
    <w:rPr>
      <w:color w:val="0563C1" w:themeColor="hyperlink"/>
      <w:u w:val="single"/>
    </w:rPr>
  </w:style>
  <w:style w:type="character" w:customStyle="1" w:styleId="Naslov7Znak">
    <w:name w:val="Naslov 7 Znak"/>
    <w:basedOn w:val="Privzetapisavaodstavka"/>
    <w:link w:val="Naslov7"/>
    <w:uiPriority w:val="9"/>
    <w:rsid w:val="004C6DB0"/>
    <w:rPr>
      <w:rFonts w:ascii="Arial" w:eastAsia="Times New Roman" w:hAnsi="Arial" w:cs="Times New Roman"/>
      <w:sz w:val="20"/>
      <w:szCs w:val="20"/>
      <w:lang w:val="en-GB" w:eastAsia="en-GB"/>
    </w:rPr>
  </w:style>
  <w:style w:type="character" w:customStyle="1" w:styleId="Naslov8Znak">
    <w:name w:val="Naslov 8 Znak"/>
    <w:basedOn w:val="Privzetapisavaodstavka"/>
    <w:link w:val="Naslov8"/>
    <w:uiPriority w:val="9"/>
    <w:rsid w:val="004C6DB0"/>
    <w:rPr>
      <w:rFonts w:ascii="Arial" w:eastAsia="Times New Roman" w:hAnsi="Arial" w:cs="Times New Roman"/>
      <w:i/>
      <w:sz w:val="20"/>
      <w:szCs w:val="20"/>
      <w:lang w:val="en-GB" w:eastAsia="en-GB"/>
    </w:rPr>
  </w:style>
  <w:style w:type="character" w:customStyle="1" w:styleId="Naslov9Znak">
    <w:name w:val="Naslov 9 Znak"/>
    <w:basedOn w:val="Privzetapisavaodstavka"/>
    <w:link w:val="Naslov9"/>
    <w:uiPriority w:val="9"/>
    <w:rsid w:val="004C6DB0"/>
    <w:rPr>
      <w:rFonts w:ascii="Arial" w:eastAsia="Times New Roman" w:hAnsi="Arial" w:cs="Times New Roman"/>
      <w:i/>
      <w:sz w:val="18"/>
      <w:szCs w:val="20"/>
      <w:lang w:val="en-GB" w:eastAsia="en-GB"/>
    </w:rPr>
  </w:style>
  <w:style w:type="paragraph" w:customStyle="1" w:styleId="ListNumberLevel3">
    <w:name w:val="List Number (Level 3)"/>
    <w:basedOn w:val="Navaden"/>
    <w:rsid w:val="004C6DB0"/>
    <w:pPr>
      <w:numPr>
        <w:ilvl w:val="3"/>
        <w:numId w:val="10"/>
      </w:numPr>
      <w:spacing w:before="120" w:after="120"/>
    </w:pPr>
    <w:rPr>
      <w:rFonts w:eastAsia="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478">
      <w:bodyDiv w:val="1"/>
      <w:marLeft w:val="0"/>
      <w:marRight w:val="0"/>
      <w:marTop w:val="0"/>
      <w:marBottom w:val="0"/>
      <w:divBdr>
        <w:top w:val="none" w:sz="0" w:space="0" w:color="auto"/>
        <w:left w:val="none" w:sz="0" w:space="0" w:color="auto"/>
        <w:bottom w:val="none" w:sz="0" w:space="0" w:color="auto"/>
        <w:right w:val="none" w:sz="0" w:space="0" w:color="auto"/>
      </w:divBdr>
    </w:div>
    <w:div w:id="38483766">
      <w:bodyDiv w:val="1"/>
      <w:marLeft w:val="0"/>
      <w:marRight w:val="0"/>
      <w:marTop w:val="0"/>
      <w:marBottom w:val="0"/>
      <w:divBdr>
        <w:top w:val="none" w:sz="0" w:space="0" w:color="auto"/>
        <w:left w:val="none" w:sz="0" w:space="0" w:color="auto"/>
        <w:bottom w:val="none" w:sz="0" w:space="0" w:color="auto"/>
        <w:right w:val="none" w:sz="0" w:space="0" w:color="auto"/>
      </w:divBdr>
    </w:div>
    <w:div w:id="48846222">
      <w:bodyDiv w:val="1"/>
      <w:marLeft w:val="0"/>
      <w:marRight w:val="0"/>
      <w:marTop w:val="0"/>
      <w:marBottom w:val="0"/>
      <w:divBdr>
        <w:top w:val="none" w:sz="0" w:space="0" w:color="auto"/>
        <w:left w:val="none" w:sz="0" w:space="0" w:color="auto"/>
        <w:bottom w:val="none" w:sz="0" w:space="0" w:color="auto"/>
        <w:right w:val="none" w:sz="0" w:space="0" w:color="auto"/>
      </w:divBdr>
    </w:div>
    <w:div w:id="58211465">
      <w:bodyDiv w:val="1"/>
      <w:marLeft w:val="0"/>
      <w:marRight w:val="0"/>
      <w:marTop w:val="0"/>
      <w:marBottom w:val="0"/>
      <w:divBdr>
        <w:top w:val="none" w:sz="0" w:space="0" w:color="auto"/>
        <w:left w:val="none" w:sz="0" w:space="0" w:color="auto"/>
        <w:bottom w:val="none" w:sz="0" w:space="0" w:color="auto"/>
        <w:right w:val="none" w:sz="0" w:space="0" w:color="auto"/>
      </w:divBdr>
    </w:div>
    <w:div w:id="72556966">
      <w:bodyDiv w:val="1"/>
      <w:marLeft w:val="0"/>
      <w:marRight w:val="0"/>
      <w:marTop w:val="0"/>
      <w:marBottom w:val="0"/>
      <w:divBdr>
        <w:top w:val="none" w:sz="0" w:space="0" w:color="auto"/>
        <w:left w:val="none" w:sz="0" w:space="0" w:color="auto"/>
        <w:bottom w:val="none" w:sz="0" w:space="0" w:color="auto"/>
        <w:right w:val="none" w:sz="0" w:space="0" w:color="auto"/>
      </w:divBdr>
    </w:div>
    <w:div w:id="160045386">
      <w:bodyDiv w:val="1"/>
      <w:marLeft w:val="0"/>
      <w:marRight w:val="0"/>
      <w:marTop w:val="0"/>
      <w:marBottom w:val="0"/>
      <w:divBdr>
        <w:top w:val="none" w:sz="0" w:space="0" w:color="auto"/>
        <w:left w:val="none" w:sz="0" w:space="0" w:color="auto"/>
        <w:bottom w:val="none" w:sz="0" w:space="0" w:color="auto"/>
        <w:right w:val="none" w:sz="0" w:space="0" w:color="auto"/>
      </w:divBdr>
    </w:div>
    <w:div w:id="160238379">
      <w:bodyDiv w:val="1"/>
      <w:marLeft w:val="0"/>
      <w:marRight w:val="0"/>
      <w:marTop w:val="0"/>
      <w:marBottom w:val="0"/>
      <w:divBdr>
        <w:top w:val="none" w:sz="0" w:space="0" w:color="auto"/>
        <w:left w:val="none" w:sz="0" w:space="0" w:color="auto"/>
        <w:bottom w:val="none" w:sz="0" w:space="0" w:color="auto"/>
        <w:right w:val="none" w:sz="0" w:space="0" w:color="auto"/>
      </w:divBdr>
    </w:div>
    <w:div w:id="179323213">
      <w:bodyDiv w:val="1"/>
      <w:marLeft w:val="0"/>
      <w:marRight w:val="0"/>
      <w:marTop w:val="0"/>
      <w:marBottom w:val="0"/>
      <w:divBdr>
        <w:top w:val="none" w:sz="0" w:space="0" w:color="auto"/>
        <w:left w:val="none" w:sz="0" w:space="0" w:color="auto"/>
        <w:bottom w:val="none" w:sz="0" w:space="0" w:color="auto"/>
        <w:right w:val="none" w:sz="0" w:space="0" w:color="auto"/>
      </w:divBdr>
    </w:div>
    <w:div w:id="260840147">
      <w:bodyDiv w:val="1"/>
      <w:marLeft w:val="0"/>
      <w:marRight w:val="0"/>
      <w:marTop w:val="0"/>
      <w:marBottom w:val="0"/>
      <w:divBdr>
        <w:top w:val="none" w:sz="0" w:space="0" w:color="auto"/>
        <w:left w:val="none" w:sz="0" w:space="0" w:color="auto"/>
        <w:bottom w:val="none" w:sz="0" w:space="0" w:color="auto"/>
        <w:right w:val="none" w:sz="0" w:space="0" w:color="auto"/>
      </w:divBdr>
    </w:div>
    <w:div w:id="279923170">
      <w:bodyDiv w:val="1"/>
      <w:marLeft w:val="0"/>
      <w:marRight w:val="0"/>
      <w:marTop w:val="0"/>
      <w:marBottom w:val="0"/>
      <w:divBdr>
        <w:top w:val="none" w:sz="0" w:space="0" w:color="auto"/>
        <w:left w:val="none" w:sz="0" w:space="0" w:color="auto"/>
        <w:bottom w:val="none" w:sz="0" w:space="0" w:color="auto"/>
        <w:right w:val="none" w:sz="0" w:space="0" w:color="auto"/>
      </w:divBdr>
    </w:div>
    <w:div w:id="281502224">
      <w:bodyDiv w:val="1"/>
      <w:marLeft w:val="0"/>
      <w:marRight w:val="0"/>
      <w:marTop w:val="0"/>
      <w:marBottom w:val="0"/>
      <w:divBdr>
        <w:top w:val="none" w:sz="0" w:space="0" w:color="auto"/>
        <w:left w:val="none" w:sz="0" w:space="0" w:color="auto"/>
        <w:bottom w:val="none" w:sz="0" w:space="0" w:color="auto"/>
        <w:right w:val="none" w:sz="0" w:space="0" w:color="auto"/>
      </w:divBdr>
    </w:div>
    <w:div w:id="291639422">
      <w:bodyDiv w:val="1"/>
      <w:marLeft w:val="0"/>
      <w:marRight w:val="0"/>
      <w:marTop w:val="0"/>
      <w:marBottom w:val="0"/>
      <w:divBdr>
        <w:top w:val="none" w:sz="0" w:space="0" w:color="auto"/>
        <w:left w:val="none" w:sz="0" w:space="0" w:color="auto"/>
        <w:bottom w:val="none" w:sz="0" w:space="0" w:color="auto"/>
        <w:right w:val="none" w:sz="0" w:space="0" w:color="auto"/>
      </w:divBdr>
    </w:div>
    <w:div w:id="332339514">
      <w:bodyDiv w:val="1"/>
      <w:marLeft w:val="0"/>
      <w:marRight w:val="0"/>
      <w:marTop w:val="0"/>
      <w:marBottom w:val="0"/>
      <w:divBdr>
        <w:top w:val="none" w:sz="0" w:space="0" w:color="auto"/>
        <w:left w:val="none" w:sz="0" w:space="0" w:color="auto"/>
        <w:bottom w:val="none" w:sz="0" w:space="0" w:color="auto"/>
        <w:right w:val="none" w:sz="0" w:space="0" w:color="auto"/>
      </w:divBdr>
    </w:div>
    <w:div w:id="375470559">
      <w:bodyDiv w:val="1"/>
      <w:marLeft w:val="0"/>
      <w:marRight w:val="0"/>
      <w:marTop w:val="0"/>
      <w:marBottom w:val="0"/>
      <w:divBdr>
        <w:top w:val="none" w:sz="0" w:space="0" w:color="auto"/>
        <w:left w:val="none" w:sz="0" w:space="0" w:color="auto"/>
        <w:bottom w:val="none" w:sz="0" w:space="0" w:color="auto"/>
        <w:right w:val="none" w:sz="0" w:space="0" w:color="auto"/>
      </w:divBdr>
    </w:div>
    <w:div w:id="397674325">
      <w:bodyDiv w:val="1"/>
      <w:marLeft w:val="0"/>
      <w:marRight w:val="0"/>
      <w:marTop w:val="0"/>
      <w:marBottom w:val="0"/>
      <w:divBdr>
        <w:top w:val="none" w:sz="0" w:space="0" w:color="auto"/>
        <w:left w:val="none" w:sz="0" w:space="0" w:color="auto"/>
        <w:bottom w:val="none" w:sz="0" w:space="0" w:color="auto"/>
        <w:right w:val="none" w:sz="0" w:space="0" w:color="auto"/>
      </w:divBdr>
    </w:div>
    <w:div w:id="408578130">
      <w:bodyDiv w:val="1"/>
      <w:marLeft w:val="0"/>
      <w:marRight w:val="0"/>
      <w:marTop w:val="0"/>
      <w:marBottom w:val="0"/>
      <w:divBdr>
        <w:top w:val="none" w:sz="0" w:space="0" w:color="auto"/>
        <w:left w:val="none" w:sz="0" w:space="0" w:color="auto"/>
        <w:bottom w:val="none" w:sz="0" w:space="0" w:color="auto"/>
        <w:right w:val="none" w:sz="0" w:space="0" w:color="auto"/>
      </w:divBdr>
    </w:div>
    <w:div w:id="417286919">
      <w:bodyDiv w:val="1"/>
      <w:marLeft w:val="0"/>
      <w:marRight w:val="0"/>
      <w:marTop w:val="0"/>
      <w:marBottom w:val="0"/>
      <w:divBdr>
        <w:top w:val="none" w:sz="0" w:space="0" w:color="auto"/>
        <w:left w:val="none" w:sz="0" w:space="0" w:color="auto"/>
        <w:bottom w:val="none" w:sz="0" w:space="0" w:color="auto"/>
        <w:right w:val="none" w:sz="0" w:space="0" w:color="auto"/>
      </w:divBdr>
    </w:div>
    <w:div w:id="418605019">
      <w:bodyDiv w:val="1"/>
      <w:marLeft w:val="0"/>
      <w:marRight w:val="0"/>
      <w:marTop w:val="0"/>
      <w:marBottom w:val="0"/>
      <w:divBdr>
        <w:top w:val="none" w:sz="0" w:space="0" w:color="auto"/>
        <w:left w:val="none" w:sz="0" w:space="0" w:color="auto"/>
        <w:bottom w:val="none" w:sz="0" w:space="0" w:color="auto"/>
        <w:right w:val="none" w:sz="0" w:space="0" w:color="auto"/>
      </w:divBdr>
    </w:div>
    <w:div w:id="422650307">
      <w:bodyDiv w:val="1"/>
      <w:marLeft w:val="0"/>
      <w:marRight w:val="0"/>
      <w:marTop w:val="0"/>
      <w:marBottom w:val="0"/>
      <w:divBdr>
        <w:top w:val="none" w:sz="0" w:space="0" w:color="auto"/>
        <w:left w:val="none" w:sz="0" w:space="0" w:color="auto"/>
        <w:bottom w:val="none" w:sz="0" w:space="0" w:color="auto"/>
        <w:right w:val="none" w:sz="0" w:space="0" w:color="auto"/>
      </w:divBdr>
    </w:div>
    <w:div w:id="434247184">
      <w:bodyDiv w:val="1"/>
      <w:marLeft w:val="0"/>
      <w:marRight w:val="0"/>
      <w:marTop w:val="0"/>
      <w:marBottom w:val="0"/>
      <w:divBdr>
        <w:top w:val="none" w:sz="0" w:space="0" w:color="auto"/>
        <w:left w:val="none" w:sz="0" w:space="0" w:color="auto"/>
        <w:bottom w:val="none" w:sz="0" w:space="0" w:color="auto"/>
        <w:right w:val="none" w:sz="0" w:space="0" w:color="auto"/>
      </w:divBdr>
    </w:div>
    <w:div w:id="530270222">
      <w:bodyDiv w:val="1"/>
      <w:marLeft w:val="0"/>
      <w:marRight w:val="0"/>
      <w:marTop w:val="0"/>
      <w:marBottom w:val="0"/>
      <w:divBdr>
        <w:top w:val="none" w:sz="0" w:space="0" w:color="auto"/>
        <w:left w:val="none" w:sz="0" w:space="0" w:color="auto"/>
        <w:bottom w:val="none" w:sz="0" w:space="0" w:color="auto"/>
        <w:right w:val="none" w:sz="0" w:space="0" w:color="auto"/>
      </w:divBdr>
    </w:div>
    <w:div w:id="532309038">
      <w:bodyDiv w:val="1"/>
      <w:marLeft w:val="0"/>
      <w:marRight w:val="0"/>
      <w:marTop w:val="0"/>
      <w:marBottom w:val="0"/>
      <w:divBdr>
        <w:top w:val="none" w:sz="0" w:space="0" w:color="auto"/>
        <w:left w:val="none" w:sz="0" w:space="0" w:color="auto"/>
        <w:bottom w:val="none" w:sz="0" w:space="0" w:color="auto"/>
        <w:right w:val="none" w:sz="0" w:space="0" w:color="auto"/>
      </w:divBdr>
    </w:div>
    <w:div w:id="536965328">
      <w:bodyDiv w:val="1"/>
      <w:marLeft w:val="0"/>
      <w:marRight w:val="0"/>
      <w:marTop w:val="0"/>
      <w:marBottom w:val="0"/>
      <w:divBdr>
        <w:top w:val="none" w:sz="0" w:space="0" w:color="auto"/>
        <w:left w:val="none" w:sz="0" w:space="0" w:color="auto"/>
        <w:bottom w:val="none" w:sz="0" w:space="0" w:color="auto"/>
        <w:right w:val="none" w:sz="0" w:space="0" w:color="auto"/>
      </w:divBdr>
    </w:div>
    <w:div w:id="608009390">
      <w:bodyDiv w:val="1"/>
      <w:marLeft w:val="0"/>
      <w:marRight w:val="0"/>
      <w:marTop w:val="0"/>
      <w:marBottom w:val="0"/>
      <w:divBdr>
        <w:top w:val="none" w:sz="0" w:space="0" w:color="auto"/>
        <w:left w:val="none" w:sz="0" w:space="0" w:color="auto"/>
        <w:bottom w:val="none" w:sz="0" w:space="0" w:color="auto"/>
        <w:right w:val="none" w:sz="0" w:space="0" w:color="auto"/>
      </w:divBdr>
    </w:div>
    <w:div w:id="634333483">
      <w:bodyDiv w:val="1"/>
      <w:marLeft w:val="0"/>
      <w:marRight w:val="0"/>
      <w:marTop w:val="0"/>
      <w:marBottom w:val="0"/>
      <w:divBdr>
        <w:top w:val="none" w:sz="0" w:space="0" w:color="auto"/>
        <w:left w:val="none" w:sz="0" w:space="0" w:color="auto"/>
        <w:bottom w:val="none" w:sz="0" w:space="0" w:color="auto"/>
        <w:right w:val="none" w:sz="0" w:space="0" w:color="auto"/>
      </w:divBdr>
    </w:div>
    <w:div w:id="636568529">
      <w:bodyDiv w:val="1"/>
      <w:marLeft w:val="0"/>
      <w:marRight w:val="0"/>
      <w:marTop w:val="0"/>
      <w:marBottom w:val="0"/>
      <w:divBdr>
        <w:top w:val="none" w:sz="0" w:space="0" w:color="auto"/>
        <w:left w:val="none" w:sz="0" w:space="0" w:color="auto"/>
        <w:bottom w:val="none" w:sz="0" w:space="0" w:color="auto"/>
        <w:right w:val="none" w:sz="0" w:space="0" w:color="auto"/>
      </w:divBdr>
    </w:div>
    <w:div w:id="672950441">
      <w:bodyDiv w:val="1"/>
      <w:marLeft w:val="0"/>
      <w:marRight w:val="0"/>
      <w:marTop w:val="0"/>
      <w:marBottom w:val="0"/>
      <w:divBdr>
        <w:top w:val="none" w:sz="0" w:space="0" w:color="auto"/>
        <w:left w:val="none" w:sz="0" w:space="0" w:color="auto"/>
        <w:bottom w:val="none" w:sz="0" w:space="0" w:color="auto"/>
        <w:right w:val="none" w:sz="0" w:space="0" w:color="auto"/>
      </w:divBdr>
      <w:divsChild>
        <w:div w:id="1351099679">
          <w:marLeft w:val="0"/>
          <w:marRight w:val="0"/>
          <w:marTop w:val="0"/>
          <w:marBottom w:val="0"/>
          <w:divBdr>
            <w:top w:val="none" w:sz="0" w:space="0" w:color="auto"/>
            <w:left w:val="none" w:sz="0" w:space="0" w:color="auto"/>
            <w:bottom w:val="none" w:sz="0" w:space="0" w:color="auto"/>
            <w:right w:val="none" w:sz="0" w:space="0" w:color="auto"/>
          </w:divBdr>
        </w:div>
        <w:div w:id="863862097">
          <w:marLeft w:val="0"/>
          <w:marRight w:val="0"/>
          <w:marTop w:val="0"/>
          <w:marBottom w:val="0"/>
          <w:divBdr>
            <w:top w:val="none" w:sz="0" w:space="0" w:color="auto"/>
            <w:left w:val="none" w:sz="0" w:space="0" w:color="auto"/>
            <w:bottom w:val="none" w:sz="0" w:space="0" w:color="auto"/>
            <w:right w:val="none" w:sz="0" w:space="0" w:color="auto"/>
          </w:divBdr>
        </w:div>
        <w:div w:id="1096826775">
          <w:marLeft w:val="0"/>
          <w:marRight w:val="0"/>
          <w:marTop w:val="0"/>
          <w:marBottom w:val="0"/>
          <w:divBdr>
            <w:top w:val="none" w:sz="0" w:space="0" w:color="auto"/>
            <w:left w:val="none" w:sz="0" w:space="0" w:color="auto"/>
            <w:bottom w:val="none" w:sz="0" w:space="0" w:color="auto"/>
            <w:right w:val="none" w:sz="0" w:space="0" w:color="auto"/>
          </w:divBdr>
        </w:div>
      </w:divsChild>
    </w:div>
    <w:div w:id="675575402">
      <w:bodyDiv w:val="1"/>
      <w:marLeft w:val="0"/>
      <w:marRight w:val="0"/>
      <w:marTop w:val="0"/>
      <w:marBottom w:val="0"/>
      <w:divBdr>
        <w:top w:val="none" w:sz="0" w:space="0" w:color="auto"/>
        <w:left w:val="none" w:sz="0" w:space="0" w:color="auto"/>
        <w:bottom w:val="none" w:sz="0" w:space="0" w:color="auto"/>
        <w:right w:val="none" w:sz="0" w:space="0" w:color="auto"/>
      </w:divBdr>
    </w:div>
    <w:div w:id="682777985">
      <w:bodyDiv w:val="1"/>
      <w:marLeft w:val="0"/>
      <w:marRight w:val="0"/>
      <w:marTop w:val="0"/>
      <w:marBottom w:val="0"/>
      <w:divBdr>
        <w:top w:val="none" w:sz="0" w:space="0" w:color="auto"/>
        <w:left w:val="none" w:sz="0" w:space="0" w:color="auto"/>
        <w:bottom w:val="none" w:sz="0" w:space="0" w:color="auto"/>
        <w:right w:val="none" w:sz="0" w:space="0" w:color="auto"/>
      </w:divBdr>
    </w:div>
    <w:div w:id="731007482">
      <w:bodyDiv w:val="1"/>
      <w:marLeft w:val="0"/>
      <w:marRight w:val="0"/>
      <w:marTop w:val="0"/>
      <w:marBottom w:val="0"/>
      <w:divBdr>
        <w:top w:val="none" w:sz="0" w:space="0" w:color="auto"/>
        <w:left w:val="none" w:sz="0" w:space="0" w:color="auto"/>
        <w:bottom w:val="none" w:sz="0" w:space="0" w:color="auto"/>
        <w:right w:val="none" w:sz="0" w:space="0" w:color="auto"/>
      </w:divBdr>
      <w:divsChild>
        <w:div w:id="1726834513">
          <w:marLeft w:val="0"/>
          <w:marRight w:val="0"/>
          <w:marTop w:val="0"/>
          <w:marBottom w:val="0"/>
          <w:divBdr>
            <w:top w:val="none" w:sz="0" w:space="0" w:color="auto"/>
            <w:left w:val="none" w:sz="0" w:space="0" w:color="auto"/>
            <w:bottom w:val="none" w:sz="0" w:space="0" w:color="auto"/>
            <w:right w:val="none" w:sz="0" w:space="0" w:color="auto"/>
          </w:divBdr>
          <w:divsChild>
            <w:div w:id="1400516497">
              <w:marLeft w:val="0"/>
              <w:marRight w:val="0"/>
              <w:marTop w:val="0"/>
              <w:marBottom w:val="0"/>
              <w:divBdr>
                <w:top w:val="none" w:sz="0" w:space="0" w:color="auto"/>
                <w:left w:val="none" w:sz="0" w:space="0" w:color="auto"/>
                <w:bottom w:val="none" w:sz="0" w:space="0" w:color="auto"/>
                <w:right w:val="none" w:sz="0" w:space="0" w:color="auto"/>
              </w:divBdr>
              <w:divsChild>
                <w:div w:id="151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787888">
      <w:bodyDiv w:val="1"/>
      <w:marLeft w:val="0"/>
      <w:marRight w:val="0"/>
      <w:marTop w:val="0"/>
      <w:marBottom w:val="0"/>
      <w:divBdr>
        <w:top w:val="none" w:sz="0" w:space="0" w:color="auto"/>
        <w:left w:val="none" w:sz="0" w:space="0" w:color="auto"/>
        <w:bottom w:val="none" w:sz="0" w:space="0" w:color="auto"/>
        <w:right w:val="none" w:sz="0" w:space="0" w:color="auto"/>
      </w:divBdr>
    </w:div>
    <w:div w:id="747193208">
      <w:bodyDiv w:val="1"/>
      <w:marLeft w:val="0"/>
      <w:marRight w:val="0"/>
      <w:marTop w:val="0"/>
      <w:marBottom w:val="0"/>
      <w:divBdr>
        <w:top w:val="none" w:sz="0" w:space="0" w:color="auto"/>
        <w:left w:val="none" w:sz="0" w:space="0" w:color="auto"/>
        <w:bottom w:val="none" w:sz="0" w:space="0" w:color="auto"/>
        <w:right w:val="none" w:sz="0" w:space="0" w:color="auto"/>
      </w:divBdr>
    </w:div>
    <w:div w:id="758909865">
      <w:bodyDiv w:val="1"/>
      <w:marLeft w:val="0"/>
      <w:marRight w:val="0"/>
      <w:marTop w:val="0"/>
      <w:marBottom w:val="0"/>
      <w:divBdr>
        <w:top w:val="none" w:sz="0" w:space="0" w:color="auto"/>
        <w:left w:val="none" w:sz="0" w:space="0" w:color="auto"/>
        <w:bottom w:val="none" w:sz="0" w:space="0" w:color="auto"/>
        <w:right w:val="none" w:sz="0" w:space="0" w:color="auto"/>
      </w:divBdr>
    </w:div>
    <w:div w:id="784353973">
      <w:bodyDiv w:val="1"/>
      <w:marLeft w:val="0"/>
      <w:marRight w:val="0"/>
      <w:marTop w:val="0"/>
      <w:marBottom w:val="0"/>
      <w:divBdr>
        <w:top w:val="none" w:sz="0" w:space="0" w:color="auto"/>
        <w:left w:val="none" w:sz="0" w:space="0" w:color="auto"/>
        <w:bottom w:val="none" w:sz="0" w:space="0" w:color="auto"/>
        <w:right w:val="none" w:sz="0" w:space="0" w:color="auto"/>
      </w:divBdr>
    </w:div>
    <w:div w:id="834566894">
      <w:bodyDiv w:val="1"/>
      <w:marLeft w:val="0"/>
      <w:marRight w:val="0"/>
      <w:marTop w:val="0"/>
      <w:marBottom w:val="0"/>
      <w:divBdr>
        <w:top w:val="none" w:sz="0" w:space="0" w:color="auto"/>
        <w:left w:val="none" w:sz="0" w:space="0" w:color="auto"/>
        <w:bottom w:val="none" w:sz="0" w:space="0" w:color="auto"/>
        <w:right w:val="none" w:sz="0" w:space="0" w:color="auto"/>
      </w:divBdr>
    </w:div>
    <w:div w:id="836725642">
      <w:bodyDiv w:val="1"/>
      <w:marLeft w:val="0"/>
      <w:marRight w:val="0"/>
      <w:marTop w:val="0"/>
      <w:marBottom w:val="0"/>
      <w:divBdr>
        <w:top w:val="none" w:sz="0" w:space="0" w:color="auto"/>
        <w:left w:val="none" w:sz="0" w:space="0" w:color="auto"/>
        <w:bottom w:val="none" w:sz="0" w:space="0" w:color="auto"/>
        <w:right w:val="none" w:sz="0" w:space="0" w:color="auto"/>
      </w:divBdr>
    </w:div>
    <w:div w:id="857961334">
      <w:bodyDiv w:val="1"/>
      <w:marLeft w:val="0"/>
      <w:marRight w:val="0"/>
      <w:marTop w:val="0"/>
      <w:marBottom w:val="0"/>
      <w:divBdr>
        <w:top w:val="none" w:sz="0" w:space="0" w:color="auto"/>
        <w:left w:val="none" w:sz="0" w:space="0" w:color="auto"/>
        <w:bottom w:val="none" w:sz="0" w:space="0" w:color="auto"/>
        <w:right w:val="none" w:sz="0" w:space="0" w:color="auto"/>
      </w:divBdr>
    </w:div>
    <w:div w:id="866871169">
      <w:bodyDiv w:val="1"/>
      <w:marLeft w:val="0"/>
      <w:marRight w:val="0"/>
      <w:marTop w:val="0"/>
      <w:marBottom w:val="0"/>
      <w:divBdr>
        <w:top w:val="none" w:sz="0" w:space="0" w:color="auto"/>
        <w:left w:val="none" w:sz="0" w:space="0" w:color="auto"/>
        <w:bottom w:val="none" w:sz="0" w:space="0" w:color="auto"/>
        <w:right w:val="none" w:sz="0" w:space="0" w:color="auto"/>
      </w:divBdr>
    </w:div>
    <w:div w:id="916785251">
      <w:bodyDiv w:val="1"/>
      <w:marLeft w:val="0"/>
      <w:marRight w:val="0"/>
      <w:marTop w:val="0"/>
      <w:marBottom w:val="0"/>
      <w:divBdr>
        <w:top w:val="none" w:sz="0" w:space="0" w:color="auto"/>
        <w:left w:val="none" w:sz="0" w:space="0" w:color="auto"/>
        <w:bottom w:val="none" w:sz="0" w:space="0" w:color="auto"/>
        <w:right w:val="none" w:sz="0" w:space="0" w:color="auto"/>
      </w:divBdr>
      <w:divsChild>
        <w:div w:id="975061917">
          <w:marLeft w:val="0"/>
          <w:marRight w:val="0"/>
          <w:marTop w:val="0"/>
          <w:marBottom w:val="0"/>
          <w:divBdr>
            <w:top w:val="none" w:sz="0" w:space="0" w:color="auto"/>
            <w:left w:val="none" w:sz="0" w:space="0" w:color="auto"/>
            <w:bottom w:val="none" w:sz="0" w:space="0" w:color="auto"/>
            <w:right w:val="none" w:sz="0" w:space="0" w:color="auto"/>
          </w:divBdr>
        </w:div>
        <w:div w:id="2124835066">
          <w:marLeft w:val="0"/>
          <w:marRight w:val="0"/>
          <w:marTop w:val="0"/>
          <w:marBottom w:val="0"/>
          <w:divBdr>
            <w:top w:val="none" w:sz="0" w:space="0" w:color="auto"/>
            <w:left w:val="none" w:sz="0" w:space="0" w:color="auto"/>
            <w:bottom w:val="none" w:sz="0" w:space="0" w:color="auto"/>
            <w:right w:val="none" w:sz="0" w:space="0" w:color="auto"/>
          </w:divBdr>
        </w:div>
        <w:div w:id="1757364896">
          <w:marLeft w:val="0"/>
          <w:marRight w:val="0"/>
          <w:marTop w:val="0"/>
          <w:marBottom w:val="0"/>
          <w:divBdr>
            <w:top w:val="none" w:sz="0" w:space="0" w:color="auto"/>
            <w:left w:val="none" w:sz="0" w:space="0" w:color="auto"/>
            <w:bottom w:val="none" w:sz="0" w:space="0" w:color="auto"/>
            <w:right w:val="none" w:sz="0" w:space="0" w:color="auto"/>
          </w:divBdr>
        </w:div>
        <w:div w:id="341395110">
          <w:marLeft w:val="0"/>
          <w:marRight w:val="0"/>
          <w:marTop w:val="0"/>
          <w:marBottom w:val="0"/>
          <w:divBdr>
            <w:top w:val="none" w:sz="0" w:space="0" w:color="auto"/>
            <w:left w:val="none" w:sz="0" w:space="0" w:color="auto"/>
            <w:bottom w:val="none" w:sz="0" w:space="0" w:color="auto"/>
            <w:right w:val="none" w:sz="0" w:space="0" w:color="auto"/>
          </w:divBdr>
        </w:div>
        <w:div w:id="2004506141">
          <w:marLeft w:val="0"/>
          <w:marRight w:val="0"/>
          <w:marTop w:val="0"/>
          <w:marBottom w:val="0"/>
          <w:divBdr>
            <w:top w:val="none" w:sz="0" w:space="0" w:color="auto"/>
            <w:left w:val="none" w:sz="0" w:space="0" w:color="auto"/>
            <w:bottom w:val="none" w:sz="0" w:space="0" w:color="auto"/>
            <w:right w:val="none" w:sz="0" w:space="0" w:color="auto"/>
          </w:divBdr>
        </w:div>
      </w:divsChild>
    </w:div>
    <w:div w:id="921255067">
      <w:bodyDiv w:val="1"/>
      <w:marLeft w:val="0"/>
      <w:marRight w:val="0"/>
      <w:marTop w:val="0"/>
      <w:marBottom w:val="0"/>
      <w:divBdr>
        <w:top w:val="none" w:sz="0" w:space="0" w:color="auto"/>
        <w:left w:val="none" w:sz="0" w:space="0" w:color="auto"/>
        <w:bottom w:val="none" w:sz="0" w:space="0" w:color="auto"/>
        <w:right w:val="none" w:sz="0" w:space="0" w:color="auto"/>
      </w:divBdr>
    </w:div>
    <w:div w:id="930697496">
      <w:bodyDiv w:val="1"/>
      <w:marLeft w:val="0"/>
      <w:marRight w:val="0"/>
      <w:marTop w:val="0"/>
      <w:marBottom w:val="0"/>
      <w:divBdr>
        <w:top w:val="none" w:sz="0" w:space="0" w:color="auto"/>
        <w:left w:val="none" w:sz="0" w:space="0" w:color="auto"/>
        <w:bottom w:val="none" w:sz="0" w:space="0" w:color="auto"/>
        <w:right w:val="none" w:sz="0" w:space="0" w:color="auto"/>
      </w:divBdr>
    </w:div>
    <w:div w:id="973369973">
      <w:bodyDiv w:val="1"/>
      <w:marLeft w:val="0"/>
      <w:marRight w:val="0"/>
      <w:marTop w:val="0"/>
      <w:marBottom w:val="0"/>
      <w:divBdr>
        <w:top w:val="none" w:sz="0" w:space="0" w:color="auto"/>
        <w:left w:val="none" w:sz="0" w:space="0" w:color="auto"/>
        <w:bottom w:val="none" w:sz="0" w:space="0" w:color="auto"/>
        <w:right w:val="none" w:sz="0" w:space="0" w:color="auto"/>
      </w:divBdr>
    </w:div>
    <w:div w:id="984166601">
      <w:bodyDiv w:val="1"/>
      <w:marLeft w:val="0"/>
      <w:marRight w:val="0"/>
      <w:marTop w:val="0"/>
      <w:marBottom w:val="0"/>
      <w:divBdr>
        <w:top w:val="none" w:sz="0" w:space="0" w:color="auto"/>
        <w:left w:val="none" w:sz="0" w:space="0" w:color="auto"/>
        <w:bottom w:val="none" w:sz="0" w:space="0" w:color="auto"/>
        <w:right w:val="none" w:sz="0" w:space="0" w:color="auto"/>
      </w:divBdr>
    </w:div>
    <w:div w:id="995769366">
      <w:bodyDiv w:val="1"/>
      <w:marLeft w:val="0"/>
      <w:marRight w:val="0"/>
      <w:marTop w:val="0"/>
      <w:marBottom w:val="0"/>
      <w:divBdr>
        <w:top w:val="none" w:sz="0" w:space="0" w:color="auto"/>
        <w:left w:val="none" w:sz="0" w:space="0" w:color="auto"/>
        <w:bottom w:val="none" w:sz="0" w:space="0" w:color="auto"/>
        <w:right w:val="none" w:sz="0" w:space="0" w:color="auto"/>
      </w:divBdr>
    </w:div>
    <w:div w:id="1006053523">
      <w:bodyDiv w:val="1"/>
      <w:marLeft w:val="0"/>
      <w:marRight w:val="0"/>
      <w:marTop w:val="0"/>
      <w:marBottom w:val="0"/>
      <w:divBdr>
        <w:top w:val="none" w:sz="0" w:space="0" w:color="auto"/>
        <w:left w:val="none" w:sz="0" w:space="0" w:color="auto"/>
        <w:bottom w:val="none" w:sz="0" w:space="0" w:color="auto"/>
        <w:right w:val="none" w:sz="0" w:space="0" w:color="auto"/>
      </w:divBdr>
    </w:div>
    <w:div w:id="1011105334">
      <w:bodyDiv w:val="1"/>
      <w:marLeft w:val="0"/>
      <w:marRight w:val="0"/>
      <w:marTop w:val="0"/>
      <w:marBottom w:val="0"/>
      <w:divBdr>
        <w:top w:val="none" w:sz="0" w:space="0" w:color="auto"/>
        <w:left w:val="none" w:sz="0" w:space="0" w:color="auto"/>
        <w:bottom w:val="none" w:sz="0" w:space="0" w:color="auto"/>
        <w:right w:val="none" w:sz="0" w:space="0" w:color="auto"/>
      </w:divBdr>
    </w:div>
    <w:div w:id="1019626798">
      <w:bodyDiv w:val="1"/>
      <w:marLeft w:val="0"/>
      <w:marRight w:val="0"/>
      <w:marTop w:val="0"/>
      <w:marBottom w:val="0"/>
      <w:divBdr>
        <w:top w:val="none" w:sz="0" w:space="0" w:color="auto"/>
        <w:left w:val="none" w:sz="0" w:space="0" w:color="auto"/>
        <w:bottom w:val="none" w:sz="0" w:space="0" w:color="auto"/>
        <w:right w:val="none" w:sz="0" w:space="0" w:color="auto"/>
      </w:divBdr>
    </w:div>
    <w:div w:id="1028871382">
      <w:bodyDiv w:val="1"/>
      <w:marLeft w:val="0"/>
      <w:marRight w:val="0"/>
      <w:marTop w:val="0"/>
      <w:marBottom w:val="0"/>
      <w:divBdr>
        <w:top w:val="none" w:sz="0" w:space="0" w:color="auto"/>
        <w:left w:val="none" w:sz="0" w:space="0" w:color="auto"/>
        <w:bottom w:val="none" w:sz="0" w:space="0" w:color="auto"/>
        <w:right w:val="none" w:sz="0" w:space="0" w:color="auto"/>
      </w:divBdr>
    </w:div>
    <w:div w:id="1058549444">
      <w:bodyDiv w:val="1"/>
      <w:marLeft w:val="0"/>
      <w:marRight w:val="0"/>
      <w:marTop w:val="0"/>
      <w:marBottom w:val="0"/>
      <w:divBdr>
        <w:top w:val="none" w:sz="0" w:space="0" w:color="auto"/>
        <w:left w:val="none" w:sz="0" w:space="0" w:color="auto"/>
        <w:bottom w:val="none" w:sz="0" w:space="0" w:color="auto"/>
        <w:right w:val="none" w:sz="0" w:space="0" w:color="auto"/>
      </w:divBdr>
    </w:div>
    <w:div w:id="1077246656">
      <w:bodyDiv w:val="1"/>
      <w:marLeft w:val="0"/>
      <w:marRight w:val="0"/>
      <w:marTop w:val="0"/>
      <w:marBottom w:val="0"/>
      <w:divBdr>
        <w:top w:val="none" w:sz="0" w:space="0" w:color="auto"/>
        <w:left w:val="none" w:sz="0" w:space="0" w:color="auto"/>
        <w:bottom w:val="none" w:sz="0" w:space="0" w:color="auto"/>
        <w:right w:val="none" w:sz="0" w:space="0" w:color="auto"/>
      </w:divBdr>
    </w:div>
    <w:div w:id="1153449488">
      <w:bodyDiv w:val="1"/>
      <w:marLeft w:val="0"/>
      <w:marRight w:val="0"/>
      <w:marTop w:val="0"/>
      <w:marBottom w:val="0"/>
      <w:divBdr>
        <w:top w:val="none" w:sz="0" w:space="0" w:color="auto"/>
        <w:left w:val="none" w:sz="0" w:space="0" w:color="auto"/>
        <w:bottom w:val="none" w:sz="0" w:space="0" w:color="auto"/>
        <w:right w:val="none" w:sz="0" w:space="0" w:color="auto"/>
      </w:divBdr>
    </w:div>
    <w:div w:id="1182740349">
      <w:bodyDiv w:val="1"/>
      <w:marLeft w:val="0"/>
      <w:marRight w:val="0"/>
      <w:marTop w:val="0"/>
      <w:marBottom w:val="0"/>
      <w:divBdr>
        <w:top w:val="none" w:sz="0" w:space="0" w:color="auto"/>
        <w:left w:val="none" w:sz="0" w:space="0" w:color="auto"/>
        <w:bottom w:val="none" w:sz="0" w:space="0" w:color="auto"/>
        <w:right w:val="none" w:sz="0" w:space="0" w:color="auto"/>
      </w:divBdr>
    </w:div>
    <w:div w:id="1184394098">
      <w:bodyDiv w:val="1"/>
      <w:marLeft w:val="0"/>
      <w:marRight w:val="0"/>
      <w:marTop w:val="0"/>
      <w:marBottom w:val="0"/>
      <w:divBdr>
        <w:top w:val="none" w:sz="0" w:space="0" w:color="auto"/>
        <w:left w:val="none" w:sz="0" w:space="0" w:color="auto"/>
        <w:bottom w:val="none" w:sz="0" w:space="0" w:color="auto"/>
        <w:right w:val="none" w:sz="0" w:space="0" w:color="auto"/>
      </w:divBdr>
      <w:divsChild>
        <w:div w:id="487132176">
          <w:marLeft w:val="0"/>
          <w:marRight w:val="0"/>
          <w:marTop w:val="0"/>
          <w:marBottom w:val="0"/>
          <w:divBdr>
            <w:top w:val="none" w:sz="0" w:space="0" w:color="auto"/>
            <w:left w:val="none" w:sz="0" w:space="0" w:color="auto"/>
            <w:bottom w:val="none" w:sz="0" w:space="0" w:color="auto"/>
            <w:right w:val="none" w:sz="0" w:space="0" w:color="auto"/>
          </w:divBdr>
          <w:divsChild>
            <w:div w:id="1255044875">
              <w:marLeft w:val="0"/>
              <w:marRight w:val="0"/>
              <w:marTop w:val="0"/>
              <w:marBottom w:val="0"/>
              <w:divBdr>
                <w:top w:val="none" w:sz="0" w:space="0" w:color="auto"/>
                <w:left w:val="none" w:sz="0" w:space="0" w:color="auto"/>
                <w:bottom w:val="none" w:sz="0" w:space="0" w:color="auto"/>
                <w:right w:val="none" w:sz="0" w:space="0" w:color="auto"/>
              </w:divBdr>
              <w:divsChild>
                <w:div w:id="52752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68962">
      <w:bodyDiv w:val="1"/>
      <w:marLeft w:val="0"/>
      <w:marRight w:val="0"/>
      <w:marTop w:val="0"/>
      <w:marBottom w:val="0"/>
      <w:divBdr>
        <w:top w:val="none" w:sz="0" w:space="0" w:color="auto"/>
        <w:left w:val="none" w:sz="0" w:space="0" w:color="auto"/>
        <w:bottom w:val="none" w:sz="0" w:space="0" w:color="auto"/>
        <w:right w:val="none" w:sz="0" w:space="0" w:color="auto"/>
      </w:divBdr>
    </w:div>
    <w:div w:id="1209218891">
      <w:bodyDiv w:val="1"/>
      <w:marLeft w:val="0"/>
      <w:marRight w:val="0"/>
      <w:marTop w:val="0"/>
      <w:marBottom w:val="0"/>
      <w:divBdr>
        <w:top w:val="none" w:sz="0" w:space="0" w:color="auto"/>
        <w:left w:val="none" w:sz="0" w:space="0" w:color="auto"/>
        <w:bottom w:val="none" w:sz="0" w:space="0" w:color="auto"/>
        <w:right w:val="none" w:sz="0" w:space="0" w:color="auto"/>
      </w:divBdr>
    </w:div>
    <w:div w:id="1270047281">
      <w:bodyDiv w:val="1"/>
      <w:marLeft w:val="0"/>
      <w:marRight w:val="0"/>
      <w:marTop w:val="0"/>
      <w:marBottom w:val="0"/>
      <w:divBdr>
        <w:top w:val="none" w:sz="0" w:space="0" w:color="auto"/>
        <w:left w:val="none" w:sz="0" w:space="0" w:color="auto"/>
        <w:bottom w:val="none" w:sz="0" w:space="0" w:color="auto"/>
        <w:right w:val="none" w:sz="0" w:space="0" w:color="auto"/>
      </w:divBdr>
    </w:div>
    <w:div w:id="1272393750">
      <w:bodyDiv w:val="1"/>
      <w:marLeft w:val="0"/>
      <w:marRight w:val="0"/>
      <w:marTop w:val="0"/>
      <w:marBottom w:val="0"/>
      <w:divBdr>
        <w:top w:val="none" w:sz="0" w:space="0" w:color="auto"/>
        <w:left w:val="none" w:sz="0" w:space="0" w:color="auto"/>
        <w:bottom w:val="none" w:sz="0" w:space="0" w:color="auto"/>
        <w:right w:val="none" w:sz="0" w:space="0" w:color="auto"/>
      </w:divBdr>
    </w:div>
    <w:div w:id="1332640466">
      <w:bodyDiv w:val="1"/>
      <w:marLeft w:val="0"/>
      <w:marRight w:val="0"/>
      <w:marTop w:val="0"/>
      <w:marBottom w:val="0"/>
      <w:divBdr>
        <w:top w:val="none" w:sz="0" w:space="0" w:color="auto"/>
        <w:left w:val="none" w:sz="0" w:space="0" w:color="auto"/>
        <w:bottom w:val="none" w:sz="0" w:space="0" w:color="auto"/>
        <w:right w:val="none" w:sz="0" w:space="0" w:color="auto"/>
      </w:divBdr>
    </w:div>
    <w:div w:id="1348366770">
      <w:bodyDiv w:val="1"/>
      <w:marLeft w:val="0"/>
      <w:marRight w:val="0"/>
      <w:marTop w:val="0"/>
      <w:marBottom w:val="0"/>
      <w:divBdr>
        <w:top w:val="none" w:sz="0" w:space="0" w:color="auto"/>
        <w:left w:val="none" w:sz="0" w:space="0" w:color="auto"/>
        <w:bottom w:val="none" w:sz="0" w:space="0" w:color="auto"/>
        <w:right w:val="none" w:sz="0" w:space="0" w:color="auto"/>
      </w:divBdr>
    </w:div>
    <w:div w:id="1380517063">
      <w:bodyDiv w:val="1"/>
      <w:marLeft w:val="0"/>
      <w:marRight w:val="0"/>
      <w:marTop w:val="0"/>
      <w:marBottom w:val="0"/>
      <w:divBdr>
        <w:top w:val="none" w:sz="0" w:space="0" w:color="auto"/>
        <w:left w:val="none" w:sz="0" w:space="0" w:color="auto"/>
        <w:bottom w:val="none" w:sz="0" w:space="0" w:color="auto"/>
        <w:right w:val="none" w:sz="0" w:space="0" w:color="auto"/>
      </w:divBdr>
    </w:div>
    <w:div w:id="1417442153">
      <w:bodyDiv w:val="1"/>
      <w:marLeft w:val="0"/>
      <w:marRight w:val="0"/>
      <w:marTop w:val="0"/>
      <w:marBottom w:val="0"/>
      <w:divBdr>
        <w:top w:val="none" w:sz="0" w:space="0" w:color="auto"/>
        <w:left w:val="none" w:sz="0" w:space="0" w:color="auto"/>
        <w:bottom w:val="none" w:sz="0" w:space="0" w:color="auto"/>
        <w:right w:val="none" w:sz="0" w:space="0" w:color="auto"/>
      </w:divBdr>
    </w:div>
    <w:div w:id="1473210062">
      <w:bodyDiv w:val="1"/>
      <w:marLeft w:val="0"/>
      <w:marRight w:val="0"/>
      <w:marTop w:val="0"/>
      <w:marBottom w:val="0"/>
      <w:divBdr>
        <w:top w:val="none" w:sz="0" w:space="0" w:color="auto"/>
        <w:left w:val="none" w:sz="0" w:space="0" w:color="auto"/>
        <w:bottom w:val="none" w:sz="0" w:space="0" w:color="auto"/>
        <w:right w:val="none" w:sz="0" w:space="0" w:color="auto"/>
      </w:divBdr>
    </w:div>
    <w:div w:id="1504734650">
      <w:bodyDiv w:val="1"/>
      <w:marLeft w:val="0"/>
      <w:marRight w:val="0"/>
      <w:marTop w:val="0"/>
      <w:marBottom w:val="0"/>
      <w:divBdr>
        <w:top w:val="none" w:sz="0" w:space="0" w:color="auto"/>
        <w:left w:val="none" w:sz="0" w:space="0" w:color="auto"/>
        <w:bottom w:val="none" w:sz="0" w:space="0" w:color="auto"/>
        <w:right w:val="none" w:sz="0" w:space="0" w:color="auto"/>
      </w:divBdr>
    </w:div>
    <w:div w:id="1516530834">
      <w:bodyDiv w:val="1"/>
      <w:marLeft w:val="0"/>
      <w:marRight w:val="0"/>
      <w:marTop w:val="0"/>
      <w:marBottom w:val="0"/>
      <w:divBdr>
        <w:top w:val="none" w:sz="0" w:space="0" w:color="auto"/>
        <w:left w:val="none" w:sz="0" w:space="0" w:color="auto"/>
        <w:bottom w:val="none" w:sz="0" w:space="0" w:color="auto"/>
        <w:right w:val="none" w:sz="0" w:space="0" w:color="auto"/>
      </w:divBdr>
    </w:div>
    <w:div w:id="1521890872">
      <w:bodyDiv w:val="1"/>
      <w:marLeft w:val="0"/>
      <w:marRight w:val="0"/>
      <w:marTop w:val="0"/>
      <w:marBottom w:val="0"/>
      <w:divBdr>
        <w:top w:val="none" w:sz="0" w:space="0" w:color="auto"/>
        <w:left w:val="none" w:sz="0" w:space="0" w:color="auto"/>
        <w:bottom w:val="none" w:sz="0" w:space="0" w:color="auto"/>
        <w:right w:val="none" w:sz="0" w:space="0" w:color="auto"/>
      </w:divBdr>
      <w:divsChild>
        <w:div w:id="1806924931">
          <w:marLeft w:val="0"/>
          <w:marRight w:val="0"/>
          <w:marTop w:val="0"/>
          <w:marBottom w:val="0"/>
          <w:divBdr>
            <w:top w:val="none" w:sz="0" w:space="0" w:color="auto"/>
            <w:left w:val="none" w:sz="0" w:space="0" w:color="auto"/>
            <w:bottom w:val="none" w:sz="0" w:space="0" w:color="auto"/>
            <w:right w:val="none" w:sz="0" w:space="0" w:color="auto"/>
          </w:divBdr>
          <w:divsChild>
            <w:div w:id="1683823794">
              <w:marLeft w:val="0"/>
              <w:marRight w:val="0"/>
              <w:marTop w:val="0"/>
              <w:marBottom w:val="0"/>
              <w:divBdr>
                <w:top w:val="none" w:sz="0" w:space="0" w:color="auto"/>
                <w:left w:val="none" w:sz="0" w:space="0" w:color="auto"/>
                <w:bottom w:val="none" w:sz="0" w:space="0" w:color="auto"/>
                <w:right w:val="none" w:sz="0" w:space="0" w:color="auto"/>
              </w:divBdr>
              <w:divsChild>
                <w:div w:id="18673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685715">
      <w:bodyDiv w:val="1"/>
      <w:marLeft w:val="0"/>
      <w:marRight w:val="0"/>
      <w:marTop w:val="0"/>
      <w:marBottom w:val="0"/>
      <w:divBdr>
        <w:top w:val="none" w:sz="0" w:space="0" w:color="auto"/>
        <w:left w:val="none" w:sz="0" w:space="0" w:color="auto"/>
        <w:bottom w:val="none" w:sz="0" w:space="0" w:color="auto"/>
        <w:right w:val="none" w:sz="0" w:space="0" w:color="auto"/>
      </w:divBdr>
    </w:div>
    <w:div w:id="1546410772">
      <w:bodyDiv w:val="1"/>
      <w:marLeft w:val="0"/>
      <w:marRight w:val="0"/>
      <w:marTop w:val="0"/>
      <w:marBottom w:val="0"/>
      <w:divBdr>
        <w:top w:val="none" w:sz="0" w:space="0" w:color="auto"/>
        <w:left w:val="none" w:sz="0" w:space="0" w:color="auto"/>
        <w:bottom w:val="none" w:sz="0" w:space="0" w:color="auto"/>
        <w:right w:val="none" w:sz="0" w:space="0" w:color="auto"/>
      </w:divBdr>
    </w:div>
    <w:div w:id="1555040834">
      <w:bodyDiv w:val="1"/>
      <w:marLeft w:val="0"/>
      <w:marRight w:val="0"/>
      <w:marTop w:val="0"/>
      <w:marBottom w:val="0"/>
      <w:divBdr>
        <w:top w:val="none" w:sz="0" w:space="0" w:color="auto"/>
        <w:left w:val="none" w:sz="0" w:space="0" w:color="auto"/>
        <w:bottom w:val="none" w:sz="0" w:space="0" w:color="auto"/>
        <w:right w:val="none" w:sz="0" w:space="0" w:color="auto"/>
      </w:divBdr>
    </w:div>
    <w:div w:id="1573656088">
      <w:bodyDiv w:val="1"/>
      <w:marLeft w:val="0"/>
      <w:marRight w:val="0"/>
      <w:marTop w:val="0"/>
      <w:marBottom w:val="0"/>
      <w:divBdr>
        <w:top w:val="none" w:sz="0" w:space="0" w:color="auto"/>
        <w:left w:val="none" w:sz="0" w:space="0" w:color="auto"/>
        <w:bottom w:val="none" w:sz="0" w:space="0" w:color="auto"/>
        <w:right w:val="none" w:sz="0" w:space="0" w:color="auto"/>
      </w:divBdr>
    </w:div>
    <w:div w:id="1583446140">
      <w:bodyDiv w:val="1"/>
      <w:marLeft w:val="0"/>
      <w:marRight w:val="0"/>
      <w:marTop w:val="0"/>
      <w:marBottom w:val="0"/>
      <w:divBdr>
        <w:top w:val="none" w:sz="0" w:space="0" w:color="auto"/>
        <w:left w:val="none" w:sz="0" w:space="0" w:color="auto"/>
        <w:bottom w:val="none" w:sz="0" w:space="0" w:color="auto"/>
        <w:right w:val="none" w:sz="0" w:space="0" w:color="auto"/>
      </w:divBdr>
    </w:div>
    <w:div w:id="1597442259">
      <w:bodyDiv w:val="1"/>
      <w:marLeft w:val="0"/>
      <w:marRight w:val="0"/>
      <w:marTop w:val="0"/>
      <w:marBottom w:val="0"/>
      <w:divBdr>
        <w:top w:val="none" w:sz="0" w:space="0" w:color="auto"/>
        <w:left w:val="none" w:sz="0" w:space="0" w:color="auto"/>
        <w:bottom w:val="none" w:sz="0" w:space="0" w:color="auto"/>
        <w:right w:val="none" w:sz="0" w:space="0" w:color="auto"/>
      </w:divBdr>
    </w:div>
    <w:div w:id="1637029569">
      <w:bodyDiv w:val="1"/>
      <w:marLeft w:val="0"/>
      <w:marRight w:val="0"/>
      <w:marTop w:val="0"/>
      <w:marBottom w:val="0"/>
      <w:divBdr>
        <w:top w:val="none" w:sz="0" w:space="0" w:color="auto"/>
        <w:left w:val="none" w:sz="0" w:space="0" w:color="auto"/>
        <w:bottom w:val="none" w:sz="0" w:space="0" w:color="auto"/>
        <w:right w:val="none" w:sz="0" w:space="0" w:color="auto"/>
      </w:divBdr>
    </w:div>
    <w:div w:id="1638950106">
      <w:bodyDiv w:val="1"/>
      <w:marLeft w:val="0"/>
      <w:marRight w:val="0"/>
      <w:marTop w:val="0"/>
      <w:marBottom w:val="0"/>
      <w:divBdr>
        <w:top w:val="none" w:sz="0" w:space="0" w:color="auto"/>
        <w:left w:val="none" w:sz="0" w:space="0" w:color="auto"/>
        <w:bottom w:val="none" w:sz="0" w:space="0" w:color="auto"/>
        <w:right w:val="none" w:sz="0" w:space="0" w:color="auto"/>
      </w:divBdr>
    </w:div>
    <w:div w:id="1644193153">
      <w:bodyDiv w:val="1"/>
      <w:marLeft w:val="0"/>
      <w:marRight w:val="0"/>
      <w:marTop w:val="0"/>
      <w:marBottom w:val="0"/>
      <w:divBdr>
        <w:top w:val="none" w:sz="0" w:space="0" w:color="auto"/>
        <w:left w:val="none" w:sz="0" w:space="0" w:color="auto"/>
        <w:bottom w:val="none" w:sz="0" w:space="0" w:color="auto"/>
        <w:right w:val="none" w:sz="0" w:space="0" w:color="auto"/>
      </w:divBdr>
    </w:div>
    <w:div w:id="1646350168">
      <w:bodyDiv w:val="1"/>
      <w:marLeft w:val="0"/>
      <w:marRight w:val="0"/>
      <w:marTop w:val="0"/>
      <w:marBottom w:val="0"/>
      <w:divBdr>
        <w:top w:val="none" w:sz="0" w:space="0" w:color="auto"/>
        <w:left w:val="none" w:sz="0" w:space="0" w:color="auto"/>
        <w:bottom w:val="none" w:sz="0" w:space="0" w:color="auto"/>
        <w:right w:val="none" w:sz="0" w:space="0" w:color="auto"/>
      </w:divBdr>
    </w:div>
    <w:div w:id="1668903776">
      <w:bodyDiv w:val="1"/>
      <w:marLeft w:val="0"/>
      <w:marRight w:val="0"/>
      <w:marTop w:val="0"/>
      <w:marBottom w:val="0"/>
      <w:divBdr>
        <w:top w:val="none" w:sz="0" w:space="0" w:color="auto"/>
        <w:left w:val="none" w:sz="0" w:space="0" w:color="auto"/>
        <w:bottom w:val="none" w:sz="0" w:space="0" w:color="auto"/>
        <w:right w:val="none" w:sz="0" w:space="0" w:color="auto"/>
      </w:divBdr>
    </w:div>
    <w:div w:id="1694381710">
      <w:bodyDiv w:val="1"/>
      <w:marLeft w:val="0"/>
      <w:marRight w:val="0"/>
      <w:marTop w:val="0"/>
      <w:marBottom w:val="0"/>
      <w:divBdr>
        <w:top w:val="none" w:sz="0" w:space="0" w:color="auto"/>
        <w:left w:val="none" w:sz="0" w:space="0" w:color="auto"/>
        <w:bottom w:val="none" w:sz="0" w:space="0" w:color="auto"/>
        <w:right w:val="none" w:sz="0" w:space="0" w:color="auto"/>
      </w:divBdr>
    </w:div>
    <w:div w:id="1733888098">
      <w:bodyDiv w:val="1"/>
      <w:marLeft w:val="0"/>
      <w:marRight w:val="0"/>
      <w:marTop w:val="0"/>
      <w:marBottom w:val="0"/>
      <w:divBdr>
        <w:top w:val="none" w:sz="0" w:space="0" w:color="auto"/>
        <w:left w:val="none" w:sz="0" w:space="0" w:color="auto"/>
        <w:bottom w:val="none" w:sz="0" w:space="0" w:color="auto"/>
        <w:right w:val="none" w:sz="0" w:space="0" w:color="auto"/>
      </w:divBdr>
    </w:div>
    <w:div w:id="1738750086">
      <w:bodyDiv w:val="1"/>
      <w:marLeft w:val="0"/>
      <w:marRight w:val="0"/>
      <w:marTop w:val="0"/>
      <w:marBottom w:val="0"/>
      <w:divBdr>
        <w:top w:val="none" w:sz="0" w:space="0" w:color="auto"/>
        <w:left w:val="none" w:sz="0" w:space="0" w:color="auto"/>
        <w:bottom w:val="none" w:sz="0" w:space="0" w:color="auto"/>
        <w:right w:val="none" w:sz="0" w:space="0" w:color="auto"/>
      </w:divBdr>
    </w:div>
    <w:div w:id="1782841529">
      <w:bodyDiv w:val="1"/>
      <w:marLeft w:val="0"/>
      <w:marRight w:val="0"/>
      <w:marTop w:val="0"/>
      <w:marBottom w:val="0"/>
      <w:divBdr>
        <w:top w:val="none" w:sz="0" w:space="0" w:color="auto"/>
        <w:left w:val="none" w:sz="0" w:space="0" w:color="auto"/>
        <w:bottom w:val="none" w:sz="0" w:space="0" w:color="auto"/>
        <w:right w:val="none" w:sz="0" w:space="0" w:color="auto"/>
      </w:divBdr>
    </w:div>
    <w:div w:id="1792674527">
      <w:bodyDiv w:val="1"/>
      <w:marLeft w:val="0"/>
      <w:marRight w:val="0"/>
      <w:marTop w:val="0"/>
      <w:marBottom w:val="0"/>
      <w:divBdr>
        <w:top w:val="none" w:sz="0" w:space="0" w:color="auto"/>
        <w:left w:val="none" w:sz="0" w:space="0" w:color="auto"/>
        <w:bottom w:val="none" w:sz="0" w:space="0" w:color="auto"/>
        <w:right w:val="none" w:sz="0" w:space="0" w:color="auto"/>
      </w:divBdr>
    </w:div>
    <w:div w:id="1807354850">
      <w:bodyDiv w:val="1"/>
      <w:marLeft w:val="0"/>
      <w:marRight w:val="0"/>
      <w:marTop w:val="0"/>
      <w:marBottom w:val="0"/>
      <w:divBdr>
        <w:top w:val="none" w:sz="0" w:space="0" w:color="auto"/>
        <w:left w:val="none" w:sz="0" w:space="0" w:color="auto"/>
        <w:bottom w:val="none" w:sz="0" w:space="0" w:color="auto"/>
        <w:right w:val="none" w:sz="0" w:space="0" w:color="auto"/>
      </w:divBdr>
    </w:div>
    <w:div w:id="1807968925">
      <w:bodyDiv w:val="1"/>
      <w:marLeft w:val="0"/>
      <w:marRight w:val="0"/>
      <w:marTop w:val="0"/>
      <w:marBottom w:val="0"/>
      <w:divBdr>
        <w:top w:val="none" w:sz="0" w:space="0" w:color="auto"/>
        <w:left w:val="none" w:sz="0" w:space="0" w:color="auto"/>
        <w:bottom w:val="none" w:sz="0" w:space="0" w:color="auto"/>
        <w:right w:val="none" w:sz="0" w:space="0" w:color="auto"/>
      </w:divBdr>
    </w:div>
    <w:div w:id="1810827836">
      <w:bodyDiv w:val="1"/>
      <w:marLeft w:val="0"/>
      <w:marRight w:val="0"/>
      <w:marTop w:val="0"/>
      <w:marBottom w:val="0"/>
      <w:divBdr>
        <w:top w:val="none" w:sz="0" w:space="0" w:color="auto"/>
        <w:left w:val="none" w:sz="0" w:space="0" w:color="auto"/>
        <w:bottom w:val="none" w:sz="0" w:space="0" w:color="auto"/>
        <w:right w:val="none" w:sz="0" w:space="0" w:color="auto"/>
      </w:divBdr>
    </w:div>
    <w:div w:id="1827622111">
      <w:bodyDiv w:val="1"/>
      <w:marLeft w:val="0"/>
      <w:marRight w:val="0"/>
      <w:marTop w:val="0"/>
      <w:marBottom w:val="0"/>
      <w:divBdr>
        <w:top w:val="none" w:sz="0" w:space="0" w:color="auto"/>
        <w:left w:val="none" w:sz="0" w:space="0" w:color="auto"/>
        <w:bottom w:val="none" w:sz="0" w:space="0" w:color="auto"/>
        <w:right w:val="none" w:sz="0" w:space="0" w:color="auto"/>
      </w:divBdr>
    </w:div>
    <w:div w:id="1939365846">
      <w:bodyDiv w:val="1"/>
      <w:marLeft w:val="0"/>
      <w:marRight w:val="0"/>
      <w:marTop w:val="0"/>
      <w:marBottom w:val="0"/>
      <w:divBdr>
        <w:top w:val="none" w:sz="0" w:space="0" w:color="auto"/>
        <w:left w:val="none" w:sz="0" w:space="0" w:color="auto"/>
        <w:bottom w:val="none" w:sz="0" w:space="0" w:color="auto"/>
        <w:right w:val="none" w:sz="0" w:space="0" w:color="auto"/>
      </w:divBdr>
    </w:div>
    <w:div w:id="1982807435">
      <w:bodyDiv w:val="1"/>
      <w:marLeft w:val="0"/>
      <w:marRight w:val="0"/>
      <w:marTop w:val="0"/>
      <w:marBottom w:val="0"/>
      <w:divBdr>
        <w:top w:val="none" w:sz="0" w:space="0" w:color="auto"/>
        <w:left w:val="none" w:sz="0" w:space="0" w:color="auto"/>
        <w:bottom w:val="none" w:sz="0" w:space="0" w:color="auto"/>
        <w:right w:val="none" w:sz="0" w:space="0" w:color="auto"/>
      </w:divBdr>
    </w:div>
    <w:div w:id="2029409441">
      <w:bodyDiv w:val="1"/>
      <w:marLeft w:val="0"/>
      <w:marRight w:val="0"/>
      <w:marTop w:val="0"/>
      <w:marBottom w:val="0"/>
      <w:divBdr>
        <w:top w:val="none" w:sz="0" w:space="0" w:color="auto"/>
        <w:left w:val="none" w:sz="0" w:space="0" w:color="auto"/>
        <w:bottom w:val="none" w:sz="0" w:space="0" w:color="auto"/>
        <w:right w:val="none" w:sz="0" w:space="0" w:color="auto"/>
      </w:divBdr>
    </w:div>
    <w:div w:id="2035105757">
      <w:bodyDiv w:val="1"/>
      <w:marLeft w:val="0"/>
      <w:marRight w:val="0"/>
      <w:marTop w:val="0"/>
      <w:marBottom w:val="0"/>
      <w:divBdr>
        <w:top w:val="none" w:sz="0" w:space="0" w:color="auto"/>
        <w:left w:val="none" w:sz="0" w:space="0" w:color="auto"/>
        <w:bottom w:val="none" w:sz="0" w:space="0" w:color="auto"/>
        <w:right w:val="none" w:sz="0" w:space="0" w:color="auto"/>
      </w:divBdr>
    </w:div>
    <w:div w:id="2042704070">
      <w:bodyDiv w:val="1"/>
      <w:marLeft w:val="0"/>
      <w:marRight w:val="0"/>
      <w:marTop w:val="0"/>
      <w:marBottom w:val="0"/>
      <w:divBdr>
        <w:top w:val="none" w:sz="0" w:space="0" w:color="auto"/>
        <w:left w:val="none" w:sz="0" w:space="0" w:color="auto"/>
        <w:bottom w:val="none" w:sz="0" w:space="0" w:color="auto"/>
        <w:right w:val="none" w:sz="0" w:space="0" w:color="auto"/>
      </w:divBdr>
    </w:div>
    <w:div w:id="2081323474">
      <w:bodyDiv w:val="1"/>
      <w:marLeft w:val="0"/>
      <w:marRight w:val="0"/>
      <w:marTop w:val="0"/>
      <w:marBottom w:val="0"/>
      <w:divBdr>
        <w:top w:val="none" w:sz="0" w:space="0" w:color="auto"/>
        <w:left w:val="none" w:sz="0" w:space="0" w:color="auto"/>
        <w:bottom w:val="none" w:sz="0" w:space="0" w:color="auto"/>
        <w:right w:val="none" w:sz="0" w:space="0" w:color="auto"/>
      </w:divBdr>
    </w:div>
    <w:div w:id="2089302732">
      <w:bodyDiv w:val="1"/>
      <w:marLeft w:val="0"/>
      <w:marRight w:val="0"/>
      <w:marTop w:val="0"/>
      <w:marBottom w:val="0"/>
      <w:divBdr>
        <w:top w:val="none" w:sz="0" w:space="0" w:color="auto"/>
        <w:left w:val="none" w:sz="0" w:space="0" w:color="auto"/>
        <w:bottom w:val="none" w:sz="0" w:space="0" w:color="auto"/>
        <w:right w:val="none" w:sz="0" w:space="0" w:color="auto"/>
      </w:divBdr>
    </w:div>
    <w:div w:id="2106998357">
      <w:bodyDiv w:val="1"/>
      <w:marLeft w:val="0"/>
      <w:marRight w:val="0"/>
      <w:marTop w:val="0"/>
      <w:marBottom w:val="0"/>
      <w:divBdr>
        <w:top w:val="none" w:sz="0" w:space="0" w:color="auto"/>
        <w:left w:val="none" w:sz="0" w:space="0" w:color="auto"/>
        <w:bottom w:val="none" w:sz="0" w:space="0" w:color="auto"/>
        <w:right w:val="none" w:sz="0" w:space="0" w:color="auto"/>
      </w:divBdr>
    </w:div>
    <w:div w:id="2127045479">
      <w:bodyDiv w:val="1"/>
      <w:marLeft w:val="0"/>
      <w:marRight w:val="0"/>
      <w:marTop w:val="0"/>
      <w:marBottom w:val="0"/>
      <w:divBdr>
        <w:top w:val="none" w:sz="0" w:space="0" w:color="auto"/>
        <w:left w:val="none" w:sz="0" w:space="0" w:color="auto"/>
        <w:bottom w:val="none" w:sz="0" w:space="0" w:color="auto"/>
        <w:right w:val="none" w:sz="0" w:space="0" w:color="auto"/>
      </w:divBdr>
    </w:div>
    <w:div w:id="2141068098">
      <w:bodyDiv w:val="1"/>
      <w:marLeft w:val="0"/>
      <w:marRight w:val="0"/>
      <w:marTop w:val="0"/>
      <w:marBottom w:val="0"/>
      <w:divBdr>
        <w:top w:val="none" w:sz="0" w:space="0" w:color="auto"/>
        <w:left w:val="none" w:sz="0" w:space="0" w:color="auto"/>
        <w:bottom w:val="none" w:sz="0" w:space="0" w:color="auto"/>
        <w:right w:val="none" w:sz="0" w:space="0" w:color="auto"/>
      </w:divBdr>
      <w:divsChild>
        <w:div w:id="273101984">
          <w:marLeft w:val="0"/>
          <w:marRight w:val="0"/>
          <w:marTop w:val="0"/>
          <w:marBottom w:val="0"/>
          <w:divBdr>
            <w:top w:val="none" w:sz="0" w:space="0" w:color="auto"/>
            <w:left w:val="none" w:sz="0" w:space="0" w:color="auto"/>
            <w:bottom w:val="none" w:sz="0" w:space="0" w:color="auto"/>
            <w:right w:val="none" w:sz="0" w:space="0" w:color="auto"/>
          </w:divBdr>
          <w:divsChild>
            <w:div w:id="712193055">
              <w:marLeft w:val="0"/>
              <w:marRight w:val="0"/>
              <w:marTop w:val="0"/>
              <w:marBottom w:val="0"/>
              <w:divBdr>
                <w:top w:val="none" w:sz="0" w:space="0" w:color="auto"/>
                <w:left w:val="none" w:sz="0" w:space="0" w:color="auto"/>
                <w:bottom w:val="none" w:sz="0" w:space="0" w:color="auto"/>
                <w:right w:val="none" w:sz="0" w:space="0" w:color="auto"/>
              </w:divBdr>
              <w:divsChild>
                <w:div w:id="110241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33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mjana.rozman@mf.uni-lj.s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Year>2017</b:Year>
    <b:Volume>66</b:Volume>
    <b:BIBTEX_Entry>article</b:BIBTEX_Entry>
    <b:SourceType>JournalArticle</b:SourceType>
    <b:Title>Large-scale computational models of liver metabolism: How far from the clinics?</b:Title>
    <b:Tag>cvitanovic2017</b:Tag>
    <b:DOI>10.1002/hep.29268</b:DOI>
    <b:Author>
      <b:Author>
        <b:NameList>
          <b:Person>
            <b:Last>Cvitanović</b:Last>
            <b:First>Tanja</b:First>
          </b:Person>
          <b:Person>
            <b:Last>Reichert</b:Last>
            <b:Middle>C.</b:Middle>
            <b:First>Matthias</b:First>
          </b:Person>
          <b:Person>
            <b:Last>Moškon</b:Last>
            <b:First>Miha</b:First>
          </b:Person>
          <b:Person>
            <b:Last>Mraz</b:Last>
            <b:First>Miha</b:First>
          </b:Person>
          <b:Person>
            <b:Last>Lammert</b:Last>
            <b:First>Frank</b:First>
          </b:Person>
          <b:Person>
            <b:Last>Rozman</b:Last>
            <b:First>Damjana</b:First>
          </b:Person>
        </b:NameList>
      </b:Author>
    </b:Author>
    <b:Pages>1323-1334</b:Pages>
    <b:JournalName>Hepatology</b:JournalName>
    <b:Number>4</b:Number>
    <b:Guid>{85DC7D49-FC80-48A4-86A8-96E847287323}</b:Guid>
    <b:LCID>en-GB</b:LCID>
    <b:RefOrder>2</b:RefOrder>
  </b:Source>
  <b:Source>
    <b:Year>2014</b:Year>
    <b:Volume>10</b:Volume>
    <b:BIBTEX_Entry>article</b:BIBTEX_Entry>
    <b:SourceType>JournalArticle</b:SourceType>
    <b:Title>SteatoNet: The First Integrated Human Metabolic Model with Multi-layered Regulation to Investigate Liver-Associated Pathologies</b:Title>
    <b:Tag>naik2014</b:Tag>
    <b:DOI>10.1371/journal.pcbi.1003993</b:DOI>
    <b:Author>
      <b:Author>
        <b:NameList>
          <b:Person>
            <b:Last>Naik</b:Last>
            <b:First>Adviti</b:First>
          </b:Person>
          <b:Person>
            <b:Last>Rozman</b:Last>
            <b:First>Damjana</b:First>
          </b:Person>
          <b:Person>
            <b:Last>Belic</b:Last>
            <b:First>Aleš</b:First>
          </b:Person>
        </b:NameList>
      </b:Author>
    </b:Author>
    <b:Pages>e1003993</b:Pages>
    <b:JournalName>PLoS Computational Biology</b:JournalName>
    <b:Number>12</b:Number>
    <b:Guid>{076F43CD-526F-4567-A8D4-B9CF7C2605E3}</b:Guid>
    <b:LCID>en-GB</b:LCID>
    <b:RefOrder>3</b:RefOrder>
  </b:Source>
  <b:Source>
    <b:Year>2017</b:Year>
    <b:Volume>88</b:Volume>
    <b:BIBTEX_Entry>article</b:BIBTEX_Entry>
    <b:SourceType>JournalArticle</b:SourceType>
    <b:Title>Computational modelling of genome-scale metabolic networks and its application to CHO cell cultures</b:Title>
    <b:Tag>rejc2017</b:Tag>
    <b:DOI>10.1016/j.compbiomed.2017.07.005</b:DOI>
    <b:Author>
      <b:Author>
        <b:NameList>
          <b:Person>
            <b:Last>Rejc</b:Last>
            <b:First>Živa</b:First>
          </b:Person>
          <b:Person>
            <b:Last>Magdevska</b:Last>
            <b:First>Lidija</b:First>
          </b:Person>
          <b:Person>
            <b:Last>Tršelic</b:Last>
            <b:First>Tilen</b:First>
          </b:Person>
          <b:Person>
            <b:Last>Osolin</b:Last>
            <b:First>Timotej</b:First>
          </b:Person>
          <b:Person>
            <b:Last>Vodopivec</b:Last>
            <b:First>Rok</b:First>
          </b:Person>
          <b:Person>
            <b:Last>Mraz</b:Last>
            <b:First>Jakob</b:First>
          </b:Person>
          <b:Person>
            <b:Last>Pavliha</b:Last>
            <b:First>Eva</b:First>
          </b:Person>
          <b:Person>
            <b:Last>Zimic</b:Last>
            <b:First>Nikolaj</b:First>
          </b:Person>
          <b:Person>
            <b:Last>Cvitanović</b:Last>
            <b:First>Tanja</b:First>
          </b:Person>
          <b:Person>
            <b:Last>Rozman</b:Last>
            <b:First>Damjana</b:First>
          </b:Person>
          <b:Person>
            <b:Last>Moškon</b:Last>
            <b:First>Miha</b:First>
          </b:Person>
          <b:Person>
            <b:Last>Mraz</b:Last>
            <b:First>Miha</b:First>
          </b:Person>
        </b:NameList>
      </b:Author>
    </b:Author>
    <b:Pages>150-160</b:Pages>
    <b:JournalName>Computers in Biology and Medicine</b:JournalName>
    <b:Guid>{6C10DB85-27AF-4E71-9968-5391A0E3E1FF}</b:Guid>
    <b:LCID>en-GB</b:LCID>
    <b:RefOrder>4</b:RefOrder>
  </b:Source>
  <b:Source>
    <b:Tag>GWa15</b:Tag>
    <b:SourceType>JournalArticle</b:SourceType>
    <b:Guid>{2639E6E0-2EAE-498F-BC4E-EC8E2C50C435}</b:Guid>
    <b:Title>How computational models can help unlock biological systems</b:Title>
    <b:Year>2015</b:Year>
    <b:LCID>en-GB</b:LCID>
    <b:Author>
      <b:Author>
        <b:NameList>
          <b:Person>
            <b:Last>Brodland</b:Last>
            <b:First>G.</b:First>
            <b:Middle>Wayne</b:Middle>
          </b:Person>
        </b:NameList>
      </b:Author>
    </b:Author>
    <b:JournalName>Seminars in Cell &amp; Developmental Biology</b:JournalName>
    <b:Pages>62-73</b:Pages>
    <b:Volume>47-48</b:Volume>
    <b:RefOrder>1</b:RefOrder>
  </b:Source>
  <b:Source>
    <b:Tag>Ola14</b:Tag>
    <b:SourceType>JournalArticle</b:SourceType>
    <b:Guid>{C0691096-3340-400E-A4BC-CC34DF871D1A}</b:Guid>
    <b:Author>
      <b:Author>
        <b:NameList>
          <b:Person>
            <b:Last>Wolkenhauer</b:Last>
            <b:First>Olaf</b:First>
          </b:Person>
          <b:Person>
            <b:Last>Auffray</b:Last>
            <b:First>Charles</b:First>
          </b:Person>
          <b:Person>
            <b:Last>Brass</b:Last>
            <b:First>Olivier</b:First>
          </b:Person>
          <b:Person>
            <b:Last>Clairambault</b:Last>
            <b:First>Jean</b:First>
          </b:Person>
          <b:Person>
            <b:Last>Deutsch</b:Last>
            <b:First>Andreas</b:First>
          </b:Person>
          <b:Person>
            <b:Last>Drasdo</b:Last>
            <b:First>Dirk</b:First>
          </b:Person>
          <b:Person>
            <b:Last>Gervasio</b:Last>
            <b:First>Francesco</b:First>
          </b:Person>
          <b:Person>
            <b:Last>Preziosi</b:Last>
            <b:First>Luigi</b:First>
          </b:Person>
          <b:Person>
            <b:Last>Maini</b:Last>
            <b:First>Philip</b:First>
          </b:Person>
          <b:Person>
            <b:Last>Marciniak-Czochra</b:Last>
            <b:First>Anna</b:First>
          </b:Person>
          <b:Person>
            <b:Last>Kossow</b:Last>
            <b:First>Christina</b:First>
          </b:Person>
          <b:Person>
            <b:Last>Kuepfer</b:Last>
            <b:First>Lars</b:First>
          </b:Person>
          <b:Person>
            <b:Last>Rateitschak</b:Last>
            <b:First>Katja</b:First>
          </b:Person>
          <b:Person>
            <b:Last>Ramis-Conde</b:Last>
            <b:First>Ignacio</b:First>
          </b:Person>
          <b:Person>
            <b:Last>al.</b:Last>
            <b:First>et</b:First>
          </b:Person>
        </b:NameList>
      </b:Author>
    </b:Author>
    <b:Title>Enabling multiscale modeling in systems medicine</b:Title>
    <b:JournalName>Genome Medicine</b:JournalName>
    <b:Year>2014</b:Year>
    <b:Volume>6</b:Volume>
    <b:Issue>21</b:Issue>
    <b:LCID>en-GB</b:LCID>
    <b:RefOrder>5</b:RefOrder>
  </b:Source>
</b:Sources>
</file>

<file path=customXml/itemProps1.xml><?xml version="1.0" encoding="utf-8"?>
<ds:datastoreItem xmlns:ds="http://schemas.openxmlformats.org/officeDocument/2006/customXml" ds:itemID="{A9EE4E02-F275-4C75-A98B-A70B858AF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63647</Words>
  <Characters>362791</Characters>
  <Application>Microsoft Office Word</Application>
  <DocSecurity>0</DocSecurity>
  <Lines>3023</Lines>
  <Paragraphs>851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Moškon, Miha</dc:creator>
  <cp:keywords/>
  <dc:description/>
  <cp:lastModifiedBy>Miha Moškon</cp:lastModifiedBy>
  <cp:revision>14</cp:revision>
  <cp:lastPrinted>2018-05-13T18:30:00Z</cp:lastPrinted>
  <dcterms:created xsi:type="dcterms:W3CDTF">2018-05-11T22:04:00Z</dcterms:created>
  <dcterms:modified xsi:type="dcterms:W3CDTF">2018-05-13T18:39:00Z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http://csl.mendeley.com/styles/17398941/american-chemical-society</vt:lpwstr>
  </property>
  <property fmtid="{D5CDD505-2E9C-101B-9397-08002B2CF9AE}" pid="3" name="Mendeley Recent Style Name 0_1">
    <vt:lpwstr>ACSi - Miha Moskon</vt:lpwstr>
  </property>
  <property fmtid="{D5CDD505-2E9C-101B-9397-08002B2CF9AE}" pid="4" name="Mendeley Recent Style Id 1_1">
    <vt:lpwstr>http://csl.mendeley.com/styles/17398941/ACSi2018</vt:lpwstr>
  </property>
  <property fmtid="{D5CDD505-2E9C-101B-9397-08002B2CF9AE}" pid="5" name="Mendeley Recent Style Name 1_1">
    <vt:lpwstr>Acta Chimica Slovenica - Miha Moskon</vt:lpwstr>
  </property>
  <property fmtid="{D5CDD505-2E9C-101B-9397-08002B2CF9AE}" pid="6" name="Mendeley Recent Style Id 2_1">
    <vt:lpwstr>http://www.zotero.org/styles/american-medical-association</vt:lpwstr>
  </property>
  <property fmtid="{D5CDD505-2E9C-101B-9397-08002B2CF9AE}" pid="7" name="Mendeley Recent Style Name 2_1">
    <vt:lpwstr>American Medical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Citation Style_1">
    <vt:lpwstr>http://csl.mendeley.com/styles/17398941/ACSi2018</vt:lpwstr>
  </property>
  <property fmtid="{D5CDD505-2E9C-101B-9397-08002B2CF9AE}" pid="24" name="Mendeley Unique User Id_1">
    <vt:lpwstr>1d85686b-609f-3fa8-9e82-ad7a02cfec03</vt:lpwstr>
  </property>
</Properties>
</file>