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43CCF" w14:textId="3201D866" w:rsidR="00025DDB" w:rsidRPr="00B37812" w:rsidRDefault="0092583D" w:rsidP="00A330CD">
      <w:pPr>
        <w:spacing w:after="0" w:line="360" w:lineRule="auto"/>
        <w:jc w:val="center"/>
        <w:rPr>
          <w:rFonts w:ascii="Times New Roman" w:hAnsi="Times New Roman" w:cs="Times New Roman"/>
          <w:b/>
          <w:sz w:val="24"/>
          <w:szCs w:val="24"/>
        </w:rPr>
      </w:pPr>
      <w:r w:rsidRPr="00B37812">
        <w:rPr>
          <w:rFonts w:ascii="Times New Roman" w:hAnsi="Times New Roman" w:cs="Times New Roman"/>
          <w:b/>
          <w:sz w:val="24"/>
          <w:szCs w:val="24"/>
        </w:rPr>
        <w:t>C</w:t>
      </w:r>
      <w:r w:rsidR="00025DDB" w:rsidRPr="00B37812">
        <w:rPr>
          <w:rFonts w:ascii="Times New Roman" w:hAnsi="Times New Roman" w:cs="Times New Roman"/>
          <w:b/>
          <w:sz w:val="24"/>
          <w:szCs w:val="24"/>
        </w:rPr>
        <w:t xml:space="preserve">arrier </w:t>
      </w:r>
      <w:r w:rsidRPr="00B37812">
        <w:rPr>
          <w:rFonts w:ascii="Times New Roman" w:hAnsi="Times New Roman" w:cs="Times New Roman"/>
          <w:b/>
          <w:sz w:val="24"/>
          <w:szCs w:val="24"/>
        </w:rPr>
        <w:t xml:space="preserve">effects </w:t>
      </w:r>
      <w:r w:rsidR="00025DDB" w:rsidRPr="00B37812">
        <w:rPr>
          <w:rFonts w:ascii="Times New Roman" w:hAnsi="Times New Roman" w:cs="Times New Roman"/>
          <w:b/>
          <w:sz w:val="24"/>
          <w:szCs w:val="24"/>
        </w:rPr>
        <w:t xml:space="preserve">on the chemical and physical properties of </w:t>
      </w:r>
      <w:r w:rsidR="009360E4" w:rsidRPr="00B37812">
        <w:rPr>
          <w:rFonts w:ascii="Times New Roman" w:hAnsi="Times New Roman" w:cs="Times New Roman"/>
          <w:b/>
          <w:sz w:val="24"/>
          <w:szCs w:val="24"/>
        </w:rPr>
        <w:t xml:space="preserve">freeze-dried </w:t>
      </w:r>
      <w:r w:rsidR="00025DDB" w:rsidRPr="00B37812">
        <w:rPr>
          <w:rFonts w:ascii="Times New Roman" w:hAnsi="Times New Roman" w:cs="Times New Roman"/>
          <w:b/>
          <w:sz w:val="24"/>
          <w:szCs w:val="24"/>
        </w:rPr>
        <w:t>encapsulated mulberry leaf extract powder</w:t>
      </w:r>
    </w:p>
    <w:p w14:paraId="277D7BE0" w14:textId="77777777" w:rsidR="00C13FC0" w:rsidRPr="00B37812" w:rsidRDefault="00C13FC0" w:rsidP="00A330CD">
      <w:pPr>
        <w:spacing w:after="0" w:line="360" w:lineRule="auto"/>
        <w:jc w:val="center"/>
        <w:rPr>
          <w:rFonts w:ascii="Times New Roman" w:hAnsi="Times New Roman" w:cs="Times New Roman"/>
          <w:b/>
          <w:sz w:val="24"/>
          <w:szCs w:val="24"/>
        </w:rPr>
      </w:pPr>
    </w:p>
    <w:p w14:paraId="6B39A780" w14:textId="2F935026" w:rsidR="00B85163" w:rsidRPr="00B37812" w:rsidRDefault="00B85163" w:rsidP="00A330CD">
      <w:pPr>
        <w:spacing w:after="0" w:line="360" w:lineRule="auto"/>
        <w:jc w:val="both"/>
        <w:rPr>
          <w:rFonts w:ascii="Times New Roman" w:eastAsia="SimSun" w:hAnsi="Times New Roman" w:cs="Times New Roman"/>
          <w:b/>
          <w:bCs/>
          <w:sz w:val="24"/>
          <w:szCs w:val="24"/>
          <w:lang w:eastAsia="en-US"/>
        </w:rPr>
      </w:pPr>
      <w:r w:rsidRPr="00B37812">
        <w:rPr>
          <w:rFonts w:ascii="Times New Roman" w:eastAsia="SimSun" w:hAnsi="Times New Roman" w:cs="Times New Roman"/>
          <w:b/>
          <w:bCs/>
          <w:sz w:val="24"/>
          <w:szCs w:val="24"/>
          <w:lang w:eastAsia="en-US"/>
        </w:rPr>
        <w:t xml:space="preserve">Running title:  Effect of carrier materials on </w:t>
      </w:r>
      <w:r w:rsidR="00E35B61" w:rsidRPr="00B37812">
        <w:rPr>
          <w:rFonts w:ascii="Times New Roman" w:eastAsia="SimSun" w:hAnsi="Times New Roman" w:cs="Times New Roman"/>
          <w:b/>
          <w:bCs/>
          <w:sz w:val="24"/>
          <w:szCs w:val="24"/>
          <w:lang w:eastAsia="en-US"/>
        </w:rPr>
        <w:t xml:space="preserve">encapsulated mulberry leaf </w:t>
      </w:r>
      <w:r w:rsidR="00B17CCA" w:rsidRPr="00B37812">
        <w:rPr>
          <w:rFonts w:ascii="Times New Roman" w:eastAsia="SimSun" w:hAnsi="Times New Roman" w:cs="Times New Roman"/>
          <w:b/>
          <w:bCs/>
          <w:sz w:val="24"/>
          <w:szCs w:val="24"/>
          <w:lang w:eastAsia="en-US"/>
        </w:rPr>
        <w:t xml:space="preserve">powder </w:t>
      </w:r>
    </w:p>
    <w:p w14:paraId="1DDBC5D9" w14:textId="77777777" w:rsidR="00B85163" w:rsidRPr="00B37812" w:rsidRDefault="00B85163" w:rsidP="00A330CD">
      <w:pPr>
        <w:tabs>
          <w:tab w:val="left" w:pos="1965"/>
        </w:tabs>
        <w:spacing w:after="0" w:line="360" w:lineRule="auto"/>
        <w:jc w:val="both"/>
        <w:rPr>
          <w:rFonts w:ascii="Times New Roman" w:eastAsia="Calibri" w:hAnsi="Times New Roman" w:cs="Times New Roman"/>
          <w:b/>
          <w:color w:val="000000"/>
          <w:sz w:val="10"/>
          <w:szCs w:val="10"/>
          <w:lang w:eastAsia="en-US"/>
        </w:rPr>
      </w:pPr>
      <w:r w:rsidRPr="00B37812">
        <w:rPr>
          <w:rFonts w:ascii="Times New Roman" w:eastAsia="Calibri" w:hAnsi="Times New Roman" w:cs="Times New Roman"/>
          <w:b/>
          <w:color w:val="000000"/>
          <w:sz w:val="24"/>
          <w:szCs w:val="24"/>
          <w:lang w:eastAsia="en-US"/>
        </w:rPr>
        <w:tab/>
      </w:r>
    </w:p>
    <w:p w14:paraId="1341E27D" w14:textId="72475AA1" w:rsidR="00B85163" w:rsidRPr="00B37812" w:rsidRDefault="00B85163" w:rsidP="00A330CD">
      <w:pPr>
        <w:spacing w:after="0" w:line="360" w:lineRule="auto"/>
        <w:jc w:val="both"/>
        <w:rPr>
          <w:rFonts w:ascii="Times New Roman" w:eastAsia="SimSun" w:hAnsi="Times New Roman" w:cs="Times New Roman"/>
          <w:sz w:val="24"/>
          <w:szCs w:val="24"/>
          <w:lang w:eastAsia="en-US"/>
        </w:rPr>
      </w:pPr>
      <w:r w:rsidRPr="00B37812">
        <w:rPr>
          <w:rFonts w:ascii="Times New Roman" w:eastAsia="SimSun" w:hAnsi="Times New Roman" w:cs="Times New Roman"/>
          <w:sz w:val="24"/>
          <w:szCs w:val="24"/>
          <w:lang w:eastAsia="en-US"/>
        </w:rPr>
        <w:t>William Tchabo</w:t>
      </w:r>
      <w:r w:rsidRPr="00B37812">
        <w:rPr>
          <w:rFonts w:ascii="Times New Roman" w:eastAsia="SimSun" w:hAnsi="Times New Roman" w:cs="Times New Roman"/>
          <w:sz w:val="24"/>
          <w:szCs w:val="24"/>
          <w:vertAlign w:val="superscript"/>
          <w:lang w:eastAsia="en-US"/>
        </w:rPr>
        <w:t>a</w:t>
      </w:r>
      <w:r w:rsidRPr="00B37812">
        <w:rPr>
          <w:rFonts w:ascii="Times New Roman" w:eastAsia="SimSun" w:hAnsi="Times New Roman" w:cs="Times New Roman"/>
          <w:sz w:val="24"/>
          <w:szCs w:val="24"/>
          <w:lang w:eastAsia="en-US"/>
        </w:rPr>
        <w:t>, Yongkun Ma*</w:t>
      </w:r>
      <w:r w:rsidRPr="00B37812">
        <w:rPr>
          <w:rFonts w:ascii="Times New Roman" w:eastAsia="SimSun" w:hAnsi="Times New Roman" w:cs="Times New Roman"/>
          <w:sz w:val="24"/>
          <w:szCs w:val="24"/>
          <w:vertAlign w:val="superscript"/>
          <w:lang w:eastAsia="en-US"/>
        </w:rPr>
        <w:t>a</w:t>
      </w:r>
      <w:r w:rsidRPr="00B37812">
        <w:rPr>
          <w:rFonts w:ascii="Times New Roman" w:eastAsia="SimSun" w:hAnsi="Times New Roman" w:cs="Times New Roman"/>
          <w:sz w:val="24"/>
          <w:szCs w:val="24"/>
          <w:lang w:eastAsia="en-US"/>
        </w:rPr>
        <w:t>, Giscard Kuate</w:t>
      </w:r>
      <w:r w:rsidRPr="00B37812">
        <w:rPr>
          <w:rFonts w:ascii="Times New Roman" w:eastAsia="SimSun" w:hAnsi="Times New Roman" w:cs="Times New Roman"/>
          <w:b/>
          <w:bCs/>
          <w:sz w:val="24"/>
          <w:szCs w:val="24"/>
          <w:lang w:eastAsia="en-US"/>
        </w:rPr>
        <w:t xml:space="preserve"> </w:t>
      </w:r>
      <w:r w:rsidRPr="00B37812">
        <w:rPr>
          <w:rFonts w:ascii="Times New Roman" w:eastAsia="SimSun" w:hAnsi="Times New Roman" w:cs="Times New Roman"/>
          <w:sz w:val="24"/>
          <w:szCs w:val="24"/>
          <w:lang w:eastAsia="en-US"/>
        </w:rPr>
        <w:t>Kaptso</w:t>
      </w:r>
      <w:r w:rsidRPr="00B37812">
        <w:rPr>
          <w:rFonts w:ascii="Times New Roman" w:eastAsia="SimSun" w:hAnsi="Times New Roman" w:cs="Times New Roman"/>
          <w:sz w:val="24"/>
          <w:szCs w:val="24"/>
          <w:vertAlign w:val="superscript"/>
          <w:lang w:eastAsia="en-US"/>
        </w:rPr>
        <w:t>b</w:t>
      </w:r>
      <w:r w:rsidRPr="00B37812">
        <w:rPr>
          <w:rFonts w:ascii="Times New Roman" w:eastAsia="SimSun" w:hAnsi="Times New Roman" w:cs="Times New Roman"/>
          <w:bCs/>
          <w:sz w:val="24"/>
          <w:szCs w:val="24"/>
          <w:lang w:eastAsia="en-US"/>
        </w:rPr>
        <w:t>, Emmanuel Kwaw</w:t>
      </w:r>
      <w:r w:rsidRPr="00B37812">
        <w:rPr>
          <w:rFonts w:ascii="Times New Roman" w:eastAsia="SimSun" w:hAnsi="Times New Roman" w:cs="Times New Roman"/>
          <w:sz w:val="24"/>
          <w:szCs w:val="24"/>
          <w:vertAlign w:val="superscript"/>
          <w:lang w:eastAsia="en-US"/>
        </w:rPr>
        <w:t>a</w:t>
      </w:r>
      <w:r w:rsidRPr="00B37812">
        <w:rPr>
          <w:rFonts w:ascii="Times New Roman" w:eastAsia="SimSun" w:hAnsi="Times New Roman" w:cs="Times New Roman"/>
          <w:sz w:val="24"/>
          <w:szCs w:val="24"/>
          <w:lang w:eastAsia="en-US"/>
        </w:rPr>
        <w:t>, Rosine Wafo Cheno</w:t>
      </w:r>
      <w:r w:rsidRPr="00B37812">
        <w:rPr>
          <w:rFonts w:ascii="Times New Roman" w:eastAsia="SimSun" w:hAnsi="Times New Roman" w:cs="Times New Roman"/>
          <w:sz w:val="24"/>
          <w:szCs w:val="24"/>
          <w:vertAlign w:val="superscript"/>
          <w:lang w:eastAsia="en-US"/>
        </w:rPr>
        <w:t>c</w:t>
      </w:r>
      <w:r w:rsidRPr="00B37812">
        <w:rPr>
          <w:rFonts w:ascii="Times New Roman" w:eastAsia="SimSun" w:hAnsi="Times New Roman" w:cs="Times New Roman"/>
          <w:sz w:val="24"/>
          <w:szCs w:val="24"/>
          <w:lang w:eastAsia="en-US"/>
        </w:rPr>
        <w:t>, Meng Wu</w:t>
      </w:r>
      <w:r w:rsidRPr="00B37812">
        <w:rPr>
          <w:rFonts w:ascii="Times New Roman" w:eastAsia="SimSun" w:hAnsi="Times New Roman" w:cs="Times New Roman"/>
          <w:sz w:val="24"/>
          <w:szCs w:val="24"/>
          <w:vertAlign w:val="superscript"/>
          <w:lang w:eastAsia="en-US"/>
        </w:rPr>
        <w:t>a</w:t>
      </w:r>
      <w:r w:rsidRPr="00B37812">
        <w:rPr>
          <w:rFonts w:ascii="Times New Roman" w:eastAsia="SimSun" w:hAnsi="Times New Roman" w:cs="Times New Roman"/>
          <w:sz w:val="24"/>
          <w:szCs w:val="24"/>
          <w:lang w:eastAsia="en-US"/>
        </w:rPr>
        <w:t xml:space="preserve">, </w:t>
      </w:r>
      <w:r w:rsidR="007C15EB" w:rsidRPr="00B37812">
        <w:rPr>
          <w:rFonts w:ascii="Times New Roman" w:eastAsia="SimSun" w:hAnsi="Times New Roman" w:cs="Times New Roman"/>
          <w:sz w:val="24"/>
          <w:szCs w:val="24"/>
          <w:lang w:eastAsia="en-US"/>
        </w:rPr>
        <w:t>Richard Osae</w:t>
      </w:r>
      <w:r w:rsidR="007C15EB" w:rsidRPr="00B37812">
        <w:rPr>
          <w:rFonts w:ascii="Times New Roman" w:eastAsia="SimSun" w:hAnsi="Times New Roman" w:cs="Times New Roman"/>
          <w:sz w:val="24"/>
          <w:szCs w:val="24"/>
          <w:vertAlign w:val="superscript"/>
          <w:lang w:eastAsia="en-US"/>
        </w:rPr>
        <w:t>a</w:t>
      </w:r>
      <w:r w:rsidR="007C15EB" w:rsidRPr="00B37812">
        <w:rPr>
          <w:rFonts w:ascii="Times New Roman" w:eastAsia="SimSun" w:hAnsi="Times New Roman" w:cs="Times New Roman"/>
          <w:sz w:val="24"/>
          <w:szCs w:val="24"/>
          <w:lang w:eastAsia="en-US"/>
        </w:rPr>
        <w:t xml:space="preserve">, </w:t>
      </w:r>
      <w:r w:rsidRPr="00B37812">
        <w:rPr>
          <w:rFonts w:ascii="Times New Roman" w:eastAsia="SimSun" w:hAnsi="Times New Roman" w:cs="Times New Roman"/>
          <w:sz w:val="24"/>
          <w:szCs w:val="24"/>
          <w:lang w:eastAsia="en-US"/>
        </w:rPr>
        <w:t>Shengmei Ma</w:t>
      </w:r>
      <w:r w:rsidRPr="00B37812">
        <w:rPr>
          <w:rFonts w:ascii="Times New Roman" w:eastAsia="SimSun" w:hAnsi="Times New Roman" w:cs="Times New Roman"/>
          <w:sz w:val="24"/>
          <w:szCs w:val="24"/>
          <w:vertAlign w:val="superscript"/>
          <w:lang w:eastAsia="en-US"/>
        </w:rPr>
        <w:t>a</w:t>
      </w:r>
      <w:r w:rsidR="005B2809" w:rsidRPr="00B37812">
        <w:rPr>
          <w:rFonts w:ascii="Times New Roman" w:eastAsia="SimSun" w:hAnsi="Times New Roman" w:cs="Times New Roman"/>
          <w:sz w:val="24"/>
          <w:szCs w:val="24"/>
          <w:lang w:eastAsia="en-US"/>
        </w:rPr>
        <w:t xml:space="preserve">, </w:t>
      </w:r>
      <w:r w:rsidR="007C15EB" w:rsidRPr="00B37812">
        <w:rPr>
          <w:rFonts w:ascii="Times New Roman" w:eastAsia="SimSun" w:hAnsi="Times New Roman" w:cs="Times New Roman"/>
          <w:sz w:val="24"/>
          <w:szCs w:val="24"/>
          <w:lang w:eastAsia="en-US"/>
        </w:rPr>
        <w:t>and</w:t>
      </w:r>
      <w:r w:rsidR="005B2809" w:rsidRPr="00B37812">
        <w:rPr>
          <w:rFonts w:ascii="Times New Roman" w:eastAsia="SimSun" w:hAnsi="Times New Roman" w:cs="Times New Roman"/>
          <w:sz w:val="24"/>
          <w:szCs w:val="24"/>
          <w:lang w:eastAsia="en-US"/>
        </w:rPr>
        <w:t xml:space="preserve"> Muhammad Farooq</w:t>
      </w:r>
      <w:r w:rsidR="005B2809" w:rsidRPr="00B37812">
        <w:rPr>
          <w:rFonts w:ascii="Times New Roman" w:eastAsia="SimSun" w:hAnsi="Times New Roman" w:cs="Times New Roman"/>
          <w:sz w:val="24"/>
          <w:szCs w:val="24"/>
          <w:vertAlign w:val="superscript"/>
          <w:lang w:eastAsia="en-US"/>
        </w:rPr>
        <w:t>a</w:t>
      </w:r>
    </w:p>
    <w:p w14:paraId="619A81EA" w14:textId="77777777" w:rsidR="00B85163" w:rsidRPr="00B37812" w:rsidRDefault="00B85163" w:rsidP="00A330CD">
      <w:pPr>
        <w:spacing w:after="0" w:line="360" w:lineRule="auto"/>
        <w:jc w:val="both"/>
        <w:rPr>
          <w:rFonts w:ascii="Times New Roman" w:eastAsia="SimSun" w:hAnsi="Times New Roman" w:cs="Times New Roman"/>
          <w:sz w:val="10"/>
          <w:szCs w:val="10"/>
          <w:lang w:eastAsia="en-US"/>
        </w:rPr>
      </w:pPr>
    </w:p>
    <w:p w14:paraId="7F76EA29" w14:textId="77777777" w:rsidR="00B85163" w:rsidRPr="00B37812" w:rsidRDefault="00B85163" w:rsidP="00A330CD">
      <w:pPr>
        <w:spacing w:after="0" w:line="360" w:lineRule="auto"/>
        <w:jc w:val="both"/>
        <w:rPr>
          <w:rFonts w:ascii="Times New Roman" w:eastAsia="SimSun" w:hAnsi="Times New Roman" w:cs="Times New Roman"/>
          <w:sz w:val="10"/>
          <w:szCs w:val="10"/>
          <w:lang w:eastAsia="en-US"/>
        </w:rPr>
      </w:pPr>
    </w:p>
    <w:p w14:paraId="10022647" w14:textId="77777777" w:rsidR="00B85163" w:rsidRPr="00B37812" w:rsidRDefault="00B85163" w:rsidP="00A330CD">
      <w:pPr>
        <w:spacing w:after="0" w:line="360" w:lineRule="auto"/>
        <w:jc w:val="both"/>
        <w:rPr>
          <w:rFonts w:ascii="Times New Roman" w:eastAsia="SimSun" w:hAnsi="Times New Roman" w:cs="Times New Roman"/>
          <w:sz w:val="24"/>
          <w:szCs w:val="24"/>
          <w:lang w:eastAsia="en-US"/>
        </w:rPr>
      </w:pPr>
      <w:r w:rsidRPr="00B37812">
        <w:rPr>
          <w:rFonts w:ascii="Times New Roman" w:eastAsia="SimSun" w:hAnsi="Times New Roman" w:cs="Times New Roman"/>
          <w:sz w:val="24"/>
          <w:szCs w:val="24"/>
          <w:vertAlign w:val="superscript"/>
          <w:lang w:eastAsia="en-US"/>
        </w:rPr>
        <w:t>a</w:t>
      </w:r>
      <w:r w:rsidRPr="00B37812">
        <w:rPr>
          <w:rFonts w:ascii="Times New Roman" w:eastAsia="SimSun" w:hAnsi="Times New Roman" w:cs="Times New Roman"/>
          <w:sz w:val="24"/>
          <w:szCs w:val="24"/>
          <w:lang w:eastAsia="en-US"/>
        </w:rPr>
        <w:t>School of Food and Biological Engineering, Jiangsu University, 301 Xuefu Road, Zhenjiang 212013, P.R. China.</w:t>
      </w:r>
    </w:p>
    <w:p w14:paraId="3D831D2D" w14:textId="6B5D9947" w:rsidR="00B85163" w:rsidRPr="00B37812" w:rsidRDefault="00B85163" w:rsidP="00A330CD">
      <w:pPr>
        <w:spacing w:after="0" w:line="360" w:lineRule="auto"/>
        <w:jc w:val="both"/>
        <w:rPr>
          <w:rFonts w:ascii="Times New Roman" w:eastAsia="SimSun" w:hAnsi="Times New Roman" w:cs="Times New Roman"/>
          <w:sz w:val="24"/>
          <w:szCs w:val="24"/>
          <w:lang w:eastAsia="en-US"/>
        </w:rPr>
      </w:pPr>
      <w:r w:rsidRPr="00B37812">
        <w:rPr>
          <w:rFonts w:ascii="Times New Roman" w:eastAsia="SimSun" w:hAnsi="Times New Roman" w:cs="Times New Roman"/>
          <w:sz w:val="24"/>
          <w:szCs w:val="24"/>
          <w:vertAlign w:val="superscript"/>
          <w:lang w:eastAsia="en-US"/>
        </w:rPr>
        <w:t>b</w:t>
      </w:r>
      <w:r w:rsidRPr="00B37812">
        <w:rPr>
          <w:rFonts w:ascii="Times New Roman" w:eastAsia="SimSun" w:hAnsi="Times New Roman" w:cs="Times New Roman"/>
          <w:sz w:val="24"/>
          <w:szCs w:val="24"/>
          <w:lang w:eastAsia="en-US"/>
        </w:rPr>
        <w:t>Department of Social Economy and Family Management, Higher Technical Teacher’s Training College (HTTTC), University of Bue</w:t>
      </w:r>
      <w:r w:rsidR="000D0E94" w:rsidRPr="00B37812">
        <w:rPr>
          <w:rFonts w:ascii="Times New Roman" w:eastAsia="SimSun" w:hAnsi="Times New Roman" w:cs="Times New Roman"/>
          <w:sz w:val="24"/>
          <w:szCs w:val="24"/>
          <w:lang w:eastAsia="en-US"/>
        </w:rPr>
        <w:t>a, P.O Box 249 Buea Road, Kumba</w:t>
      </w:r>
      <w:r w:rsidRPr="00B37812">
        <w:rPr>
          <w:rFonts w:ascii="Times New Roman" w:eastAsia="SimSun" w:hAnsi="Times New Roman" w:cs="Times New Roman"/>
          <w:sz w:val="24"/>
          <w:szCs w:val="24"/>
          <w:lang w:eastAsia="en-US"/>
        </w:rPr>
        <w:t>, Cameroon</w:t>
      </w:r>
    </w:p>
    <w:p w14:paraId="6A0327B4" w14:textId="77777777" w:rsidR="00B85163" w:rsidRPr="00B37812" w:rsidRDefault="00B85163" w:rsidP="00A330CD">
      <w:pPr>
        <w:spacing w:after="0" w:line="360" w:lineRule="auto"/>
        <w:jc w:val="both"/>
        <w:rPr>
          <w:rFonts w:ascii="Times New Roman" w:eastAsia="SimSun" w:hAnsi="Times New Roman" w:cs="Times New Roman"/>
          <w:sz w:val="24"/>
          <w:szCs w:val="24"/>
          <w:lang w:eastAsia="en-US"/>
        </w:rPr>
      </w:pPr>
      <w:r w:rsidRPr="00B37812">
        <w:rPr>
          <w:rFonts w:ascii="Times New Roman" w:eastAsia="SimSun" w:hAnsi="Times New Roman" w:cs="Times New Roman"/>
          <w:sz w:val="24"/>
          <w:szCs w:val="24"/>
          <w:vertAlign w:val="superscript"/>
          <w:lang w:eastAsia="en-US"/>
        </w:rPr>
        <w:t>c</w:t>
      </w:r>
      <w:r w:rsidRPr="00B37812">
        <w:rPr>
          <w:rFonts w:ascii="Times New Roman" w:eastAsia="SimSun" w:hAnsi="Times New Roman" w:cs="Times New Roman"/>
          <w:sz w:val="24"/>
          <w:szCs w:val="24"/>
          <w:lang w:eastAsia="en-US"/>
        </w:rPr>
        <w:t>School of Management, Jiangsu University, 301 Xuefu Road, Zhenjiang 212013, P.R. China.</w:t>
      </w:r>
    </w:p>
    <w:p w14:paraId="161714DC" w14:textId="77777777" w:rsidR="00B85163" w:rsidRPr="00B37812" w:rsidRDefault="00B85163" w:rsidP="00A330CD">
      <w:pPr>
        <w:spacing w:after="0" w:line="360" w:lineRule="auto"/>
        <w:jc w:val="both"/>
        <w:rPr>
          <w:rFonts w:ascii="Times New Roman" w:eastAsia="SimSun" w:hAnsi="Times New Roman" w:cs="Times New Roman"/>
          <w:sz w:val="10"/>
          <w:szCs w:val="10"/>
          <w:lang w:eastAsia="en-US"/>
        </w:rPr>
      </w:pPr>
    </w:p>
    <w:p w14:paraId="0E88080D" w14:textId="77777777" w:rsidR="00B85163" w:rsidRPr="00B37812" w:rsidRDefault="00B85163" w:rsidP="00A330CD">
      <w:pPr>
        <w:spacing w:after="0" w:line="360" w:lineRule="auto"/>
        <w:jc w:val="both"/>
        <w:rPr>
          <w:rFonts w:ascii="Times New Roman" w:eastAsia="SimSun" w:hAnsi="Times New Roman" w:cs="Times New Roman"/>
          <w:sz w:val="24"/>
          <w:szCs w:val="24"/>
          <w:lang w:eastAsia="en-US"/>
        </w:rPr>
      </w:pPr>
      <w:r w:rsidRPr="00B37812">
        <w:rPr>
          <w:rFonts w:ascii="Times New Roman" w:eastAsia="SimSun" w:hAnsi="Times New Roman" w:cs="Times New Roman"/>
          <w:sz w:val="24"/>
          <w:szCs w:val="24"/>
          <w:lang w:eastAsia="en-US"/>
        </w:rPr>
        <w:t xml:space="preserve">*Corresponding author </w:t>
      </w:r>
    </w:p>
    <w:p w14:paraId="13A9A32E" w14:textId="77777777" w:rsidR="00B85163" w:rsidRPr="00B37812" w:rsidRDefault="00B85163" w:rsidP="00A330CD">
      <w:pPr>
        <w:spacing w:after="0" w:line="360" w:lineRule="auto"/>
        <w:jc w:val="both"/>
        <w:rPr>
          <w:rFonts w:ascii="Times New Roman" w:eastAsia="SimSun" w:hAnsi="Times New Roman" w:cs="Times New Roman"/>
          <w:sz w:val="24"/>
          <w:szCs w:val="24"/>
          <w:lang w:eastAsia="en-US"/>
        </w:rPr>
      </w:pPr>
      <w:r w:rsidRPr="00B37812">
        <w:rPr>
          <w:rFonts w:ascii="Times New Roman" w:eastAsia="SimSun" w:hAnsi="Times New Roman" w:cs="Times New Roman"/>
          <w:sz w:val="24"/>
          <w:szCs w:val="24"/>
          <w:lang w:eastAsia="en-US"/>
        </w:rPr>
        <w:t>Yongkun Ma: (86)13913439511; mayongkun@ujs.edu.cn; 301 Xuefu Road, Zhenjiang 212013, P.R. China.</w:t>
      </w:r>
    </w:p>
    <w:p w14:paraId="6DE5E7FC" w14:textId="77777777" w:rsidR="00B85163" w:rsidRPr="00B37812" w:rsidRDefault="00B85163" w:rsidP="00A330CD">
      <w:pPr>
        <w:spacing w:after="0" w:line="360" w:lineRule="auto"/>
        <w:rPr>
          <w:rFonts w:ascii="Times New Roman" w:eastAsia="Calibri" w:hAnsi="Times New Roman" w:cs="Times New Roman"/>
          <w:b/>
          <w:bCs/>
          <w:color w:val="000000"/>
          <w:sz w:val="24"/>
          <w:szCs w:val="24"/>
          <w:lang w:eastAsia="en-US"/>
        </w:rPr>
        <w:sectPr w:rsidR="00B85163" w:rsidRPr="00B37812" w:rsidSect="001B5C75">
          <w:footerReference w:type="default" r:id="rId8"/>
          <w:pgSz w:w="12240" w:h="15840"/>
          <w:pgMar w:top="1440" w:right="1440" w:bottom="1440" w:left="1440" w:header="708" w:footer="708" w:gutter="0"/>
          <w:lnNumType w:countBy="1" w:restart="continuous"/>
          <w:cols w:space="708"/>
          <w:docGrid w:linePitch="360"/>
        </w:sectPr>
      </w:pPr>
      <w:r w:rsidRPr="00B37812">
        <w:rPr>
          <w:rStyle w:val="FootnoteReference"/>
          <w:rFonts w:ascii="Times New Roman" w:eastAsia="SimSun" w:hAnsi="Times New Roman" w:cs="Times New Roman"/>
          <w:sz w:val="24"/>
          <w:szCs w:val="24"/>
          <w:lang w:eastAsia="en-US"/>
        </w:rPr>
        <w:footnoteReference w:id="1"/>
      </w:r>
      <w:r w:rsidRPr="00B37812">
        <w:rPr>
          <w:rFonts w:ascii="Times New Roman" w:hAnsi="Times New Roman" w:cs="Times New Roman"/>
          <w:sz w:val="24"/>
          <w:szCs w:val="24"/>
        </w:rPr>
        <w:t xml:space="preserve"> </w:t>
      </w:r>
      <w:r w:rsidRPr="00B37812">
        <w:rPr>
          <w:rFonts w:ascii="Times New Roman" w:eastAsia="Calibri" w:hAnsi="Times New Roman" w:cs="Times New Roman"/>
          <w:b/>
          <w:bCs/>
          <w:color w:val="000000"/>
          <w:sz w:val="24"/>
          <w:szCs w:val="24"/>
          <w:lang w:eastAsia="en-US"/>
        </w:rPr>
        <w:br w:type="textWrapping" w:clear="all"/>
      </w:r>
    </w:p>
    <w:p w14:paraId="2801AB4E"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lastRenderedPageBreak/>
        <w:t xml:space="preserve">ABSTRACT   </w:t>
      </w:r>
    </w:p>
    <w:p w14:paraId="6E90B4F8" w14:textId="77777777" w:rsidR="005B2809" w:rsidRPr="00B37812" w:rsidRDefault="005B2809" w:rsidP="00A330CD">
      <w:pPr>
        <w:autoSpaceDE w:val="0"/>
        <w:autoSpaceDN w:val="0"/>
        <w:adjustRightInd w:val="0"/>
        <w:spacing w:after="0" w:line="360" w:lineRule="auto"/>
        <w:ind w:firstLine="720"/>
        <w:jc w:val="both"/>
        <w:rPr>
          <w:rFonts w:ascii="Times New Roman" w:hAnsi="Times New Roman" w:cs="Times New Roman"/>
          <w:bCs/>
          <w:sz w:val="24"/>
          <w:szCs w:val="24"/>
        </w:rPr>
      </w:pPr>
    </w:p>
    <w:p w14:paraId="59FA44B2" w14:textId="6EDD0C48" w:rsidR="00BF0D1F" w:rsidRPr="00B37812" w:rsidRDefault="00DA37B1" w:rsidP="00A330CD">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eastAsia="Calibri" w:hAnsi="Times New Roman" w:cs="Times New Roman"/>
          <w:bCs/>
          <w:sz w:val="24"/>
          <w:szCs w:val="24"/>
        </w:rPr>
        <w:t>In this study</w:t>
      </w:r>
      <w:r w:rsidR="003209FC" w:rsidRPr="00B37812">
        <w:rPr>
          <w:rFonts w:ascii="Times New Roman" w:eastAsia="Calibri" w:hAnsi="Times New Roman" w:cs="Times New Roman"/>
          <w:bCs/>
          <w:color w:val="000000"/>
          <w:sz w:val="24"/>
          <w:szCs w:val="24"/>
          <w:lang w:eastAsia="en-US"/>
        </w:rPr>
        <w:t xml:space="preserve"> </w:t>
      </w:r>
      <w:r w:rsidR="003209FC" w:rsidRPr="00B37812">
        <w:rPr>
          <w:rFonts w:ascii="Times New Roman" w:eastAsia="SimSun" w:hAnsi="Times New Roman" w:cs="Times New Roman"/>
          <w:sz w:val="24"/>
          <w:szCs w:val="24"/>
          <w:lang w:eastAsia="en-US"/>
        </w:rPr>
        <w:t xml:space="preserve">mulberry leaf extract biocompounds </w:t>
      </w:r>
      <w:r>
        <w:rPr>
          <w:rFonts w:ascii="Times New Roman" w:eastAsia="SimSun" w:hAnsi="Times New Roman" w:cs="Times New Roman"/>
          <w:sz w:val="24"/>
          <w:szCs w:val="24"/>
          <w:lang w:eastAsia="en-US"/>
        </w:rPr>
        <w:t>were encapsulated with</w:t>
      </w:r>
      <w:r w:rsidR="00935282" w:rsidRPr="00B37812">
        <w:rPr>
          <w:rFonts w:ascii="Times New Roman" w:eastAsia="Calibri" w:hAnsi="Times New Roman" w:cs="Times New Roman"/>
          <w:bCs/>
          <w:sz w:val="24"/>
          <w:szCs w:val="24"/>
          <w:lang w:val="en-GB" w:eastAsia="en-US"/>
        </w:rPr>
        <w:t xml:space="preserve"> </w:t>
      </w:r>
      <w:r w:rsidR="00935282" w:rsidRPr="00B37812">
        <w:rPr>
          <w:rFonts w:ascii="Times New Roman" w:hAnsi="Times New Roman" w:cs="Times New Roman"/>
          <w:bCs/>
          <w:sz w:val="24"/>
          <w:szCs w:val="24"/>
        </w:rPr>
        <w:t>sodium carboxymethyl cellulose (</w:t>
      </w:r>
      <w:r w:rsidR="00935282" w:rsidRPr="00B37812">
        <w:rPr>
          <w:rFonts w:ascii="Times New Roman" w:eastAsia="Calibri" w:hAnsi="Times New Roman" w:cs="Times New Roman"/>
          <w:bCs/>
          <w:color w:val="000000"/>
          <w:sz w:val="24"/>
          <w:szCs w:val="24"/>
          <w:lang w:eastAsia="en-US"/>
        </w:rPr>
        <w:t>0.55%, 0.70%, and 0.75% w/v)</w:t>
      </w:r>
      <w:r w:rsidR="00935282" w:rsidRPr="00B37812">
        <w:rPr>
          <w:rFonts w:ascii="Times New Roman" w:hAnsi="Times New Roman" w:cs="Times New Roman"/>
          <w:bCs/>
          <w:sz w:val="24"/>
          <w:szCs w:val="24"/>
        </w:rPr>
        <w:t xml:space="preserve"> </w:t>
      </w:r>
      <w:r w:rsidR="00165E60" w:rsidRPr="00B37812">
        <w:rPr>
          <w:rFonts w:ascii="Times New Roman" w:hAnsi="Times New Roman" w:cs="Times New Roman"/>
          <w:bCs/>
          <w:sz w:val="24"/>
          <w:szCs w:val="24"/>
        </w:rPr>
        <w:t>or</w:t>
      </w:r>
      <w:r w:rsidR="00935282" w:rsidRPr="00B37812">
        <w:rPr>
          <w:rFonts w:ascii="Times New Roman" w:hAnsi="Times New Roman" w:cs="Times New Roman"/>
          <w:bCs/>
          <w:sz w:val="24"/>
          <w:szCs w:val="24"/>
        </w:rPr>
        <w:t xml:space="preserve"> maltodextrin (</w:t>
      </w:r>
      <w:r w:rsidR="00935282" w:rsidRPr="00B37812">
        <w:rPr>
          <w:rFonts w:ascii="Times New Roman" w:eastAsia="Calibri" w:hAnsi="Times New Roman" w:cs="Times New Roman"/>
          <w:bCs/>
          <w:color w:val="000000"/>
          <w:sz w:val="24"/>
          <w:szCs w:val="24"/>
          <w:lang w:eastAsia="en-US"/>
        </w:rPr>
        <w:t>8%, 10%, and 12% w/v</w:t>
      </w:r>
      <w:r w:rsidR="00935282" w:rsidRPr="00B37812">
        <w:rPr>
          <w:rFonts w:ascii="Times New Roman" w:hAnsi="Times New Roman" w:cs="Times New Roman"/>
          <w:bCs/>
          <w:sz w:val="24"/>
          <w:szCs w:val="24"/>
        </w:rPr>
        <w:t>).</w:t>
      </w:r>
      <w:r>
        <w:rPr>
          <w:rFonts w:ascii="Times New Roman" w:eastAsia="Calibri" w:hAnsi="Times New Roman" w:cs="Times New Roman"/>
          <w:bCs/>
          <w:sz w:val="24"/>
          <w:szCs w:val="24"/>
          <w:lang w:val="en-GB" w:eastAsia="en-US"/>
        </w:rPr>
        <w:t xml:space="preserve"> </w:t>
      </w:r>
      <w:r w:rsidR="00935282" w:rsidRPr="00B37812">
        <w:rPr>
          <w:rFonts w:ascii="Times New Roman" w:hAnsi="Times New Roman" w:cs="Times New Roman"/>
          <w:bCs/>
          <w:sz w:val="24"/>
          <w:szCs w:val="24"/>
        </w:rPr>
        <w:t xml:space="preserve">The outcome of this work demonstrated that </w:t>
      </w:r>
      <w:r w:rsidR="00935282" w:rsidRPr="00B37812">
        <w:rPr>
          <w:rFonts w:ascii="Times New Roman" w:eastAsia="Calibri" w:hAnsi="Times New Roman" w:cs="Times New Roman"/>
          <w:bCs/>
          <w:sz w:val="24"/>
          <w:szCs w:val="24"/>
          <w:lang w:val="en-GB" w:eastAsia="en-US"/>
        </w:rPr>
        <w:t xml:space="preserve">maltodextrin exhibited the highest encapsulation efficiency </w:t>
      </w:r>
      <w:r w:rsidR="00596BD4" w:rsidRPr="00B37812">
        <w:rPr>
          <w:rFonts w:ascii="Times New Roman" w:eastAsia="Calibri" w:hAnsi="Times New Roman" w:cs="Times New Roman"/>
          <w:bCs/>
          <w:sz w:val="24"/>
          <w:szCs w:val="24"/>
          <w:lang w:val="en-GB" w:eastAsia="en-US"/>
        </w:rPr>
        <w:t>towards</w:t>
      </w:r>
      <w:r w:rsidR="00935282" w:rsidRPr="00B37812">
        <w:rPr>
          <w:rFonts w:ascii="Times New Roman" w:eastAsia="Calibri" w:hAnsi="Times New Roman" w:cs="Times New Roman"/>
          <w:bCs/>
          <w:sz w:val="24"/>
          <w:szCs w:val="24"/>
          <w:lang w:val="en-GB" w:eastAsia="en-US"/>
        </w:rPr>
        <w:t xml:space="preserve"> the phenolic acids and 1-deoxynojirimycinin whereas the flavonols and gamma-aminobutyric acid were best encapsulated by sodium carboxymethyl cellulose. Moreover, the antioxidant properties of the encapsulated powder</w:t>
      </w:r>
      <w:r w:rsidR="006C2B85" w:rsidRPr="00B37812">
        <w:rPr>
          <w:rFonts w:ascii="Times New Roman" w:eastAsia="Calibri" w:hAnsi="Times New Roman" w:cs="Times New Roman"/>
          <w:bCs/>
          <w:sz w:val="24"/>
          <w:szCs w:val="24"/>
          <w:lang w:val="en-GB" w:eastAsia="en-US"/>
        </w:rPr>
        <w:t>s</w:t>
      </w:r>
      <w:r w:rsidR="00935282" w:rsidRPr="00B37812">
        <w:rPr>
          <w:rFonts w:ascii="Times New Roman" w:eastAsia="Calibri" w:hAnsi="Times New Roman" w:cs="Times New Roman"/>
          <w:bCs/>
          <w:sz w:val="24"/>
          <w:szCs w:val="24"/>
          <w:lang w:val="en-GB" w:eastAsia="en-US"/>
        </w:rPr>
        <w:t xml:space="preserve"> were found to be associated with </w:t>
      </w:r>
      <w:r w:rsidR="00E51E23" w:rsidRPr="00B37812">
        <w:rPr>
          <w:rFonts w:ascii="Times New Roman" w:eastAsia="Calibri" w:hAnsi="Times New Roman" w:cs="Times New Roman"/>
          <w:bCs/>
          <w:sz w:val="24"/>
          <w:szCs w:val="24"/>
          <w:lang w:val="en-GB" w:eastAsia="en-US"/>
        </w:rPr>
        <w:t xml:space="preserve">their </w:t>
      </w:r>
      <w:r w:rsidR="00935282" w:rsidRPr="00B37812">
        <w:rPr>
          <w:rFonts w:ascii="Times New Roman" w:eastAsia="Calibri" w:hAnsi="Times New Roman" w:cs="Times New Roman"/>
          <w:bCs/>
          <w:sz w:val="24"/>
          <w:szCs w:val="24"/>
          <w:lang w:val="en-GB" w:eastAsia="en-US"/>
        </w:rPr>
        <w:t xml:space="preserve">nutraceutical constituents. In addition, </w:t>
      </w:r>
      <w:r w:rsidR="00935282" w:rsidRPr="00B37812">
        <w:rPr>
          <w:rFonts w:ascii="Times New Roman" w:hAnsi="Times New Roman" w:cs="Times New Roman"/>
          <w:bCs/>
          <w:sz w:val="24"/>
          <w:szCs w:val="24"/>
        </w:rPr>
        <w:t xml:space="preserve">the </w:t>
      </w:r>
      <w:r w:rsidR="00935282" w:rsidRPr="00B37812">
        <w:rPr>
          <w:rFonts w:ascii="Times New Roman" w:eastAsia="Calibri" w:hAnsi="Times New Roman" w:cs="Times New Roman"/>
          <w:bCs/>
          <w:sz w:val="24"/>
          <w:szCs w:val="24"/>
          <w:lang w:val="en-GB" w:eastAsia="en-US"/>
        </w:rPr>
        <w:t>powder</w:t>
      </w:r>
      <w:r w:rsidR="006C2B85" w:rsidRPr="00B37812">
        <w:rPr>
          <w:rFonts w:ascii="Times New Roman" w:eastAsia="Calibri" w:hAnsi="Times New Roman" w:cs="Times New Roman"/>
          <w:bCs/>
          <w:sz w:val="24"/>
          <w:szCs w:val="24"/>
          <w:lang w:val="en-GB" w:eastAsia="en-US"/>
        </w:rPr>
        <w:t>s</w:t>
      </w:r>
      <w:r w:rsidR="00935282" w:rsidRPr="00B37812">
        <w:rPr>
          <w:rFonts w:ascii="Times New Roman" w:eastAsia="Calibri" w:hAnsi="Times New Roman" w:cs="Times New Roman"/>
          <w:bCs/>
          <w:sz w:val="24"/>
          <w:szCs w:val="24"/>
          <w:lang w:val="en-GB" w:eastAsia="en-US"/>
        </w:rPr>
        <w:t xml:space="preserve"> </w:t>
      </w:r>
      <w:r w:rsidR="00935282" w:rsidRPr="00B37812">
        <w:rPr>
          <w:rFonts w:ascii="Times New Roman" w:hAnsi="Times New Roman" w:cs="Times New Roman"/>
          <w:bCs/>
          <w:sz w:val="24"/>
          <w:szCs w:val="24"/>
        </w:rPr>
        <w:t xml:space="preserve">produced with sodium carboxymethyl cellulose were typified by </w:t>
      </w:r>
      <w:r w:rsidR="00B21F8E" w:rsidRPr="00B37812">
        <w:rPr>
          <w:rFonts w:ascii="Times New Roman" w:hAnsi="Times New Roman" w:cs="Times New Roman"/>
          <w:bCs/>
          <w:sz w:val="24"/>
          <w:szCs w:val="24"/>
        </w:rPr>
        <w:t>suitable</w:t>
      </w:r>
      <w:r w:rsidR="00935282" w:rsidRPr="00B37812">
        <w:rPr>
          <w:rFonts w:ascii="Times New Roman" w:hAnsi="Times New Roman" w:cs="Times New Roman"/>
          <w:bCs/>
          <w:sz w:val="24"/>
          <w:szCs w:val="24"/>
        </w:rPr>
        <w:t xml:space="preserve"> </w:t>
      </w:r>
      <w:r w:rsidR="00B21F8E" w:rsidRPr="00B37812">
        <w:rPr>
          <w:rFonts w:ascii="Times New Roman" w:hAnsi="Times New Roman" w:cs="Times New Roman"/>
          <w:bCs/>
          <w:sz w:val="24"/>
          <w:szCs w:val="24"/>
        </w:rPr>
        <w:t xml:space="preserve">hygroscopicity, wettability, glass transition temperature, </w:t>
      </w:r>
      <w:r w:rsidR="00FF2365" w:rsidRPr="00B37812">
        <w:rPr>
          <w:rFonts w:ascii="Times New Roman" w:hAnsi="Times New Roman" w:cs="Times New Roman"/>
          <w:bCs/>
          <w:sz w:val="24"/>
          <w:szCs w:val="24"/>
        </w:rPr>
        <w:t>and bulk propertie</w:t>
      </w:r>
      <w:r w:rsidR="00842D98" w:rsidRPr="00B37812">
        <w:rPr>
          <w:rFonts w:ascii="Times New Roman" w:hAnsi="Times New Roman" w:cs="Times New Roman"/>
          <w:bCs/>
          <w:sz w:val="24"/>
          <w:szCs w:val="24"/>
        </w:rPr>
        <w:t>s</w:t>
      </w:r>
      <w:r w:rsidR="00B21F8E" w:rsidRPr="00B37812">
        <w:rPr>
          <w:rFonts w:ascii="Times New Roman" w:hAnsi="Times New Roman" w:cs="Times New Roman"/>
          <w:bCs/>
          <w:sz w:val="24"/>
          <w:szCs w:val="24"/>
        </w:rPr>
        <w:t xml:space="preserve"> </w:t>
      </w:r>
      <w:r w:rsidR="00935282" w:rsidRPr="00B37812">
        <w:rPr>
          <w:rFonts w:ascii="Times New Roman" w:hAnsi="Times New Roman" w:cs="Times New Roman"/>
          <w:bCs/>
          <w:sz w:val="24"/>
          <w:szCs w:val="24"/>
        </w:rPr>
        <w:t xml:space="preserve">than those </w:t>
      </w:r>
      <w:r w:rsidR="009E4171" w:rsidRPr="00B37812">
        <w:rPr>
          <w:rFonts w:ascii="Times New Roman" w:hAnsi="Times New Roman" w:cs="Times New Roman"/>
          <w:bCs/>
          <w:sz w:val="24"/>
          <w:szCs w:val="24"/>
        </w:rPr>
        <w:t>obtai</w:t>
      </w:r>
      <w:bookmarkStart w:id="0" w:name="_GoBack"/>
      <w:bookmarkEnd w:id="0"/>
      <w:r w:rsidR="009E4171" w:rsidRPr="00B37812">
        <w:rPr>
          <w:rFonts w:ascii="Times New Roman" w:hAnsi="Times New Roman" w:cs="Times New Roman"/>
          <w:bCs/>
          <w:sz w:val="24"/>
          <w:szCs w:val="24"/>
        </w:rPr>
        <w:t xml:space="preserve">ned </w:t>
      </w:r>
      <w:r w:rsidR="00935282" w:rsidRPr="00B37812">
        <w:rPr>
          <w:rFonts w:ascii="Times New Roman" w:hAnsi="Times New Roman" w:cs="Times New Roman"/>
          <w:bCs/>
          <w:sz w:val="24"/>
          <w:szCs w:val="24"/>
        </w:rPr>
        <w:t>with maltodextrin</w:t>
      </w:r>
      <w:r w:rsidR="00B21F8E" w:rsidRPr="00B37812">
        <w:rPr>
          <w:rFonts w:ascii="Times New Roman" w:hAnsi="Times New Roman" w:cs="Times New Roman"/>
          <w:bCs/>
          <w:sz w:val="24"/>
          <w:szCs w:val="24"/>
        </w:rPr>
        <w:t xml:space="preserve"> which was characterized by desirable porosity, water solubility, moisture con</w:t>
      </w:r>
      <w:r w:rsidR="00E51E23" w:rsidRPr="00B37812">
        <w:rPr>
          <w:rFonts w:ascii="Times New Roman" w:hAnsi="Times New Roman" w:cs="Times New Roman"/>
          <w:bCs/>
          <w:sz w:val="24"/>
          <w:szCs w:val="24"/>
        </w:rPr>
        <w:t xml:space="preserve">tent, water activity, </w:t>
      </w:r>
      <w:r w:rsidR="00BF0D1F" w:rsidRPr="00B37812">
        <w:rPr>
          <w:rFonts w:ascii="Times New Roman" w:hAnsi="Times New Roman" w:cs="Times New Roman"/>
          <w:bCs/>
          <w:sz w:val="24"/>
          <w:szCs w:val="24"/>
        </w:rPr>
        <w:t xml:space="preserve">color, particle, </w:t>
      </w:r>
      <w:r w:rsidR="00E51E23" w:rsidRPr="00B37812">
        <w:rPr>
          <w:rFonts w:ascii="Times New Roman" w:hAnsi="Times New Roman" w:cs="Times New Roman"/>
          <w:bCs/>
          <w:sz w:val="24"/>
          <w:szCs w:val="24"/>
        </w:rPr>
        <w:t xml:space="preserve">and </w:t>
      </w:r>
      <w:r w:rsidR="00BF0D1F" w:rsidRPr="00B37812">
        <w:rPr>
          <w:rFonts w:ascii="Times New Roman" w:hAnsi="Times New Roman" w:cs="Times New Roman"/>
          <w:bCs/>
          <w:sz w:val="24"/>
          <w:szCs w:val="24"/>
        </w:rPr>
        <w:t>flowability properties</w:t>
      </w:r>
      <w:r w:rsidR="00935282" w:rsidRPr="00B37812">
        <w:rPr>
          <w:rFonts w:ascii="Times New Roman" w:hAnsi="Times New Roman" w:cs="Times New Roman"/>
          <w:bCs/>
          <w:sz w:val="24"/>
          <w:szCs w:val="24"/>
        </w:rPr>
        <w:t>.</w:t>
      </w:r>
      <w:r w:rsidR="00BF0D1F" w:rsidRPr="00B37812">
        <w:rPr>
          <w:rFonts w:ascii="Times New Roman" w:hAnsi="Times New Roman" w:cs="Times New Roman"/>
          <w:bCs/>
          <w:sz w:val="24"/>
          <w:szCs w:val="24"/>
        </w:rPr>
        <w:t xml:space="preserve"> </w:t>
      </w:r>
    </w:p>
    <w:p w14:paraId="41D934BD" w14:textId="77777777" w:rsidR="00DA37B1" w:rsidRDefault="00DA37B1" w:rsidP="00DA37B1">
      <w:pPr>
        <w:autoSpaceDE w:val="0"/>
        <w:autoSpaceDN w:val="0"/>
        <w:adjustRightInd w:val="0"/>
        <w:spacing w:after="0" w:line="360" w:lineRule="auto"/>
        <w:jc w:val="both"/>
        <w:rPr>
          <w:rFonts w:ascii="Times New Roman" w:eastAsia="Calibri" w:hAnsi="Times New Roman" w:cs="Times New Roman"/>
          <w:b/>
          <w:bCs/>
          <w:color w:val="000000"/>
          <w:sz w:val="24"/>
          <w:szCs w:val="24"/>
          <w:lang w:eastAsia="en-US"/>
        </w:rPr>
      </w:pPr>
    </w:p>
    <w:p w14:paraId="6664D4CC" w14:textId="65CE993A" w:rsidR="00B85163" w:rsidRDefault="00B85163" w:rsidP="00DA37B1">
      <w:pPr>
        <w:autoSpaceDE w:val="0"/>
        <w:autoSpaceDN w:val="0"/>
        <w:adjustRightInd w:val="0"/>
        <w:spacing w:after="0" w:line="360" w:lineRule="auto"/>
        <w:jc w:val="both"/>
        <w:rPr>
          <w:rFonts w:ascii="Times New Roman" w:hAnsi="Times New Roman" w:cs="Times New Roman"/>
          <w:bCs/>
          <w:sz w:val="24"/>
          <w:szCs w:val="24"/>
        </w:rPr>
      </w:pPr>
      <w:r w:rsidRPr="00B37812">
        <w:rPr>
          <w:rFonts w:ascii="Times New Roman" w:eastAsia="Calibri" w:hAnsi="Times New Roman" w:cs="Times New Roman"/>
          <w:b/>
          <w:bCs/>
          <w:color w:val="000000"/>
          <w:sz w:val="24"/>
          <w:szCs w:val="24"/>
          <w:lang w:eastAsia="en-US"/>
        </w:rPr>
        <w:t xml:space="preserve">KEYWORDS: </w:t>
      </w:r>
      <w:r w:rsidR="00665A46" w:rsidRPr="00B37812">
        <w:rPr>
          <w:rFonts w:ascii="Times New Roman" w:eastAsia="Calibri" w:hAnsi="Times New Roman" w:cs="Times New Roman"/>
          <w:bCs/>
          <w:color w:val="000000"/>
          <w:sz w:val="24"/>
          <w:szCs w:val="24"/>
          <w:lang w:eastAsia="en-US"/>
        </w:rPr>
        <w:t>Freeze drying, m</w:t>
      </w:r>
      <w:r w:rsidRPr="00B37812">
        <w:rPr>
          <w:rFonts w:ascii="Times New Roman" w:eastAsia="Calibri" w:hAnsi="Times New Roman" w:cs="Times New Roman"/>
          <w:bCs/>
          <w:color w:val="000000"/>
          <w:sz w:val="24"/>
          <w:szCs w:val="24"/>
          <w:lang w:eastAsia="en-US"/>
        </w:rPr>
        <w:t>ulberry leaf; encapsulation</w:t>
      </w:r>
      <w:r w:rsidRPr="00B37812">
        <w:rPr>
          <w:rFonts w:ascii="Times New Roman" w:hAnsi="Times New Roman" w:cs="Times New Roman"/>
          <w:bCs/>
          <w:sz w:val="24"/>
          <w:szCs w:val="24"/>
        </w:rPr>
        <w:t>; sodium carboxymethyl cellulose; maltodextrin</w:t>
      </w:r>
    </w:p>
    <w:p w14:paraId="16115558" w14:textId="0FFB75C6" w:rsidR="00DA37B1" w:rsidRDefault="00DA37B1" w:rsidP="00DA37B1">
      <w:pPr>
        <w:autoSpaceDE w:val="0"/>
        <w:autoSpaceDN w:val="0"/>
        <w:adjustRightInd w:val="0"/>
        <w:spacing w:after="0" w:line="360" w:lineRule="auto"/>
        <w:jc w:val="both"/>
        <w:rPr>
          <w:rFonts w:ascii="Times New Roman" w:hAnsi="Times New Roman" w:cs="Times New Roman"/>
          <w:bCs/>
          <w:sz w:val="24"/>
          <w:szCs w:val="24"/>
        </w:rPr>
      </w:pPr>
    </w:p>
    <w:p w14:paraId="3CE1E1D4" w14:textId="77777777" w:rsidR="00DA37B1" w:rsidRPr="00B37812" w:rsidRDefault="00DA37B1" w:rsidP="00A330CD">
      <w:pPr>
        <w:autoSpaceDE w:val="0"/>
        <w:autoSpaceDN w:val="0"/>
        <w:adjustRightInd w:val="0"/>
        <w:spacing w:before="240" w:after="0" w:line="360" w:lineRule="auto"/>
        <w:jc w:val="both"/>
        <w:rPr>
          <w:rFonts w:ascii="Times New Roman" w:eastAsia="Calibri" w:hAnsi="Times New Roman" w:cs="Times New Roman"/>
          <w:b/>
          <w:bCs/>
          <w:color w:val="000000"/>
          <w:sz w:val="24"/>
          <w:szCs w:val="24"/>
          <w:lang w:eastAsia="en-US"/>
        </w:rPr>
        <w:sectPr w:rsidR="00DA37B1" w:rsidRPr="00B37812" w:rsidSect="001B5C75">
          <w:pgSz w:w="12240" w:h="15840"/>
          <w:pgMar w:top="1440" w:right="1440" w:bottom="1440" w:left="1440" w:header="708" w:footer="708" w:gutter="0"/>
          <w:lnNumType w:countBy="1" w:restart="continuous"/>
          <w:cols w:space="708"/>
          <w:docGrid w:linePitch="360"/>
        </w:sectPr>
      </w:pPr>
    </w:p>
    <w:p w14:paraId="45447C59" w14:textId="77777777" w:rsidR="00B85163" w:rsidRPr="00B37812" w:rsidRDefault="00B85163" w:rsidP="00A330CD">
      <w:pPr>
        <w:autoSpaceDE w:val="0"/>
        <w:autoSpaceDN w:val="0"/>
        <w:adjustRightInd w:val="0"/>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1. INTRODUCTION</w:t>
      </w:r>
    </w:p>
    <w:p w14:paraId="6F634995" w14:textId="77777777" w:rsidR="00B85163" w:rsidRPr="00B37812" w:rsidRDefault="00B85163" w:rsidP="00A330CD">
      <w:pPr>
        <w:autoSpaceDE w:val="0"/>
        <w:autoSpaceDN w:val="0"/>
        <w:adjustRightInd w:val="0"/>
        <w:spacing w:after="0" w:line="360" w:lineRule="auto"/>
        <w:jc w:val="both"/>
        <w:rPr>
          <w:rFonts w:ascii="Times New Roman" w:eastAsia="Calibri" w:hAnsi="Times New Roman" w:cs="Times New Roman"/>
          <w:b/>
          <w:bCs/>
          <w:color w:val="000000"/>
          <w:sz w:val="24"/>
          <w:szCs w:val="24"/>
          <w:lang w:eastAsia="en-US"/>
        </w:rPr>
      </w:pPr>
    </w:p>
    <w:p w14:paraId="42357600" w14:textId="4F00FF36" w:rsidR="007E7F80" w:rsidRPr="00B37812" w:rsidRDefault="007E7F80"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Cs/>
          <w:color w:val="000000"/>
          <w:sz w:val="24"/>
          <w:szCs w:val="24"/>
          <w:lang w:eastAsia="en-US"/>
        </w:rPr>
        <w:t xml:space="preserve">Morus plant species possess enormous importance in economical, industrial, and domestic fields </w:t>
      </w:r>
      <w:hyperlink w:anchor="_ENREF_1" w:tooltip="Memon, 2010 #335"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&lt;EndNote&gt;&lt;Cite&gt;&lt;Author&gt;Memon&lt;/Author&gt;&lt;Year&gt;2010&lt;/Year&gt;&lt;RecNum&gt;335&lt;/RecNum&gt;&lt;DisplayText&gt;&lt;style face="superscript"&gt;1&lt;/style&gt;&lt;/DisplayText&gt;&lt;record&gt;&lt;rec-number&gt;335&lt;/rec-number&gt;&lt;foreign-keys&gt;&lt;key app="EN" db-id="s909s0pvr99pwyezaeap5dryr0dsaf0xvpw0" timestamp="1425184555"&gt;335&lt;/key&gt;&lt;/foreign-keys&gt;&lt;ref-type name="Journal Article"&gt;17&lt;/ref-type&gt;&lt;contributors&gt;&lt;authors&gt;&lt;author&gt;Memon, Ayaz Ali&lt;/author&gt;&lt;author&gt;Memon, Najma&lt;/author&gt;&lt;author&gt;Luthria, Devanand L&lt;/author&gt;&lt;author&gt;Bhanger, MUHAMMAD IQBAL&lt;/author&gt;&lt;author&gt;Pitafi, Amanat Ali&lt;/author&gt;&lt;/authors&gt;&lt;/contributors&gt;&lt;titles&gt;&lt;title&gt;Phenolic acids profiling and antioxidant potential of mulberry (Morus laevigata W., Morus nigra L., Morus alba L.) leaves and fruits grown in Pakistan&lt;/title&gt;&lt;secondary-title&gt;Polish Journal of Food and Nutrition Sciences&lt;/secondary-title&gt;&lt;/titles&gt;&lt;volume&gt;60&lt;/volume&gt;&lt;number&gt;1&lt;/number&gt;&lt;dates&gt;&lt;year&gt;2010&lt;/year&gt;&lt;/dates&gt;&lt;isbn&gt;1230-0322&lt;/isbn&gt;&lt;urls&gt;&lt;/urls&gt;&lt;/record&gt;&lt;/Cite&gt;&lt;/EndNote&gt;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1</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In Asia the plant is grown chiefly for their leaves as food for silkworms (</w:t>
      </w:r>
      <w:r w:rsidRPr="00B37812">
        <w:rPr>
          <w:rFonts w:ascii="Times New Roman" w:eastAsia="Calibri" w:hAnsi="Times New Roman" w:cs="Times New Roman"/>
          <w:bCs/>
          <w:i/>
          <w:color w:val="000000"/>
          <w:sz w:val="24"/>
          <w:szCs w:val="24"/>
          <w:lang w:eastAsia="en-US"/>
        </w:rPr>
        <w:t>Bombyx mori L</w:t>
      </w:r>
      <w:r w:rsidRPr="00B37812">
        <w:rPr>
          <w:rFonts w:ascii="Times New Roman" w:eastAsia="Calibri" w:hAnsi="Times New Roman" w:cs="Times New Roman"/>
          <w:bCs/>
          <w:color w:val="000000"/>
          <w:sz w:val="24"/>
          <w:szCs w:val="24"/>
          <w:lang w:eastAsia="en-US"/>
        </w:rPr>
        <w:t xml:space="preserve">.) </w:t>
      </w:r>
      <w:hyperlink w:anchor="_ENREF_2" w:tooltip="Huo, 2002 #158"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&lt;EndNote&gt;&lt;Cite&gt;&lt;Author&gt;Huo&lt;/Author&gt;&lt;Year&gt;2002&lt;/Year&gt;&lt;RecNum&gt;158&lt;/RecNum&gt;&lt;DisplayText&gt;&lt;style face="superscript"&gt;2&lt;/style&gt;&lt;/DisplayText&gt;&lt;record&gt;&lt;rec-number&gt;158&lt;/rec-number&gt;&lt;foreign-keys&gt;&lt;key app="EN" db-id="5wdx0tztgpfe5yefsdpperx8srzetsx0pw9w" timestamp="1495332585"&gt;158&lt;/key&gt;&lt;/foreign-keys&gt;&lt;ref-type name="Journal Article"&gt;17&lt;/ref-type&gt;&lt;contributors&gt;&lt;authors&gt;&lt;author&gt;Huo, Yongkang&lt;/author&gt;&lt;/authors&gt;&lt;/contributors&gt;&lt;titles&gt;&lt;title&gt;Mulberry cultivation and utilization in China&lt;/title&gt;&lt;secondary-title&gt;Mulberry for Animal Production, FAO Animal Production, and Health Paper&lt;/secondary-title&gt;&lt;/titles&gt;&lt;pages&gt;11-43&lt;/pages&gt;&lt;volume&gt;147&lt;/volume&gt;&lt;dates&gt;&lt;year&gt;2002&lt;/year&gt;&lt;/dates&gt;&lt;urls&gt;&lt;/urls&gt;&lt;/record&gt;&lt;/Cite&gt;&lt;/EndNote&gt;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2</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With the development of sericulture production and the advance of biotechnology, new mulberry varieties are increasingly in demand. However, huge amount of leaves are wasted by the end of the silk production cycle </w:t>
      </w:r>
      <w:hyperlink w:anchor="_ENREF_2" w:tooltip="Huo, 2002 #158"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&lt;EndNote&gt;&lt;Cite&gt;&lt;Author&gt;Huo&lt;/Author&gt;&lt;Year&gt;2002&lt;/Year&gt;&lt;RecNum&gt;158&lt;/RecNum&gt;&lt;DisplayText&gt;&lt;style face="superscript"&gt;2&lt;/style&gt;&lt;/DisplayText&gt;&lt;record&gt;&lt;rec-number&gt;158&lt;/rec-number&gt;&lt;foreign-keys&gt;&lt;key app="EN" db-id="5wdx0tztgpfe5yefsdpperx8srzetsx0pw9w" timestamp="1495332585"&gt;158&lt;/key&gt;&lt;/foreign-keys&gt;&lt;ref-type name="Journal Article"&gt;17&lt;/ref-type&gt;&lt;contributors&gt;&lt;authors&gt;&lt;author&gt;Huo, Yongkang&lt;/author&gt;&lt;/authors&gt;&lt;/contributors&gt;&lt;titles&gt;&lt;title&gt;Mulberry cultivation and utilization in China&lt;/title&gt;&lt;secondary-title&gt;Mulberry for Animal Production, FAO Animal Production, and Health Paper&lt;/secondary-title&gt;&lt;/titles&gt;&lt;pages&gt;11-43&lt;/pages&gt;&lt;volume&gt;147&lt;/volume&gt;&lt;dates&gt;&lt;year&gt;2002&lt;/year&gt;&lt;/dates&gt;&lt;urls&gt;&lt;/urls&gt;&lt;/record&gt;&lt;/Cite&gt;&lt;/EndNote&gt;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2</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Recent studies have highlighted the health benefits of the leaf in the treatment of human ailments </w:t>
      </w:r>
      <w:r w:rsidRPr="00B37812">
        <w:rPr>
          <w:rFonts w:ascii="Times New Roman" w:eastAsia="Calibri" w:hAnsi="Times New Roman" w:cs="Times New Roman"/>
          <w:bCs/>
          <w:color w:val="000000"/>
          <w:sz w:val="24"/>
          <w:szCs w:val="24"/>
          <w:lang w:eastAsia="en-US"/>
        </w:rPr>
        <w:fldChar w:fldCharType="begin"/>
      </w:r>
      <w:r w:rsidR="00E124D1" w:rsidRPr="00B37812">
        <w:rPr>
          <w:rFonts w:ascii="Times New Roman" w:eastAsia="Calibri" w:hAnsi="Times New Roman" w:cs="Times New Roman"/>
          <w:bCs/>
          <w:color w:val="000000"/>
          <w:sz w:val="24"/>
          <w:szCs w:val="24"/>
          <w:lang w:eastAsia="en-US"/>
        </w:rPr>
        <w:instrText xml:space="preserve"> ADDIN EN.CITE &lt;EndNote&gt;&lt;Cite&gt;&lt;Author&gt;Gryn-Rynko&lt;/Author&gt;&lt;Year&gt;2016&lt;/Year&gt;&lt;RecNum&gt;1402&lt;/RecNum&gt;&lt;DisplayText&gt;&lt;style face="superscript"&gt;3, 4&lt;/style&gt;&lt;/DisplayText&gt;&lt;record&gt;&lt;rec-number&gt;1402&lt;/rec-number&gt;&lt;foreign-keys&gt;&lt;key app="EN" db-id="s909s0pvr99pwyezaeap5dryr0dsaf0xvpw0" timestamp="1488249278"&gt;1402&lt;/key&gt;&lt;/foreign-keys&gt;&lt;ref-type name="Journal Article"&gt;17&lt;/ref-type&gt;&lt;contributors&gt;&lt;authors&gt;&lt;author&gt;Gryn-Rynko, Anna&lt;/author&gt;&lt;author&gt;Bazylak, Grzegorz&lt;/author&gt;&lt;author&gt;Olszewska-Slonina, Dorota&lt;/author&gt;&lt;/authors&gt;&lt;/contributors&gt;&lt;titles&gt;&lt;title&gt;New potential phytotherapeutics obtained from white mulberry (Morus alba L.) leaves&lt;/title&gt;&lt;secondary-title&gt;Biomedicine &amp;amp; Pharmacotherapy&lt;/secondary-title&gt;&lt;/titles&gt;&lt;pages&gt;628-636&lt;/pages&gt;&lt;volume&gt;84&lt;/volume&gt;&lt;keywords&gt;&lt;keyword&gt;Morus alba L.&lt;/keyword&gt;&lt;keyword&gt;White mulberry leaves&lt;/keyword&gt;&lt;keyword&gt;Anticancer agents&lt;/keyword&gt;&lt;keyword&gt;Nutraceuticals&lt;/keyword&gt;&lt;keyword&gt;Diabetes mellitus&lt;/keyword&gt;&lt;/keywords&gt;&lt;dates&gt;&lt;year&gt;2016&lt;/year&gt;&lt;pub-dates&gt;&lt;date&gt;12//&lt;/date&gt;&lt;/pub-dates&gt;&lt;/dates&gt;&lt;isbn&gt;0753-3322&lt;/isbn&gt;&lt;urls&gt;&lt;related-urls&gt;&lt;url&gt;http://www.sciencedirect.com/science/article/pii/S075333221631188X&lt;/url&gt;&lt;/related-urls&gt;&lt;/urls&gt;&lt;electronic-resource-num&gt;http://dx.doi.org/10.1016/j.biopha.2016.09.081&lt;/electronic-resource-num&gt;&lt;/record&gt;&lt;/Cite&gt;&lt;Cite&gt;&lt;Author&gt;Nagalakshmamma&lt;/Author&gt;&lt;Year&gt;2012&lt;/Year&gt;&lt;RecNum&gt;1096&lt;/RecNum&gt;&lt;record&gt;&lt;rec-number&gt;1096&lt;/rec-number&gt;&lt;foreign-keys&gt;&lt;key app="EN" db-id="5wdx0tztgpfe5yefsdpperx8srzetsx0pw9w" timestamp="1495332593"&gt;1096&lt;/key&gt;&lt;/foreign-keys&gt;&lt;ref-type name="Journal Article"&gt;17&lt;/ref-type&gt;&lt;contributors&gt;&lt;authors&gt;&lt;author&gt;Nagalakshmamma, K&lt;/author&gt;&lt;/authors&gt;&lt;/contributors&gt;&lt;titles&gt;&lt;title&gt;History and active pharmacokinetic principles of mulberry&lt;/title&gt;&lt;secondary-title&gt;Journal of Pharmacy&lt;/secondary-title&gt;&lt;/titles&gt;&lt;pages&gt;2250-3013&lt;/pages&gt;&lt;volume&gt;2&lt;/volume&gt;&lt;number&gt;4&lt;/number&gt;&lt;dates&gt;&lt;year&gt;2012&lt;/year&gt;&lt;/dates&gt;&lt;urls&gt;&lt;/urls&gt;&lt;/record&gt;&lt;/Cite&gt;&lt;/EndNote&gt;</w:instrText>
      </w:r>
      <w:r w:rsidRPr="00B37812">
        <w:rPr>
          <w:rFonts w:ascii="Times New Roman" w:eastAsia="Calibri" w:hAnsi="Times New Roman" w:cs="Times New Roman"/>
          <w:bCs/>
          <w:color w:val="000000"/>
          <w:sz w:val="24"/>
          <w:szCs w:val="24"/>
          <w:lang w:eastAsia="en-US"/>
        </w:rPr>
        <w:fldChar w:fldCharType="separate"/>
      </w:r>
      <w:hyperlink w:anchor="_ENREF_3" w:tooltip="Gryn-Rynko, 2016 #1402" w:history="1">
        <w:r w:rsidR="00E124D1" w:rsidRPr="00B37812">
          <w:rPr>
            <w:rStyle w:val="Hyperlink"/>
            <w:rFonts w:ascii="Times New Roman" w:eastAsia="Calibri" w:hAnsi="Times New Roman" w:cs="Times New Roman"/>
            <w:bCs/>
            <w:noProof/>
            <w:sz w:val="24"/>
            <w:szCs w:val="24"/>
            <w:vertAlign w:val="superscript"/>
            <w:lang w:eastAsia="en-US"/>
          </w:rPr>
          <w:t>3</w:t>
        </w:r>
      </w:hyperlink>
      <w:r w:rsidR="00E124D1" w:rsidRPr="00B37812">
        <w:rPr>
          <w:rFonts w:ascii="Times New Roman" w:eastAsia="Calibri" w:hAnsi="Times New Roman" w:cs="Times New Roman"/>
          <w:bCs/>
          <w:noProof/>
          <w:color w:val="000000"/>
          <w:sz w:val="24"/>
          <w:szCs w:val="24"/>
          <w:vertAlign w:val="superscript"/>
          <w:lang w:eastAsia="en-US"/>
        </w:rPr>
        <w:t xml:space="preserve">, </w:t>
      </w:r>
      <w:hyperlink w:anchor="_ENREF_4" w:tooltip="Nagalakshmamma, 2012 #1096" w:history="1">
        <w:r w:rsidR="00E124D1" w:rsidRPr="00B37812">
          <w:rPr>
            <w:rStyle w:val="Hyperlink"/>
            <w:rFonts w:ascii="Times New Roman" w:eastAsia="Calibri" w:hAnsi="Times New Roman" w:cs="Times New Roman"/>
            <w:bCs/>
            <w:noProof/>
            <w:sz w:val="24"/>
            <w:szCs w:val="24"/>
            <w:vertAlign w:val="superscript"/>
            <w:lang w:eastAsia="en-US"/>
          </w:rPr>
          <w:t>4</w:t>
        </w:r>
      </w:hyperlink>
      <w:r w:rsidRPr="00B37812">
        <w:rPr>
          <w:rFonts w:ascii="Times New Roman" w:eastAsia="Calibri" w:hAnsi="Times New Roman" w:cs="Times New Roman"/>
          <w:bCs/>
          <w:color w:val="000000"/>
          <w:sz w:val="24"/>
          <w:szCs w:val="24"/>
          <w:lang w:eastAsia="en-US"/>
        </w:rPr>
        <w:fldChar w:fldCharType="end"/>
      </w:r>
      <w:r w:rsidRPr="00B37812">
        <w:rPr>
          <w:rFonts w:ascii="Times New Roman" w:eastAsia="Calibri" w:hAnsi="Times New Roman" w:cs="Times New Roman"/>
          <w:bCs/>
          <w:color w:val="000000"/>
          <w:sz w:val="24"/>
          <w:szCs w:val="24"/>
          <w:lang w:eastAsia="en-US"/>
        </w:rPr>
        <w:t>. However, the leaf is mostly harvested seasonally, thus making it hard to be utilize</w:t>
      </w:r>
      <w:r w:rsidR="00C157E7" w:rsidRPr="00B37812">
        <w:rPr>
          <w:rFonts w:ascii="Times New Roman" w:eastAsia="Calibri" w:hAnsi="Times New Roman" w:cs="Times New Roman"/>
          <w:bCs/>
          <w:color w:val="000000"/>
          <w:sz w:val="24"/>
          <w:szCs w:val="24"/>
          <w:lang w:eastAsia="en-US"/>
        </w:rPr>
        <w:t xml:space="preserve"> by the food and nutraceutical industries,</w:t>
      </w:r>
      <w:r w:rsidRPr="00B37812">
        <w:rPr>
          <w:rFonts w:ascii="Times New Roman" w:eastAsia="Calibri" w:hAnsi="Times New Roman" w:cs="Times New Roman"/>
          <w:bCs/>
          <w:color w:val="000000"/>
          <w:sz w:val="24"/>
          <w:szCs w:val="24"/>
          <w:lang w:eastAsia="en-US"/>
        </w:rPr>
        <w:t xml:space="preserve"> because of their delicate structure, susceptibility to spoilage and low stability in storage. Hence, considering, the fragile nature of the leaves and the large quantities lost during postharvest handling, mulberry leaf could be processed into powder in order to add value to this byproduct.</w:t>
      </w:r>
    </w:p>
    <w:p w14:paraId="1D149AF1" w14:textId="388066A0" w:rsidR="005B7CCE" w:rsidRPr="00B37812" w:rsidRDefault="007E7F80" w:rsidP="00A330CD">
      <w:pPr>
        <w:spacing w:after="0" w:line="360" w:lineRule="auto"/>
        <w:ind w:firstLine="720"/>
        <w:jc w:val="both"/>
        <w:rPr>
          <w:rFonts w:ascii="Times New Roman" w:eastAsia="Calibri" w:hAnsi="Times New Roman" w:cs="Times New Roman"/>
          <w:bCs/>
          <w:sz w:val="24"/>
          <w:szCs w:val="24"/>
        </w:rPr>
      </w:pPr>
      <w:r w:rsidRPr="00B37812">
        <w:rPr>
          <w:rFonts w:ascii="Times New Roman" w:eastAsia="Calibri" w:hAnsi="Times New Roman" w:cs="Times New Roman"/>
          <w:bCs/>
          <w:color w:val="000000"/>
          <w:sz w:val="24"/>
          <w:szCs w:val="24"/>
          <w:lang w:eastAsia="en-US"/>
        </w:rPr>
        <w:t xml:space="preserve">The potential industrial application of mulberry leaf powder as functional ingredient for the food and pharmaceutical industries as alternative solution for its post-harvest conservation of mulberry leaf is limited due to its high perishability and postharvest handling costs (storage, packing and transport). </w:t>
      </w:r>
      <w:r w:rsidR="005B7CCE" w:rsidRPr="00B37812">
        <w:rPr>
          <w:rFonts w:ascii="Times New Roman" w:eastAsia="Calibri" w:hAnsi="Times New Roman" w:cs="Times New Roman"/>
          <w:bCs/>
          <w:sz w:val="24"/>
          <w:szCs w:val="24"/>
        </w:rPr>
        <w:t xml:space="preserve">Moreover, </w:t>
      </w:r>
      <w:r w:rsidR="005B7CCE" w:rsidRPr="00B37812">
        <w:rPr>
          <w:rFonts w:ascii="Times New Roman" w:eastAsia="Calibri" w:hAnsi="Times New Roman" w:cs="Times New Roman"/>
          <w:bCs/>
          <w:color w:val="000000"/>
          <w:sz w:val="24"/>
          <w:szCs w:val="24"/>
          <w:lang w:eastAsia="en-US"/>
        </w:rPr>
        <w:t xml:space="preserve">the high content of nutraceuticals in mulberry leaf </w:t>
      </w:r>
      <w:r w:rsidR="005B7CCE" w:rsidRPr="00B37812">
        <w:rPr>
          <w:rFonts w:ascii="Times New Roman" w:eastAsia="Calibri" w:hAnsi="Times New Roman" w:cs="Times New Roman"/>
          <w:bCs/>
          <w:sz w:val="24"/>
          <w:szCs w:val="24"/>
          <w:lang w:eastAsia="en-US"/>
        </w:rPr>
        <w:t xml:space="preserve">make its powder </w:t>
      </w:r>
      <w:r w:rsidR="005B7CCE" w:rsidRPr="00B37812">
        <w:rPr>
          <w:rFonts w:ascii="Times New Roman" w:eastAsia="Calibri" w:hAnsi="Times New Roman" w:cs="Times New Roman"/>
          <w:bCs/>
          <w:color w:val="000000"/>
          <w:sz w:val="24"/>
          <w:szCs w:val="24"/>
          <w:lang w:eastAsia="en-US"/>
        </w:rPr>
        <w:t>to be less soluble in water and unstable during processing, therefore leading to technical hitches in its industrial utilization</w:t>
      </w:r>
      <w:r w:rsidR="005B7CCE" w:rsidRPr="00B37812">
        <w:rPr>
          <w:rFonts w:ascii="Times New Roman" w:hAnsi="Times New Roman" w:cs="Times New Roman"/>
          <w:bCs/>
          <w:sz w:val="24"/>
          <w:szCs w:val="24"/>
        </w:rPr>
        <w:t xml:space="preserve"> </w:t>
      </w:r>
      <w:hyperlink w:anchor="_ENREF_5" w:tooltip="Struck, 2016 #1238" w:history="1">
        <w:r w:rsidR="005B7CCE" w:rsidRPr="00B37812">
          <w:rPr>
            <w:rStyle w:val="Hyperlink"/>
            <w:rFonts w:ascii="Times New Roman" w:hAnsi="Times New Roman" w:cs="Times New Roman"/>
            <w:bCs/>
            <w:sz w:val="24"/>
            <w:szCs w:val="24"/>
          </w:rPr>
          <w:fldChar w:fldCharType="begin"/>
        </w:r>
        <w:r w:rsidR="00E124D1" w:rsidRPr="00B37812">
          <w:rPr>
            <w:rStyle w:val="Hyperlink"/>
            <w:rFonts w:ascii="Times New Roman" w:hAnsi="Times New Roman" w:cs="Times New Roman"/>
            <w:bCs/>
            <w:sz w:val="24"/>
            <w:szCs w:val="24"/>
          </w:rPr>
          <w:instrText xml:space="preserve"> ADDIN EN.CITE &lt;EndNote&gt;&lt;Cite&gt;&lt;Author&gt;Struck&lt;/Author&gt;&lt;Year&gt;2016&lt;/Year&gt;&lt;RecNum&gt;1238&lt;/RecNum&gt;&lt;DisplayText&gt;&lt;style face="superscript"&gt;5&lt;/style&gt;&lt;/DisplayText&gt;&lt;record&gt;&lt;rec-number&gt;1238&lt;/rec-number&gt;&lt;foreign-keys&gt;&lt;key app="EN" db-id="5wdx0tztgpfe5yefsdpperx8srzetsx0pw9w" timestamp="1495332594"&gt;1238&lt;/key&gt;&lt;/foreign-keys&gt;&lt;ref-type name="Journal Article"&gt;17&lt;/ref-type&gt;&lt;contributors&gt;&lt;authors&gt;&lt;author&gt;Struck, Susanne&lt;/author&gt;&lt;author&gt;Plaza, Merichel&lt;/author&gt;&lt;author&gt;Turner, Charlotta&lt;/author&gt;&lt;author&gt;Rohm, Harald&lt;/author&gt;&lt;/authors&gt;&lt;/contributors&gt;&lt;titles&gt;&lt;title&gt;Berry pomace – a review of processing and chemical analysis of its polyphenols&lt;/title&gt;&lt;secondary-title&gt;International Journal of Food Science &amp;amp; Technology&lt;/secondary-title&gt;&lt;/titles&gt;&lt;periodical&gt;&lt;full-title&gt;International Journal of Food Science &amp;amp; Technology&lt;/full-title&gt;&lt;abbr-1&gt;Int. J. Food Sci. Tech.&lt;/abbr-1&gt;&lt;abbr-2&gt;Int J Food Sci Tech&lt;/abbr-2&gt;&lt;/periodical&gt;&lt;pages&gt;1305-1318&lt;/pages&gt;&lt;volume&gt;51&lt;/volume&gt;&lt;number&gt;6&lt;/number&gt;&lt;keywords&gt;&lt;keyword&gt;Antioxidant activity&lt;/keyword&gt;&lt;keyword&gt;berries&lt;/keyword&gt;&lt;keyword&gt;chemical composition&lt;/keyword&gt;&lt;keyword&gt;dietary fibre&lt;/keyword&gt;&lt;keyword&gt;functional properties&lt;/keyword&gt;&lt;keyword&gt;polyphenols&lt;/keyword&gt;&lt;keyword&gt;processing effects&lt;/keyword&gt;&lt;/keywords&gt;&lt;dates&gt;&lt;year&gt;2016&lt;/year&gt;&lt;/dates&gt;&lt;isbn&gt;1365-2621&lt;/isbn&gt;&lt;urls&gt;&lt;related-urls&gt;&lt;url&gt;http://dx.doi.org/10.1111/ijfs.13112&lt;/url&gt;&lt;/related-urls&gt;&lt;/urls&gt;&lt;electronic-resource-num&gt;10.1111/ijfs.13112&lt;/electronic-resource-num&gt;&lt;/record&gt;&lt;/Cite&gt;&lt;/EndNote&gt;</w:instrText>
        </w:r>
        <w:r w:rsidR="005B7CCE" w:rsidRPr="00B37812">
          <w:rPr>
            <w:rStyle w:val="Hyperlink"/>
            <w:rFonts w:ascii="Times New Roman" w:hAnsi="Times New Roman" w:cs="Times New Roman"/>
            <w:bCs/>
            <w:sz w:val="24"/>
            <w:szCs w:val="24"/>
          </w:rPr>
          <w:fldChar w:fldCharType="separate"/>
        </w:r>
        <w:r w:rsidR="00E124D1" w:rsidRPr="00B37812">
          <w:rPr>
            <w:rStyle w:val="Hyperlink"/>
            <w:rFonts w:ascii="Times New Roman" w:hAnsi="Times New Roman" w:cs="Times New Roman"/>
            <w:bCs/>
            <w:noProof/>
            <w:sz w:val="24"/>
            <w:szCs w:val="24"/>
            <w:vertAlign w:val="superscript"/>
          </w:rPr>
          <w:t>5</w:t>
        </w:r>
        <w:r w:rsidR="005B7CCE" w:rsidRPr="00B37812">
          <w:rPr>
            <w:rStyle w:val="Hyperlink"/>
            <w:rFonts w:ascii="Times New Roman" w:hAnsi="Times New Roman" w:cs="Times New Roman"/>
            <w:sz w:val="24"/>
            <w:szCs w:val="24"/>
          </w:rPr>
          <w:fldChar w:fldCharType="end"/>
        </w:r>
      </w:hyperlink>
      <w:r w:rsidR="005B7CCE" w:rsidRPr="00B37812">
        <w:rPr>
          <w:rFonts w:ascii="Times New Roman" w:hAnsi="Times New Roman" w:cs="Times New Roman"/>
          <w:bCs/>
          <w:sz w:val="24"/>
          <w:szCs w:val="24"/>
        </w:rPr>
        <w:t>.</w:t>
      </w:r>
      <w:r w:rsidR="005B7CCE" w:rsidRPr="00B37812">
        <w:rPr>
          <w:rFonts w:ascii="Times New Roman" w:eastAsia="Calibri" w:hAnsi="Times New Roman" w:cs="Times New Roman"/>
          <w:bCs/>
          <w:sz w:val="24"/>
          <w:szCs w:val="24"/>
        </w:rPr>
        <w:t xml:space="preserve"> In addition,</w:t>
      </w:r>
      <w:r w:rsidR="005B7CCE" w:rsidRPr="00B37812">
        <w:rPr>
          <w:rFonts w:ascii="Times New Roman" w:hAnsi="Times New Roman" w:cs="Times New Roman"/>
          <w:bCs/>
          <w:sz w:val="24"/>
          <w:szCs w:val="24"/>
        </w:rPr>
        <w:t xml:space="preserve"> bioactive compounds are highly susceptible to degradation when expo</w:t>
      </w:r>
      <w:r w:rsidR="00BE19DB" w:rsidRPr="00B37812">
        <w:rPr>
          <w:rFonts w:ascii="Times New Roman" w:hAnsi="Times New Roman" w:cs="Times New Roman"/>
          <w:bCs/>
          <w:sz w:val="24"/>
          <w:szCs w:val="24"/>
        </w:rPr>
        <w:t>sed to environmental conditions</w:t>
      </w:r>
      <w:r w:rsidR="005B7CCE" w:rsidRPr="00B37812">
        <w:rPr>
          <w:rFonts w:ascii="Times New Roman" w:hAnsi="Times New Roman" w:cs="Times New Roman"/>
          <w:bCs/>
          <w:sz w:val="24"/>
          <w:szCs w:val="24"/>
        </w:rPr>
        <w:t xml:space="preserve"> thus</w:t>
      </w:r>
      <w:r w:rsidR="00BE19DB" w:rsidRPr="00B37812">
        <w:rPr>
          <w:rFonts w:ascii="Times New Roman" w:hAnsi="Times New Roman" w:cs="Times New Roman"/>
          <w:bCs/>
          <w:sz w:val="24"/>
          <w:szCs w:val="24"/>
        </w:rPr>
        <w:t>,</w:t>
      </w:r>
      <w:r w:rsidR="005B7CCE" w:rsidRPr="00B37812">
        <w:rPr>
          <w:rFonts w:ascii="Times New Roman" w:hAnsi="Times New Roman" w:cs="Times New Roman"/>
          <w:bCs/>
          <w:sz w:val="24"/>
          <w:szCs w:val="24"/>
        </w:rPr>
        <w:t xml:space="preserve"> reducing their bioavailability </w:t>
      </w:r>
      <w:hyperlink w:anchor="_ENREF_6" w:tooltip="Medina-Torres, 2016 #1204" w:history="1">
        <w:r w:rsidR="005B7CCE"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&lt;EndNote&gt;&lt;Cite&gt;&lt;Author&gt;Medina-Torres&lt;/Author&gt;&lt;Year&gt;2016&lt;/Year&gt;&lt;RecNum&gt;1204&lt;/RecNum&gt;&lt;DisplayText&gt;&lt;style face="superscript"&gt;6&lt;/style&gt;&lt;/DisplayText&gt;&lt;record&gt;&lt;rec-number&gt;1204&lt;/rec-number&gt;&lt;foreign-keys&gt;&lt;key app="EN" db-id="5wdx0tztgpfe5yefsdpperx8srzetsx0pw9w" timestamp="1495332594"&gt;1204&lt;/key&gt;&lt;/foreign-keys&gt;&lt;ref-type name="Journal Article"&gt;17&lt;/ref-type&gt;&lt;contributors&gt;&lt;authors&gt;&lt;author&gt;Medina-Torres, L&lt;/author&gt;&lt;author&gt;Santiago-Adame, R&lt;/author&gt;&lt;author&gt;Calderas, F&lt;/author&gt;&lt;author&gt;Gallegos-Infante, JA&lt;/author&gt;&lt;author&gt;González-Laredo, RF&lt;/author&gt;&lt;author&gt;Rocha-Guzmán, NE&lt;/author&gt;&lt;author&gt;Núñez-Ramírez, DM&lt;/author&gt;&lt;author&gt;Bernad-Bernad, MJ&lt;/author&gt;&lt;author&gt;Manero, O&lt;/author&gt;&lt;/authors&gt;&lt;/contributors&gt;&lt;titles&gt;&lt;title&gt;Microencapsulation by spray drying of laurel infusions (Litsea glaucescens) with maltodextrin&lt;/title&gt;&lt;secondary-title&gt;Industrial Crops and Products&lt;/secondary-title&gt;&lt;/titles&gt;&lt;pages&gt;1-8&lt;/pages&gt;&lt;volume&gt;90&lt;/volume&gt;&lt;dates&gt;&lt;year&gt;2016&lt;/year&gt;&lt;/dates&gt;&lt;isbn&gt;0926-6690&lt;/isbn&gt;&lt;urls&gt;&lt;/urls&gt;&lt;/record&gt;&lt;/Cite&gt;&lt;/EndNote&gt;</w:instrText>
        </w:r>
        <w:r w:rsidR="005B7CCE"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6</w:t>
        </w:r>
        <w:r w:rsidR="005B7CCE" w:rsidRPr="00B37812">
          <w:rPr>
            <w:rStyle w:val="Hyperlink"/>
            <w:rFonts w:ascii="Times New Roman" w:eastAsia="Calibri" w:hAnsi="Times New Roman" w:cs="Times New Roman"/>
            <w:bCs/>
            <w:sz w:val="24"/>
            <w:szCs w:val="24"/>
            <w:lang w:eastAsia="en-US"/>
          </w:rPr>
          <w:fldChar w:fldCharType="end"/>
        </w:r>
      </w:hyperlink>
      <w:r w:rsidR="005B7CCE" w:rsidRPr="00B37812">
        <w:rPr>
          <w:rFonts w:ascii="Times New Roman" w:eastAsia="Calibri" w:hAnsi="Times New Roman" w:cs="Times New Roman"/>
          <w:bCs/>
          <w:color w:val="000000"/>
          <w:sz w:val="24"/>
          <w:szCs w:val="24"/>
          <w:lang w:eastAsia="en-US"/>
        </w:rPr>
        <w:t xml:space="preserve">. </w:t>
      </w:r>
      <w:r w:rsidR="005B7CCE" w:rsidRPr="00B37812">
        <w:rPr>
          <w:rFonts w:ascii="Times New Roman" w:eastAsia="Calibri" w:hAnsi="Times New Roman" w:cs="Times New Roman"/>
          <w:bCs/>
          <w:sz w:val="24"/>
          <w:szCs w:val="24"/>
        </w:rPr>
        <w:t>In this sense, production of encapsulated powder from mulberry leaf extract might be an alternative to reduce the technical difficulties in its industrial application and ensure product availability.</w:t>
      </w:r>
    </w:p>
    <w:p w14:paraId="6A3B51EC" w14:textId="0D17E58B" w:rsidR="00B85163" w:rsidRPr="00B37812" w:rsidRDefault="00661480" w:rsidP="00A330CD">
      <w:pPr>
        <w:spacing w:after="0" w:line="360" w:lineRule="auto"/>
        <w:ind w:firstLine="720"/>
        <w:jc w:val="both"/>
        <w:rPr>
          <w:rFonts w:ascii="Times New Roman" w:hAnsi="Times New Roman" w:cs="Times New Roman"/>
          <w:bCs/>
          <w:sz w:val="24"/>
          <w:szCs w:val="24"/>
        </w:rPr>
      </w:pPr>
      <w:r w:rsidRPr="00B37812">
        <w:rPr>
          <w:rFonts w:ascii="Times New Roman" w:eastAsia="Calibri" w:hAnsi="Times New Roman" w:cs="Times New Roman"/>
          <w:bCs/>
          <w:sz w:val="24"/>
          <w:szCs w:val="24"/>
        </w:rPr>
        <w:t xml:space="preserve">From a food engineering perspective, </w:t>
      </w:r>
      <w:r w:rsidR="00B85163" w:rsidRPr="00B37812">
        <w:rPr>
          <w:rFonts w:ascii="Times New Roman" w:hAnsi="Times New Roman" w:cs="Times New Roman"/>
          <w:bCs/>
          <w:sz w:val="24"/>
          <w:szCs w:val="24"/>
        </w:rPr>
        <w:t xml:space="preserve">encapsulation is an effectual process frequently employed in the pharmaceutical and food industries to preserve the functionality of biomolecules by entrapping the active agents in wall materials </w:t>
      </w:r>
      <w:hyperlink w:anchor="_ENREF_7" w:tooltip="Sansone, 2011 #1035" w:history="1">
        <w:r w:rsidR="00B85163" w:rsidRPr="00B37812">
          <w:rPr>
            <w:rStyle w:val="Hyperlink"/>
            <w:rFonts w:ascii="Times New Roman" w:hAnsi="Times New Roman" w:cs="Times New Roman"/>
            <w:bCs/>
            <w:sz w:val="24"/>
            <w:szCs w:val="24"/>
          </w:rPr>
          <w:fldChar w:fldCharType="begin"/>
        </w:r>
        <w:r w:rsidR="00E124D1" w:rsidRPr="00B37812">
          <w:rPr>
            <w:rStyle w:val="Hyperlink"/>
            <w:rFonts w:ascii="Times New Roman" w:hAnsi="Times New Roman" w:cs="Times New Roman"/>
            <w:bCs/>
            <w:sz w:val="24"/>
            <w:szCs w:val="24"/>
          </w:rPr>
          <w:instrText xml:space="preserve"> ADDIN EN.CITE &lt;EndNote&gt;&lt;Cite&gt;&lt;Author&gt;Sansone&lt;/Author&gt;&lt;Year&gt;2011&lt;/Year&gt;&lt;RecNum&gt;1035&lt;/RecNum&gt;&lt;DisplayText&gt;&lt;style face="superscript"&gt;7&lt;/style&gt;&lt;/DisplayText&gt;&lt;record&gt;&lt;rec-number&gt;1035&lt;/rec-number&gt;&lt;foreign-keys&gt;&lt;key app="EN" db-id="t2wfz592adf0t1eex0n592wxzfxfdatxw9w9" timestamp="1487030015"&gt;1035&lt;/key&gt;&lt;/foreign-keys&gt;&lt;ref-type name="Journal Article"&gt;17&lt;/ref-type&gt;&lt;contributors&gt;&lt;authors&gt;&lt;author&gt;Sansone, Francesca&lt;/author&gt;&lt;author&gt;Mencherini, Teresa&lt;/author&gt;&lt;author&gt;Picerno, Patrizia&lt;/author&gt;&lt;author&gt;d’Amore, Matteo&lt;/author&gt;&lt;author&gt;Aquino, Rita Patrizia&lt;/author&gt;&lt;author&gt;Lauro, Maria Rosaria&lt;/author&gt;&lt;/authors&gt;&lt;/contributors&gt;&lt;titles&gt;&lt;title&gt;Maltodextrin/pectin microparticles by spray drying as carrier for nutraceutical extracts&lt;/title&gt;&lt;secondary-title&gt;Journal of Food Engineering&lt;/secondary-title&gt;&lt;/titles&gt;&lt;periodical&gt;&lt;full-title&gt;Journal of Food Engineering&lt;/full-title&gt;&lt;/periodical&gt;&lt;pages&gt;468-476&lt;/pages&gt;&lt;volume&gt;105&lt;/volume&gt;&lt;number&gt;3&lt;/number&gt;&lt;dates&gt;&lt;year&gt;2011&lt;/year&gt;&lt;/dates&gt;&lt;isbn&gt;0260-8774&lt;/isbn&gt;&lt;urls&gt;&lt;/urls&gt;&lt;/record&gt;&lt;/Cite&gt;&lt;/EndNote&gt;</w:instrText>
        </w:r>
        <w:r w:rsidR="00B85163" w:rsidRPr="00B37812">
          <w:rPr>
            <w:rStyle w:val="Hyperlink"/>
            <w:rFonts w:ascii="Times New Roman" w:hAnsi="Times New Roman" w:cs="Times New Roman"/>
            <w:bCs/>
            <w:sz w:val="24"/>
            <w:szCs w:val="24"/>
          </w:rPr>
          <w:fldChar w:fldCharType="separate"/>
        </w:r>
        <w:r w:rsidR="00E124D1" w:rsidRPr="00B37812">
          <w:rPr>
            <w:rStyle w:val="Hyperlink"/>
            <w:rFonts w:ascii="Times New Roman" w:hAnsi="Times New Roman" w:cs="Times New Roman"/>
            <w:bCs/>
            <w:noProof/>
            <w:sz w:val="24"/>
            <w:szCs w:val="24"/>
            <w:vertAlign w:val="superscript"/>
          </w:rPr>
          <w:t>7</w:t>
        </w:r>
        <w:r w:rsidR="00B85163" w:rsidRPr="00B37812">
          <w:rPr>
            <w:rStyle w:val="Hyperlink"/>
            <w:rFonts w:ascii="Times New Roman" w:hAnsi="Times New Roman" w:cs="Times New Roman"/>
            <w:bCs/>
            <w:sz w:val="24"/>
            <w:szCs w:val="24"/>
          </w:rPr>
          <w:fldChar w:fldCharType="end"/>
        </w:r>
      </w:hyperlink>
      <w:r w:rsidR="00B85163" w:rsidRPr="00B37812">
        <w:rPr>
          <w:rFonts w:ascii="Times New Roman" w:hAnsi="Times New Roman" w:cs="Times New Roman"/>
          <w:bCs/>
          <w:sz w:val="24"/>
          <w:szCs w:val="24"/>
        </w:rPr>
        <w:t>. Encapsulation of plant extract enhance the final product qualit</w:t>
      </w:r>
      <w:r w:rsidR="00665A46" w:rsidRPr="00B37812">
        <w:rPr>
          <w:rFonts w:ascii="Times New Roman" w:hAnsi="Times New Roman" w:cs="Times New Roman"/>
          <w:bCs/>
          <w:sz w:val="24"/>
          <w:szCs w:val="24"/>
        </w:rPr>
        <w:t>y</w:t>
      </w:r>
      <w:r w:rsidR="00B85163" w:rsidRPr="00B37812">
        <w:rPr>
          <w:rFonts w:ascii="Times New Roman" w:hAnsi="Times New Roman" w:cs="Times New Roman"/>
          <w:bCs/>
          <w:sz w:val="24"/>
          <w:szCs w:val="24"/>
        </w:rPr>
        <w:t xml:space="preserve"> and process capability, low-cost delivery, easy maintenance, and protect active compounds against physical and chemical stress </w:t>
      </w:r>
      <w:hyperlink w:anchor="_ENREF_8" w:tooltip="Rajabi, 2015 #1258" w:history="1">
        <w:r w:rsidR="00B85163" w:rsidRPr="00B37812">
          <w:rPr>
            <w:rStyle w:val="Hyperlink"/>
            <w:rFonts w:ascii="Times New Roman" w:hAnsi="Times New Roman" w:cs="Times New Roman"/>
            <w:bCs/>
            <w:sz w:val="24"/>
            <w:szCs w:val="24"/>
          </w:rPr>
          <w:fldChar w:fldCharType="begin"/>
        </w:r>
        <w:r w:rsidR="00E124D1" w:rsidRPr="00B37812">
          <w:rPr>
            <w:rStyle w:val="Hyperlink"/>
            <w:rFonts w:ascii="Times New Roman" w:hAnsi="Times New Roman" w:cs="Times New Roman"/>
            <w:bCs/>
            <w:sz w:val="24"/>
            <w:szCs w:val="24"/>
          </w:rPr>
          <w:instrText xml:space="preserve"> ADDIN EN.CITE &lt;EndNote&gt;&lt;Cite&gt;&lt;Author&gt;Rajabi&lt;/Author&gt;&lt;Year&gt;2015&lt;/Year&gt;&lt;RecNum&gt;1258&lt;/RecNum&gt;&lt;DisplayText&gt;&lt;style face="superscript"&gt;8&lt;/style&gt;&lt;/DisplayText&gt;&lt;record&gt;&lt;rec-number&gt;1258&lt;/rec-number&gt;&lt;foreign-keys&gt;&lt;key app="EN" db-id="5wdx0tztgpfe5yefsdpperx8srzetsx0pw9w" timestamp="1497344812"&gt;1258&lt;/key&gt;&lt;/foreign-keys&gt;&lt;ref-type name="Journal Article"&gt;17&lt;/ref-type&gt;&lt;contributors&gt;&lt;authors&gt;&lt;author&gt;Rajabi, Hamid&lt;/author&gt;&lt;author&gt;Ghorbani, Mohammad&lt;/author&gt;&lt;author&gt;Jafari, Seid Mahdi&lt;/author&gt;&lt;author&gt;Mahoonak, Alireza Sadeghi&lt;/author&gt;&lt;author&gt;Rajabzadeh, Ghadir&lt;/author&gt;&lt;/authors&gt;&lt;/contributors&gt;&lt;titles&gt;&lt;title&gt;Retention of saffron bioactive components by spray drying encapsulation using maltodextrin, gum Arabic and gelatin as wall materials&lt;/title&gt;&lt;secondary-title&gt;Food hydrocolloids&lt;/secondary-title&gt;&lt;/titles&gt;&lt;pages&gt;327-337&lt;/pages&gt;&lt;volume&gt;51&lt;/volume&gt;&lt;dates&gt;&lt;year&gt;2015&lt;/year&gt;&lt;/dates&gt;&lt;isbn&gt;0268-005X&lt;/isbn&gt;&lt;urls&gt;&lt;/urls&gt;&lt;/record&gt;&lt;/Cite&gt;&lt;/EndNote&gt;</w:instrText>
        </w:r>
        <w:r w:rsidR="00B85163" w:rsidRPr="00B37812">
          <w:rPr>
            <w:rStyle w:val="Hyperlink"/>
            <w:rFonts w:ascii="Times New Roman" w:hAnsi="Times New Roman" w:cs="Times New Roman"/>
            <w:bCs/>
            <w:sz w:val="24"/>
            <w:szCs w:val="24"/>
          </w:rPr>
          <w:fldChar w:fldCharType="separate"/>
        </w:r>
        <w:r w:rsidR="00E124D1" w:rsidRPr="00B37812">
          <w:rPr>
            <w:rStyle w:val="Hyperlink"/>
            <w:rFonts w:ascii="Times New Roman" w:hAnsi="Times New Roman" w:cs="Times New Roman"/>
            <w:bCs/>
            <w:noProof/>
            <w:sz w:val="24"/>
            <w:szCs w:val="24"/>
            <w:vertAlign w:val="superscript"/>
          </w:rPr>
          <w:t>8</w:t>
        </w:r>
        <w:r w:rsidR="00B85163" w:rsidRPr="00B37812">
          <w:rPr>
            <w:rStyle w:val="Hyperlink"/>
            <w:rFonts w:ascii="Times New Roman" w:hAnsi="Times New Roman" w:cs="Times New Roman"/>
            <w:bCs/>
            <w:sz w:val="24"/>
            <w:szCs w:val="24"/>
          </w:rPr>
          <w:fldChar w:fldCharType="end"/>
        </w:r>
      </w:hyperlink>
      <w:r w:rsidR="00B85163" w:rsidRPr="00B37812">
        <w:rPr>
          <w:rFonts w:ascii="Times New Roman" w:hAnsi="Times New Roman" w:cs="Times New Roman"/>
          <w:bCs/>
          <w:sz w:val="24"/>
          <w:szCs w:val="24"/>
        </w:rPr>
        <w:t xml:space="preserve">. </w:t>
      </w:r>
    </w:p>
    <w:p w14:paraId="00C2BCA1" w14:textId="2AA609FC" w:rsidR="00B85163" w:rsidRPr="00B37812" w:rsidRDefault="00B85163" w:rsidP="00A330CD">
      <w:pPr>
        <w:spacing w:after="0" w:line="360" w:lineRule="auto"/>
        <w:ind w:firstLine="720"/>
        <w:jc w:val="both"/>
        <w:rPr>
          <w:rFonts w:ascii="Times New Roman" w:hAnsi="Times New Roman" w:cs="Times New Roman"/>
          <w:bCs/>
          <w:sz w:val="24"/>
          <w:szCs w:val="24"/>
        </w:rPr>
      </w:pPr>
      <w:r w:rsidRPr="00B37812">
        <w:rPr>
          <w:rFonts w:ascii="Times New Roman" w:hAnsi="Times New Roman" w:cs="Times New Roman"/>
          <w:bCs/>
          <w:sz w:val="24"/>
          <w:szCs w:val="24"/>
        </w:rPr>
        <w:t xml:space="preserve">Encapsulation using freeze drying is a suitable process employed to improve the stability of thermosensitive biocompounds while preserving their biological activities </w:t>
      </w:r>
      <w:hyperlink w:anchor="_ENREF_9" w:tooltip="Ray, 2016 #1404" w:history="1">
        <w:r w:rsidRPr="00B37812">
          <w:rPr>
            <w:rStyle w:val="Hyperlink"/>
            <w:rFonts w:ascii="Times New Roman" w:hAnsi="Times New Roman" w:cs="Times New Roman"/>
            <w:bCs/>
            <w:sz w:val="24"/>
            <w:szCs w:val="24"/>
          </w:rPr>
          <w:fldChar w:fldCharType="begin"/>
        </w:r>
        <w:r w:rsidR="00E124D1" w:rsidRPr="00B37812">
          <w:rPr>
            <w:rStyle w:val="Hyperlink"/>
            <w:rFonts w:ascii="Times New Roman" w:hAnsi="Times New Roman" w:cs="Times New Roman"/>
            <w:bCs/>
            <w:sz w:val="24"/>
            <w:szCs w:val="24"/>
          </w:rPr>
          <w:instrText xml:space="preserve"> ADDIN EN.CITE &lt;EndNote&gt;&lt;Cite&gt;&lt;Author&gt;Ray&lt;/Author&gt;&lt;Year&gt;2016&lt;/Year&gt;&lt;RecNum&gt;1404&lt;/RecNum&gt;&lt;DisplayText&gt;&lt;style face="superscript"&gt;9&lt;/style&gt;&lt;/DisplayText&gt;&lt;record&gt;&lt;rec-number&gt;1404&lt;/rec-number&gt;&lt;foreign-keys&gt;&lt;key app="EN" db-id="5wdx0tztgpfe5yefsdpperx8srzetsx0pw9w" timestamp="1515298224"&gt;1404&lt;/key&gt;&lt;/foreign-keys&gt;&lt;ref-type name="Journal Article"&gt;17&lt;/ref-type&gt;&lt;contributors&gt;&lt;authors&gt;&lt;author&gt;Ray, Sohini&lt;/author&gt;&lt;author&gt;Raychaudhuri, Utpal&lt;/author&gt;&lt;author&gt;Chakraborty, Runu&lt;/author&gt;&lt;/authors&gt;&lt;/contributors&gt;&lt;titles&gt;&lt;title&gt;An overview of encapsulation of active compounds used in food products by drying technology&lt;/title&gt;&lt;secondary-title&gt;Food Bioscience&lt;/secondary-title&gt;&lt;/titles&gt;&lt;pages&gt;76-83&lt;/pages&gt;&lt;volume&gt;13&lt;/volume&gt;&lt;number&gt;Supplement C&lt;/number&gt;&lt;keywords&gt;&lt;keyword&gt;Encapsulation&lt;/keyword&gt;&lt;keyword&gt;Coating materials&lt;/keyword&gt;&lt;keyword&gt;Drying&lt;/keyword&gt;&lt;keyword&gt;Spray drying&lt;/keyword&gt;&lt;keyword&gt;Freeze drying&lt;/keyword&gt;&lt;keyword&gt;Food&lt;/keyword&gt;&lt;/keywords&gt;&lt;dates&gt;&lt;year&gt;2016&lt;/year&gt;&lt;pub-dates&gt;&lt;date&gt;2016/03/01/&lt;/date&gt;&lt;/pub-dates&gt;&lt;/dates&gt;&lt;isbn&gt;2212-4292&lt;/isbn&gt;&lt;urls&gt;&lt;related-urls&gt;&lt;url&gt;http://www.sciencedirect.com/science/article/pii/S221242921530033X&lt;/url&gt;&lt;/related-urls&gt;&lt;/urls&gt;&lt;electronic-resource-num&gt;https://doi.org/10.1016/j.fbio.2015.12.009&lt;/electronic-resource-num&gt;&lt;/record&gt;&lt;/Cite&gt;&lt;/EndNote&gt;</w:instrText>
        </w:r>
        <w:r w:rsidRPr="00B37812">
          <w:rPr>
            <w:rStyle w:val="Hyperlink"/>
            <w:rFonts w:ascii="Times New Roman" w:hAnsi="Times New Roman" w:cs="Times New Roman"/>
            <w:bCs/>
            <w:sz w:val="24"/>
            <w:szCs w:val="24"/>
          </w:rPr>
          <w:fldChar w:fldCharType="separate"/>
        </w:r>
        <w:r w:rsidR="00E124D1" w:rsidRPr="00B37812">
          <w:rPr>
            <w:rStyle w:val="Hyperlink"/>
            <w:rFonts w:ascii="Times New Roman" w:hAnsi="Times New Roman" w:cs="Times New Roman"/>
            <w:bCs/>
            <w:noProof/>
            <w:sz w:val="24"/>
            <w:szCs w:val="24"/>
            <w:vertAlign w:val="superscript"/>
          </w:rPr>
          <w:t>9</w:t>
        </w:r>
        <w:r w:rsidRPr="00B37812">
          <w:rPr>
            <w:rStyle w:val="Hyperlink"/>
            <w:rFonts w:ascii="Times New Roman" w:hAnsi="Times New Roman" w:cs="Times New Roman"/>
            <w:bCs/>
            <w:sz w:val="24"/>
            <w:szCs w:val="24"/>
          </w:rPr>
          <w:fldChar w:fldCharType="end"/>
        </w:r>
      </w:hyperlink>
      <w:r w:rsidRPr="00B37812">
        <w:rPr>
          <w:rFonts w:ascii="Times New Roman" w:hAnsi="Times New Roman" w:cs="Times New Roman"/>
          <w:bCs/>
          <w:sz w:val="24"/>
          <w:szCs w:val="24"/>
        </w:rPr>
        <w:t xml:space="preserve">. </w:t>
      </w:r>
      <w:r w:rsidR="00F373FE" w:rsidRPr="00B37812">
        <w:rPr>
          <w:rFonts w:ascii="Times New Roman" w:eastAsia="Calibri" w:hAnsi="Times New Roman" w:cs="Times New Roman"/>
          <w:bCs/>
          <w:sz w:val="24"/>
          <w:szCs w:val="24"/>
        </w:rPr>
        <w:t>Several encapsulating</w:t>
      </w:r>
      <w:r w:rsidRPr="00B37812">
        <w:rPr>
          <w:rFonts w:ascii="Times New Roman" w:eastAsia="Calibri" w:hAnsi="Times New Roman" w:cs="Times New Roman"/>
          <w:bCs/>
          <w:sz w:val="24"/>
          <w:szCs w:val="24"/>
        </w:rPr>
        <w:t xml:space="preserve"> agents such as carbohydrates, cellulose derivatives </w:t>
      </w:r>
      <w:r w:rsidRPr="00B37812">
        <w:rPr>
          <w:rFonts w:ascii="Times New Roman" w:eastAsia="Calibri" w:hAnsi="Times New Roman" w:cs="Times New Roman"/>
          <w:bCs/>
          <w:noProof/>
          <w:sz w:val="24"/>
          <w:szCs w:val="24"/>
        </w:rPr>
        <w:t>and</w:t>
      </w:r>
      <w:r w:rsidRPr="00B37812">
        <w:rPr>
          <w:rFonts w:ascii="Times New Roman" w:eastAsia="Calibri" w:hAnsi="Times New Roman" w:cs="Times New Roman"/>
          <w:bCs/>
          <w:sz w:val="24"/>
          <w:szCs w:val="24"/>
        </w:rPr>
        <w:t xml:space="preserve"> gums have been applied in freeze drying owing to their low viscosity and high solubility  </w:t>
      </w:r>
      <w:hyperlink w:anchor="_ENREF_10" w:tooltip="Souza, 2017 #1328" w:history="1">
        <w:r w:rsidRPr="00B37812">
          <w:rPr>
            <w:rStyle w:val="Hyperlink"/>
            <w:rFonts w:ascii="Times New Roman" w:eastAsia="Calibri" w:hAnsi="Times New Roman" w:cs="Times New Roman"/>
            <w:bCs/>
            <w:sz w:val="24"/>
            <w:szCs w:val="24"/>
          </w:rPr>
          <w:fldChar w:fldCharType="begin"/>
        </w:r>
        <w:r w:rsidR="00E124D1" w:rsidRPr="00B37812">
          <w:rPr>
            <w:rStyle w:val="Hyperlink"/>
            <w:rFonts w:ascii="Times New Roman" w:eastAsia="Calibri" w:hAnsi="Times New Roman" w:cs="Times New Roman"/>
            <w:bCs/>
            <w:sz w:val="24"/>
            <w:szCs w:val="24"/>
          </w:rPr>
          <w:instrText xml:space="preserve"> ADDIN EN.CITE &lt;EndNote&gt;&lt;Cite&gt;&lt;Author&gt;Souza&lt;/Author&gt;&lt;Year&gt;2017&lt;/Year&gt;&lt;RecNum&gt;1328&lt;/RecNum&gt;&lt;DisplayText&gt;&lt;style face="superscript"&gt;10&lt;/style&gt;&lt;/DisplayText&gt;&lt;record&gt;&lt;rec-number&gt;1328&lt;/rec-number&gt;&lt;foreign-keys&gt;&lt;key app="EN" db-id="5wdx0tztgpfe5yefsdpperx8srzetsx0pw9w" timestamp="1510193778"&gt;1328&lt;/key&gt;&lt;/foreign-keys&gt;&lt;ref-type name="Journal Article"&gt;17&lt;/ref-type&gt;&lt;contributors&gt;&lt;authors&gt;&lt;author&gt;Souza, Ana Cardinale Pereira&lt;/author&gt;&lt;author&gt;Gurak, Poliana Deyse&lt;/author&gt;&lt;author&gt;Marczak, Ligia Damasceno Ferreira&lt;/author&gt;&lt;/authors&gt;&lt;/contributors&gt;&lt;titles&gt;&lt;title&gt;Maltodextrin, pectin and soy protein isolate as carrier agents in the encapsulation of anthocyanins-rich extract from jaboticaba pomace&lt;/title&gt;&lt;secondary-title&gt;Food and Bioproducts Processing&lt;/secondary-title&gt;&lt;/titles&gt;&lt;periodical&gt;&lt;full-title&gt;Food and Bioproducts Processing&lt;/full-title&gt;&lt;abbr-1&gt;Food Bioprod. Process.&lt;/abbr-1&gt;&lt;abbr-2&gt;Food Bioprod Process&lt;/abbr-2&gt;&lt;/periodical&gt;&lt;pages&gt;186-194&lt;/pages&gt;&lt;volume&gt;102&lt;/volume&gt;&lt;dates&gt;&lt;year&gt;2017&lt;/year&gt;&lt;/dates&gt;&lt;isbn&gt;0960-3085&lt;/isbn&gt;&lt;urls&gt;&lt;/urls&gt;&lt;/record&gt;&lt;/Cite&gt;&lt;/EndNote&gt;</w:instrText>
        </w:r>
        <w:r w:rsidRPr="00B37812">
          <w:rPr>
            <w:rStyle w:val="Hyperlink"/>
            <w:rFonts w:ascii="Times New Roman" w:eastAsia="Calibri" w:hAnsi="Times New Roman" w:cs="Times New Roman"/>
            <w:bCs/>
            <w:sz w:val="24"/>
            <w:szCs w:val="24"/>
          </w:rPr>
          <w:fldChar w:fldCharType="separate"/>
        </w:r>
        <w:r w:rsidR="00E124D1" w:rsidRPr="00B37812">
          <w:rPr>
            <w:rStyle w:val="Hyperlink"/>
            <w:rFonts w:ascii="Times New Roman" w:eastAsia="Calibri" w:hAnsi="Times New Roman" w:cs="Times New Roman"/>
            <w:bCs/>
            <w:noProof/>
            <w:sz w:val="24"/>
            <w:szCs w:val="24"/>
            <w:vertAlign w:val="superscript"/>
          </w:rPr>
          <w:t>10</w:t>
        </w:r>
        <w:r w:rsidRPr="00B37812">
          <w:rPr>
            <w:rStyle w:val="Hyperlink"/>
            <w:rFonts w:ascii="Times New Roman" w:eastAsia="Calibri" w:hAnsi="Times New Roman" w:cs="Times New Roman"/>
            <w:bCs/>
            <w:sz w:val="24"/>
            <w:szCs w:val="24"/>
          </w:rPr>
          <w:fldChar w:fldCharType="end"/>
        </w:r>
      </w:hyperlink>
      <w:r w:rsidRPr="00B37812">
        <w:rPr>
          <w:rFonts w:ascii="Times New Roman" w:eastAsia="Calibri" w:hAnsi="Times New Roman" w:cs="Times New Roman"/>
          <w:bCs/>
          <w:sz w:val="24"/>
          <w:szCs w:val="24"/>
        </w:rPr>
        <w:t xml:space="preserve">. However, each wall material has advantages and drawbacks in terms of their characteristics, which influence the properties of the encapsulated powder </w:t>
      </w:r>
      <w:hyperlink w:anchor="_ENREF_11" w:tooltip="Seerangurayar, 2017 #1374" w:history="1">
        <w:r w:rsidRPr="00B37812">
          <w:rPr>
            <w:rStyle w:val="Hyperlink"/>
            <w:rFonts w:ascii="Times New Roman" w:eastAsia="Calibri" w:hAnsi="Times New Roman" w:cs="Times New Roman"/>
            <w:bCs/>
            <w:sz w:val="24"/>
            <w:szCs w:val="24"/>
          </w:rPr>
          <w:fldChar w:fldCharType="begin"/>
        </w:r>
        <w:r w:rsidR="00E124D1" w:rsidRPr="00B37812">
          <w:rPr>
            <w:rStyle w:val="Hyperlink"/>
            <w:rFonts w:ascii="Times New Roman" w:eastAsia="Calibri" w:hAnsi="Times New Roman" w:cs="Times New Roman"/>
            <w:bCs/>
            <w:sz w:val="24"/>
            <w:szCs w:val="24"/>
          </w:rPr>
          <w:instrText xml:space="preserve"> ADDIN EN.CITE &lt;EndNote&gt;&lt;Cite&gt;&lt;Author&gt;Seerangurayar&lt;/Author&gt;&lt;Year&gt;2017&lt;/Year&gt;&lt;RecNum&gt;1374&lt;/RecNum&gt;&lt;DisplayText&gt;&lt;style face="superscript"&gt;11&lt;/style&gt;&lt;/DisplayText&gt;&lt;record&gt;&lt;rec-number&gt;1374&lt;/rec-number&gt;&lt;foreign-keys&gt;&lt;key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Style w:val="Hyperlink"/>
            <w:rFonts w:ascii="Times New Roman" w:eastAsia="Calibri" w:hAnsi="Times New Roman" w:cs="Times New Roman"/>
            <w:bCs/>
            <w:sz w:val="24"/>
            <w:szCs w:val="24"/>
          </w:rPr>
          <w:fldChar w:fldCharType="separate"/>
        </w:r>
        <w:r w:rsidR="00E124D1" w:rsidRPr="00B37812">
          <w:rPr>
            <w:rStyle w:val="Hyperlink"/>
            <w:rFonts w:ascii="Times New Roman" w:eastAsia="Calibri" w:hAnsi="Times New Roman" w:cs="Times New Roman"/>
            <w:bCs/>
            <w:noProof/>
            <w:sz w:val="24"/>
            <w:szCs w:val="24"/>
            <w:vertAlign w:val="superscript"/>
          </w:rPr>
          <w:t>11</w:t>
        </w:r>
        <w:r w:rsidRPr="00B37812">
          <w:rPr>
            <w:rStyle w:val="Hyperlink"/>
            <w:rFonts w:ascii="Times New Roman" w:eastAsia="Calibri" w:hAnsi="Times New Roman" w:cs="Times New Roman"/>
            <w:bCs/>
            <w:sz w:val="24"/>
            <w:szCs w:val="24"/>
          </w:rPr>
          <w:fldChar w:fldCharType="end"/>
        </w:r>
      </w:hyperlink>
      <w:r w:rsidRPr="00B37812">
        <w:rPr>
          <w:rFonts w:ascii="Times New Roman" w:eastAsia="Calibri" w:hAnsi="Times New Roman" w:cs="Times New Roman"/>
          <w:bCs/>
          <w:sz w:val="24"/>
          <w:szCs w:val="24"/>
        </w:rPr>
        <w:t xml:space="preserve">. </w:t>
      </w:r>
    </w:p>
    <w:p w14:paraId="49CB238F" w14:textId="482E8492" w:rsidR="00B85163" w:rsidRPr="00B37812" w:rsidRDefault="00B85163" w:rsidP="00A330CD">
      <w:pPr>
        <w:autoSpaceDE w:val="0"/>
        <w:autoSpaceDN w:val="0"/>
        <w:adjustRightInd w:val="0"/>
        <w:spacing w:after="0" w:line="360" w:lineRule="auto"/>
        <w:ind w:firstLine="720"/>
        <w:jc w:val="both"/>
        <w:rPr>
          <w:rFonts w:ascii="Times New Roman" w:hAnsi="Times New Roman" w:cs="Times New Roman"/>
          <w:bCs/>
          <w:sz w:val="24"/>
          <w:szCs w:val="24"/>
          <w:highlight w:val="yellow"/>
        </w:rPr>
      </w:pPr>
      <w:r w:rsidRPr="00B37812">
        <w:rPr>
          <w:rFonts w:ascii="Times New Roman" w:hAnsi="Times New Roman" w:cs="Times New Roman"/>
          <w:bCs/>
          <w:sz w:val="24"/>
          <w:szCs w:val="24"/>
        </w:rPr>
        <w:t xml:space="preserve"> I</w:t>
      </w:r>
      <w:r w:rsidRPr="00B37812">
        <w:rPr>
          <w:rFonts w:ascii="Times New Roman" w:eastAsia="Calibri" w:hAnsi="Times New Roman" w:cs="Times New Roman"/>
          <w:bCs/>
          <w:color w:val="000000"/>
          <w:sz w:val="24"/>
          <w:szCs w:val="24"/>
          <w:lang w:eastAsia="en-US"/>
        </w:rPr>
        <w:t xml:space="preserve">n the last decade, the encapsulation of herbal extract has been investigated by numerous scientists who have established that the entrapment efficiency of biocompounds depends on the encapsulation conditions, such as the type and concentration of the wall material </w:t>
      </w:r>
      <w:hyperlink w:anchor="_ENREF_12" w:tooltip="Peanparkdee, 2016 #1272"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&lt;EndNote&gt;&lt;Cite&gt;&lt;Author&gt;Peanparkdee&lt;/Author&gt;&lt;Year&gt;2016&lt;/Year&gt;&lt;RecNum&gt;1272&lt;/RecNum&gt;&lt;DisplayText&gt;&lt;style face="superscript"&gt;12&lt;/style&gt;&lt;/DisplayText&gt;&lt;record&gt;&lt;rec-number&gt;1272&lt;/rec-number&gt;&lt;foreign-keys&gt;&lt;key app="EN" db-id="5wdx0tztgpfe5yefsdpperx8srzetsx0pw9w" timestamp="1497590324"&gt;1272&lt;/key&gt;&lt;/foreign-keys&gt;&lt;ref-type name="Journal Article"&gt;17&lt;/ref-type&gt;&lt;contributors&gt;&lt;authors&gt;&lt;author&gt;Peanparkdee, Methavee&lt;/author&gt;&lt;author&gt;Iwamoto, Satoshi&lt;/author&gt;&lt;author&gt;Borompichaichartkul, Chaleeda&lt;/author&gt;&lt;author&gt;Duangmal, Kiattisak&lt;/author&gt;&lt;author&gt;Yamauchi, Ryo&lt;/author&gt;&lt;/authors&gt;&lt;/contributors&gt;&lt;titles&gt;&lt;title&gt;Microencapsulation of bioactive compounds from mulberry (Morus alba L.) leaf extracts by protein–polysaccharide interactions&lt;/title&gt;&lt;secondary-title&gt;International Journal of Food Science &amp;amp; Technology&lt;/secondary-title&gt;&lt;/titles&gt;&lt;periodical&gt;&lt;full-title&gt;International Journal of Food Science &amp;amp; Technology&lt;/full-title&gt;&lt;abbr-1&gt;Int. J. Food Sci. Tech.&lt;/abbr-1&gt;&lt;abbr-2&gt;Int J Food Sci Tech&lt;/abbr-2&gt;&lt;/periodical&gt;&lt;pages&gt;649-655&lt;/pages&gt;&lt;volume&gt;51&lt;/volume&gt;&lt;number&gt;3&lt;/number&gt;&lt;keywords&gt;&lt;keyword&gt;Antioxidants&lt;/keyword&gt;&lt;keyword&gt;low methoxyl pectin&lt;/keyword&gt;&lt;keyword&gt;mulberry leaf&lt;/keyword&gt;&lt;keyword&gt;protein–polysaccharide interactions&lt;/keyword&gt;&lt;keyword&gt;soy protein isolates&lt;/keyword&gt;&lt;/keywords&gt;&lt;dates&gt;&lt;year&gt;2016&lt;/year&gt;&lt;/dates&gt;&lt;isbn&gt;1365-2621&lt;/isbn&gt;&lt;urls&gt;&lt;related-urls&gt;&lt;url&gt;http://dx.doi.org/10.1111/ijfs.13032&lt;/url&gt;&lt;/related-urls&gt;&lt;/urls&gt;&lt;electronic-resource-num&gt;10.1111/ijfs.13032&lt;/electronic-resource-num&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12</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w:t>
      </w:r>
      <w:r w:rsidRPr="00B37812">
        <w:rPr>
          <w:rFonts w:ascii="Times New Roman" w:eastAsia="Calibri" w:hAnsi="Times New Roman" w:cs="Times New Roman"/>
          <w:bCs/>
          <w:sz w:val="24"/>
          <w:szCs w:val="24"/>
          <w:lang w:eastAsia="en-US"/>
        </w:rPr>
        <w:t xml:space="preserve">As reported by </w:t>
      </w:r>
      <w:hyperlink w:anchor="_ENREF_13" w:tooltip="Da Rosa, 2013 #1400"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AuthorYear="1"&gt;&lt;Author&gt;da Rosa&lt;/Author&gt;&lt;Year&gt;2013&lt;/Year&gt;&lt;RecNum&gt;1400&lt;/RecNum&gt;&lt;DisplayText&gt;Da Rosa et al. &lt;style face="superscript"&gt;13&lt;/style&gt;&lt;/DisplayText&gt;&lt;record&gt;&lt;rec-number&gt;1400&lt;/rec-number&gt;&lt;foreign-keys&gt;&lt;key app="EN" db-id="5wdx0tztgpfe5yefsdpperx8srzetsx0pw9w" timestamp="1515121371"&gt;1400&lt;/key&gt;&lt;/foreign-keys&gt;&lt;ref-type name="Journal Article"&gt;17&lt;/ref-type&gt;&lt;contributors&gt;&lt;authors&gt;&lt;author&gt;Da Rosa, Cleonice Gonçalves&lt;/author&gt;&lt;author&gt;Borges, Caroline Dellinghausen&lt;/author&gt;&lt;author&gt;Zambiazi, Rui Carlos&lt;/author&gt;&lt;author&gt;Nunes, Michael Ramos&lt;/author&gt;&lt;author&gt;Benvenutti, Edilson Valmir&lt;/author&gt;&lt;author&gt;da Luz, Suzane Rickes&lt;/author&gt;&lt;author&gt;D’Avila, Roseane Farias&lt;/author&gt;&lt;author&gt;Rutz, Josiane Kuhn&lt;/author&gt;&lt;/authors&gt;&lt;/contributors&gt;&lt;titles&gt;&lt;title&gt;Microencapsulation of gallic acid in chitosan, β-cyclodextrin and xanthan&lt;/title&gt;&lt;secondary-title&gt;Industrial crops and products&lt;/secondary-title&gt;&lt;/titles&gt;&lt;pages&gt;138-146&lt;/pages&gt;&lt;volume&gt;46&lt;/volume&gt;&lt;dates&gt;&lt;year&gt;2013&lt;/year&gt;&lt;/dates&gt;&lt;isbn&gt;0926-6690&lt;/isbn&gt;&lt;urls&gt;&lt;/urls&gt;&lt;/record&gt;&lt;/Cite&gt;&lt;/EndNote&gt;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Da Rosa et al. </w:t>
        </w:r>
        <w:r w:rsidR="00E124D1" w:rsidRPr="00B37812">
          <w:rPr>
            <w:rStyle w:val="Hyperlink"/>
            <w:rFonts w:ascii="Times New Roman" w:eastAsia="Calibri" w:hAnsi="Times New Roman" w:cs="Times New Roman"/>
            <w:bCs/>
            <w:noProof/>
            <w:sz w:val="24"/>
            <w:szCs w:val="24"/>
            <w:vertAlign w:val="superscript"/>
            <w:lang w:eastAsia="en-US"/>
          </w:rPr>
          <w:t>13</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sz w:val="24"/>
          <w:szCs w:val="24"/>
          <w:lang w:eastAsia="en-US"/>
        </w:rPr>
        <w:t xml:space="preserve">, the type of encapsulating agent is a key determinant of the functional properties of an encapsulated microparticle. Moreover, the polarity, molar mass, and functionality of the carrier significantly influence the chemical stability, solubility, physical state, and entrapment of the nutraceutical compounds </w:t>
      </w:r>
      <w:hyperlink w:anchor="_ENREF_14" w:tooltip="Dias, 2015 #1401"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&lt;EndNote&gt;&lt;Cite&gt;&lt;Author&gt;Dias&lt;/Author&gt;&lt;Year&gt;2015&lt;/Year&gt;&lt;RecNum&gt;1401&lt;/RecNum&gt;&lt;DisplayText&gt;&lt;style face="superscript"&gt;14&lt;/style&gt;&lt;/DisplayText&gt;&lt;record&gt;&lt;rec-number&gt;1401&lt;/rec-number&gt;&lt;foreign-keys&gt;&lt;key app="EN" db-id="5wdx0tztgpfe5yefsdpperx8srzetsx0pw9w" timestamp="1515126433"&gt;1401&lt;/key&gt;&lt;/foreign-keys&gt;&lt;ref-type name="Journal Article"&gt;17&lt;/ref-type&gt;&lt;contributors&gt;&lt;authors&gt;&lt;author&gt;Dias, Maria Inês&lt;/author&gt;&lt;author&gt;Ferreira, Isabel CFR&lt;/author&gt;&lt;author&gt;Barreiro, Maria Filomena&lt;/author&gt;&lt;/authors&gt;&lt;/contributors&gt;&lt;titles&gt;&lt;title&gt;Microencapsulation of bioactives for food applications&lt;/title&gt;&lt;secondary-title&gt;Food &amp;amp; function&lt;/secondary-title&gt;&lt;/titles&gt;&lt;periodical&gt;&lt;full-title&gt;Food &amp;amp; function&lt;/full-title&gt;&lt;/periodical&gt;&lt;pages&gt;1035-1052&lt;/pages&gt;&lt;volume&gt;6&lt;/volume&gt;&lt;number&gt;4&lt;/number&gt;&lt;dates&gt;&lt;year&gt;2015&lt;/year&gt;&lt;/dates&gt;&lt;urls&gt;&lt;/urls&gt;&lt;/record&gt;&lt;/Cite&gt;&lt;/EndNote&gt;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14</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sz w:val="24"/>
          <w:szCs w:val="24"/>
          <w:lang w:eastAsia="en-US"/>
        </w:rPr>
        <w:t xml:space="preserve">. </w:t>
      </w:r>
      <w:r w:rsidR="00F4746C" w:rsidRPr="00B37812">
        <w:rPr>
          <w:rFonts w:ascii="Times New Roman" w:eastAsia="Calibri" w:hAnsi="Times New Roman" w:cs="Times New Roman"/>
          <w:bCs/>
          <w:sz w:val="24"/>
          <w:szCs w:val="24"/>
          <w:lang w:eastAsia="en-US"/>
        </w:rPr>
        <w:t xml:space="preserve">Individual nutraceutical components from different groups differ in structure, properties and may have different encapsulation trends during freeze-drying </w:t>
      </w:r>
      <w:hyperlink w:anchor="_ENREF_15" w:tooltip="Garofulić, 2017 #1406" w:history="1">
        <w:r w:rsidR="00F4746C"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&lt;EndNote&gt;&lt;Cite&gt;&lt;Author&gt;Garofulić&lt;/Author&gt;&lt;Year&gt;2017&lt;/Year&gt;&lt;RecNum&gt;1406&lt;/RecNum&gt;&lt;DisplayText&gt;&lt;style face="superscript"&gt;15&lt;/style&gt;&lt;/DisplayText&gt;&lt;record&gt;&lt;rec-number&gt;1406&lt;/rec-number&gt;&lt;foreign-keys&gt;&lt;key app="EN" db-id="5wdx0tztgpfe5yefsdpperx8srzetsx0pw9w" timestamp="1515669203"&gt;1406&lt;/key&gt;&lt;/foreign-keys&gt;&lt;ref-type name="Journal Article"&gt;17&lt;/ref-type&gt;&lt;contributors&gt;&lt;authors&gt;&lt;author&gt;Garofulić, Ivona Elez&lt;/author&gt;&lt;author&gt;Zorić, Zoran&lt;/author&gt;&lt;author&gt;Pedisić, Sandra&lt;/author&gt;&lt;author&gt;Dragović-Uzelac, Verica&lt;/author&gt;&lt;/authors&gt;&lt;/contributors&gt;&lt;titles&gt;&lt;title&gt;Retention of polyphenols in encapsulated sour cherry juice in dependence of drying temperature and wall material&lt;/title&gt;&lt;secondary-title&gt;LWT-Food Science and Technology&lt;/secondary-title&gt;&lt;/titles&gt;&lt;pages&gt;110-117&lt;/pages&gt;&lt;volume&gt;83&lt;/volume&gt;&lt;dates&gt;&lt;year&gt;2017&lt;/year&gt;&lt;/dates&gt;&lt;isbn&gt;0023-6438&lt;/isbn&gt;&lt;urls&gt;&lt;/urls&gt;&lt;/record&gt;&lt;/Cite&gt;&lt;/EndNote&gt;</w:instrText>
        </w:r>
        <w:r w:rsidR="00F4746C"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15</w:t>
        </w:r>
        <w:r w:rsidR="00F4746C" w:rsidRPr="00B37812">
          <w:rPr>
            <w:rStyle w:val="Hyperlink"/>
            <w:rFonts w:ascii="Times New Roman" w:eastAsia="Calibri" w:hAnsi="Times New Roman" w:cs="Times New Roman"/>
            <w:bCs/>
            <w:sz w:val="24"/>
            <w:szCs w:val="24"/>
            <w:lang w:eastAsia="en-US"/>
          </w:rPr>
          <w:fldChar w:fldCharType="end"/>
        </w:r>
      </w:hyperlink>
      <w:r w:rsidR="00F4746C" w:rsidRPr="00B37812">
        <w:rPr>
          <w:rFonts w:ascii="Times New Roman" w:eastAsia="Calibri" w:hAnsi="Times New Roman" w:cs="Times New Roman"/>
          <w:bCs/>
          <w:sz w:val="24"/>
          <w:szCs w:val="24"/>
          <w:lang w:eastAsia="en-US"/>
        </w:rPr>
        <w:t xml:space="preserve">. However, most research conducted in the literature focus on the entrapment efficiency of the total </w:t>
      </w:r>
      <w:r w:rsidR="000A66B2" w:rsidRPr="00B37812">
        <w:rPr>
          <w:rFonts w:ascii="Times New Roman" w:eastAsia="Calibri" w:hAnsi="Times New Roman" w:cs="Times New Roman"/>
          <w:bCs/>
          <w:sz w:val="24"/>
          <w:szCs w:val="24"/>
          <w:lang w:eastAsia="en-US"/>
        </w:rPr>
        <w:t>poly</w:t>
      </w:r>
      <w:r w:rsidR="00F4746C" w:rsidRPr="00B37812">
        <w:rPr>
          <w:rFonts w:ascii="Times New Roman" w:eastAsia="Calibri" w:hAnsi="Times New Roman" w:cs="Times New Roman"/>
          <w:bCs/>
          <w:sz w:val="24"/>
          <w:szCs w:val="24"/>
          <w:lang w:eastAsia="en-US"/>
        </w:rPr>
        <w:t>phenol content</w:t>
      </w:r>
      <w:r w:rsidR="000A66B2"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sz w:val="24"/>
          <w:szCs w:val="24"/>
          <w:lang w:eastAsia="en-US"/>
        </w:rPr>
        <w:t xml:space="preserve">Howbeit, these </w:t>
      </w:r>
      <w:r w:rsidR="000A66B2" w:rsidRPr="00B37812">
        <w:rPr>
          <w:rFonts w:ascii="Times New Roman" w:eastAsia="Calibri" w:hAnsi="Times New Roman" w:cs="Times New Roman"/>
          <w:bCs/>
          <w:sz w:val="24"/>
          <w:szCs w:val="24"/>
          <w:lang w:eastAsia="en-US"/>
        </w:rPr>
        <w:t>scientific contributions</w:t>
      </w:r>
      <w:r w:rsidRPr="00B37812">
        <w:rPr>
          <w:rFonts w:ascii="Times New Roman" w:eastAsia="Calibri" w:hAnsi="Times New Roman" w:cs="Times New Roman"/>
          <w:bCs/>
          <w:sz w:val="24"/>
          <w:szCs w:val="24"/>
          <w:lang w:eastAsia="en-US"/>
        </w:rPr>
        <w:t xml:space="preserve"> are pertinent, none of them covers utterly the encapsulation efficiency of individual nutraceuticals in </w:t>
      </w:r>
      <w:r w:rsidR="000A66B2" w:rsidRPr="00B37812">
        <w:rPr>
          <w:rFonts w:ascii="Times New Roman" w:eastAsia="Calibri" w:hAnsi="Times New Roman" w:cs="Times New Roman"/>
          <w:bCs/>
          <w:sz w:val="24"/>
          <w:szCs w:val="24"/>
          <w:lang w:eastAsia="en-US"/>
        </w:rPr>
        <w:t xml:space="preserve">which compose </w:t>
      </w:r>
      <w:r w:rsidRPr="00B37812">
        <w:rPr>
          <w:rFonts w:ascii="Times New Roman" w:eastAsia="Calibri" w:hAnsi="Times New Roman" w:cs="Times New Roman"/>
          <w:bCs/>
          <w:sz w:val="24"/>
          <w:szCs w:val="24"/>
          <w:lang w:eastAsia="en-US"/>
        </w:rPr>
        <w:t>the herbal extract.</w:t>
      </w:r>
      <w:r w:rsidR="000A66B2" w:rsidRPr="00B37812">
        <w:rPr>
          <w:rFonts w:ascii="Times New Roman" w:eastAsia="Calibri" w:hAnsi="Times New Roman" w:cs="Times New Roman"/>
          <w:bCs/>
          <w:sz w:val="24"/>
          <w:szCs w:val="24"/>
          <w:lang w:eastAsia="en-US"/>
        </w:rPr>
        <w:t xml:space="preserve"> </w:t>
      </w:r>
      <w:r w:rsidR="000E57F3" w:rsidRPr="00B37812">
        <w:rPr>
          <w:rFonts w:ascii="Times New Roman" w:eastAsia="Calibri" w:hAnsi="Times New Roman" w:cs="Times New Roman"/>
          <w:bCs/>
          <w:color w:val="000000"/>
          <w:sz w:val="24"/>
          <w:szCs w:val="24"/>
          <w:lang w:eastAsia="en-US"/>
        </w:rPr>
        <w:t xml:space="preserve">Despite, </w:t>
      </w:r>
      <w:r w:rsidR="00617779" w:rsidRPr="00B37812">
        <w:rPr>
          <w:rFonts w:ascii="Times New Roman" w:eastAsia="Calibri" w:hAnsi="Times New Roman" w:cs="Times New Roman"/>
          <w:bCs/>
          <w:color w:val="000000"/>
          <w:sz w:val="24"/>
          <w:szCs w:val="24"/>
          <w:lang w:eastAsia="en-US"/>
        </w:rPr>
        <w:t>numerous scientific reports on</w:t>
      </w:r>
      <w:r w:rsidR="000E57F3" w:rsidRPr="00B37812">
        <w:rPr>
          <w:rFonts w:ascii="Times New Roman" w:eastAsia="Calibri" w:hAnsi="Times New Roman" w:cs="Times New Roman"/>
          <w:bCs/>
          <w:color w:val="000000"/>
          <w:sz w:val="24"/>
          <w:szCs w:val="24"/>
          <w:lang w:eastAsia="en-US"/>
        </w:rPr>
        <w:t xml:space="preserve"> encapsulation of herbal extracts, t</w:t>
      </w:r>
      <w:r w:rsidRPr="00B37812">
        <w:rPr>
          <w:rFonts w:ascii="Times New Roman" w:eastAsia="Calibri" w:hAnsi="Times New Roman" w:cs="Times New Roman"/>
          <w:bCs/>
          <w:sz w:val="24"/>
          <w:szCs w:val="24"/>
          <w:lang w:eastAsia="en-US"/>
        </w:rPr>
        <w:t xml:space="preserve">here is </w:t>
      </w:r>
      <w:r w:rsidR="00617779" w:rsidRPr="00B37812">
        <w:rPr>
          <w:rFonts w:ascii="Times New Roman" w:eastAsia="Calibri" w:hAnsi="Times New Roman" w:cs="Times New Roman"/>
          <w:bCs/>
          <w:sz w:val="24"/>
          <w:szCs w:val="24"/>
          <w:lang w:eastAsia="en-US"/>
        </w:rPr>
        <w:t>still a</w:t>
      </w:r>
      <w:r w:rsidRPr="00B37812">
        <w:rPr>
          <w:rFonts w:ascii="Times New Roman" w:eastAsia="Calibri" w:hAnsi="Times New Roman" w:cs="Times New Roman"/>
          <w:bCs/>
          <w:sz w:val="24"/>
          <w:szCs w:val="24"/>
          <w:lang w:eastAsia="en-US"/>
        </w:rPr>
        <w:t xml:space="preserve"> </w:t>
      </w:r>
      <w:r w:rsidR="00AC350B" w:rsidRPr="00B37812">
        <w:rPr>
          <w:rFonts w:ascii="Times New Roman" w:eastAsia="Calibri" w:hAnsi="Times New Roman" w:cs="Times New Roman"/>
          <w:bCs/>
          <w:sz w:val="24"/>
          <w:szCs w:val="24"/>
          <w:lang w:eastAsia="en-US"/>
        </w:rPr>
        <w:t xml:space="preserve">scarcity of knowledge </w:t>
      </w:r>
      <w:r w:rsidRPr="00B37812">
        <w:rPr>
          <w:rFonts w:ascii="Times New Roman" w:eastAsia="Calibri" w:hAnsi="Times New Roman" w:cs="Times New Roman"/>
          <w:bCs/>
          <w:sz w:val="24"/>
          <w:szCs w:val="24"/>
          <w:lang w:eastAsia="en-US"/>
        </w:rPr>
        <w:t xml:space="preserve">on the impact of carrier materials on entrapment efficiency of individual nutraceutical compounds in the herbal extracts and </w:t>
      </w:r>
      <w:r w:rsidRPr="00B37812">
        <w:rPr>
          <w:rFonts w:ascii="Times New Roman" w:eastAsia="Calibri" w:hAnsi="Times New Roman" w:cs="Times New Roman"/>
          <w:bCs/>
          <w:sz w:val="24"/>
          <w:szCs w:val="24"/>
        </w:rPr>
        <w:t>the physical characteristics of encapsulated extract powder</w:t>
      </w:r>
      <w:r w:rsidR="00A968BB" w:rsidRPr="00B37812">
        <w:rPr>
          <w:rFonts w:ascii="Times New Roman" w:eastAsia="Calibri" w:hAnsi="Times New Roman" w:cs="Times New Roman"/>
          <w:bCs/>
          <w:sz w:val="24"/>
          <w:szCs w:val="24"/>
        </w:rPr>
        <w:t>.</w:t>
      </w:r>
      <w:r w:rsidRPr="00B37812">
        <w:rPr>
          <w:rFonts w:ascii="Times New Roman" w:eastAsia="Calibri" w:hAnsi="Times New Roman" w:cs="Times New Roman"/>
          <w:bCs/>
          <w:strike/>
          <w:sz w:val="24"/>
          <w:szCs w:val="24"/>
        </w:rPr>
        <w:t xml:space="preserve"> </w:t>
      </w:r>
    </w:p>
    <w:p w14:paraId="014D375A" w14:textId="4DA9A1BC" w:rsidR="00527DF4" w:rsidRPr="00B37812" w:rsidRDefault="00AC350B" w:rsidP="00A330CD">
      <w:pPr>
        <w:spacing w:after="0" w:line="360" w:lineRule="auto"/>
        <w:ind w:firstLine="720"/>
        <w:jc w:val="both"/>
        <w:rPr>
          <w:rFonts w:ascii="Times New Roman" w:eastAsia="Calibri" w:hAnsi="Times New Roman" w:cs="Times New Roman"/>
          <w:bCs/>
          <w:sz w:val="24"/>
          <w:szCs w:val="24"/>
          <w:highlight w:val="yellow"/>
        </w:rPr>
      </w:pPr>
      <w:r w:rsidRPr="00B37812">
        <w:rPr>
          <w:rFonts w:ascii="Times New Roman" w:eastAsia="Calibri" w:hAnsi="Times New Roman" w:cs="Times New Roman"/>
          <w:bCs/>
          <w:sz w:val="24"/>
          <w:szCs w:val="24"/>
        </w:rPr>
        <w:t>To the best of our knowledge,</w:t>
      </w:r>
      <w:r w:rsidRPr="00B37812">
        <w:rPr>
          <w:rFonts w:ascii="Times New Roman" w:eastAsia="Calibri" w:hAnsi="Times New Roman" w:cs="Times New Roman"/>
          <w:bCs/>
          <w:color w:val="000000"/>
          <w:sz w:val="24"/>
          <w:szCs w:val="24"/>
          <w:lang w:eastAsia="en-US"/>
        </w:rPr>
        <w:t xml:space="preserve"> </w:t>
      </w:r>
      <w:r w:rsidR="00D20F81" w:rsidRPr="00B37812">
        <w:rPr>
          <w:rFonts w:ascii="Times New Roman" w:eastAsia="Calibri" w:hAnsi="Times New Roman" w:cs="Times New Roman"/>
          <w:bCs/>
          <w:sz w:val="24"/>
          <w:szCs w:val="24"/>
        </w:rPr>
        <w:t xml:space="preserve">there is </w:t>
      </w:r>
      <w:r w:rsidR="00D20F81" w:rsidRPr="00B37812">
        <w:rPr>
          <w:rFonts w:ascii="Times New Roman" w:eastAsia="Calibri" w:hAnsi="Times New Roman" w:cs="Times New Roman"/>
          <w:bCs/>
          <w:sz w:val="24"/>
          <w:szCs w:val="24"/>
          <w:lang w:eastAsia="en-US"/>
        </w:rPr>
        <w:t xml:space="preserve">limited </w:t>
      </w:r>
      <w:r w:rsidR="007C7CB9" w:rsidRPr="00B37812">
        <w:rPr>
          <w:rFonts w:ascii="Times New Roman" w:eastAsia="Calibri" w:hAnsi="Times New Roman" w:cs="Times New Roman"/>
          <w:bCs/>
          <w:sz w:val="24"/>
          <w:szCs w:val="24"/>
          <w:lang w:eastAsia="en-US"/>
        </w:rPr>
        <w:t>studies</w:t>
      </w:r>
      <w:r w:rsidRPr="00B37812">
        <w:rPr>
          <w:rFonts w:ascii="Times New Roman" w:eastAsia="Calibri" w:hAnsi="Times New Roman" w:cs="Times New Roman"/>
          <w:bCs/>
          <w:sz w:val="24"/>
          <w:szCs w:val="24"/>
          <w:lang w:eastAsia="en-US"/>
        </w:rPr>
        <w:t xml:space="preserve"> </w:t>
      </w:r>
      <w:r w:rsidR="00D20F81" w:rsidRPr="00B37812">
        <w:rPr>
          <w:rFonts w:ascii="Times New Roman" w:eastAsia="Calibri" w:hAnsi="Times New Roman" w:cs="Times New Roman"/>
          <w:bCs/>
          <w:sz w:val="24"/>
          <w:szCs w:val="24"/>
          <w:lang w:eastAsia="en-US"/>
        </w:rPr>
        <w:t xml:space="preserve">on </w:t>
      </w:r>
      <w:r w:rsidRPr="00B37812">
        <w:rPr>
          <w:rFonts w:ascii="Times New Roman" w:eastAsia="Calibri" w:hAnsi="Times New Roman" w:cs="Times New Roman"/>
          <w:bCs/>
          <w:sz w:val="24"/>
          <w:szCs w:val="24"/>
          <w:lang w:eastAsia="en-US"/>
        </w:rPr>
        <w:t xml:space="preserve">mulberry leaf extract encapsulation. </w:t>
      </w:r>
      <w:r w:rsidR="00B85163" w:rsidRPr="00B37812">
        <w:rPr>
          <w:rFonts w:ascii="Times New Roman" w:eastAsia="Calibri" w:hAnsi="Times New Roman" w:cs="Times New Roman"/>
          <w:bCs/>
          <w:sz w:val="24"/>
          <w:szCs w:val="24"/>
          <w:lang w:eastAsia="en-US"/>
        </w:rPr>
        <w:t xml:space="preserve">Hence, the present </w:t>
      </w:r>
      <w:r w:rsidR="007C7CB9" w:rsidRPr="00B37812">
        <w:rPr>
          <w:rFonts w:ascii="Times New Roman" w:eastAsia="Calibri" w:hAnsi="Times New Roman" w:cs="Times New Roman"/>
          <w:bCs/>
          <w:sz w:val="24"/>
          <w:szCs w:val="24"/>
          <w:lang w:eastAsia="en-US"/>
        </w:rPr>
        <w:t>investigation</w:t>
      </w:r>
      <w:r w:rsidR="00B85163" w:rsidRPr="00B37812">
        <w:rPr>
          <w:rFonts w:ascii="Times New Roman" w:eastAsia="Calibri" w:hAnsi="Times New Roman" w:cs="Times New Roman"/>
          <w:bCs/>
          <w:sz w:val="24"/>
          <w:szCs w:val="24"/>
          <w:lang w:eastAsia="en-US"/>
        </w:rPr>
        <w:t xml:space="preserve"> sought to assess the </w:t>
      </w:r>
      <w:r w:rsidR="001548AA" w:rsidRPr="00B37812">
        <w:rPr>
          <w:rFonts w:ascii="Times New Roman" w:eastAsia="Calibri" w:hAnsi="Times New Roman" w:cs="Times New Roman"/>
          <w:bCs/>
          <w:sz w:val="24"/>
          <w:szCs w:val="24"/>
          <w:lang w:eastAsia="en-US"/>
        </w:rPr>
        <w:t>effect</w:t>
      </w:r>
      <w:r w:rsidR="000A66B2" w:rsidRPr="00B37812">
        <w:rPr>
          <w:rFonts w:ascii="Times New Roman" w:eastAsia="Calibri" w:hAnsi="Times New Roman" w:cs="Times New Roman"/>
          <w:bCs/>
          <w:sz w:val="24"/>
          <w:szCs w:val="24"/>
          <w:lang w:eastAsia="en-US"/>
        </w:rPr>
        <w:t>s</w:t>
      </w:r>
      <w:r w:rsidR="00B85163" w:rsidRPr="00B37812">
        <w:rPr>
          <w:rFonts w:ascii="Times New Roman" w:eastAsia="Calibri" w:hAnsi="Times New Roman" w:cs="Times New Roman"/>
          <w:bCs/>
          <w:sz w:val="24"/>
          <w:szCs w:val="24"/>
          <w:lang w:eastAsia="en-US"/>
        </w:rPr>
        <w:t xml:space="preserve"> of encapsulating materials (sodium carboxymethyl cellulose and maltodextrin) and fractions of carrier materials to core ratio on the chemical (individual nutraceuticals retention, encapsulation efficiency, and antioxidant) and </w:t>
      </w:r>
      <w:r w:rsidR="00B85163" w:rsidRPr="00B37812">
        <w:rPr>
          <w:rFonts w:ascii="Times New Roman" w:eastAsia="Calibri" w:hAnsi="Times New Roman" w:cs="Times New Roman"/>
          <w:bCs/>
          <w:sz w:val="24"/>
          <w:szCs w:val="24"/>
        </w:rPr>
        <w:t>physical (</w:t>
      </w:r>
      <w:r w:rsidR="00B85163" w:rsidRPr="00B37812">
        <w:rPr>
          <w:rFonts w:ascii="Times New Roman" w:hAnsi="Times New Roman" w:cs="Times New Roman"/>
          <w:bCs/>
          <w:sz w:val="24"/>
          <w:szCs w:val="24"/>
        </w:rPr>
        <w:t>particle, packing, reconstitution, shelf-life, and chromatic</w:t>
      </w:r>
      <w:r w:rsidR="00B85163" w:rsidRPr="00B37812">
        <w:rPr>
          <w:rFonts w:ascii="Times New Roman" w:eastAsia="Calibri" w:hAnsi="Times New Roman" w:cs="Times New Roman"/>
          <w:bCs/>
          <w:sz w:val="24"/>
          <w:szCs w:val="24"/>
        </w:rPr>
        <w:t xml:space="preserve">) characteristics of </w:t>
      </w:r>
      <w:r w:rsidR="007C7CB9" w:rsidRPr="00B37812">
        <w:rPr>
          <w:rFonts w:ascii="Times New Roman" w:eastAsia="Calibri" w:hAnsi="Times New Roman" w:cs="Times New Roman"/>
          <w:bCs/>
          <w:sz w:val="24"/>
          <w:szCs w:val="24"/>
        </w:rPr>
        <w:t>encapsulated</w:t>
      </w:r>
      <w:r w:rsidR="00B85163" w:rsidRPr="00B37812">
        <w:rPr>
          <w:rFonts w:ascii="Times New Roman" w:eastAsia="Calibri" w:hAnsi="Times New Roman" w:cs="Times New Roman"/>
          <w:bCs/>
          <w:sz w:val="24"/>
          <w:szCs w:val="24"/>
        </w:rPr>
        <w:t xml:space="preserve"> mulberry leaf extract powder. </w:t>
      </w:r>
      <w:r w:rsidR="00FB0A04" w:rsidRPr="00B37812">
        <w:rPr>
          <w:rFonts w:ascii="Times New Roman" w:eastAsia="Calibri" w:hAnsi="Times New Roman" w:cs="Times New Roman"/>
          <w:bCs/>
          <w:sz w:val="24"/>
          <w:szCs w:val="24"/>
          <w:lang w:eastAsia="en-US"/>
        </w:rPr>
        <w:t xml:space="preserve">The scientific contribution of this investigation was to valorize mulberry leaf by the elaboration of a powder with nutraceutical value, while the technological application of encapsulating mulberry leaf extract was </w:t>
      </w:r>
      <w:r w:rsidR="00530F10" w:rsidRPr="00B37812">
        <w:rPr>
          <w:rFonts w:ascii="Times New Roman" w:eastAsia="Calibri" w:hAnsi="Times New Roman" w:cs="Times New Roman"/>
          <w:bCs/>
          <w:sz w:val="24"/>
          <w:szCs w:val="24"/>
          <w:lang w:eastAsia="en-US"/>
        </w:rPr>
        <w:t>to preserve the p</w:t>
      </w:r>
      <w:r w:rsidR="00530F10" w:rsidRPr="00B37812">
        <w:rPr>
          <w:rFonts w:ascii="Times New Roman" w:eastAsia="Calibri" w:hAnsi="Times New Roman" w:cs="Times New Roman"/>
          <w:bCs/>
          <w:sz w:val="24"/>
          <w:szCs w:val="24"/>
        </w:rPr>
        <w:t>hysical characteristics of</w:t>
      </w:r>
      <w:r w:rsidR="000A66B2" w:rsidRPr="00B37812">
        <w:rPr>
          <w:rFonts w:ascii="Times New Roman" w:eastAsia="Calibri" w:hAnsi="Times New Roman" w:cs="Times New Roman"/>
          <w:bCs/>
          <w:sz w:val="24"/>
          <w:szCs w:val="24"/>
        </w:rPr>
        <w:t xml:space="preserve"> the </w:t>
      </w:r>
      <w:r w:rsidR="00530F10" w:rsidRPr="00B37812">
        <w:rPr>
          <w:rFonts w:ascii="Times New Roman" w:eastAsia="Calibri" w:hAnsi="Times New Roman" w:cs="Times New Roman"/>
          <w:bCs/>
          <w:sz w:val="24"/>
          <w:szCs w:val="24"/>
        </w:rPr>
        <w:t xml:space="preserve">powder that define </w:t>
      </w:r>
      <w:r w:rsidR="000A66B2" w:rsidRPr="00B37812">
        <w:rPr>
          <w:rFonts w:ascii="Times New Roman" w:eastAsia="Calibri" w:hAnsi="Times New Roman" w:cs="Times New Roman"/>
          <w:bCs/>
          <w:sz w:val="24"/>
          <w:szCs w:val="24"/>
        </w:rPr>
        <w:t xml:space="preserve">its </w:t>
      </w:r>
      <w:r w:rsidR="00530F10" w:rsidRPr="00B37812">
        <w:rPr>
          <w:rFonts w:ascii="Times New Roman" w:eastAsia="Calibri" w:hAnsi="Times New Roman" w:cs="Times New Roman"/>
          <w:bCs/>
          <w:sz w:val="24"/>
          <w:szCs w:val="24"/>
        </w:rPr>
        <w:t xml:space="preserve">behavior during processing, storage, and handling </w:t>
      </w:r>
      <w:r w:rsidR="00527DF4" w:rsidRPr="00B37812">
        <w:rPr>
          <w:rFonts w:ascii="Times New Roman" w:eastAsia="Calibri" w:hAnsi="Times New Roman" w:cs="Times New Roman"/>
          <w:bCs/>
          <w:sz w:val="24"/>
          <w:szCs w:val="24"/>
        </w:rPr>
        <w:t xml:space="preserve">to ensure the industrial utilization of this valuable </w:t>
      </w:r>
      <w:r w:rsidR="0009493D" w:rsidRPr="00B37812">
        <w:rPr>
          <w:rFonts w:ascii="Times New Roman" w:eastAsia="Calibri" w:hAnsi="Times New Roman" w:cs="Times New Roman"/>
          <w:bCs/>
          <w:sz w:val="24"/>
          <w:szCs w:val="24"/>
        </w:rPr>
        <w:t>agricultural byproduct</w:t>
      </w:r>
      <w:r w:rsidR="00527DF4" w:rsidRPr="00B37812">
        <w:rPr>
          <w:rFonts w:ascii="Times New Roman" w:eastAsia="Calibri" w:hAnsi="Times New Roman" w:cs="Times New Roman"/>
          <w:bCs/>
          <w:sz w:val="24"/>
          <w:szCs w:val="24"/>
        </w:rPr>
        <w:t>.</w:t>
      </w:r>
    </w:p>
    <w:p w14:paraId="058B4522" w14:textId="77777777" w:rsidR="00FB0A04" w:rsidRPr="00B37812" w:rsidRDefault="00FB0A04" w:rsidP="00A330CD">
      <w:pPr>
        <w:spacing w:after="0" w:line="360" w:lineRule="auto"/>
        <w:jc w:val="both"/>
        <w:rPr>
          <w:rFonts w:ascii="Times New Roman" w:eastAsia="Calibri" w:hAnsi="Times New Roman" w:cs="Times New Roman"/>
          <w:bCs/>
          <w:sz w:val="24"/>
          <w:szCs w:val="24"/>
          <w:lang w:eastAsia="en-US"/>
        </w:rPr>
      </w:pPr>
    </w:p>
    <w:p w14:paraId="04B9A960" w14:textId="127DF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 MATERIALS AND METHODS</w:t>
      </w:r>
    </w:p>
    <w:p w14:paraId="61A37355"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568C6B34"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 xml:space="preserve">2.1. Materials </w:t>
      </w:r>
    </w:p>
    <w:p w14:paraId="63F9963C" w14:textId="77777777"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p>
    <w:p w14:paraId="79056EA9" w14:textId="15EFBF5B" w:rsidR="00B85163" w:rsidRPr="00B37812" w:rsidRDefault="00B85163" w:rsidP="00A330CD">
      <w:pPr>
        <w:spacing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Cs/>
          <w:color w:val="000000"/>
          <w:sz w:val="24"/>
          <w:szCs w:val="24"/>
          <w:lang w:eastAsia="en-US"/>
        </w:rPr>
        <w:t>Mulberry leaf (</w:t>
      </w:r>
      <w:r w:rsidRPr="00B37812">
        <w:rPr>
          <w:rFonts w:ascii="Times New Roman" w:eastAsia="Calibri" w:hAnsi="Times New Roman" w:cs="Times New Roman"/>
          <w:bCs/>
          <w:i/>
          <w:color w:val="000000"/>
          <w:sz w:val="24"/>
          <w:szCs w:val="24"/>
          <w:lang w:eastAsia="en-US"/>
        </w:rPr>
        <w:t>Morus alba</w:t>
      </w:r>
      <w:r w:rsidRPr="00B37812">
        <w:rPr>
          <w:rFonts w:ascii="Times New Roman" w:eastAsia="Calibri" w:hAnsi="Times New Roman" w:cs="Times New Roman"/>
          <w:bCs/>
          <w:color w:val="000000"/>
          <w:sz w:val="24"/>
          <w:szCs w:val="24"/>
          <w:lang w:eastAsia="en-US"/>
        </w:rPr>
        <w:t xml:space="preserve">) was acquired from Zhenjiang mulberry variety nursery base (Jiangsu, China). Maltodextrin 13-17DE (MD, ~1200 DA), sodium </w:t>
      </w:r>
      <w:r w:rsidRPr="00B37812">
        <w:rPr>
          <w:rFonts w:ascii="Times New Roman" w:eastAsia="Calibri" w:hAnsi="Times New Roman" w:cs="Times New Roman"/>
          <w:bCs/>
          <w:noProof/>
          <w:color w:val="000000"/>
          <w:sz w:val="24"/>
          <w:szCs w:val="24"/>
          <w:lang w:eastAsia="en-US"/>
        </w:rPr>
        <w:t>carboxymethyl cellulose</w:t>
      </w:r>
      <w:r w:rsidRPr="00B37812">
        <w:rPr>
          <w:rFonts w:ascii="Times New Roman" w:eastAsia="Calibri" w:hAnsi="Times New Roman" w:cs="Times New Roman"/>
          <w:bCs/>
          <w:color w:val="000000"/>
          <w:sz w:val="24"/>
          <w:szCs w:val="24"/>
          <w:lang w:eastAsia="en-US"/>
        </w:rPr>
        <w:t xml:space="preserve"> (CMC, ~90000 DA), </w:t>
      </w:r>
      <w:r w:rsidR="00CC0308" w:rsidRPr="00B37812">
        <w:rPr>
          <w:rFonts w:ascii="Times New Roman" w:eastAsia="Calibri" w:hAnsi="Times New Roman" w:cs="Times New Roman"/>
          <w:bCs/>
          <w:color w:val="000000"/>
          <w:sz w:val="24"/>
          <w:szCs w:val="24"/>
          <w:lang w:eastAsia="en-US"/>
        </w:rPr>
        <w:t xml:space="preserve">nutraceutical standards, </w:t>
      </w:r>
      <w:r w:rsidRPr="00B37812">
        <w:rPr>
          <w:rFonts w:ascii="Times New Roman" w:eastAsia="Calibri" w:hAnsi="Times New Roman" w:cs="Times New Roman"/>
          <w:bCs/>
          <w:color w:val="000000"/>
          <w:sz w:val="24"/>
          <w:szCs w:val="24"/>
          <w:lang w:eastAsia="en-US"/>
        </w:rPr>
        <w:t>and other reagents of AnalaR grade were obtained from Sigma-Aldrich (St. Louis, USA).</w:t>
      </w:r>
    </w:p>
    <w:p w14:paraId="607334B1" w14:textId="77777777" w:rsidR="00B85163" w:rsidRPr="00B37812" w:rsidRDefault="00B85163" w:rsidP="00A330CD">
      <w:pPr>
        <w:spacing w:after="0" w:line="360" w:lineRule="auto"/>
        <w:ind w:firstLine="720"/>
        <w:jc w:val="both"/>
        <w:rPr>
          <w:rFonts w:ascii="Times New Roman" w:eastAsia="Calibri" w:hAnsi="Times New Roman" w:cs="Times New Roman"/>
          <w:color w:val="000000"/>
          <w:szCs w:val="24"/>
          <w:lang w:eastAsia="en-US"/>
        </w:rPr>
      </w:pPr>
    </w:p>
    <w:p w14:paraId="3EB94856"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2.2.  Experimental methodology</w:t>
      </w:r>
    </w:p>
    <w:p w14:paraId="6518E381"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06DCCB05"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 xml:space="preserve">2.2.1.  Nutraceuticals extraction </w:t>
      </w:r>
    </w:p>
    <w:p w14:paraId="5F653BA8" w14:textId="77777777" w:rsidR="00B85163" w:rsidRPr="00B37812" w:rsidRDefault="00B85163" w:rsidP="00A330CD">
      <w:pPr>
        <w:spacing w:after="0" w:line="360" w:lineRule="auto"/>
        <w:jc w:val="both"/>
        <w:rPr>
          <w:rFonts w:ascii="Times New Roman" w:eastAsia="Calibri" w:hAnsi="Times New Roman" w:cs="Times New Roman"/>
          <w:bCs/>
          <w:color w:val="000000"/>
          <w:sz w:val="24"/>
          <w:szCs w:val="24"/>
          <w:lang w:eastAsia="en-US"/>
        </w:rPr>
      </w:pPr>
    </w:p>
    <w:p w14:paraId="49AE88C0" w14:textId="49C98B6C"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Cs/>
          <w:color w:val="000000"/>
          <w:sz w:val="24"/>
          <w:szCs w:val="24"/>
          <w:lang w:eastAsia="en-US"/>
        </w:rPr>
        <w:t xml:space="preserve">The extraction </w:t>
      </w:r>
      <w:r w:rsidR="007D0728" w:rsidRPr="00B37812">
        <w:rPr>
          <w:rFonts w:ascii="Times New Roman" w:eastAsia="Calibri" w:hAnsi="Times New Roman" w:cs="Times New Roman"/>
          <w:bCs/>
          <w:color w:val="000000"/>
          <w:sz w:val="24"/>
          <w:szCs w:val="24"/>
          <w:lang w:eastAsia="en-US"/>
        </w:rPr>
        <w:t xml:space="preserve">of nutraceutical compounds </w:t>
      </w:r>
      <w:r w:rsidRPr="00B37812">
        <w:rPr>
          <w:rFonts w:ascii="Times New Roman" w:eastAsia="Calibri" w:hAnsi="Times New Roman" w:cs="Times New Roman"/>
          <w:bCs/>
          <w:color w:val="000000"/>
          <w:sz w:val="24"/>
          <w:szCs w:val="24"/>
          <w:lang w:eastAsia="en-US"/>
        </w:rPr>
        <w:t xml:space="preserve">was conducted following the methodology described by </w:t>
      </w:r>
      <w:hyperlink w:anchor="_ENREF_16" w:tooltip="Tchabo, 2018 #1464"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AuthorYear="1"&gt;&lt;Author&gt;Tchabo&lt;/Author&gt;&lt;Year&gt;2018&lt;/Year&gt;&lt;RecNum&gt;1464&lt;/RecNum&gt;&lt;DisplayText&gt;Tchabo et al. &lt;style face="superscript"&gt;16&lt;/style&gt;&lt;/DisplayText&gt;&lt;record&gt;&lt;rec-number&gt;1464&lt;/rec-number&gt;&lt;foreign-keys&gt;&lt;key app="EN" db-id="5wdx0tztgpfe5yefsdpperx8srzetsx0pw9w" timestamp="1520234243"&gt;1464&lt;/key&gt;&lt;/foreign-keys&gt;&lt;ref-type name="Journal Article"&gt;17&lt;/ref-type&gt;&lt;contributors&gt;&lt;authors&gt;&lt;author&gt;William Tchabo&lt;/author&gt;&lt;author&gt;Yongkun Ma&lt;/author&gt;&lt;author&gt;Emmanuel Kwaw&lt;/author&gt;&lt;author&gt;Lulu Xiao&lt;/author&gt;&lt;author&gt;Meng Wu&lt;/author&gt;&lt;author&gt;Apaliya T. Maurice&lt;/author&gt;&lt;/authors&gt;&lt;/contributors&gt;&lt;titles&gt;&lt;title&gt;Impact of extraction parameters and their optimization on the nutraceuticals and antioxidant properties of aqueous extract mulberry leaf&lt;/title&gt;&lt;secondary-title&gt;International Journal of Food Properties&lt;/secondary-title&gt;&lt;/titles&gt;&lt;periodical&gt;&lt;full-title&gt;International Journal of Food Properties&lt;/full-title&gt;&lt;abbr-1&gt;Int. J. Food Prop.&lt;/abbr-1&gt;&lt;abbr-2&gt;Int J Food Prop&lt;/abbr-2&gt;&lt;/periodical&gt;&lt;dates&gt;&lt;year&gt;2018&lt;/year&gt;&lt;/dates&gt;&lt;urls&gt;&lt;/urls&gt;&lt;electronic-resource-num&gt;10.1080/10942912.2018.1446025&lt;/electronic-resource-num&gt;&lt;/record&gt;&lt;/Cite&gt;&lt;/EndNote&gt;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Tchabo et al. </w:t>
        </w:r>
        <w:r w:rsidR="00E124D1" w:rsidRPr="00B37812">
          <w:rPr>
            <w:rStyle w:val="Hyperlink"/>
            <w:rFonts w:ascii="Times New Roman" w:eastAsia="Calibri" w:hAnsi="Times New Roman" w:cs="Times New Roman"/>
            <w:bCs/>
            <w:noProof/>
            <w:sz w:val="24"/>
            <w:szCs w:val="24"/>
            <w:vertAlign w:val="superscript"/>
            <w:lang w:eastAsia="en-US"/>
          </w:rPr>
          <w:t>16</w:t>
        </w:r>
        <w:r w:rsidRPr="00B37812">
          <w:rPr>
            <w:rStyle w:val="Hyperlink"/>
            <w:rFonts w:ascii="Times New Roman" w:eastAsia="Calibri" w:hAnsi="Times New Roman" w:cs="Times New Roman"/>
            <w:bCs/>
            <w:sz w:val="24"/>
            <w:szCs w:val="24"/>
            <w:lang w:eastAsia="en-US"/>
          </w:rPr>
          <w:fldChar w:fldCharType="end"/>
        </w:r>
      </w:hyperlink>
      <w:r w:rsidRPr="00B37812">
        <w:rPr>
          <w:rStyle w:val="Hyperlink"/>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color w:val="000000"/>
          <w:sz w:val="24"/>
          <w:szCs w:val="24"/>
          <w:lang w:eastAsia="en-US"/>
        </w:rPr>
        <w:t xml:space="preserve">using a two-step extraction. </w:t>
      </w:r>
      <w:r w:rsidR="00495AA0" w:rsidRPr="00B37812">
        <w:rPr>
          <w:rFonts w:ascii="Times New Roman" w:eastAsia="Calibri" w:hAnsi="Times New Roman" w:cs="Times New Roman"/>
          <w:bCs/>
          <w:color w:val="000000"/>
          <w:sz w:val="24"/>
          <w:szCs w:val="24"/>
          <w:lang w:eastAsia="en-US"/>
        </w:rPr>
        <w:t>Concisely</w:t>
      </w:r>
      <w:r w:rsidR="00797EF8" w:rsidRPr="00B37812">
        <w:rPr>
          <w:rFonts w:ascii="Times New Roman" w:eastAsia="Calibri" w:hAnsi="Times New Roman" w:cs="Times New Roman"/>
          <w:bCs/>
          <w:color w:val="000000"/>
          <w:sz w:val="24"/>
          <w:szCs w:val="24"/>
          <w:lang w:eastAsia="en-US"/>
        </w:rPr>
        <w:t>, the</w:t>
      </w:r>
      <w:r w:rsidRPr="00B37812">
        <w:rPr>
          <w:rFonts w:ascii="Times New Roman" w:eastAsia="Calibri" w:hAnsi="Times New Roman" w:cs="Times New Roman"/>
          <w:bCs/>
          <w:color w:val="000000"/>
          <w:sz w:val="24"/>
          <w:szCs w:val="24"/>
          <w:lang w:eastAsia="en-US"/>
        </w:rPr>
        <w:t xml:space="preserve"> fresh leaf was </w:t>
      </w:r>
      <w:r w:rsidRPr="00B37812">
        <w:rPr>
          <w:rFonts w:ascii="Times New Roman" w:hAnsi="Times New Roman" w:cs="Times New Roman"/>
          <w:bCs/>
          <w:sz w:val="24"/>
          <w:szCs w:val="24"/>
        </w:rPr>
        <w:t>lyophilized</w:t>
      </w:r>
      <w:r w:rsidRPr="00B37812">
        <w:rPr>
          <w:rFonts w:ascii="Times New Roman" w:eastAsia="Calibri" w:hAnsi="Times New Roman" w:cs="Times New Roman"/>
          <w:bCs/>
          <w:color w:val="000000"/>
          <w:sz w:val="24"/>
          <w:szCs w:val="24"/>
          <w:lang w:eastAsia="en-US"/>
        </w:rPr>
        <w:t xml:space="preserve"> (</w:t>
      </w:r>
      <w:r w:rsidRPr="00B37812">
        <w:rPr>
          <w:rFonts w:ascii="Times New Roman" w:eastAsia="Calibri" w:hAnsi="Times New Roman" w:cs="Times New Roman"/>
          <w:bCs/>
          <w:sz w:val="24"/>
          <w:szCs w:val="24"/>
          <w:lang w:eastAsia="en-US"/>
        </w:rPr>
        <w:t>48 h</w:t>
      </w:r>
      <w:r w:rsidRPr="00B37812">
        <w:rPr>
          <w:rFonts w:ascii="Times New Roman" w:eastAsia="Calibri" w:hAnsi="Times New Roman" w:cs="Times New Roman"/>
          <w:bCs/>
          <w:color w:val="000000"/>
          <w:sz w:val="24"/>
          <w:szCs w:val="24"/>
          <w:lang w:eastAsia="en-US"/>
        </w:rPr>
        <w:t>, -60 °C, 0.02 mbar, FD-1A-50,</w:t>
      </w:r>
      <w:hyperlink r:id="rId9" w:tooltip="Shanghai Bilon Instrument Co. Ltd" w:history="1">
        <w:r w:rsidRPr="00B37812">
          <w:rPr>
            <w:rFonts w:ascii="Times New Roman" w:eastAsia="Calibri" w:hAnsi="Times New Roman" w:cs="Times New Roman"/>
            <w:bCs/>
            <w:color w:val="000000"/>
            <w:sz w:val="24"/>
            <w:szCs w:val="24"/>
            <w:lang w:eastAsia="en-US"/>
          </w:rPr>
          <w:t xml:space="preserve"> Boyikang Laboratory Instruments, Beijing, China</w:t>
        </w:r>
      </w:hyperlink>
      <w:r w:rsidRPr="00B37812">
        <w:rPr>
          <w:rFonts w:ascii="Times New Roman" w:eastAsia="Calibri" w:hAnsi="Times New Roman" w:cs="Times New Roman"/>
          <w:bCs/>
          <w:color w:val="000000"/>
          <w:sz w:val="24"/>
          <w:szCs w:val="24"/>
          <w:lang w:eastAsia="en-US"/>
        </w:rPr>
        <w:t>) and powdered using a jet miller (</w:t>
      </w:r>
      <w:r w:rsidRPr="00B37812">
        <w:rPr>
          <w:rFonts w:ascii="Times New Roman" w:eastAsia="Calibri" w:hAnsi="Times New Roman" w:cs="Times New Roman"/>
          <w:bCs/>
          <w:sz w:val="24"/>
          <w:szCs w:val="24"/>
          <w:lang w:eastAsia="en-US"/>
        </w:rPr>
        <w:t xml:space="preserve">0101S Jet-O-Mizer Milling, Fluid Energy Processing and Equipment Company, Telford, USA). Subsequently, 10 g of the powder (500 mesh) </w:t>
      </w:r>
      <w:r w:rsidRPr="00B37812">
        <w:rPr>
          <w:rFonts w:ascii="Times New Roman" w:eastAsia="Calibri" w:hAnsi="Times New Roman" w:cs="Times New Roman"/>
          <w:bCs/>
          <w:color w:val="000000"/>
          <w:sz w:val="24"/>
          <w:szCs w:val="24"/>
          <w:lang w:eastAsia="en-US"/>
        </w:rPr>
        <w:t xml:space="preserve">was added to warm </w:t>
      </w:r>
      <w:r w:rsidRPr="00B37812">
        <w:rPr>
          <w:rFonts w:ascii="Times New Roman" w:hAnsi="Times New Roman" w:cs="Times New Roman"/>
          <w:bCs/>
          <w:sz w:val="24"/>
          <w:szCs w:val="24"/>
        </w:rPr>
        <w:t>distilled</w:t>
      </w:r>
      <w:r w:rsidRPr="00B37812">
        <w:rPr>
          <w:rFonts w:ascii="Times New Roman" w:eastAsia="Calibri" w:hAnsi="Times New Roman" w:cs="Times New Roman"/>
          <w:bCs/>
          <w:color w:val="000000"/>
          <w:sz w:val="24"/>
          <w:szCs w:val="24"/>
          <w:lang w:eastAsia="en-US"/>
        </w:rPr>
        <w:t xml:space="preserve"> water (70 °C, 400 ml) and stirred for 40 min at 300 rpm using a rotary water bath (isothermal shaker DK-600B, Jianqiao Testing Equipment, Guangdong, China). Afterward, the mixture was centrifuged (15 min/6000 g/4 °C, Beckman Avanti J-26 XP Coulter, Fullerton, California, USA), and filtered (whatman #1 paper). Then, the nutraceutical extract</w:t>
      </w:r>
      <w:r w:rsidR="008C17AC" w:rsidRPr="00B37812">
        <w:rPr>
          <w:rFonts w:ascii="Times New Roman" w:eastAsia="Calibri" w:hAnsi="Times New Roman" w:cs="Times New Roman"/>
          <w:bCs/>
          <w:color w:val="000000"/>
          <w:sz w:val="24"/>
          <w:szCs w:val="24"/>
          <w:lang w:eastAsia="en-US"/>
        </w:rPr>
        <w:t xml:space="preserve"> (NE)</w:t>
      </w:r>
      <w:r w:rsidRPr="00B37812">
        <w:rPr>
          <w:rFonts w:ascii="Times New Roman" w:eastAsia="Calibri" w:hAnsi="Times New Roman" w:cs="Times New Roman"/>
          <w:bCs/>
          <w:color w:val="000000"/>
          <w:sz w:val="24"/>
          <w:szCs w:val="24"/>
          <w:lang w:eastAsia="en-US"/>
        </w:rPr>
        <w:t xml:space="preserve"> was kept at 4 °C in amber flask prior to encapsulation. </w:t>
      </w:r>
    </w:p>
    <w:p w14:paraId="47C11D18"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5685F869"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2.2.2.  Nutraceutical extract encapsulation</w:t>
      </w:r>
    </w:p>
    <w:p w14:paraId="6C97B40D"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389F2471" w14:textId="081DA187" w:rsidR="003E0D0A" w:rsidRPr="00B37812" w:rsidRDefault="00E918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hAnsi="Times New Roman" w:cs="Times New Roman"/>
          <w:bCs/>
          <w:sz w:val="24"/>
          <w:szCs w:val="24"/>
        </w:rPr>
        <w:t xml:space="preserve">The addition rate of encapsulating agents was chosen based </w:t>
      </w:r>
      <w:r w:rsidR="00B85163" w:rsidRPr="00B37812">
        <w:rPr>
          <w:rFonts w:ascii="Times New Roman" w:eastAsia="Calibri" w:hAnsi="Times New Roman" w:cs="Times New Roman"/>
          <w:bCs/>
          <w:color w:val="000000"/>
          <w:sz w:val="24"/>
          <w:szCs w:val="24"/>
          <w:lang w:eastAsia="en-US"/>
        </w:rPr>
        <w:t>on trials with respect to the feed mixture stability, processing cost, and encapsulated powder</w:t>
      </w:r>
      <w:r w:rsidR="006C2B85" w:rsidRPr="00B37812">
        <w:rPr>
          <w:rFonts w:ascii="Times New Roman" w:eastAsia="Calibri" w:hAnsi="Times New Roman" w:cs="Times New Roman"/>
          <w:bCs/>
          <w:color w:val="000000"/>
          <w:sz w:val="24"/>
          <w:szCs w:val="24"/>
          <w:lang w:eastAsia="en-US"/>
        </w:rPr>
        <w:t>s</w:t>
      </w:r>
      <w:r w:rsidR="00B85163" w:rsidRPr="00B37812">
        <w:rPr>
          <w:rFonts w:ascii="Times New Roman" w:eastAsia="Calibri" w:hAnsi="Times New Roman" w:cs="Times New Roman"/>
          <w:bCs/>
          <w:color w:val="000000"/>
          <w:sz w:val="24"/>
          <w:szCs w:val="24"/>
          <w:lang w:eastAsia="en-US"/>
        </w:rPr>
        <w:t xml:space="preserve"> quality </w:t>
      </w:r>
      <w:r w:rsidR="00B85163" w:rsidRPr="00B37812">
        <w:rPr>
          <w:rFonts w:ascii="Times New Roman" w:eastAsia="Calibri" w:hAnsi="Times New Roman" w:cs="Times New Roman"/>
          <w:bCs/>
          <w:sz w:val="24"/>
          <w:szCs w:val="24"/>
          <w:lang w:eastAsia="en-US"/>
        </w:rPr>
        <w:t>(unpublished data)</w:t>
      </w:r>
      <w:r w:rsidR="00B85163" w:rsidRPr="00B37812">
        <w:rPr>
          <w:rFonts w:ascii="Times New Roman" w:eastAsia="Calibri" w:hAnsi="Times New Roman" w:cs="Times New Roman"/>
          <w:bCs/>
          <w:color w:val="000000"/>
          <w:sz w:val="24"/>
          <w:szCs w:val="24"/>
          <w:lang w:eastAsia="en-US"/>
        </w:rPr>
        <w:t xml:space="preserve">. Concisely, the </w:t>
      </w:r>
      <w:r w:rsidR="00433324" w:rsidRPr="00B37812">
        <w:rPr>
          <w:rFonts w:ascii="Times New Roman" w:eastAsia="Calibri" w:hAnsi="Times New Roman" w:cs="Times New Roman"/>
          <w:bCs/>
          <w:color w:val="000000"/>
          <w:sz w:val="24"/>
          <w:szCs w:val="24"/>
          <w:lang w:eastAsia="en-US"/>
        </w:rPr>
        <w:t>NE</w:t>
      </w:r>
      <w:r w:rsidR="00B85163" w:rsidRPr="00B37812">
        <w:rPr>
          <w:rFonts w:ascii="Times New Roman" w:eastAsia="Calibri" w:hAnsi="Times New Roman" w:cs="Times New Roman"/>
          <w:bCs/>
          <w:color w:val="000000"/>
          <w:sz w:val="24"/>
          <w:szCs w:val="24"/>
          <w:lang w:eastAsia="en-US"/>
        </w:rPr>
        <w:t xml:space="preserve"> and different ratio of CMC (0.55%, 0.70%, and 0.75% w/v) or MD (8%, 10%, and 12% w/v) were homogenized (Ika-Ultra-Turrax T25, China) at 25 °C for 5 min at </w:t>
      </w:r>
      <w:r w:rsidR="00BF7C2F" w:rsidRPr="00B37812">
        <w:rPr>
          <w:rFonts w:ascii="Times New Roman" w:eastAsia="Calibri" w:hAnsi="Times New Roman" w:cs="Times New Roman"/>
          <w:bCs/>
          <w:color w:val="000000"/>
          <w:sz w:val="24"/>
          <w:szCs w:val="24"/>
          <w:lang w:eastAsia="en-US"/>
        </w:rPr>
        <w:t>12</w:t>
      </w:r>
      <w:r w:rsidR="00B85163" w:rsidRPr="00B37812">
        <w:rPr>
          <w:rFonts w:ascii="Times New Roman" w:eastAsia="Calibri" w:hAnsi="Times New Roman" w:cs="Times New Roman"/>
          <w:bCs/>
          <w:color w:val="000000"/>
          <w:sz w:val="24"/>
          <w:szCs w:val="24"/>
          <w:lang w:eastAsia="en-US"/>
        </w:rPr>
        <w:t xml:space="preserve">000 </w:t>
      </w:r>
      <w:r w:rsidR="00BF7C2F" w:rsidRPr="00B37812">
        <w:rPr>
          <w:rFonts w:ascii="Times New Roman" w:eastAsia="Calibri" w:hAnsi="Times New Roman" w:cs="Times New Roman"/>
          <w:bCs/>
          <w:color w:val="000000"/>
          <w:sz w:val="24"/>
          <w:szCs w:val="24"/>
          <w:lang w:eastAsia="en-US"/>
        </w:rPr>
        <w:t>g</w:t>
      </w:r>
      <w:r w:rsidR="00B85163" w:rsidRPr="00B37812">
        <w:rPr>
          <w:rFonts w:ascii="Times New Roman" w:eastAsia="Calibri" w:hAnsi="Times New Roman" w:cs="Times New Roman"/>
          <w:bCs/>
          <w:color w:val="000000"/>
          <w:sz w:val="24"/>
          <w:szCs w:val="24"/>
          <w:lang w:eastAsia="en-US"/>
        </w:rPr>
        <w:t xml:space="preserve">. The feed mixtures were then poured into a petri dish (1 cm depth), frozen at -29 °C for 24 h, and lyophilized (FD-1A-50, </w:t>
      </w:r>
      <w:hyperlink r:id="rId10" w:tooltip="Shanghai Bilon Instrument Co. Ltd" w:history="1">
        <w:r w:rsidR="00B85163" w:rsidRPr="00B37812">
          <w:rPr>
            <w:rFonts w:ascii="Times New Roman" w:eastAsia="Calibri" w:hAnsi="Times New Roman" w:cs="Times New Roman"/>
            <w:bCs/>
            <w:color w:val="000000"/>
            <w:sz w:val="24"/>
            <w:szCs w:val="24"/>
            <w:lang w:eastAsia="en-US"/>
          </w:rPr>
          <w:t xml:space="preserve"> Boyikang Laboratory Instruments, Beijing, China</w:t>
        </w:r>
      </w:hyperlink>
      <w:r w:rsidR="00B85163" w:rsidRPr="00B37812">
        <w:rPr>
          <w:rFonts w:ascii="Times New Roman" w:eastAsia="Calibri" w:hAnsi="Times New Roman" w:cs="Times New Roman"/>
          <w:bCs/>
          <w:color w:val="000000"/>
          <w:sz w:val="24"/>
          <w:szCs w:val="24"/>
          <w:lang w:eastAsia="en-US"/>
        </w:rPr>
        <w:t>) for 72 h (</w:t>
      </w:r>
      <w:r w:rsidR="00B85163" w:rsidRPr="00B37812">
        <w:rPr>
          <w:rFonts w:ascii="Times New Roman" w:eastAsia="Calibri" w:hAnsi="Times New Roman" w:cs="Times New Roman"/>
          <w:bCs/>
          <w:sz w:val="24"/>
          <w:szCs w:val="24"/>
          <w:lang w:eastAsia="en-US"/>
        </w:rPr>
        <w:t>0.02 mbar, -60 °C).</w:t>
      </w:r>
      <w:r w:rsidR="00B85163" w:rsidRPr="00B37812">
        <w:rPr>
          <w:rFonts w:ascii="Times New Roman" w:eastAsia="Calibri" w:hAnsi="Times New Roman" w:cs="Times New Roman"/>
          <w:bCs/>
          <w:color w:val="000000"/>
          <w:sz w:val="24"/>
          <w:szCs w:val="24"/>
          <w:lang w:eastAsia="en-US"/>
        </w:rPr>
        <w:t xml:space="preserve"> Afterward, the freeze-dried cake was powdered (50 g/10 s/40 rpm) with a laboratory blender Mixomat mini (Fuchs Maschinen AG, Switzerland) and the encapsulated nutraceuticals powder (ENP) was stored </w:t>
      </w:r>
      <w:r w:rsidR="00462B44" w:rsidRPr="00B37812">
        <w:rPr>
          <w:rFonts w:ascii="Times New Roman" w:eastAsia="Calibri" w:hAnsi="Times New Roman" w:cs="Times New Roman"/>
          <w:bCs/>
          <w:color w:val="000000"/>
          <w:sz w:val="24"/>
          <w:szCs w:val="24"/>
          <w:lang w:eastAsia="en-US"/>
        </w:rPr>
        <w:t>(</w:t>
      </w:r>
      <w:r w:rsidR="00B85163" w:rsidRPr="00B37812">
        <w:rPr>
          <w:rFonts w:ascii="Times New Roman" w:eastAsia="Calibri" w:hAnsi="Times New Roman" w:cs="Times New Roman"/>
          <w:bCs/>
          <w:color w:val="000000"/>
          <w:sz w:val="24"/>
          <w:szCs w:val="24"/>
          <w:lang w:eastAsia="en-US"/>
        </w:rPr>
        <w:t xml:space="preserve">at </w:t>
      </w:r>
      <w:r w:rsidR="00462B44" w:rsidRPr="00B37812">
        <w:rPr>
          <w:rFonts w:ascii="Times New Roman" w:eastAsia="Calibri" w:hAnsi="Times New Roman" w:cs="Times New Roman"/>
          <w:bCs/>
          <w:color w:val="000000"/>
          <w:sz w:val="24"/>
          <w:szCs w:val="24"/>
          <w:lang w:eastAsia="en-US"/>
        </w:rPr>
        <w:t>25</w:t>
      </w:r>
      <w:r w:rsidR="00B85163" w:rsidRPr="00B37812">
        <w:rPr>
          <w:rFonts w:ascii="Times New Roman" w:eastAsia="Calibri" w:hAnsi="Times New Roman" w:cs="Times New Roman"/>
          <w:bCs/>
          <w:color w:val="000000"/>
          <w:sz w:val="24"/>
          <w:szCs w:val="24"/>
          <w:lang w:eastAsia="en-US"/>
        </w:rPr>
        <w:t xml:space="preserve"> °C</w:t>
      </w:r>
      <w:r w:rsidR="00462B44" w:rsidRPr="00B37812">
        <w:rPr>
          <w:rFonts w:ascii="Times New Roman" w:eastAsia="Calibri" w:hAnsi="Times New Roman" w:cs="Times New Roman"/>
          <w:bCs/>
          <w:color w:val="000000"/>
          <w:sz w:val="24"/>
          <w:szCs w:val="24"/>
          <w:lang w:eastAsia="en-US"/>
        </w:rPr>
        <w:t>)</w:t>
      </w:r>
      <w:r w:rsidR="00B85163" w:rsidRPr="00B37812">
        <w:rPr>
          <w:rFonts w:ascii="Times New Roman" w:eastAsia="Calibri" w:hAnsi="Times New Roman" w:cs="Times New Roman"/>
          <w:bCs/>
          <w:color w:val="000000"/>
          <w:sz w:val="24"/>
          <w:szCs w:val="24"/>
          <w:lang w:eastAsia="en-US"/>
        </w:rPr>
        <w:t xml:space="preserve"> in a vacuum sealed aluminum bag </w:t>
      </w:r>
      <w:r w:rsidR="00C739C9" w:rsidRPr="00B37812">
        <w:rPr>
          <w:rFonts w:ascii="Times New Roman" w:eastAsia="Calibri" w:hAnsi="Times New Roman" w:cs="Times New Roman"/>
          <w:bCs/>
          <w:color w:val="000000"/>
          <w:sz w:val="24"/>
          <w:szCs w:val="24"/>
          <w:lang w:eastAsia="en-US"/>
        </w:rPr>
        <w:t>kept in a desiccator containing silica gel</w:t>
      </w:r>
      <w:r w:rsidR="008A7AD9" w:rsidRPr="00B37812">
        <w:rPr>
          <w:rFonts w:ascii="Times New Roman" w:eastAsia="Calibri" w:hAnsi="Times New Roman" w:cs="Times New Roman"/>
          <w:bCs/>
          <w:color w:val="000000"/>
          <w:sz w:val="24"/>
          <w:szCs w:val="24"/>
          <w:lang w:eastAsia="en-US"/>
        </w:rPr>
        <w:t xml:space="preserve"> </w:t>
      </w:r>
      <w:r w:rsidR="00462B44" w:rsidRPr="00B37812">
        <w:rPr>
          <w:rFonts w:ascii="Times New Roman" w:eastAsia="Calibri" w:hAnsi="Times New Roman" w:cs="Times New Roman"/>
          <w:bCs/>
          <w:color w:val="000000"/>
          <w:sz w:val="24"/>
          <w:szCs w:val="24"/>
          <w:lang w:eastAsia="en-US"/>
        </w:rPr>
        <w:t>prior to</w:t>
      </w:r>
      <w:r w:rsidR="008A7AD9" w:rsidRPr="00B37812">
        <w:rPr>
          <w:rFonts w:ascii="Times New Roman" w:eastAsia="Calibri" w:hAnsi="Times New Roman" w:cs="Times New Roman"/>
          <w:bCs/>
          <w:color w:val="000000"/>
          <w:sz w:val="24"/>
          <w:szCs w:val="24"/>
          <w:lang w:eastAsia="en-US"/>
        </w:rPr>
        <w:t xml:space="preserve"> assay (within 2 weeks)</w:t>
      </w:r>
      <w:r w:rsidR="00C739C9" w:rsidRPr="00B37812">
        <w:rPr>
          <w:rFonts w:ascii="Times New Roman" w:eastAsia="Calibri" w:hAnsi="Times New Roman" w:cs="Times New Roman"/>
          <w:bCs/>
          <w:color w:val="000000"/>
          <w:sz w:val="24"/>
          <w:szCs w:val="24"/>
          <w:lang w:eastAsia="en-US"/>
        </w:rPr>
        <w:t>.</w:t>
      </w:r>
      <w:r w:rsidR="003E0D0A" w:rsidRPr="00B37812">
        <w:rPr>
          <w:rFonts w:ascii="Times New Roman" w:eastAsia="Calibri" w:hAnsi="Times New Roman" w:cs="Times New Roman"/>
          <w:bCs/>
          <w:color w:val="000000"/>
          <w:sz w:val="24"/>
          <w:szCs w:val="24"/>
          <w:lang w:eastAsia="en-US"/>
        </w:rPr>
        <w:t xml:space="preserve"> </w:t>
      </w:r>
    </w:p>
    <w:p w14:paraId="33AAB4F4" w14:textId="77777777"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p>
    <w:p w14:paraId="727C92EC" w14:textId="447C2A33"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2.3. Nutraceuticals assay</w:t>
      </w:r>
    </w:p>
    <w:p w14:paraId="301D69BC"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736E30D4" w14:textId="10A547BC"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hAnsi="Times New Roman" w:cs="Times New Roman"/>
          <w:bCs/>
          <w:sz w:val="24"/>
          <w:szCs w:val="24"/>
        </w:rPr>
        <w:t xml:space="preserve">The free nutraceuticals supernatant (non-encapsulated) and the total supernatant (within and outside the microparticles) were obtained as reported by </w:t>
      </w:r>
      <w:hyperlink w:anchor="_ENREF_17" w:tooltip="Akbas, 2017 #1313" w:history="1">
        <w:r w:rsidRPr="00B37812">
          <w:rPr>
            <w:rStyle w:val="Hyperlink"/>
            <w:rFonts w:ascii="Times New Roman" w:hAnsi="Times New Roman" w:cs="Times New Roman"/>
            <w:bCs/>
            <w:sz w:val="24"/>
            <w:szCs w:val="24"/>
          </w:rPr>
          <w:fldChar w:fldCharType="begin"/>
        </w:r>
        <w:r w:rsidR="00E124D1" w:rsidRPr="00B37812">
          <w:rPr>
            <w:rStyle w:val="Hyperlink"/>
            <w:rFonts w:ascii="Times New Roman" w:hAnsi="Times New Roman" w:cs="Times New Roman"/>
            <w:bCs/>
            <w:sz w:val="24"/>
            <w:szCs w:val="24"/>
          </w:rPr>
          <w:instrText xml:space="preserve"> ADDIN EN.CITE &lt;EndNote&gt;&lt;Cite AuthorYear="1"&gt;&lt;Author&gt;Akbas&lt;/Author&gt;&lt;Year&gt;2017&lt;/Year&gt;&lt;RecNum&gt;1313&lt;/RecNum&gt;&lt;DisplayText&gt;Akbas et al. &lt;style face="superscript"&gt;17&lt;/style&gt;&lt;/DisplayText&gt;&lt;record&gt;&lt;rec-number&gt;1313&lt;/rec-number&gt;&lt;foreign-keys&gt;&lt;key app="EN" db-id="5wdx0tztgpfe5yefsdpperx8srzetsx0pw9w" timestamp="1501660567"&gt;1313&lt;/key&gt;&lt;/foreign-keys&gt;&lt;ref-type name="Journal Article"&gt;17&lt;/ref-type&gt;&lt;contributors&gt;&lt;authors&gt;&lt;author&gt;Akbas, Elif&lt;/author&gt;&lt;author&gt;Kilercioglu, Mete&lt;/author&gt;&lt;author&gt;Onder, Ozge Nur&lt;/author&gt;&lt;author&gt;Koker, Alperen&lt;/author&gt;&lt;author&gt;Soyler, Betul&lt;/author&gt;&lt;author&gt;Oztop, Mecit Halil&lt;/author&gt;&lt;/authors&gt;&lt;/contributors&gt;&lt;titles&gt;&lt;title&gt;Wheatgrass juice to wheat grass powder: Encapsulation, physical and chemical characterization&lt;/title&gt;&lt;secondary-title&gt;Journal of Functional Foods&lt;/secondary-title&gt;&lt;/titles&gt;&lt;pages&gt;19-27&lt;/pages&gt;&lt;volume&gt;28&lt;/volume&gt;&lt;dates&gt;&lt;year&gt;2017&lt;/year&gt;&lt;/dates&gt;&lt;isbn&gt;1756-4646&lt;/isbn&gt;&lt;urls&gt;&lt;/urls&gt;&lt;/record&gt;&lt;/Cite&gt;&lt;/EndNote&gt;</w:instrText>
        </w:r>
        <w:r w:rsidRPr="00B37812">
          <w:rPr>
            <w:rStyle w:val="Hyperlink"/>
            <w:rFonts w:ascii="Times New Roman" w:hAnsi="Times New Roman" w:cs="Times New Roman"/>
            <w:bCs/>
            <w:sz w:val="24"/>
            <w:szCs w:val="24"/>
          </w:rPr>
          <w:fldChar w:fldCharType="separate"/>
        </w:r>
        <w:r w:rsidR="00E124D1" w:rsidRPr="00B37812">
          <w:rPr>
            <w:rStyle w:val="Hyperlink"/>
            <w:rFonts w:ascii="Times New Roman" w:hAnsi="Times New Roman" w:cs="Times New Roman"/>
            <w:bCs/>
            <w:noProof/>
            <w:sz w:val="24"/>
            <w:szCs w:val="24"/>
          </w:rPr>
          <w:t xml:space="preserve">Akbas et al. </w:t>
        </w:r>
        <w:r w:rsidR="00E124D1" w:rsidRPr="00B37812">
          <w:rPr>
            <w:rStyle w:val="Hyperlink"/>
            <w:rFonts w:ascii="Times New Roman" w:hAnsi="Times New Roman" w:cs="Times New Roman"/>
            <w:bCs/>
            <w:noProof/>
            <w:sz w:val="24"/>
            <w:szCs w:val="24"/>
            <w:vertAlign w:val="superscript"/>
          </w:rPr>
          <w:t>17</w:t>
        </w:r>
        <w:r w:rsidRPr="00B37812">
          <w:rPr>
            <w:rStyle w:val="Hyperlink"/>
            <w:rFonts w:ascii="Times New Roman" w:hAnsi="Times New Roman" w:cs="Times New Roman"/>
            <w:bCs/>
            <w:sz w:val="24"/>
            <w:szCs w:val="24"/>
          </w:rPr>
          <w:fldChar w:fldCharType="end"/>
        </w:r>
      </w:hyperlink>
      <w:r w:rsidRPr="00B37812">
        <w:rPr>
          <w:rFonts w:ascii="Times New Roman" w:hAnsi="Times New Roman" w:cs="Times New Roman"/>
          <w:bCs/>
          <w:sz w:val="24"/>
          <w:szCs w:val="24"/>
        </w:rPr>
        <w:t>. Briefly, for the free nutraceuticals supernatant, the ENP (500 mg) was dissolved in an ethanol and methanol mixture (1:10, 50 ml). For the total supernatant, the ENP (500 mg) was added to an ethanol, acetic acid and distilled water mixture (50:8:42, v/v, 50 ml). The mixtures were stirred (10 s) and centrifuged (9056 g/5 min/4 °C). The supernatants were used to assay the contents of nutraceutical compounds. The contents</w:t>
      </w:r>
      <w:r w:rsidRPr="00B37812">
        <w:rPr>
          <w:rFonts w:ascii="Times New Roman" w:eastAsia="Calibri" w:hAnsi="Times New Roman" w:cs="Times New Roman"/>
          <w:bCs/>
          <w:sz w:val="24"/>
          <w:szCs w:val="24"/>
          <w:lang w:eastAsia="en-US"/>
        </w:rPr>
        <w:t xml:space="preserve"> were expressed as milligram per gram of </w:t>
      </w:r>
      <w:r w:rsidR="00F46BA8" w:rsidRPr="00B37812">
        <w:rPr>
          <w:rFonts w:ascii="Times New Roman" w:eastAsia="Calibri" w:hAnsi="Times New Roman" w:cs="Times New Roman"/>
          <w:bCs/>
          <w:sz w:val="24"/>
          <w:szCs w:val="24"/>
          <w:lang w:eastAsia="en-US"/>
        </w:rPr>
        <w:t>sample</w:t>
      </w:r>
      <w:r w:rsidRPr="00B37812">
        <w:rPr>
          <w:rFonts w:ascii="Times New Roman" w:eastAsia="Calibri" w:hAnsi="Times New Roman" w:cs="Times New Roman"/>
          <w:bCs/>
          <w:sz w:val="24"/>
          <w:szCs w:val="24"/>
          <w:lang w:eastAsia="en-US"/>
        </w:rPr>
        <w:t xml:space="preserve"> on a dry basis.</w:t>
      </w:r>
    </w:p>
    <w:p w14:paraId="6554258E" w14:textId="3BC04178"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eastAsia="Calibri" w:hAnsi="Times New Roman" w:cs="Times New Roman"/>
          <w:bCs/>
          <w:sz w:val="24"/>
          <w:szCs w:val="24"/>
          <w:lang w:eastAsia="en-US"/>
        </w:rPr>
        <w:t xml:space="preserve">Nutraceuticals assays were carried out according to </w:t>
      </w:r>
      <w:hyperlink w:anchor="_ENREF_16" w:tooltip="Tchabo, 2018 #1464"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AuthorYear="1"&gt;&lt;Author&gt;Tchabo&lt;/Author&gt;&lt;Year&gt;2018&lt;/Year&gt;&lt;RecNum&gt;1464&lt;/RecNum&gt;&lt;DisplayText&gt;Tchabo et al. &lt;style face="superscript"&gt;16&lt;/style&gt;&lt;/DisplayText&gt;&lt;record&gt;&lt;rec-number&gt;1464&lt;/rec-number&gt;&lt;foreign-keys&gt;&lt;key app="EN" db-id="5wdx0tztgpfe5yefsdpperx8srzetsx0pw9w" timestamp="1520234243"&gt;1464&lt;/key&gt;&lt;/foreign-keys&gt;&lt;ref-type name="Journal Article"&gt;17&lt;/ref-type&gt;&lt;contributors&gt;&lt;authors&gt;&lt;author&gt;William Tchabo&lt;/author&gt;&lt;author&gt;Yongkun Ma&lt;/author&gt;&lt;author&gt;Emmanuel Kwaw&lt;/author&gt;&lt;author&gt;Lulu Xiao&lt;/author&gt;&lt;author&gt;Meng Wu&lt;/author&gt;&lt;author&gt;Apaliya T. Maurice&lt;/author&gt;&lt;/authors&gt;&lt;/contributors&gt;&lt;titles&gt;&lt;title&gt;Impact of extraction parameters and their optimization on the nutraceuticals and antioxidant properties of aqueous extract mulberry leaf&lt;/title&gt;&lt;secondary-title&gt;International Journal of Food Properties&lt;/secondary-title&gt;&lt;/titles&gt;&lt;periodical&gt;&lt;full-title&gt;International Journal of Food Properties&lt;/full-title&gt;&lt;abbr-1&gt;Int. J. Food Prop.&lt;/abbr-1&gt;&lt;abbr-2&gt;Int J Food Prop&lt;/abbr-2&gt;&lt;/periodical&gt;&lt;dates&gt;&lt;year&gt;2018&lt;/year&gt;&lt;/dates&gt;&lt;urls&gt;&lt;/urls&gt;&lt;electronic-resource-num&gt;10.1080/10942912.2018.1446025&lt;/electronic-resource-num&gt;&lt;/record&gt;&lt;/Cite&gt;&lt;/EndNote&gt;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Tchabo et al. </w:t>
        </w:r>
        <w:r w:rsidR="00E124D1" w:rsidRPr="00B37812">
          <w:rPr>
            <w:rStyle w:val="Hyperlink"/>
            <w:rFonts w:ascii="Times New Roman" w:eastAsia="Calibri" w:hAnsi="Times New Roman" w:cs="Times New Roman"/>
            <w:bCs/>
            <w:noProof/>
            <w:sz w:val="24"/>
            <w:szCs w:val="24"/>
            <w:vertAlign w:val="superscript"/>
            <w:lang w:eastAsia="en-US"/>
          </w:rPr>
          <w:t>16</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sz w:val="24"/>
          <w:szCs w:val="24"/>
          <w:lang w:eastAsia="en-US"/>
        </w:rPr>
        <w:t xml:space="preserve"> using an HPLC system (Shimadzu Corporation, Kyoto, Japan) constituted of a SCL-10A system controller, LC-20AB pump</w:t>
      </w:r>
      <w:r w:rsidRPr="00B37812">
        <w:rPr>
          <w:rFonts w:ascii="Times New Roman" w:hAnsi="Times New Roman" w:cs="Times New Roman"/>
          <w:sz w:val="24"/>
          <w:szCs w:val="24"/>
        </w:rPr>
        <w:t>,</w:t>
      </w:r>
      <w:r w:rsidRPr="00B37812">
        <w:rPr>
          <w:rFonts w:ascii="Times New Roman" w:eastAsia="Calibri" w:hAnsi="Times New Roman" w:cs="Times New Roman"/>
          <w:bCs/>
          <w:sz w:val="24"/>
          <w:szCs w:val="24"/>
          <w:lang w:eastAsia="en-US"/>
        </w:rPr>
        <w:t xml:space="preserve"> DGU-20A5R degasser, </w:t>
      </w:r>
      <w:r w:rsidRPr="00B37812">
        <w:rPr>
          <w:rFonts w:ascii="Times New Roman" w:hAnsi="Times New Roman" w:cs="Times New Roman"/>
          <w:sz w:val="24"/>
          <w:szCs w:val="24"/>
        </w:rPr>
        <w:t>SIL 20AC autosampler</w:t>
      </w:r>
      <w:r w:rsidRPr="00B37812">
        <w:rPr>
          <w:rFonts w:ascii="Times New Roman" w:eastAsia="Calibri" w:hAnsi="Times New Roman" w:cs="Times New Roman"/>
          <w:bCs/>
          <w:sz w:val="24"/>
          <w:szCs w:val="24"/>
          <w:lang w:eastAsia="en-US"/>
        </w:rPr>
        <w:t xml:space="preserve">, CTO-20AC column oven, SPD-M20A photodiode array detector coupled with a ZORBAX-SB C18 (250 mm × 4.6mm, 5-μm) column (Agilent, Santa Clara, USA).  </w:t>
      </w:r>
    </w:p>
    <w:p w14:paraId="6831B231" w14:textId="77777777" w:rsidR="00B85163" w:rsidRPr="00B37812" w:rsidRDefault="00B85163" w:rsidP="00A330CD">
      <w:pPr>
        <w:spacing w:line="360" w:lineRule="auto"/>
        <w:rPr>
          <w:rFonts w:ascii="Times New Roman" w:hAnsi="Times New Roman" w:cs="Times New Roman"/>
        </w:rPr>
      </w:pPr>
    </w:p>
    <w:p w14:paraId="558DFA6F" w14:textId="207C3B3A"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r w:rsidRPr="00B37812">
        <w:rPr>
          <w:rFonts w:ascii="Times New Roman" w:eastAsia="Calibri" w:hAnsi="Times New Roman" w:cs="Times New Roman"/>
          <w:b/>
          <w:color w:val="000000"/>
          <w:sz w:val="24"/>
          <w:szCs w:val="24"/>
          <w:lang w:eastAsia="en-US"/>
        </w:rPr>
        <w:t xml:space="preserve">2.3.1. Phenolics </w:t>
      </w:r>
    </w:p>
    <w:p w14:paraId="42CD5F19" w14:textId="77777777" w:rsidR="00B85163" w:rsidRPr="00B37812" w:rsidRDefault="00B85163" w:rsidP="00A330CD">
      <w:pPr>
        <w:spacing w:after="0" w:line="360" w:lineRule="auto"/>
        <w:ind w:firstLine="720"/>
        <w:jc w:val="both"/>
        <w:rPr>
          <w:rFonts w:ascii="Times New Roman" w:eastAsia="Calibri" w:hAnsi="Times New Roman" w:cs="Times New Roman"/>
          <w:color w:val="000000"/>
          <w:sz w:val="24"/>
          <w:szCs w:val="24"/>
          <w:lang w:eastAsia="en-US"/>
        </w:rPr>
      </w:pPr>
    </w:p>
    <w:p w14:paraId="5BC615B3" w14:textId="52DDC9C9"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eastAsia="Calibri" w:hAnsi="Times New Roman" w:cs="Times New Roman"/>
          <w:bCs/>
          <w:color w:val="FF0000"/>
          <w:sz w:val="24"/>
          <w:szCs w:val="24"/>
          <w:lang w:eastAsia="en-US"/>
        </w:rPr>
        <w:t xml:space="preserve"> </w:t>
      </w:r>
      <w:r w:rsidRPr="00B37812">
        <w:rPr>
          <w:rFonts w:ascii="Times New Roman" w:eastAsia="Calibri" w:hAnsi="Times New Roman" w:cs="Times New Roman"/>
          <w:bCs/>
          <w:sz w:val="24"/>
          <w:szCs w:val="24"/>
          <w:lang w:eastAsia="en-US"/>
        </w:rPr>
        <w:t xml:space="preserve">Chlorogenic acid (CHA), caffeic acid (CA), kaempferol-7-O-glucoside (K7G), quercetin-3-rutinose (Q3R), quercetin-3-O-glucoside (Q3G), kaempferol 3-(6-rhamnosylglucoside) (K3R), quercetin 3-(6-malonylglucoside) (Q3M), kaempferol-3-glucoside (K3G) and kaempferol 3-(6-malonylglucoside) (K3M) were measured as described </w:t>
      </w:r>
      <w:r w:rsidRPr="00B37812">
        <w:rPr>
          <w:rFonts w:ascii="Times New Roman" w:eastAsia="Calibri" w:hAnsi="Times New Roman" w:cs="Times New Roman"/>
          <w:bCs/>
          <w:color w:val="000000"/>
          <w:sz w:val="24"/>
          <w:szCs w:val="24"/>
          <w:lang w:eastAsia="en-US"/>
        </w:rPr>
        <w:t xml:space="preserve">by </w:t>
      </w:r>
      <w:hyperlink w:anchor="_ENREF_16" w:tooltip="Tchabo, 2018 #1464"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AuthorYear="1"&gt;&lt;Author&gt;Tchabo&lt;/Author&gt;&lt;Year&gt;2018&lt;/Year&gt;&lt;RecNum&gt;1464&lt;/RecNum&gt;&lt;DisplayText&gt;Tchabo et al. &lt;style face="superscript"&gt;16&lt;/style&gt;&lt;/DisplayText&gt;&lt;record&gt;&lt;rec-number&gt;1464&lt;/rec-number&gt;&lt;foreign-keys&gt;&lt;key app="EN" db-id="5wdx0tztgpfe5yefsdpperx8srzetsx0pw9w" timestamp="1520234243"&gt;1464&lt;/key&gt;&lt;/foreign-keys&gt;&lt;ref-type name="Journal Article"&gt;17&lt;/ref-type&gt;&lt;contributors&gt;&lt;authors&gt;&lt;author&gt;William Tchabo&lt;/author&gt;&lt;author&gt;Yongkun Ma&lt;/author&gt;&lt;author&gt;Emmanuel Kwaw&lt;/author&gt;&lt;author&gt;Lulu Xiao&lt;/author&gt;&lt;author&gt;Meng Wu&lt;/author&gt;&lt;author&gt;Apaliya T. Maurice&lt;/author&gt;&lt;/authors&gt;&lt;/contributors&gt;&lt;titles&gt;&lt;title&gt;Impact of extraction parameters and their optimization on the nutraceuticals and antioxidant properties of aqueous extract mulberry leaf&lt;/title&gt;&lt;secondary-title&gt;International Journal of Food Properties&lt;/secondary-title&gt;&lt;/titles&gt;&lt;periodical&gt;&lt;full-title&gt;International Journal of Food Properties&lt;/full-title&gt;&lt;abbr-1&gt;Int. J. Food Prop.&lt;/abbr-1&gt;&lt;abbr-2&gt;Int J Food Prop&lt;/abbr-2&gt;&lt;/periodical&gt;&lt;dates&gt;&lt;year&gt;2018&lt;/year&gt;&lt;/dates&gt;&lt;urls&gt;&lt;/urls&gt;&lt;electronic-resource-num&gt;10.1080/10942912.2018.1446025&lt;/electronic-resource-num&gt;&lt;/record&gt;&lt;/Cite&gt;&lt;/EndNote&gt;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Tchabo et al. </w:t>
        </w:r>
        <w:r w:rsidR="00E124D1" w:rsidRPr="00B37812">
          <w:rPr>
            <w:rStyle w:val="Hyperlink"/>
            <w:rFonts w:ascii="Times New Roman" w:eastAsia="Calibri" w:hAnsi="Times New Roman" w:cs="Times New Roman"/>
            <w:bCs/>
            <w:noProof/>
            <w:sz w:val="24"/>
            <w:szCs w:val="24"/>
            <w:vertAlign w:val="superscript"/>
            <w:lang w:eastAsia="en-US"/>
          </w:rPr>
          <w:t>16</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w:t>
      </w:r>
      <w:r w:rsidRPr="00B37812">
        <w:rPr>
          <w:rFonts w:ascii="Times New Roman" w:eastAsia="Calibri" w:hAnsi="Times New Roman" w:cs="Times New Roman"/>
          <w:bCs/>
          <w:sz w:val="24"/>
          <w:szCs w:val="24"/>
          <w:lang w:eastAsia="en-US"/>
        </w:rPr>
        <w:t xml:space="preserve"> Concisely, the supernatant (10 µl) was eluted (60 min, 1 ml/min, 40 °C) with a mobile phase of acetonitrile and 0.1% formic acid (20:80). The data was recorded at 280 nm for phenolic acids and 370 nm for flavonols. </w:t>
      </w:r>
    </w:p>
    <w:p w14:paraId="593B6924"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p>
    <w:p w14:paraId="573D603F" w14:textId="260270F6"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r w:rsidRPr="00B37812">
        <w:rPr>
          <w:rFonts w:ascii="Times New Roman" w:eastAsia="Calibri" w:hAnsi="Times New Roman" w:cs="Times New Roman"/>
          <w:b/>
          <w:color w:val="000000"/>
          <w:sz w:val="24"/>
          <w:szCs w:val="24"/>
          <w:lang w:eastAsia="en-US"/>
        </w:rPr>
        <w:t xml:space="preserve">2.3.2. 1-deoxynojirimycin </w:t>
      </w:r>
    </w:p>
    <w:p w14:paraId="68A22661"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p>
    <w:p w14:paraId="2FA73ABF" w14:textId="56C6C494" w:rsidR="00B85163" w:rsidRPr="00B37812" w:rsidRDefault="001C2BA1" w:rsidP="00A330CD">
      <w:pPr>
        <w:spacing w:after="0" w:line="360" w:lineRule="auto"/>
        <w:ind w:firstLine="720"/>
        <w:jc w:val="both"/>
        <w:rPr>
          <w:rFonts w:ascii="Times New Roman" w:eastAsia="Calibri" w:hAnsi="Times New Roman" w:cs="Times New Roman"/>
          <w:bCs/>
          <w:sz w:val="24"/>
          <w:szCs w:val="24"/>
          <w:lang w:eastAsia="en-US"/>
        </w:rPr>
      </w:pPr>
      <w:hyperlink r:id="rId11" w:history="1">
        <w:r w:rsidR="00B85163" w:rsidRPr="00B37812">
          <w:rPr>
            <w:rFonts w:ascii="Times New Roman" w:eastAsia="Calibri" w:hAnsi="Times New Roman" w:cs="Times New Roman"/>
            <w:bCs/>
            <w:sz w:val="24"/>
            <w:szCs w:val="24"/>
            <w:lang w:eastAsia="en-US"/>
          </w:rPr>
          <w:t>1-deoxynojirimycin </w:t>
        </w:r>
      </w:hyperlink>
      <w:r w:rsidR="00B85163" w:rsidRPr="00B37812">
        <w:rPr>
          <w:rFonts w:ascii="Times New Roman" w:eastAsia="Calibri" w:hAnsi="Times New Roman" w:cs="Times New Roman"/>
          <w:bCs/>
          <w:sz w:val="24"/>
          <w:szCs w:val="24"/>
          <w:lang w:eastAsia="en-US"/>
        </w:rPr>
        <w:t xml:space="preserve">(DNJ) was measured as described </w:t>
      </w:r>
      <w:r w:rsidR="00B85163" w:rsidRPr="00B37812">
        <w:rPr>
          <w:rFonts w:ascii="Times New Roman" w:eastAsia="Calibri" w:hAnsi="Times New Roman" w:cs="Times New Roman"/>
          <w:bCs/>
          <w:color w:val="000000"/>
          <w:sz w:val="24"/>
          <w:szCs w:val="24"/>
          <w:lang w:eastAsia="en-US"/>
        </w:rPr>
        <w:t xml:space="preserve">by </w:t>
      </w:r>
      <w:hyperlink w:anchor="_ENREF_16" w:tooltip="Tchabo, 2018 #1464" w:history="1">
        <w:r w:rsidR="00B85163"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AuthorYear="1"&gt;&lt;Author&gt;Tchabo&lt;/Author&gt;&lt;Year&gt;2018&lt;/Year&gt;&lt;RecNum&gt;1464&lt;/RecNum&gt;&lt;DisplayText&gt;Tchabo et al. &lt;style face="superscript"&gt;16&lt;/style&gt;&lt;/DisplayText&gt;&lt;record&gt;&lt;rec-number&gt;1464&lt;/rec-number&gt;&lt;foreign-keys&gt;&lt;key app="EN" db-id="5wdx0tztgpfe5yefsdpperx8srzetsx0pw9w" timestamp="1520234243"&gt;1464&lt;/key&gt;&lt;/foreign-keys&gt;&lt;ref-type name="Journal Article"&gt;17&lt;/ref-type&gt;&lt;contributors&gt;&lt;authors&gt;&lt;author&gt;William Tchabo&lt;/author&gt;&lt;author&gt;Yongkun Ma&lt;/author&gt;&lt;author&gt;Emmanuel Kwaw&lt;/author&gt;&lt;author&gt;Lulu Xiao&lt;/author&gt;&lt;author&gt;Meng Wu&lt;/author&gt;&lt;author&gt;Apaliya T. Maurice&lt;/author&gt;&lt;/authors&gt;&lt;/contributors&gt;&lt;titles&gt;&lt;title&gt;Impact of extraction parameters and their optimization on the nutraceuticals and antioxidant properties of aqueous extract mulberry leaf&lt;/title&gt;&lt;secondary-title&gt;International Journal of Food Properties&lt;/secondary-title&gt;&lt;/titles&gt;&lt;periodical&gt;&lt;full-title&gt;International Journal of Food Properties&lt;/full-title&gt;&lt;abbr-1&gt;Int. J. Food Prop.&lt;/abbr-1&gt;&lt;abbr-2&gt;Int J Food Prop&lt;/abbr-2&gt;&lt;/periodical&gt;&lt;dates&gt;&lt;year&gt;2018&lt;/year&gt;&lt;/dates&gt;&lt;urls&gt;&lt;/urls&gt;&lt;electronic-resource-num&gt;10.1080/10942912.2018.1446025&lt;/electronic-resource-num&gt;&lt;/record&gt;&lt;/Cite&gt;&lt;/EndNote&gt;</w:instrText>
        </w:r>
        <w:r w:rsidR="00B85163"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Tchabo et al. </w:t>
        </w:r>
        <w:r w:rsidR="00E124D1" w:rsidRPr="00B37812">
          <w:rPr>
            <w:rStyle w:val="Hyperlink"/>
            <w:rFonts w:ascii="Times New Roman" w:eastAsia="Calibri" w:hAnsi="Times New Roman" w:cs="Times New Roman"/>
            <w:bCs/>
            <w:noProof/>
            <w:sz w:val="24"/>
            <w:szCs w:val="24"/>
            <w:vertAlign w:val="superscript"/>
            <w:lang w:eastAsia="en-US"/>
          </w:rPr>
          <w:t>16</w:t>
        </w:r>
        <w:r w:rsidR="00B85163" w:rsidRPr="00B37812">
          <w:rPr>
            <w:rStyle w:val="Hyperlink"/>
            <w:rFonts w:ascii="Times New Roman" w:eastAsia="Calibri" w:hAnsi="Times New Roman" w:cs="Times New Roman"/>
            <w:bCs/>
            <w:sz w:val="24"/>
            <w:szCs w:val="24"/>
            <w:lang w:eastAsia="en-US"/>
          </w:rPr>
          <w:fldChar w:fldCharType="end"/>
        </w:r>
      </w:hyperlink>
      <w:r w:rsidR="00B85163" w:rsidRPr="00B37812">
        <w:rPr>
          <w:rFonts w:ascii="Times New Roman" w:eastAsia="Calibri" w:hAnsi="Times New Roman" w:cs="Times New Roman"/>
          <w:bCs/>
          <w:color w:val="000000"/>
          <w:sz w:val="24"/>
          <w:szCs w:val="24"/>
          <w:lang w:eastAsia="en-US"/>
        </w:rPr>
        <w:t xml:space="preserve">. </w:t>
      </w:r>
      <w:r w:rsidR="00B85163" w:rsidRPr="00B37812">
        <w:rPr>
          <w:rFonts w:ascii="Times New Roman" w:eastAsia="Calibri" w:hAnsi="Times New Roman" w:cs="Times New Roman"/>
          <w:bCs/>
          <w:sz w:val="24"/>
          <w:szCs w:val="24"/>
          <w:lang w:eastAsia="en-US"/>
        </w:rPr>
        <w:t>Concisely, the supernatant (500 µl) was mixed with potassium borate buffer (0.4 M, pH 8.5, 50 µl) and 9-fluorenylmethyl chloroformate (5 mM in acetonitrile, 100 µl). The mixture was held at 20 °C for 20 min after which glycine (50 µl) and acetic acid (17.5 mM, 4.3 ml) were added. Then, 10 µl of the mixture was eluted (30 min, 1 ml/min, 25 °C) with a mobile phase of acetonitrile and 0.1% acetic acid (50:50). The data was recorded at 254 nm.</w:t>
      </w:r>
    </w:p>
    <w:p w14:paraId="3D856D41"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p>
    <w:p w14:paraId="42BD3579" w14:textId="750460A4"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r w:rsidRPr="00B37812">
        <w:rPr>
          <w:rFonts w:ascii="Times New Roman" w:eastAsia="Calibri" w:hAnsi="Times New Roman" w:cs="Times New Roman"/>
          <w:b/>
          <w:color w:val="000000"/>
          <w:sz w:val="24"/>
          <w:szCs w:val="24"/>
          <w:lang w:eastAsia="en-US"/>
        </w:rPr>
        <w:t xml:space="preserve">2.3.3. </w:t>
      </w:r>
      <w:r w:rsidRPr="00B37812">
        <w:rPr>
          <w:rFonts w:ascii="Times New Roman" w:eastAsia="Calibri" w:hAnsi="Times New Roman" w:cs="Times New Roman"/>
          <w:b/>
          <w:bCs/>
          <w:color w:val="000000"/>
          <w:sz w:val="24"/>
          <w:szCs w:val="24"/>
          <w:lang w:eastAsia="en-US"/>
        </w:rPr>
        <w:t xml:space="preserve">Gamma-aminobutyric acid </w:t>
      </w:r>
    </w:p>
    <w:p w14:paraId="6FB93B25"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301EF2A1" w14:textId="70257AF1" w:rsidR="00B85163" w:rsidRPr="00B37812" w:rsidRDefault="00B85163" w:rsidP="00A330CD">
      <w:pPr>
        <w:spacing w:after="0" w:line="360" w:lineRule="auto"/>
        <w:ind w:firstLine="720"/>
        <w:jc w:val="both"/>
        <w:rPr>
          <w:rFonts w:ascii="Times New Roman" w:eastAsia="Calibri" w:hAnsi="Times New Roman" w:cs="Times New Roman"/>
          <w:bCs/>
          <w:color w:val="FF0000"/>
          <w:sz w:val="24"/>
          <w:szCs w:val="24"/>
          <w:lang w:eastAsia="en-US"/>
        </w:rPr>
      </w:pPr>
      <w:r w:rsidRPr="00B37812">
        <w:rPr>
          <w:rFonts w:ascii="Times New Roman" w:eastAsia="Calibri" w:hAnsi="Times New Roman" w:cs="Times New Roman"/>
          <w:bCs/>
          <w:sz w:val="24"/>
          <w:szCs w:val="24"/>
          <w:lang w:eastAsia="en-US"/>
        </w:rPr>
        <w:t xml:space="preserve">Gamma-aminobutyric acid (GABA) was measured as described </w:t>
      </w:r>
      <w:r w:rsidRPr="00B37812">
        <w:rPr>
          <w:rFonts w:ascii="Times New Roman" w:eastAsia="Calibri" w:hAnsi="Times New Roman" w:cs="Times New Roman"/>
          <w:bCs/>
          <w:color w:val="000000"/>
          <w:sz w:val="24"/>
          <w:szCs w:val="24"/>
          <w:lang w:eastAsia="en-US"/>
        </w:rPr>
        <w:t xml:space="preserve">by </w:t>
      </w:r>
      <w:hyperlink w:anchor="_ENREF_16" w:tooltip="Tchabo, 2018 #1464"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AuthorYear="1"&gt;&lt;Author&gt;Tchabo&lt;/Author&gt;&lt;Year&gt;2018&lt;/Year&gt;&lt;RecNum&gt;1464&lt;/RecNum&gt;&lt;DisplayText&gt;Tchabo et al. &lt;style face="superscript"&gt;16&lt;/style&gt;&lt;/DisplayText&gt;&lt;record&gt;&lt;rec-number&gt;1464&lt;/rec-number&gt;&lt;foreign-keys&gt;&lt;key app="EN" db-id="5wdx0tztgpfe5yefsdpperx8srzetsx0pw9w" timestamp="1520234243"&gt;1464&lt;/key&gt;&lt;/foreign-keys&gt;&lt;ref-type name="Journal Article"&gt;17&lt;/ref-type&gt;&lt;contributors&gt;&lt;authors&gt;&lt;author&gt;William Tchabo&lt;/author&gt;&lt;author&gt;Yongkun Ma&lt;/author&gt;&lt;author&gt;Emmanuel Kwaw&lt;/author&gt;&lt;author&gt;Lulu Xiao&lt;/author&gt;&lt;author&gt;Meng Wu&lt;/author&gt;&lt;author&gt;Apaliya T. Maurice&lt;/author&gt;&lt;/authors&gt;&lt;/contributors&gt;&lt;titles&gt;&lt;title&gt;Impact of extraction parameters and their optimization on the nutraceuticals and antioxidant properties of aqueous extract mulberry leaf&lt;/title&gt;&lt;secondary-title&gt;International Journal of Food Properties&lt;/secondary-title&gt;&lt;/titles&gt;&lt;periodical&gt;&lt;full-title&gt;International Journal of Food Properties&lt;/full-title&gt;&lt;abbr-1&gt;Int. J. Food Prop.&lt;/abbr-1&gt;&lt;abbr-2&gt;Int J Food Prop&lt;/abbr-2&gt;&lt;/periodical&gt;&lt;dates&gt;&lt;year&gt;2018&lt;/year&gt;&lt;/dates&gt;&lt;urls&gt;&lt;/urls&gt;&lt;electronic-resource-num&gt;10.1080/10942912.2018.1446025&lt;/electronic-resource-num&gt;&lt;/record&gt;&lt;/Cite&gt;&lt;/EndNote&gt;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Tchabo et al. </w:t>
        </w:r>
        <w:r w:rsidR="00E124D1" w:rsidRPr="00B37812">
          <w:rPr>
            <w:rStyle w:val="Hyperlink"/>
            <w:rFonts w:ascii="Times New Roman" w:eastAsia="Calibri" w:hAnsi="Times New Roman" w:cs="Times New Roman"/>
            <w:bCs/>
            <w:noProof/>
            <w:sz w:val="24"/>
            <w:szCs w:val="24"/>
            <w:vertAlign w:val="superscript"/>
            <w:lang w:eastAsia="en-US"/>
          </w:rPr>
          <w:t>16</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w:t>
      </w:r>
      <w:r w:rsidRPr="00B37812">
        <w:rPr>
          <w:rFonts w:ascii="Times New Roman" w:eastAsia="Calibri" w:hAnsi="Times New Roman" w:cs="Times New Roman"/>
          <w:bCs/>
          <w:sz w:val="24"/>
          <w:szCs w:val="24"/>
          <w:lang w:eastAsia="en-US"/>
        </w:rPr>
        <w:t xml:space="preserve"> Concisely, the supernatant (400 µl) was mixed with potassium borate buffer (0.5 M, pH 8.5, 100 µl) and 9-fluorenylmethyl chloroformate (3 mM in acetonitrile, 500 µl). The mixture was held at 25 °C for 10 min after which acetic acid (1 M, 100 µl) was added. Then, 20 µl of the mixture was eluted (0.5 ml/min, 40 °C) with a mobile phase constituted of eluent (A) sodium acetate buffer (0.1 M, pH 5.8, 0.05% triethylamine) and eluent (B) acetonitrile (80%). The gradient was as follows: 20-50% B (0–5 min), 50-100% B (5–10 min), 100% B (10–20 min), 100-20% B (20-25 min) and 20% B (25-35 min). The data was recorded at 262 nm.</w:t>
      </w:r>
    </w:p>
    <w:p w14:paraId="2E4ECB74"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1FDFE720" w14:textId="2C707046"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2.3.</w:t>
      </w:r>
      <w:r w:rsidR="005F24E7" w:rsidRPr="00B37812">
        <w:rPr>
          <w:rFonts w:ascii="Times New Roman" w:eastAsia="Calibri" w:hAnsi="Times New Roman" w:cs="Times New Roman"/>
          <w:b/>
          <w:bCs/>
          <w:color w:val="000000"/>
          <w:sz w:val="24"/>
          <w:szCs w:val="24"/>
          <w:lang w:eastAsia="en-US"/>
        </w:rPr>
        <w:t xml:space="preserve"> </w:t>
      </w:r>
      <w:r w:rsidRPr="00B37812">
        <w:rPr>
          <w:rFonts w:ascii="Times New Roman" w:eastAsia="Calibri" w:hAnsi="Times New Roman" w:cs="Times New Roman"/>
          <w:b/>
          <w:bCs/>
          <w:color w:val="000000"/>
          <w:sz w:val="24"/>
          <w:szCs w:val="24"/>
          <w:lang w:eastAsia="en-US"/>
        </w:rPr>
        <w:t xml:space="preserve">4. Nutraceutical retention </w:t>
      </w:r>
    </w:p>
    <w:p w14:paraId="6BB28320"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3A5D4DEC" w14:textId="02E538DD" w:rsidR="00B85163" w:rsidRPr="00B37812" w:rsidRDefault="00B85163" w:rsidP="00A330CD">
      <w:pPr>
        <w:spacing w:after="0" w:line="360" w:lineRule="auto"/>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
          <w:bCs/>
          <w:color w:val="000000"/>
          <w:sz w:val="24"/>
          <w:szCs w:val="24"/>
          <w:lang w:eastAsia="en-US"/>
        </w:rPr>
        <w:tab/>
      </w:r>
      <w:r w:rsidRPr="00B37812">
        <w:rPr>
          <w:rFonts w:ascii="Times New Roman" w:eastAsia="Calibri" w:hAnsi="Times New Roman" w:cs="Times New Roman"/>
          <w:bCs/>
          <w:color w:val="000000"/>
          <w:sz w:val="24"/>
          <w:szCs w:val="24"/>
          <w:lang w:eastAsia="en-US"/>
        </w:rPr>
        <w:t xml:space="preserve">Nutraceutical retention (NR) was assessed </w:t>
      </w:r>
      <w:r w:rsidRPr="00B37812">
        <w:rPr>
          <w:rFonts w:ascii="Times New Roman" w:hAnsi="Times New Roman" w:cs="Times New Roman"/>
          <w:bCs/>
          <w:sz w:val="24"/>
          <w:szCs w:val="24"/>
        </w:rPr>
        <w:t xml:space="preserve">according to </w:t>
      </w:r>
      <w:hyperlink w:anchor="_ENREF_18" w:tooltip="Du, 2014 #1407" w:history="1">
        <w:r w:rsidRPr="00B37812">
          <w:rPr>
            <w:rStyle w:val="Hyperlink"/>
            <w:rFonts w:ascii="Times New Roman" w:hAnsi="Times New Roman" w:cs="Times New Roman"/>
            <w:bCs/>
            <w:sz w:val="24"/>
            <w:szCs w:val="24"/>
          </w:rPr>
          <w:fldChar w:fldCharType="begin"/>
        </w:r>
        <w:r w:rsidR="00E124D1" w:rsidRPr="00B37812">
          <w:rPr>
            <w:rStyle w:val="Hyperlink"/>
            <w:rFonts w:ascii="Times New Roman" w:hAnsi="Times New Roman" w:cs="Times New Roman"/>
            <w:bCs/>
            <w:sz w:val="24"/>
            <w:szCs w:val="24"/>
          </w:rPr>
          <w:instrText xml:space="preserve"> ADDIN EN.CITE &lt;EndNote&gt;&lt;Cite AuthorYear="1"&gt;&lt;Author&gt;Du&lt;/Author&gt;&lt;Year&gt;2014&lt;/Year&gt;&lt;RecNum&gt;1407&lt;/RecNum&gt;&lt;DisplayText&gt;Du et al. &lt;style face="superscript"&gt;18&lt;/style&gt;&lt;/DisplayText&gt;&lt;record&gt;&lt;rec-number&gt;1407&lt;/rec-number&gt;&lt;foreign-keys&gt;&lt;key app="EN" db-id="5wdx0tztgpfe5yefsdpperx8srzetsx0pw9w" timestamp="1516361906"&gt;1407&lt;/key&gt;&lt;/foreign-keys&gt;&lt;ref-type name="Journal Article"&gt;17&lt;/ref-type&gt;&lt;contributors&gt;&lt;authors&gt;&lt;author&gt;Du, Jing&lt;/author&gt;&lt;author&gt;Ge, Zhen-Zhen&lt;/author&gt;&lt;author&gt;Xu, Ze&lt;/author&gt;&lt;author&gt;Zou, Bo&lt;/author&gt;&lt;author&gt;Zhang, Ying&lt;/author&gt;&lt;author&gt;Li, Chun-Mei&lt;/author&gt;&lt;/authors&gt;&lt;/contributors&gt;&lt;titles&gt;&lt;title&gt;Comparison of the efficiency of five different drying carriers on the spray drying of persimmon pulp powders&lt;/title&gt;&lt;secondary-title&gt;Drying technology&lt;/secondary-title&gt;&lt;/titles&gt;&lt;periodical&gt;&lt;full-title&gt;Drying Technology&lt;/full-title&gt;&lt;abbr-1&gt;Drying Technol.&lt;/abbr-1&gt;&lt;abbr-2&gt;Drying Technol&lt;/abbr-2&gt;&lt;/periodical&gt;&lt;pages&gt;1157-1166&lt;/pages&gt;&lt;volume&gt;32&lt;/volume&gt;&lt;number&gt;10&lt;/number&gt;&lt;dates&gt;&lt;year&gt;2014&lt;/year&gt;&lt;/dates&gt;&lt;isbn&gt;0737-3937&lt;/isbn&gt;&lt;urls&gt;&lt;/urls&gt;&lt;/record&gt;&lt;/Cite&gt;&lt;/EndNote&gt;</w:instrText>
        </w:r>
        <w:r w:rsidRPr="00B37812">
          <w:rPr>
            <w:rStyle w:val="Hyperlink"/>
            <w:rFonts w:ascii="Times New Roman" w:hAnsi="Times New Roman" w:cs="Times New Roman"/>
            <w:bCs/>
            <w:sz w:val="24"/>
            <w:szCs w:val="24"/>
          </w:rPr>
          <w:fldChar w:fldCharType="separate"/>
        </w:r>
        <w:r w:rsidR="00E124D1" w:rsidRPr="00B37812">
          <w:rPr>
            <w:rStyle w:val="Hyperlink"/>
            <w:rFonts w:ascii="Times New Roman" w:hAnsi="Times New Roman" w:cs="Times New Roman"/>
            <w:bCs/>
            <w:noProof/>
            <w:sz w:val="24"/>
            <w:szCs w:val="24"/>
          </w:rPr>
          <w:t xml:space="preserve">Du et al. </w:t>
        </w:r>
        <w:r w:rsidR="00E124D1" w:rsidRPr="00B37812">
          <w:rPr>
            <w:rStyle w:val="Hyperlink"/>
            <w:rFonts w:ascii="Times New Roman" w:hAnsi="Times New Roman" w:cs="Times New Roman"/>
            <w:bCs/>
            <w:noProof/>
            <w:sz w:val="24"/>
            <w:szCs w:val="24"/>
            <w:vertAlign w:val="superscript"/>
          </w:rPr>
          <w:t>18</w:t>
        </w:r>
        <w:r w:rsidRPr="00B37812">
          <w:rPr>
            <w:rStyle w:val="Hyperlink"/>
            <w:rFonts w:ascii="Times New Roman" w:hAnsi="Times New Roman" w:cs="Times New Roman"/>
            <w:bCs/>
            <w:sz w:val="24"/>
            <w:szCs w:val="24"/>
          </w:rPr>
          <w:fldChar w:fldCharType="end"/>
        </w:r>
      </w:hyperlink>
      <w:r w:rsidRPr="00B37812">
        <w:rPr>
          <w:rFonts w:ascii="Times New Roman" w:hAnsi="Times New Roman" w:cs="Times New Roman"/>
          <w:bCs/>
          <w:sz w:val="24"/>
          <w:szCs w:val="24"/>
        </w:rPr>
        <w:t xml:space="preserve"> as </w:t>
      </w:r>
      <w:r w:rsidRPr="00B37812">
        <w:rPr>
          <w:rFonts w:ascii="Times New Roman" w:eastAsia="Calibri" w:hAnsi="Times New Roman" w:cs="Times New Roman"/>
          <w:bCs/>
          <w:color w:val="000000"/>
          <w:sz w:val="24"/>
          <w:szCs w:val="24"/>
          <w:lang w:eastAsia="en-US"/>
        </w:rPr>
        <w:t xml:space="preserve">the ratio between the total content of each nutraceutical compound present in the ENP to that present in the </w:t>
      </w:r>
      <w:r w:rsidR="008C17AC" w:rsidRPr="00B37812">
        <w:rPr>
          <w:rFonts w:ascii="Times New Roman" w:eastAsia="Calibri" w:hAnsi="Times New Roman" w:cs="Times New Roman"/>
          <w:bCs/>
          <w:color w:val="000000"/>
          <w:sz w:val="24"/>
          <w:szCs w:val="24"/>
          <w:lang w:eastAsia="en-US"/>
        </w:rPr>
        <w:t>N</w:t>
      </w:r>
      <w:r w:rsidR="000551AA" w:rsidRPr="00B37812">
        <w:rPr>
          <w:rFonts w:ascii="Times New Roman" w:eastAsia="Calibri" w:hAnsi="Times New Roman" w:cs="Times New Roman"/>
          <w:bCs/>
          <w:color w:val="000000"/>
          <w:sz w:val="24"/>
          <w:szCs w:val="24"/>
          <w:lang w:eastAsia="en-US"/>
        </w:rPr>
        <w:t>E</w:t>
      </w:r>
      <w:r w:rsidRPr="00B37812">
        <w:rPr>
          <w:rFonts w:ascii="Times New Roman" w:eastAsia="Calibri" w:hAnsi="Times New Roman" w:cs="Times New Roman"/>
          <w:bCs/>
          <w:color w:val="000000"/>
          <w:sz w:val="24"/>
          <w:szCs w:val="24"/>
          <w:lang w:eastAsia="en-US"/>
        </w:rPr>
        <w:t>. The NR was calculated as follows:</w:t>
      </w:r>
    </w:p>
    <w:p w14:paraId="288334C5" w14:textId="77777777" w:rsidR="00B85163" w:rsidRPr="00B37812" w:rsidRDefault="00B85163" w:rsidP="00A330CD">
      <w:pPr>
        <w:spacing w:after="0" w:line="360" w:lineRule="auto"/>
        <w:ind w:firstLine="720"/>
        <w:jc w:val="both"/>
        <w:rPr>
          <w:rFonts w:ascii="Times New Roman" w:eastAsia="Calibri" w:hAnsi="Times New Roman" w:cs="Times New Roman"/>
          <w:color w:val="000000"/>
          <w:sz w:val="24"/>
          <w:szCs w:val="24"/>
          <w:lang w:eastAsia="en-US"/>
        </w:rPr>
      </w:pPr>
      <m:oMathPara>
        <m:oMathParaPr>
          <m:jc m:val="left"/>
        </m:oMathParaPr>
        <m:oMath>
          <m:r>
            <w:rPr>
              <w:rFonts w:ascii="Cambria Math" w:eastAsia="Calibri" w:hAnsi="Cambria Math" w:cs="Times New Roman"/>
              <w:color w:val="000000"/>
              <w:sz w:val="24"/>
              <w:szCs w:val="24"/>
              <w:lang w:eastAsia="en-US"/>
            </w:rPr>
            <m:t xml:space="preserve">%NR= </m:t>
          </m:r>
          <m:f>
            <m:fPr>
              <m:type m:val="lin"/>
              <m:ctrlPr>
                <w:rPr>
                  <w:rFonts w:ascii="Cambria Math" w:eastAsia="Calibri" w:hAnsi="Cambria Math" w:cs="Times New Roman"/>
                  <w:bCs/>
                  <w:i/>
                  <w:color w:val="000000"/>
                  <w:sz w:val="24"/>
                  <w:szCs w:val="24"/>
                  <w:lang w:eastAsia="en-US"/>
                </w:rPr>
              </m:ctrlPr>
            </m:fPr>
            <m:num>
              <m:r>
                <w:rPr>
                  <w:rFonts w:ascii="Cambria Math" w:eastAsia="Calibri" w:hAnsi="Cambria Math" w:cs="Times New Roman"/>
                  <w:color w:val="000000"/>
                  <w:sz w:val="24"/>
                  <w:szCs w:val="24"/>
                  <w:lang w:eastAsia="en-US"/>
                </w:rPr>
                <m:t>(total content of ENP*100)</m:t>
              </m:r>
            </m:num>
            <m:den>
              <m:r>
                <w:rPr>
                  <w:rFonts w:ascii="Cambria Math" w:eastAsia="Calibri" w:hAnsi="Cambria Math" w:cs="Times New Roman"/>
                  <w:color w:val="000000"/>
                  <w:sz w:val="24"/>
                  <w:szCs w:val="24"/>
                  <w:lang w:eastAsia="en-US"/>
                </w:rPr>
                <m:t>total content</m:t>
              </m:r>
            </m:den>
          </m:f>
          <m:r>
            <w:rPr>
              <w:rFonts w:ascii="Cambria Math" w:eastAsia="Calibri" w:hAnsi="Cambria Math" w:cs="Times New Roman"/>
              <w:color w:val="000000"/>
              <w:sz w:val="24"/>
              <w:szCs w:val="24"/>
              <w:lang w:eastAsia="en-US"/>
            </w:rPr>
            <m:t xml:space="preserve"> of NE                                                   (1)</m:t>
          </m:r>
        </m:oMath>
      </m:oMathPara>
    </w:p>
    <w:p w14:paraId="4C8C41D5"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3BC6612B" w14:textId="6A6F88C0"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r w:rsidRPr="00B37812">
        <w:rPr>
          <w:rFonts w:ascii="Times New Roman" w:eastAsia="Calibri" w:hAnsi="Times New Roman" w:cs="Times New Roman"/>
          <w:b/>
          <w:color w:val="000000"/>
          <w:sz w:val="24"/>
          <w:szCs w:val="24"/>
          <w:lang w:eastAsia="en-US"/>
        </w:rPr>
        <w:t xml:space="preserve">2.3.5. Encapsulation efficiency </w:t>
      </w:r>
    </w:p>
    <w:p w14:paraId="448A91D4"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13093860" w14:textId="685A92AC" w:rsidR="00B85163" w:rsidRPr="00B37812" w:rsidRDefault="00B85163" w:rsidP="00A330CD">
      <w:pPr>
        <w:spacing w:after="0" w:line="360" w:lineRule="auto"/>
        <w:ind w:firstLine="720"/>
        <w:jc w:val="both"/>
        <w:rPr>
          <w:rFonts w:ascii="Times New Roman" w:hAnsi="Times New Roman" w:cs="Times New Roman"/>
          <w:bCs/>
          <w:sz w:val="24"/>
          <w:szCs w:val="24"/>
        </w:rPr>
      </w:pPr>
      <w:r w:rsidRPr="00B37812">
        <w:rPr>
          <w:rFonts w:ascii="Times New Roman" w:hAnsi="Times New Roman" w:cs="Times New Roman"/>
          <w:bCs/>
          <w:sz w:val="24"/>
          <w:szCs w:val="24"/>
        </w:rPr>
        <w:t xml:space="preserve">Encapsulation efficiency (EE) was determined according to  </w:t>
      </w:r>
      <w:hyperlink w:anchor="_ENREF_17" w:tooltip="Akbas, 2017 #1313" w:history="1">
        <w:r w:rsidRPr="00B37812">
          <w:rPr>
            <w:rStyle w:val="Hyperlink"/>
            <w:rFonts w:ascii="Times New Roman" w:hAnsi="Times New Roman" w:cs="Times New Roman"/>
            <w:bCs/>
            <w:sz w:val="24"/>
            <w:szCs w:val="24"/>
          </w:rPr>
          <w:fldChar w:fldCharType="begin"/>
        </w:r>
        <w:r w:rsidR="00E124D1" w:rsidRPr="00B37812">
          <w:rPr>
            <w:rStyle w:val="Hyperlink"/>
            <w:rFonts w:ascii="Times New Roman" w:hAnsi="Times New Roman" w:cs="Times New Roman"/>
            <w:bCs/>
            <w:sz w:val="24"/>
            <w:szCs w:val="24"/>
          </w:rPr>
          <w:instrText xml:space="preserve"> ADDIN EN.CITE &lt;EndNote&gt;&lt;Cite AuthorYear="1"&gt;&lt;Author&gt;Akbas&lt;/Author&gt;&lt;Year&gt;2017&lt;/Year&gt;&lt;RecNum&gt;1313&lt;/RecNum&gt;&lt;DisplayText&gt;Akbas et al. &lt;style face="superscript"&gt;17&lt;/style&gt;&lt;/DisplayText&gt;&lt;record&gt;&lt;rec-number&gt;1313&lt;/rec-number&gt;&lt;foreign-keys&gt;&lt;key app="EN" db-id="5wdx0tztgpfe5yefsdpperx8srzetsx0pw9w" timestamp="1501660567"&gt;1313&lt;/key&gt;&lt;/foreign-keys&gt;&lt;ref-type name="Journal Article"&gt;17&lt;/ref-type&gt;&lt;contributors&gt;&lt;authors&gt;&lt;author&gt;Akbas, Elif&lt;/author&gt;&lt;author&gt;Kilercioglu, Mete&lt;/author&gt;&lt;author&gt;Onder, Ozge Nur&lt;/author&gt;&lt;author&gt;Koker, Alperen&lt;/author&gt;&lt;author&gt;Soyler, Betul&lt;/author&gt;&lt;author&gt;Oztop, Mecit Halil&lt;/author&gt;&lt;/authors&gt;&lt;/contributors&gt;&lt;titles&gt;&lt;title&gt;Wheatgrass juice to wheat grass powder: Encapsulation, physical and chemical characterization&lt;/title&gt;&lt;secondary-title&gt;Journal of Functional Foods&lt;/secondary-title&gt;&lt;/titles&gt;&lt;pages&gt;19-27&lt;/pages&gt;&lt;volume&gt;28&lt;/volume&gt;&lt;dates&gt;&lt;year&gt;2017&lt;/year&gt;&lt;/dates&gt;&lt;isbn&gt;1756-4646&lt;/isbn&gt;&lt;urls&gt;&lt;/urls&gt;&lt;/record&gt;&lt;/Cite&gt;&lt;/EndNote&gt;</w:instrText>
        </w:r>
        <w:r w:rsidRPr="00B37812">
          <w:rPr>
            <w:rStyle w:val="Hyperlink"/>
            <w:rFonts w:ascii="Times New Roman" w:hAnsi="Times New Roman" w:cs="Times New Roman"/>
            <w:bCs/>
            <w:sz w:val="24"/>
            <w:szCs w:val="24"/>
          </w:rPr>
          <w:fldChar w:fldCharType="separate"/>
        </w:r>
        <w:r w:rsidR="00E124D1" w:rsidRPr="00B37812">
          <w:rPr>
            <w:rStyle w:val="Hyperlink"/>
            <w:rFonts w:ascii="Times New Roman" w:hAnsi="Times New Roman" w:cs="Times New Roman"/>
            <w:bCs/>
            <w:noProof/>
            <w:sz w:val="24"/>
            <w:szCs w:val="24"/>
          </w:rPr>
          <w:t xml:space="preserve">Akbas et al. </w:t>
        </w:r>
        <w:r w:rsidR="00E124D1" w:rsidRPr="00B37812">
          <w:rPr>
            <w:rStyle w:val="Hyperlink"/>
            <w:rFonts w:ascii="Times New Roman" w:hAnsi="Times New Roman" w:cs="Times New Roman"/>
            <w:bCs/>
            <w:noProof/>
            <w:sz w:val="24"/>
            <w:szCs w:val="24"/>
            <w:vertAlign w:val="superscript"/>
          </w:rPr>
          <w:t>17</w:t>
        </w:r>
        <w:r w:rsidRPr="00B37812">
          <w:rPr>
            <w:rStyle w:val="Hyperlink"/>
            <w:rFonts w:ascii="Times New Roman" w:hAnsi="Times New Roman" w:cs="Times New Roman"/>
            <w:bCs/>
            <w:sz w:val="24"/>
            <w:szCs w:val="24"/>
          </w:rPr>
          <w:fldChar w:fldCharType="end"/>
        </w:r>
      </w:hyperlink>
      <w:r w:rsidRPr="00B37812">
        <w:rPr>
          <w:rFonts w:ascii="Times New Roman" w:hAnsi="Times New Roman" w:cs="Times New Roman"/>
          <w:bCs/>
          <w:sz w:val="24"/>
          <w:szCs w:val="24"/>
        </w:rPr>
        <w:t xml:space="preserve"> as the difference between the total content and the free content of each nutraceutical compound. The EE was calculated as follows:</w:t>
      </w:r>
    </w:p>
    <w:p w14:paraId="63C483DA" w14:textId="77777777" w:rsidR="00B85163" w:rsidRPr="00B37812" w:rsidRDefault="00B85163" w:rsidP="00A330CD">
      <w:pPr>
        <w:spacing w:after="0" w:line="360" w:lineRule="auto"/>
        <w:ind w:firstLine="720"/>
        <w:jc w:val="both"/>
        <w:rPr>
          <w:rFonts w:ascii="Times New Roman" w:eastAsia="Calibri" w:hAnsi="Times New Roman" w:cs="Times New Roman"/>
          <w:color w:val="000000"/>
          <w:sz w:val="24"/>
          <w:szCs w:val="24"/>
          <w:lang w:eastAsia="en-US"/>
        </w:rPr>
      </w:pPr>
      <m:oMathPara>
        <m:oMathParaPr>
          <m:jc m:val="left"/>
        </m:oMathParaPr>
        <m:oMath>
          <m:r>
            <w:rPr>
              <w:rFonts w:ascii="Cambria Math" w:eastAsia="Calibri" w:hAnsi="Cambria Math" w:cs="Times New Roman"/>
              <w:color w:val="000000"/>
              <w:sz w:val="24"/>
              <w:szCs w:val="24"/>
              <w:lang w:eastAsia="en-US"/>
            </w:rPr>
            <m:t xml:space="preserve">%EE= </m:t>
          </m:r>
          <m:f>
            <m:fPr>
              <m:type m:val="lin"/>
              <m:ctrlPr>
                <w:rPr>
                  <w:rFonts w:ascii="Cambria Math" w:eastAsia="Calibri" w:hAnsi="Cambria Math" w:cs="Times New Roman"/>
                  <w:bCs/>
                  <w:i/>
                  <w:color w:val="000000"/>
                  <w:sz w:val="24"/>
                  <w:szCs w:val="24"/>
                  <w:lang w:eastAsia="en-US"/>
                </w:rPr>
              </m:ctrlPr>
            </m:fPr>
            <m:num>
              <m:r>
                <w:rPr>
                  <w:rFonts w:ascii="Cambria Math" w:eastAsia="Calibri" w:hAnsi="Cambria Math" w:cs="Times New Roman"/>
                  <w:color w:val="000000"/>
                  <w:sz w:val="24"/>
                  <w:szCs w:val="24"/>
                  <w:lang w:eastAsia="en-US"/>
                </w:rPr>
                <m:t>(total content-free content)</m:t>
              </m:r>
            </m:num>
            <m:den>
              <m:r>
                <w:rPr>
                  <w:rFonts w:ascii="Cambria Math" w:eastAsia="Calibri" w:hAnsi="Cambria Math" w:cs="Times New Roman"/>
                  <w:color w:val="000000"/>
                  <w:sz w:val="24"/>
                  <w:szCs w:val="24"/>
                  <w:lang w:eastAsia="en-US"/>
                </w:rPr>
                <m:t>total content</m:t>
              </m:r>
            </m:den>
          </m:f>
          <m:r>
            <w:rPr>
              <w:rFonts w:ascii="Cambria Math" w:eastAsia="Calibri" w:hAnsi="Cambria Math" w:cs="Times New Roman"/>
              <w:color w:val="000000"/>
              <w:sz w:val="24"/>
              <w:szCs w:val="24"/>
              <w:lang w:eastAsia="en-US"/>
            </w:rPr>
            <m:t>*100                                                  (2)</m:t>
          </m:r>
        </m:oMath>
      </m:oMathPara>
    </w:p>
    <w:p w14:paraId="05033F41"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689E5A28" w14:textId="1E169333" w:rsidR="00B85163" w:rsidRPr="00B37812" w:rsidRDefault="00B85163" w:rsidP="00A330CD">
      <w:pPr>
        <w:spacing w:after="0" w:line="360" w:lineRule="auto"/>
        <w:jc w:val="both"/>
        <w:rPr>
          <w:rFonts w:ascii="Times New Roman" w:eastAsia="Calibri" w:hAnsi="Times New Roman" w:cs="Times New Roman"/>
          <w:b/>
          <w:bCs/>
          <w:sz w:val="24"/>
          <w:szCs w:val="24"/>
          <w:lang w:eastAsia="en-US"/>
        </w:rPr>
      </w:pPr>
      <w:r w:rsidRPr="00B37812">
        <w:rPr>
          <w:rFonts w:ascii="Times New Roman" w:eastAsia="Calibri" w:hAnsi="Times New Roman" w:cs="Times New Roman"/>
          <w:b/>
          <w:bCs/>
          <w:sz w:val="24"/>
          <w:szCs w:val="24"/>
          <w:lang w:eastAsia="en-US"/>
        </w:rPr>
        <w:t>2.</w:t>
      </w:r>
      <w:r w:rsidR="005F24E7" w:rsidRPr="00B37812">
        <w:rPr>
          <w:rFonts w:ascii="Times New Roman" w:eastAsia="Calibri" w:hAnsi="Times New Roman" w:cs="Times New Roman"/>
          <w:b/>
          <w:bCs/>
          <w:sz w:val="24"/>
          <w:szCs w:val="24"/>
          <w:lang w:eastAsia="en-US"/>
        </w:rPr>
        <w:t>4</w:t>
      </w:r>
      <w:r w:rsidRPr="00B37812">
        <w:rPr>
          <w:rFonts w:ascii="Times New Roman" w:eastAsia="Calibri" w:hAnsi="Times New Roman" w:cs="Times New Roman"/>
          <w:b/>
          <w:bCs/>
          <w:sz w:val="24"/>
          <w:szCs w:val="24"/>
          <w:lang w:eastAsia="en-US"/>
        </w:rPr>
        <w:t>. Antioxidants assay</w:t>
      </w:r>
    </w:p>
    <w:p w14:paraId="1DF59D8E" w14:textId="77777777"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p>
    <w:p w14:paraId="72AA0F13" w14:textId="0B4CE3C3" w:rsidR="00B85163" w:rsidRPr="00B37812" w:rsidRDefault="00B85163" w:rsidP="00A330CD">
      <w:pPr>
        <w:spacing w:after="0" w:line="360" w:lineRule="auto"/>
        <w:ind w:firstLine="720"/>
        <w:jc w:val="both"/>
        <w:rPr>
          <w:rFonts w:ascii="Times New Roman" w:hAnsi="Times New Roman" w:cs="Times New Roman"/>
          <w:lang w:val="en-GB"/>
        </w:rPr>
      </w:pPr>
      <w:r w:rsidRPr="00B37812">
        <w:rPr>
          <w:rFonts w:ascii="Times New Roman" w:eastAsia="Calibri" w:hAnsi="Times New Roman" w:cs="Times New Roman"/>
          <w:bCs/>
          <w:color w:val="000000"/>
          <w:sz w:val="24"/>
          <w:szCs w:val="24"/>
          <w:lang w:val="en-GB" w:eastAsia="en-US"/>
        </w:rPr>
        <w:t xml:space="preserve">The antioxidant assays were performed according to </w:t>
      </w:r>
      <w:hyperlink w:anchor="_ENREF_16" w:tooltip="Tchabo, 2018 #1464" w:history="1">
        <w:r w:rsidRPr="00B37812">
          <w:rPr>
            <w:rStyle w:val="Hyperlink"/>
            <w:rFonts w:ascii="Times New Roman" w:eastAsia="Calibri" w:hAnsi="Times New Roman" w:cs="Times New Roman"/>
            <w:bCs/>
            <w:sz w:val="24"/>
            <w:szCs w:val="24"/>
            <w:lang w:val="en-GB" w:eastAsia="en-US"/>
          </w:rPr>
          <w:fldChar w:fldCharType="begin"/>
        </w:r>
        <w:r w:rsidR="00E124D1" w:rsidRPr="00B37812">
          <w:rPr>
            <w:rStyle w:val="Hyperlink"/>
            <w:rFonts w:ascii="Times New Roman" w:eastAsia="Calibri" w:hAnsi="Times New Roman" w:cs="Times New Roman"/>
            <w:bCs/>
            <w:sz w:val="24"/>
            <w:szCs w:val="24"/>
            <w:lang w:val="en-GB" w:eastAsia="en-US"/>
          </w:rPr>
          <w:instrText xml:space="preserve"> ADDIN EN.CITE &lt;EndNote&gt;&lt;Cite AuthorYear="1"&gt;&lt;Author&gt;Tchabo&lt;/Author&gt;&lt;Year&gt;2018&lt;/Year&gt;&lt;RecNum&gt;1464&lt;/RecNum&gt;&lt;DisplayText&gt;Tchabo et al. &lt;style face="superscript"&gt;16&lt;/style&gt;&lt;/DisplayText&gt;&lt;record&gt;&lt;rec-number&gt;1464&lt;/rec-number&gt;&lt;foreign-keys&gt;&lt;key app="EN" db-id="5wdx0tztgpfe5yefsdpperx8srzetsx0pw9w" timestamp="1520234243"&gt;1464&lt;/key&gt;&lt;/foreign-keys&gt;&lt;ref-type name="Journal Article"&gt;17&lt;/ref-type&gt;&lt;contributors&gt;&lt;authors&gt;&lt;author&gt;William Tchabo&lt;/author&gt;&lt;author&gt;Yongkun Ma&lt;/author&gt;&lt;author&gt;Emmanuel Kwaw&lt;/author&gt;&lt;author&gt;Lulu Xiao&lt;/author&gt;&lt;author&gt;Meng Wu&lt;/author&gt;&lt;author&gt;Apaliya T. Maurice&lt;/author&gt;&lt;/authors&gt;&lt;/contributors&gt;&lt;titles&gt;&lt;title&gt;Impact of extraction parameters and their optimization on the nutraceuticals and antioxidant properties of aqueous extract mulberry leaf&lt;/title&gt;&lt;secondary-title&gt;International Journal of Food Properties&lt;/secondary-title&gt;&lt;/titles&gt;&lt;periodical&gt;&lt;full-title&gt;International Journal of Food Properties&lt;/full-title&gt;&lt;abbr-1&gt;Int. J. Food Prop.&lt;/abbr-1&gt;&lt;abbr-2&gt;Int J Food Prop&lt;/abbr-2&gt;&lt;/periodical&gt;&lt;dates&gt;&lt;year&gt;2018&lt;/year&gt;&lt;/dates&gt;&lt;urls&gt;&lt;/urls&gt;&lt;electronic-resource-num&gt;10.1080/10942912.2018.1446025&lt;/electronic-resource-num&gt;&lt;/record&gt;&lt;/Cite&gt;&lt;/EndNote&gt;</w:instrText>
        </w:r>
        <w:r w:rsidRPr="00B37812">
          <w:rPr>
            <w:rStyle w:val="Hyperlink"/>
            <w:rFonts w:ascii="Times New Roman" w:eastAsia="Calibri" w:hAnsi="Times New Roman" w:cs="Times New Roman"/>
            <w:bCs/>
            <w:sz w:val="24"/>
            <w:szCs w:val="24"/>
            <w:lang w:val="en-GB" w:eastAsia="en-US"/>
          </w:rPr>
          <w:fldChar w:fldCharType="separate"/>
        </w:r>
        <w:r w:rsidR="00E124D1" w:rsidRPr="00B37812">
          <w:rPr>
            <w:rStyle w:val="Hyperlink"/>
            <w:rFonts w:ascii="Times New Roman" w:eastAsia="Calibri" w:hAnsi="Times New Roman" w:cs="Times New Roman"/>
            <w:bCs/>
            <w:noProof/>
            <w:sz w:val="24"/>
            <w:szCs w:val="24"/>
            <w:lang w:val="en-GB" w:eastAsia="en-US"/>
          </w:rPr>
          <w:t xml:space="preserve">Tchabo et al. </w:t>
        </w:r>
        <w:r w:rsidR="00E124D1" w:rsidRPr="00B37812">
          <w:rPr>
            <w:rStyle w:val="Hyperlink"/>
            <w:rFonts w:ascii="Times New Roman" w:eastAsia="Calibri" w:hAnsi="Times New Roman" w:cs="Times New Roman"/>
            <w:bCs/>
            <w:noProof/>
            <w:sz w:val="24"/>
            <w:szCs w:val="24"/>
            <w:vertAlign w:val="superscript"/>
            <w:lang w:val="en-GB" w:eastAsia="en-US"/>
          </w:rPr>
          <w:t>16</w:t>
        </w:r>
        <w:r w:rsidRPr="00B37812">
          <w:rPr>
            <w:rStyle w:val="Hyperlink"/>
            <w:rFonts w:ascii="Times New Roman" w:eastAsia="Calibri" w:hAnsi="Times New Roman" w:cs="Times New Roman"/>
            <w:bCs/>
            <w:sz w:val="24"/>
            <w:szCs w:val="24"/>
            <w:lang w:val="en-GB" w:eastAsia="en-US"/>
          </w:rPr>
          <w:fldChar w:fldCharType="end"/>
        </w:r>
      </w:hyperlink>
      <w:r w:rsidRPr="00B37812">
        <w:rPr>
          <w:rStyle w:val="Hyperlink"/>
          <w:rFonts w:ascii="Times New Roman" w:eastAsia="Calibri" w:hAnsi="Times New Roman" w:cs="Times New Roman"/>
          <w:bCs/>
          <w:sz w:val="24"/>
          <w:szCs w:val="24"/>
          <w:lang w:val="en-GB" w:eastAsia="en-US"/>
        </w:rPr>
        <w:t xml:space="preserve"> </w:t>
      </w:r>
      <w:r w:rsidRPr="00B37812">
        <w:rPr>
          <w:rFonts w:ascii="Times New Roman" w:eastAsia="Calibri" w:hAnsi="Times New Roman" w:cs="Times New Roman"/>
          <w:bCs/>
          <w:sz w:val="24"/>
          <w:szCs w:val="24"/>
          <w:lang w:val="en-GB" w:eastAsia="en-US"/>
        </w:rPr>
        <w:t>using the total supernatant. The cupric ion reducing capacity (CUPRAC), 2,2-azino-bis-(3-ethylbenzothiazoline-6-sulfonic acid) (ABTS), 1,1-diphenyl-2-picrylhydrazyl (DPPH) and ferric reducing antioxidant power capacity (FRAP) were expressed as</w:t>
      </w:r>
      <w:r w:rsidR="00485336" w:rsidRPr="00B37812">
        <w:rPr>
          <w:rFonts w:ascii="Times New Roman" w:eastAsia="Calibri" w:hAnsi="Times New Roman" w:cs="Times New Roman"/>
          <w:bCs/>
          <w:sz w:val="24"/>
          <w:szCs w:val="24"/>
          <w:lang w:val="en-GB" w:eastAsia="en-US"/>
        </w:rPr>
        <w:t xml:space="preserve"> mM of</w:t>
      </w:r>
      <w:r w:rsidRPr="00B37812">
        <w:rPr>
          <w:rFonts w:ascii="Times New Roman" w:eastAsia="Calibri" w:hAnsi="Times New Roman" w:cs="Times New Roman"/>
          <w:bCs/>
          <w:sz w:val="24"/>
          <w:szCs w:val="24"/>
          <w:lang w:val="en-GB" w:eastAsia="en-US"/>
        </w:rPr>
        <w:t xml:space="preserve"> Trolox equivalent per gram of </w:t>
      </w:r>
      <w:r w:rsidR="00F46BA8" w:rsidRPr="00B37812">
        <w:rPr>
          <w:rFonts w:ascii="Times New Roman" w:eastAsia="Calibri" w:hAnsi="Times New Roman" w:cs="Times New Roman"/>
          <w:bCs/>
          <w:color w:val="000000"/>
          <w:sz w:val="24"/>
          <w:szCs w:val="24"/>
          <w:lang w:val="en-GB" w:eastAsia="en-US"/>
        </w:rPr>
        <w:t>sample</w:t>
      </w:r>
      <w:r w:rsidR="00E237C1" w:rsidRPr="00B37812">
        <w:rPr>
          <w:rFonts w:ascii="Times New Roman" w:eastAsia="Calibri" w:hAnsi="Times New Roman" w:cs="Times New Roman"/>
          <w:bCs/>
          <w:color w:val="000000"/>
          <w:sz w:val="24"/>
          <w:szCs w:val="24"/>
          <w:lang w:val="en-GB" w:eastAsia="en-US"/>
        </w:rPr>
        <w:t xml:space="preserve"> </w:t>
      </w:r>
      <w:r w:rsidRPr="00B37812">
        <w:rPr>
          <w:rFonts w:ascii="Times New Roman" w:eastAsia="Calibri" w:hAnsi="Times New Roman" w:cs="Times New Roman"/>
          <w:bCs/>
          <w:sz w:val="24"/>
          <w:szCs w:val="24"/>
          <w:lang w:eastAsia="en-US"/>
        </w:rPr>
        <w:t>on dry basis.</w:t>
      </w:r>
    </w:p>
    <w:p w14:paraId="0111387A" w14:textId="77777777" w:rsidR="00B85163" w:rsidRPr="00B37812" w:rsidRDefault="00B85163" w:rsidP="00A330CD">
      <w:pPr>
        <w:spacing w:after="0" w:line="360" w:lineRule="auto"/>
        <w:jc w:val="both"/>
        <w:rPr>
          <w:rFonts w:ascii="Times New Roman" w:eastAsia="Calibri" w:hAnsi="Times New Roman" w:cs="Times New Roman"/>
          <w:bCs/>
          <w:sz w:val="24"/>
          <w:szCs w:val="24"/>
          <w:lang w:val="en-GB" w:eastAsia="en-US"/>
        </w:rPr>
      </w:pPr>
    </w:p>
    <w:p w14:paraId="0CB05B71" w14:textId="5EFBD68D" w:rsidR="00B85163" w:rsidRPr="00B37812" w:rsidRDefault="005F24E7" w:rsidP="00A330CD">
      <w:pPr>
        <w:spacing w:after="0" w:line="360" w:lineRule="auto"/>
        <w:jc w:val="both"/>
        <w:rPr>
          <w:rFonts w:ascii="Times New Roman" w:hAnsi="Times New Roman" w:cs="Times New Roman"/>
          <w:b/>
        </w:rPr>
      </w:pPr>
      <w:r w:rsidRPr="00B37812">
        <w:rPr>
          <w:rFonts w:ascii="Times New Roman" w:eastAsia="Calibri" w:hAnsi="Times New Roman" w:cs="Times New Roman"/>
          <w:b/>
          <w:bCs/>
          <w:sz w:val="24"/>
          <w:szCs w:val="24"/>
          <w:lang w:eastAsia="en-US"/>
        </w:rPr>
        <w:t>2.4</w:t>
      </w:r>
      <w:r w:rsidR="00B85163" w:rsidRPr="00B37812">
        <w:rPr>
          <w:rFonts w:ascii="Times New Roman" w:eastAsia="Calibri" w:hAnsi="Times New Roman" w:cs="Times New Roman"/>
          <w:b/>
          <w:bCs/>
          <w:sz w:val="24"/>
          <w:szCs w:val="24"/>
          <w:lang w:eastAsia="en-US"/>
        </w:rPr>
        <w:t xml:space="preserve">.1. </w:t>
      </w:r>
      <w:r w:rsidR="00B85163" w:rsidRPr="00B37812">
        <w:rPr>
          <w:rFonts w:ascii="Times New Roman" w:eastAsia="Calibri" w:hAnsi="Times New Roman" w:cs="Times New Roman"/>
          <w:b/>
          <w:bCs/>
          <w:color w:val="000000"/>
          <w:sz w:val="24"/>
          <w:szCs w:val="24"/>
          <w:lang w:eastAsia="en-US"/>
        </w:rPr>
        <w:t xml:space="preserve">ABTS </w:t>
      </w:r>
    </w:p>
    <w:p w14:paraId="64B0BD97" w14:textId="77777777" w:rsidR="00B85163" w:rsidRPr="00B37812" w:rsidRDefault="00B85163" w:rsidP="00A330CD">
      <w:pPr>
        <w:spacing w:after="0" w:line="360" w:lineRule="auto"/>
        <w:ind w:firstLine="720"/>
        <w:jc w:val="both"/>
        <w:rPr>
          <w:rFonts w:ascii="Times New Roman" w:hAnsi="Times New Roman" w:cs="Times New Roman"/>
        </w:rPr>
      </w:pPr>
    </w:p>
    <w:p w14:paraId="6B663064" w14:textId="77777777"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Cs/>
          <w:sz w:val="24"/>
          <w:szCs w:val="24"/>
          <w:lang w:eastAsia="en-US"/>
        </w:rPr>
        <w:t>The supernatant</w:t>
      </w:r>
      <w:r w:rsidRPr="00B37812">
        <w:rPr>
          <w:rFonts w:ascii="Times New Roman" w:eastAsia="Calibri" w:hAnsi="Times New Roman" w:cs="Times New Roman"/>
          <w:bCs/>
          <w:color w:val="000000"/>
          <w:sz w:val="24"/>
          <w:szCs w:val="24"/>
          <w:lang w:eastAsia="en-US"/>
        </w:rPr>
        <w:t xml:space="preserve"> (125 µl) was mixed with 5 ml of an ABTS solution </w:t>
      </w:r>
      <w:r w:rsidRPr="00B37812">
        <w:rPr>
          <w:rFonts w:ascii="Times New Roman" w:eastAsia="Calibri" w:hAnsi="Times New Roman" w:cs="Times New Roman"/>
          <w:bCs/>
          <w:sz w:val="24"/>
          <w:szCs w:val="24"/>
          <w:lang w:eastAsia="en-US"/>
        </w:rPr>
        <w:t>constituted of</w:t>
      </w:r>
      <w:r w:rsidRPr="00B37812">
        <w:rPr>
          <w:rFonts w:ascii="Times New Roman" w:eastAsia="Calibri" w:hAnsi="Times New Roman" w:cs="Times New Roman"/>
          <w:bCs/>
          <w:color w:val="000000"/>
          <w:sz w:val="24"/>
          <w:szCs w:val="24"/>
          <w:lang w:eastAsia="en-US"/>
        </w:rPr>
        <w:t xml:space="preserve"> 2.45 mM ABTS in </w:t>
      </w:r>
      <w:hyperlink r:id="rId12" w:history="1">
        <w:r w:rsidRPr="00B37812">
          <w:rPr>
            <w:rFonts w:ascii="Times New Roman" w:eastAsia="Calibri" w:hAnsi="Times New Roman" w:cs="Times New Roman"/>
            <w:bCs/>
            <w:color w:val="000000"/>
            <w:sz w:val="24"/>
            <w:szCs w:val="24"/>
            <w:lang w:eastAsia="en-US"/>
          </w:rPr>
          <w:t>ammonium persulfate</w:t>
        </w:r>
      </w:hyperlink>
      <w:r w:rsidRPr="00B37812">
        <w:rPr>
          <w:rFonts w:ascii="Times New Roman" w:eastAsia="Calibri" w:hAnsi="Times New Roman" w:cs="Times New Roman"/>
          <w:bCs/>
          <w:color w:val="000000"/>
          <w:sz w:val="24"/>
          <w:szCs w:val="24"/>
          <w:lang w:eastAsia="en-US"/>
        </w:rPr>
        <w:t xml:space="preserve"> (incubated in darkness for 16 hours).</w:t>
      </w:r>
      <w:r w:rsidRPr="00B37812">
        <w:rPr>
          <w:rFonts w:ascii="Times New Roman" w:eastAsia="Calibri" w:hAnsi="Times New Roman" w:cs="Times New Roman"/>
          <w:bCs/>
          <w:sz w:val="24"/>
          <w:szCs w:val="24"/>
          <w:lang w:eastAsia="en-US"/>
        </w:rPr>
        <w:t xml:space="preserve"> The mixture was</w:t>
      </w:r>
      <w:r w:rsidRPr="00B37812">
        <w:rPr>
          <w:rFonts w:ascii="Times New Roman" w:eastAsia="Calibri" w:hAnsi="Times New Roman" w:cs="Times New Roman"/>
          <w:bCs/>
          <w:color w:val="000000"/>
          <w:sz w:val="24"/>
          <w:szCs w:val="24"/>
          <w:lang w:eastAsia="en-US"/>
        </w:rPr>
        <w:t xml:space="preserve"> held for 15 min at 25 °C and the absorbance was read at 734 nm.</w:t>
      </w:r>
    </w:p>
    <w:p w14:paraId="4A5B6F74" w14:textId="77777777" w:rsidR="00B85163" w:rsidRPr="00B37812" w:rsidRDefault="00B85163" w:rsidP="00A330CD">
      <w:pPr>
        <w:spacing w:after="0" w:line="360" w:lineRule="auto"/>
        <w:ind w:firstLine="720"/>
        <w:jc w:val="both"/>
        <w:rPr>
          <w:rFonts w:ascii="Times New Roman" w:hAnsi="Times New Roman" w:cs="Times New Roman"/>
        </w:rPr>
      </w:pPr>
    </w:p>
    <w:p w14:paraId="30CF8A2F" w14:textId="72CB71FB" w:rsidR="00B85163" w:rsidRPr="00B37812" w:rsidRDefault="00B85163" w:rsidP="00A330CD">
      <w:pPr>
        <w:spacing w:after="0" w:line="360" w:lineRule="auto"/>
        <w:jc w:val="both"/>
        <w:rPr>
          <w:rFonts w:ascii="Times New Roman" w:hAnsi="Times New Roman" w:cs="Times New Roman"/>
          <w:b/>
        </w:rPr>
      </w:pPr>
      <w:r w:rsidRPr="00B37812">
        <w:rPr>
          <w:rFonts w:ascii="Times New Roman" w:eastAsia="Calibri" w:hAnsi="Times New Roman" w:cs="Times New Roman"/>
          <w:b/>
          <w:bCs/>
          <w:sz w:val="24"/>
          <w:szCs w:val="24"/>
          <w:lang w:eastAsia="en-US"/>
        </w:rPr>
        <w:t>2.</w:t>
      </w:r>
      <w:r w:rsidR="005F24E7" w:rsidRPr="00B37812">
        <w:rPr>
          <w:rFonts w:ascii="Times New Roman" w:eastAsia="Calibri" w:hAnsi="Times New Roman" w:cs="Times New Roman"/>
          <w:b/>
          <w:bCs/>
          <w:sz w:val="24"/>
          <w:szCs w:val="24"/>
          <w:lang w:eastAsia="en-US"/>
        </w:rPr>
        <w:t>4</w:t>
      </w:r>
      <w:r w:rsidRPr="00B37812">
        <w:rPr>
          <w:rFonts w:ascii="Times New Roman" w:eastAsia="Calibri" w:hAnsi="Times New Roman" w:cs="Times New Roman"/>
          <w:b/>
          <w:bCs/>
          <w:sz w:val="24"/>
          <w:szCs w:val="24"/>
          <w:lang w:eastAsia="en-US"/>
        </w:rPr>
        <w:t xml:space="preserve">.2. </w:t>
      </w:r>
      <w:r w:rsidRPr="00B37812">
        <w:rPr>
          <w:rFonts w:ascii="Times New Roman" w:eastAsia="Calibri" w:hAnsi="Times New Roman" w:cs="Times New Roman"/>
          <w:b/>
          <w:bCs/>
          <w:color w:val="000000"/>
          <w:sz w:val="24"/>
          <w:szCs w:val="24"/>
          <w:lang w:eastAsia="en-US"/>
        </w:rPr>
        <w:t xml:space="preserve">CUPRAC </w:t>
      </w:r>
    </w:p>
    <w:p w14:paraId="24F50D22" w14:textId="77777777" w:rsidR="00B85163" w:rsidRPr="00B37812" w:rsidRDefault="00B85163" w:rsidP="00A330CD">
      <w:pPr>
        <w:spacing w:after="0" w:line="360" w:lineRule="auto"/>
        <w:ind w:firstLine="720"/>
        <w:jc w:val="both"/>
        <w:rPr>
          <w:rFonts w:ascii="Times New Roman" w:hAnsi="Times New Roman" w:cs="Times New Roman"/>
        </w:rPr>
      </w:pPr>
    </w:p>
    <w:p w14:paraId="6805A5F2"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eastAsia="Calibri" w:hAnsi="Times New Roman" w:cs="Times New Roman"/>
          <w:bCs/>
          <w:sz w:val="24"/>
          <w:szCs w:val="24"/>
          <w:lang w:eastAsia="en-US"/>
        </w:rPr>
        <w:t xml:space="preserve">The supernatant (100 µl) was mixed with 4 ml of a solution constituted of neocuproine (7.5 mM), copper(II) chloride (10 mM), ammonium acetate (1M) and </w:t>
      </w:r>
      <w:r w:rsidRPr="00B37812">
        <w:rPr>
          <w:rFonts w:ascii="Times New Roman" w:hAnsi="Times New Roman" w:cs="Times New Roman"/>
          <w:bCs/>
          <w:sz w:val="24"/>
          <w:szCs w:val="24"/>
        </w:rPr>
        <w:t>distilled</w:t>
      </w:r>
      <w:r w:rsidRPr="00B37812">
        <w:rPr>
          <w:rFonts w:ascii="Times New Roman" w:eastAsia="Calibri" w:hAnsi="Times New Roman" w:cs="Times New Roman"/>
          <w:bCs/>
          <w:sz w:val="24"/>
          <w:szCs w:val="24"/>
          <w:lang w:eastAsia="en-US"/>
        </w:rPr>
        <w:t xml:space="preserve"> water (1:1:1:1). The mixture was</w:t>
      </w:r>
      <w:r w:rsidRPr="00B37812">
        <w:rPr>
          <w:rFonts w:ascii="Times New Roman" w:eastAsia="Calibri" w:hAnsi="Times New Roman" w:cs="Times New Roman"/>
          <w:bCs/>
          <w:color w:val="000000"/>
          <w:sz w:val="24"/>
          <w:szCs w:val="24"/>
          <w:lang w:eastAsia="en-US"/>
        </w:rPr>
        <w:t xml:space="preserve"> held for 60 min at 25 °C and the absorbance was read at 450 nm.</w:t>
      </w:r>
    </w:p>
    <w:p w14:paraId="3BBC1187"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p>
    <w:p w14:paraId="38F92F00" w14:textId="3CCD8252" w:rsidR="00B85163" w:rsidRPr="00B37812" w:rsidRDefault="00B85163" w:rsidP="00A330CD">
      <w:pPr>
        <w:spacing w:after="0" w:line="360" w:lineRule="auto"/>
        <w:jc w:val="both"/>
        <w:rPr>
          <w:rFonts w:ascii="Times New Roman" w:hAnsi="Times New Roman" w:cs="Times New Roman"/>
          <w:b/>
        </w:rPr>
      </w:pPr>
      <w:r w:rsidRPr="00B37812">
        <w:rPr>
          <w:rFonts w:ascii="Times New Roman" w:eastAsia="Calibri" w:hAnsi="Times New Roman" w:cs="Times New Roman"/>
          <w:b/>
          <w:bCs/>
          <w:sz w:val="24"/>
          <w:szCs w:val="24"/>
          <w:lang w:eastAsia="en-US"/>
        </w:rPr>
        <w:t>2.</w:t>
      </w:r>
      <w:r w:rsidR="005F24E7" w:rsidRPr="00B37812">
        <w:rPr>
          <w:rFonts w:ascii="Times New Roman" w:eastAsia="Calibri" w:hAnsi="Times New Roman" w:cs="Times New Roman"/>
          <w:b/>
          <w:bCs/>
          <w:sz w:val="24"/>
          <w:szCs w:val="24"/>
          <w:lang w:eastAsia="en-US"/>
        </w:rPr>
        <w:t>4</w:t>
      </w:r>
      <w:r w:rsidRPr="00B37812">
        <w:rPr>
          <w:rFonts w:ascii="Times New Roman" w:eastAsia="Calibri" w:hAnsi="Times New Roman" w:cs="Times New Roman"/>
          <w:b/>
          <w:bCs/>
          <w:sz w:val="24"/>
          <w:szCs w:val="24"/>
          <w:lang w:eastAsia="en-US"/>
        </w:rPr>
        <w:t xml:space="preserve">.3. </w:t>
      </w:r>
      <w:r w:rsidRPr="00B37812">
        <w:rPr>
          <w:rFonts w:ascii="Times New Roman" w:eastAsia="Calibri" w:hAnsi="Times New Roman" w:cs="Times New Roman"/>
          <w:b/>
          <w:bCs/>
          <w:color w:val="000000"/>
          <w:sz w:val="24"/>
          <w:szCs w:val="24"/>
          <w:lang w:eastAsia="en-US"/>
        </w:rPr>
        <w:t xml:space="preserve">DPPH </w:t>
      </w:r>
    </w:p>
    <w:p w14:paraId="4A8CED5D" w14:textId="77777777" w:rsidR="00B85163" w:rsidRPr="00B37812" w:rsidRDefault="00B85163" w:rsidP="00A330CD">
      <w:pPr>
        <w:spacing w:after="0" w:line="360" w:lineRule="auto"/>
        <w:ind w:firstLine="720"/>
        <w:jc w:val="both"/>
        <w:rPr>
          <w:rFonts w:ascii="Times New Roman" w:hAnsi="Times New Roman" w:cs="Times New Roman"/>
        </w:rPr>
      </w:pPr>
    </w:p>
    <w:p w14:paraId="1B7AE4E0" w14:textId="77777777"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Cs/>
          <w:sz w:val="24"/>
          <w:szCs w:val="24"/>
          <w:lang w:eastAsia="en-US"/>
        </w:rPr>
        <w:t>The supernatant (1 ml) was mixed with 6 ml of a DPPH solution (</w:t>
      </w:r>
      <w:r w:rsidRPr="00B37812">
        <w:rPr>
          <w:rFonts w:ascii="Times New Roman" w:eastAsia="Calibri" w:hAnsi="Times New Roman" w:cs="Times New Roman"/>
          <w:bCs/>
          <w:color w:val="000000"/>
          <w:sz w:val="24"/>
          <w:szCs w:val="24"/>
          <w:lang w:eastAsia="en-US"/>
        </w:rPr>
        <w:t>60 mM</w:t>
      </w:r>
      <w:r w:rsidRPr="00B37812">
        <w:rPr>
          <w:rFonts w:ascii="Times New Roman" w:eastAsia="Calibri" w:hAnsi="Times New Roman" w:cs="Times New Roman"/>
          <w:bCs/>
          <w:sz w:val="24"/>
          <w:szCs w:val="24"/>
          <w:lang w:eastAsia="en-US"/>
        </w:rPr>
        <w:t xml:space="preserve"> in methanol).</w:t>
      </w:r>
      <w:r w:rsidRPr="00B37812">
        <w:rPr>
          <w:rFonts w:ascii="Times New Roman" w:eastAsia="Calibri" w:hAnsi="Times New Roman" w:cs="Times New Roman"/>
          <w:bCs/>
          <w:color w:val="000000"/>
          <w:sz w:val="24"/>
          <w:szCs w:val="24"/>
          <w:lang w:eastAsia="en-US"/>
        </w:rPr>
        <w:t xml:space="preserve"> The mixture was held for 30 min at 25 °C (in darkness) and the absorbance was read at 517 nm.</w:t>
      </w:r>
    </w:p>
    <w:p w14:paraId="54AB21EB" w14:textId="77777777" w:rsidR="00B85163" w:rsidRPr="00B37812" w:rsidRDefault="00B85163" w:rsidP="00A330CD">
      <w:pPr>
        <w:spacing w:after="0" w:line="360" w:lineRule="auto"/>
        <w:ind w:firstLine="720"/>
        <w:jc w:val="both"/>
        <w:rPr>
          <w:rFonts w:ascii="Times New Roman" w:hAnsi="Times New Roman" w:cs="Times New Roman"/>
        </w:rPr>
      </w:pPr>
    </w:p>
    <w:p w14:paraId="44410538" w14:textId="60A26116" w:rsidR="00B85163" w:rsidRPr="00B37812" w:rsidRDefault="00B85163" w:rsidP="00A330CD">
      <w:pPr>
        <w:spacing w:after="0" w:line="360" w:lineRule="auto"/>
        <w:jc w:val="both"/>
        <w:rPr>
          <w:rFonts w:ascii="Times New Roman" w:hAnsi="Times New Roman" w:cs="Times New Roman"/>
          <w:b/>
        </w:rPr>
      </w:pPr>
      <w:r w:rsidRPr="00B37812">
        <w:rPr>
          <w:rFonts w:ascii="Times New Roman" w:eastAsia="Calibri" w:hAnsi="Times New Roman" w:cs="Times New Roman"/>
          <w:b/>
          <w:bCs/>
          <w:sz w:val="24"/>
          <w:szCs w:val="24"/>
          <w:lang w:eastAsia="en-US"/>
        </w:rPr>
        <w:t>2.</w:t>
      </w:r>
      <w:r w:rsidR="00AB0DE7" w:rsidRPr="00B37812">
        <w:rPr>
          <w:rFonts w:ascii="Times New Roman" w:eastAsia="Calibri" w:hAnsi="Times New Roman" w:cs="Times New Roman"/>
          <w:b/>
          <w:bCs/>
          <w:sz w:val="24"/>
          <w:szCs w:val="24"/>
          <w:lang w:eastAsia="en-US"/>
        </w:rPr>
        <w:t>4</w:t>
      </w:r>
      <w:r w:rsidRPr="00B37812">
        <w:rPr>
          <w:rFonts w:ascii="Times New Roman" w:eastAsia="Calibri" w:hAnsi="Times New Roman" w:cs="Times New Roman"/>
          <w:b/>
          <w:bCs/>
          <w:sz w:val="24"/>
          <w:szCs w:val="24"/>
          <w:lang w:eastAsia="en-US"/>
        </w:rPr>
        <w:t xml:space="preserve">.4. </w:t>
      </w:r>
      <w:r w:rsidRPr="00B37812">
        <w:rPr>
          <w:rFonts w:ascii="Times New Roman" w:eastAsia="Calibri" w:hAnsi="Times New Roman" w:cs="Times New Roman"/>
          <w:b/>
          <w:bCs/>
          <w:color w:val="000000"/>
          <w:sz w:val="24"/>
          <w:szCs w:val="24"/>
          <w:lang w:eastAsia="en-US"/>
        </w:rPr>
        <w:t xml:space="preserve">FRAP </w:t>
      </w:r>
    </w:p>
    <w:p w14:paraId="0D720ED0" w14:textId="77777777" w:rsidR="00B85163" w:rsidRPr="00B37812" w:rsidRDefault="00B85163" w:rsidP="00A330CD">
      <w:pPr>
        <w:spacing w:after="0" w:line="360" w:lineRule="auto"/>
        <w:ind w:firstLine="720"/>
        <w:jc w:val="both"/>
        <w:rPr>
          <w:rFonts w:ascii="Times New Roman" w:hAnsi="Times New Roman" w:cs="Times New Roman"/>
        </w:rPr>
      </w:pPr>
    </w:p>
    <w:p w14:paraId="6BAEF064" w14:textId="77777777"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Cs/>
          <w:sz w:val="24"/>
          <w:szCs w:val="24"/>
          <w:lang w:eastAsia="en-US"/>
        </w:rPr>
        <w:t>The supernatant (</w:t>
      </w:r>
      <w:r w:rsidRPr="00B37812">
        <w:rPr>
          <w:rFonts w:ascii="Times New Roman" w:eastAsia="Calibri" w:hAnsi="Times New Roman" w:cs="Times New Roman"/>
          <w:bCs/>
          <w:color w:val="000000"/>
          <w:sz w:val="24"/>
          <w:szCs w:val="24"/>
          <w:lang w:eastAsia="en-US"/>
        </w:rPr>
        <w:t>200 µl</w:t>
      </w:r>
      <w:r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color w:val="000000"/>
          <w:sz w:val="24"/>
          <w:szCs w:val="24"/>
          <w:lang w:eastAsia="en-US"/>
        </w:rPr>
        <w:t xml:space="preserve">was mixed with 6 ml of a solution </w:t>
      </w:r>
      <w:r w:rsidRPr="00B37812">
        <w:rPr>
          <w:rFonts w:ascii="Times New Roman" w:eastAsia="Calibri" w:hAnsi="Times New Roman" w:cs="Times New Roman"/>
          <w:bCs/>
          <w:sz w:val="24"/>
          <w:szCs w:val="24"/>
          <w:lang w:eastAsia="en-US"/>
        </w:rPr>
        <w:t>constituted of</w:t>
      </w:r>
      <w:r w:rsidRPr="00B37812">
        <w:rPr>
          <w:rFonts w:ascii="Times New Roman" w:eastAsia="Calibri" w:hAnsi="Times New Roman" w:cs="Times New Roman"/>
          <w:bCs/>
          <w:color w:val="000000"/>
          <w:sz w:val="24"/>
          <w:szCs w:val="24"/>
          <w:lang w:eastAsia="en-US"/>
        </w:rPr>
        <w:t xml:space="preserve"> acetate buffer (300 mM, pH 3.6), iron(III) chloride (20 mM), TPTZ (10 mM in 40 mM HCl) (1:10:1) and distilled water (600 µl). The mixture was held for 30 min at 37 °C and the absorbance was read at 593 nm.</w:t>
      </w:r>
    </w:p>
    <w:p w14:paraId="31491A53" w14:textId="77777777" w:rsidR="00B85163" w:rsidRPr="00B37812" w:rsidRDefault="00B85163" w:rsidP="00A330CD">
      <w:pPr>
        <w:spacing w:after="0" w:line="360" w:lineRule="auto"/>
        <w:ind w:firstLine="720"/>
        <w:jc w:val="both"/>
        <w:rPr>
          <w:rFonts w:ascii="Times New Roman" w:hAnsi="Times New Roman" w:cs="Times New Roman"/>
        </w:rPr>
      </w:pPr>
    </w:p>
    <w:p w14:paraId="6A0D38FB" w14:textId="356A8AD1"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w:t>
      </w:r>
      <w:r w:rsidR="008869FD" w:rsidRPr="00B37812">
        <w:rPr>
          <w:rFonts w:ascii="Times New Roman" w:eastAsia="Calibri" w:hAnsi="Times New Roman" w:cs="Times New Roman"/>
          <w:b/>
          <w:bCs/>
          <w:color w:val="000000"/>
          <w:sz w:val="24"/>
          <w:szCs w:val="24"/>
          <w:lang w:eastAsia="en-US"/>
        </w:rPr>
        <w:t>5</w:t>
      </w:r>
      <w:r w:rsidRPr="00B37812">
        <w:rPr>
          <w:rFonts w:ascii="Times New Roman" w:eastAsia="Calibri" w:hAnsi="Times New Roman" w:cs="Times New Roman"/>
          <w:b/>
          <w:bCs/>
          <w:color w:val="000000"/>
          <w:sz w:val="24"/>
          <w:szCs w:val="24"/>
          <w:lang w:eastAsia="en-US"/>
        </w:rPr>
        <w:t>. Particle properties</w:t>
      </w:r>
    </w:p>
    <w:p w14:paraId="184FF311"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 xml:space="preserve">  </w:t>
      </w:r>
    </w:p>
    <w:p w14:paraId="4E2C8CA5" w14:textId="7F1BBFC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hAnsi="Times New Roman" w:cs="Times New Roman"/>
          <w:sz w:val="24"/>
          <w:szCs w:val="24"/>
          <w:lang w:val="en"/>
        </w:rPr>
        <w:t xml:space="preserve">Particle size (PS) and particle density (PD) were measured according to </w:t>
      </w:r>
      <w:hyperlink w:anchor="_ENREF_19" w:tooltip="Santhalakshmy, 2015 #1333"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AuthorYear="1"&gt;&lt;Author&gt;Santhalakshmy&lt;/Author&gt;&lt;Year&gt;2015&lt;/Year&gt;&lt;RecNum&gt;1333&lt;/RecNum&gt;&lt;DisplayText&gt;Santhalakshmy et al. &lt;style face="superscript"&gt;19&lt;/style&gt;&lt;/DisplayText&gt;&lt;record&gt;&lt;rec-number&gt;1333&lt;/rec-number&gt;&lt;foreign-keys&gt;&lt;key app="EN" db-id="5wdx0tztgpfe5yefsdpperx8srzetsx0pw9w" timestamp="1510644278"&gt;1333&lt;/key&gt;&lt;/foreign-keys&gt;&lt;ref-type name="Journal Article"&gt;17&lt;/ref-type&gt;&lt;contributors&gt;&lt;authors&gt;&lt;author&gt;Santhalakshmy, Swaminathan&lt;/author&gt;&lt;author&gt;Bosco, Sowriappan John Don&lt;/author&gt;&lt;author&gt;Francis, Sneha&lt;/author&gt;&lt;author&gt;Sabeena, Mallela&lt;/author&gt;&lt;/authors&gt;&lt;/contributors&gt;&lt;titles&gt;&lt;title&gt;Effect of inlet temperature on physicochemical properties of spray-dried jamun fruit juice powder&lt;/title&gt;&lt;secondary-title&gt;Powder Technology&lt;/secondary-title&gt;&lt;/titles&gt;&lt;periodical&gt;&lt;full-title&gt;Powder Technology&lt;/full-title&gt;&lt;abbr-1&gt;Powder Technol.&lt;/abbr-1&gt;&lt;abbr-2&gt;Powder Technol&lt;/abbr-2&gt;&lt;/periodical&gt;&lt;pages&gt;37-43&lt;/pages&gt;&lt;volume&gt;274&lt;/volume&gt;&lt;dates&gt;&lt;year&gt;2015&lt;/year&gt;&lt;/dates&gt;&lt;isbn&gt;0032-5910&lt;/isbn&gt;&lt;urls&gt;&lt;/urls&gt;&lt;/record&gt;&lt;/Cite&gt;&lt;/EndNote&gt;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Santhalakshmy et al. </w:t>
        </w:r>
        <w:r w:rsidR="00E124D1" w:rsidRPr="00B37812">
          <w:rPr>
            <w:rStyle w:val="Hyperlink"/>
            <w:rFonts w:ascii="Times New Roman" w:eastAsia="Calibri" w:hAnsi="Times New Roman" w:cs="Times New Roman"/>
            <w:bCs/>
            <w:noProof/>
            <w:sz w:val="24"/>
            <w:szCs w:val="24"/>
            <w:vertAlign w:val="superscript"/>
            <w:lang w:eastAsia="en-US"/>
          </w:rPr>
          <w:t>19</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sz w:val="24"/>
          <w:szCs w:val="24"/>
          <w:lang w:eastAsia="en-US"/>
        </w:rPr>
        <w:t>.</w:t>
      </w:r>
    </w:p>
    <w:p w14:paraId="1E1C7BFF" w14:textId="0BD28B2E" w:rsidR="00B85163" w:rsidRPr="00B37812" w:rsidRDefault="00B85163" w:rsidP="00A330CD">
      <w:pPr>
        <w:spacing w:after="0" w:line="360" w:lineRule="auto"/>
        <w:ind w:firstLine="720"/>
        <w:jc w:val="both"/>
        <w:rPr>
          <w:rFonts w:ascii="Times New Roman" w:hAnsi="Times New Roman" w:cs="Times New Roman"/>
          <w:sz w:val="24"/>
          <w:szCs w:val="24"/>
          <w:lang w:val="en"/>
        </w:rPr>
      </w:pPr>
      <w:r w:rsidRPr="00B37812">
        <w:rPr>
          <w:rFonts w:ascii="Times New Roman" w:eastAsia="Calibri" w:hAnsi="Times New Roman" w:cs="Times New Roman"/>
          <w:bCs/>
          <w:sz w:val="24"/>
          <w:szCs w:val="24"/>
          <w:lang w:eastAsia="en-US"/>
        </w:rPr>
        <w:t xml:space="preserve">PS of the </w:t>
      </w:r>
      <w:r w:rsidRPr="00B37812">
        <w:rPr>
          <w:rFonts w:ascii="Times New Roman" w:eastAsia="Calibri" w:hAnsi="Times New Roman" w:cs="Times New Roman"/>
          <w:bCs/>
          <w:color w:val="000000"/>
          <w:sz w:val="24"/>
          <w:szCs w:val="24"/>
          <w:lang w:eastAsia="en-US"/>
        </w:rPr>
        <w:t xml:space="preserve">ENP </w:t>
      </w:r>
      <w:r w:rsidRPr="00B37812">
        <w:rPr>
          <w:rFonts w:ascii="Times New Roman" w:eastAsia="Calibri" w:hAnsi="Times New Roman" w:cs="Times New Roman"/>
          <w:bCs/>
          <w:sz w:val="24"/>
          <w:szCs w:val="24"/>
          <w:lang w:eastAsia="en-US"/>
        </w:rPr>
        <w:t xml:space="preserve">was measured </w:t>
      </w:r>
      <w:r w:rsidRPr="00B37812">
        <w:rPr>
          <w:rFonts w:ascii="Times New Roman" w:hAnsi="Times New Roman" w:cs="Times New Roman"/>
          <w:sz w:val="24"/>
          <w:szCs w:val="24"/>
          <w:lang w:val="en"/>
        </w:rPr>
        <w:t xml:space="preserve">using a Master-Sizer 3000 (Malvern Instrument Ltd, </w:t>
      </w:r>
      <w:r w:rsidRPr="00B37812">
        <w:rPr>
          <w:rFonts w:ascii="Times New Roman" w:eastAsia="Calibri" w:hAnsi="Times New Roman" w:cs="Times New Roman"/>
          <w:bCs/>
          <w:sz w:val="24"/>
          <w:szCs w:val="24"/>
          <w:lang w:eastAsia="en-US"/>
        </w:rPr>
        <w:t>Worcestershire,</w:t>
      </w:r>
      <w:r w:rsidRPr="00B37812">
        <w:rPr>
          <w:rFonts w:ascii="Times New Roman" w:hAnsi="Times New Roman" w:cs="Times New Roman"/>
          <w:sz w:val="24"/>
          <w:szCs w:val="24"/>
          <w:lang w:val="en"/>
        </w:rPr>
        <w:t xml:space="preserve"> UK) and expressed as geometric mean (d</w:t>
      </w:r>
      <w:r w:rsidRPr="00B37812">
        <w:rPr>
          <w:rFonts w:ascii="Times New Roman" w:hAnsi="Times New Roman" w:cs="Times New Roman"/>
          <w:sz w:val="24"/>
          <w:szCs w:val="24"/>
          <w:vertAlign w:val="subscript"/>
          <w:lang w:val="en"/>
        </w:rPr>
        <w:t>50</w:t>
      </w:r>
      <w:r w:rsidRPr="00B37812">
        <w:rPr>
          <w:rFonts w:ascii="Times New Roman" w:hAnsi="Times New Roman" w:cs="Times New Roman"/>
          <w:sz w:val="24"/>
          <w:szCs w:val="24"/>
          <w:lang w:val="en"/>
        </w:rPr>
        <w:t xml:space="preserve">). </w:t>
      </w:r>
      <w:r w:rsidRPr="00B37812">
        <w:rPr>
          <w:rFonts w:ascii="Times New Roman" w:eastAsia="Calibri" w:hAnsi="Times New Roman" w:cs="Times New Roman"/>
          <w:bCs/>
          <w:sz w:val="24"/>
          <w:szCs w:val="24"/>
          <w:lang w:eastAsia="en-US"/>
        </w:rPr>
        <w:t xml:space="preserve">For the determination of PD, </w:t>
      </w:r>
      <w:r w:rsidR="004E366E" w:rsidRPr="00B37812">
        <w:rPr>
          <w:rFonts w:ascii="Times New Roman" w:eastAsia="Calibri" w:hAnsi="Times New Roman" w:cs="Times New Roman"/>
          <w:bCs/>
          <w:sz w:val="24"/>
          <w:szCs w:val="24"/>
          <w:lang w:eastAsia="en-US"/>
        </w:rPr>
        <w:t xml:space="preserve">the </w:t>
      </w:r>
      <w:r w:rsidRPr="00B37812">
        <w:rPr>
          <w:rFonts w:ascii="Times New Roman" w:eastAsia="Calibri" w:hAnsi="Times New Roman" w:cs="Times New Roman"/>
          <w:bCs/>
          <w:color w:val="000000"/>
          <w:sz w:val="24"/>
          <w:szCs w:val="24"/>
          <w:lang w:eastAsia="en-US"/>
        </w:rPr>
        <w:t>ENP</w:t>
      </w:r>
      <w:r w:rsidRPr="00B37812">
        <w:rPr>
          <w:rFonts w:ascii="Times New Roman" w:eastAsia="Calibri" w:hAnsi="Times New Roman" w:cs="Times New Roman"/>
          <w:bCs/>
          <w:sz w:val="24"/>
          <w:szCs w:val="24"/>
          <w:lang w:eastAsia="en-US"/>
        </w:rPr>
        <w:t xml:space="preserve"> (1 g) was added to petroleum ether (5 ml) in a graduated cylinder and stirred (5min). The cylinder was washed with petroleum ether (1 ml) and the total volume (suspended particle and petroleum ether) was recorded. The, PD of the ENP was calculated as follows:</w:t>
      </w:r>
    </w:p>
    <w:p w14:paraId="45CDA83F" w14:textId="77777777" w:rsidR="00B85163" w:rsidRPr="00B37812" w:rsidRDefault="00B85163" w:rsidP="00A330CD">
      <w:pPr>
        <w:spacing w:after="0" w:line="360" w:lineRule="auto"/>
        <w:jc w:val="both"/>
        <w:rPr>
          <w:rFonts w:ascii="Times New Roman" w:eastAsia="Calibri" w:hAnsi="Times New Roman" w:cs="Times New Roman"/>
          <w:bCs/>
          <w:sz w:val="24"/>
          <w:szCs w:val="24"/>
          <w:lang w:eastAsia="en-US"/>
        </w:rPr>
      </w:pPr>
      <m:oMath>
        <m:r>
          <w:rPr>
            <w:rFonts w:ascii="Cambria Math" w:eastAsia="Calibri" w:hAnsi="Cambria Math" w:cs="Times New Roman"/>
            <w:sz w:val="24"/>
            <w:szCs w:val="24"/>
            <w:lang w:eastAsia="en-US"/>
          </w:rPr>
          <m:t>PD=powder weight/total volume of</m:t>
        </m:r>
        <m:r>
          <m:rPr>
            <m:sty m:val="p"/>
          </m:rPr>
          <w:rPr>
            <w:rFonts w:ascii="Cambria Math" w:eastAsia="Calibri" w:hAnsi="Cambria Math" w:cs="Times New Roman"/>
            <w:sz w:val="24"/>
            <w:szCs w:val="24"/>
            <w:lang w:eastAsia="en-US"/>
          </w:rPr>
          <m:t>suspended particle and petroleum ether-6</m:t>
        </m:r>
      </m:oMath>
      <w:r w:rsidRPr="00B37812">
        <w:rPr>
          <w:rFonts w:ascii="Times New Roman" w:eastAsia="Calibri" w:hAnsi="Times New Roman" w:cs="Times New Roman"/>
          <w:bCs/>
          <w:sz w:val="24"/>
          <w:szCs w:val="24"/>
          <w:lang w:eastAsia="en-US"/>
        </w:rPr>
        <w:t xml:space="preserve">       (3)</w:t>
      </w:r>
    </w:p>
    <w:p w14:paraId="7DBC6514"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3F7EBB8F" w14:textId="24F5681D"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w:t>
      </w:r>
      <w:r w:rsidR="008869FD" w:rsidRPr="00B37812">
        <w:rPr>
          <w:rFonts w:ascii="Times New Roman" w:eastAsia="Calibri" w:hAnsi="Times New Roman" w:cs="Times New Roman"/>
          <w:b/>
          <w:bCs/>
          <w:color w:val="000000"/>
          <w:sz w:val="24"/>
          <w:szCs w:val="24"/>
          <w:lang w:eastAsia="en-US"/>
        </w:rPr>
        <w:t>6</w:t>
      </w:r>
      <w:r w:rsidRPr="00B37812">
        <w:rPr>
          <w:rFonts w:ascii="Times New Roman" w:eastAsia="Calibri" w:hAnsi="Times New Roman" w:cs="Times New Roman"/>
          <w:b/>
          <w:bCs/>
          <w:color w:val="000000"/>
          <w:sz w:val="24"/>
          <w:szCs w:val="24"/>
          <w:lang w:eastAsia="en-US"/>
        </w:rPr>
        <w:t>. Packing properties</w:t>
      </w:r>
    </w:p>
    <w:p w14:paraId="7BEE2A32"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7AD5CAC7" w14:textId="77D4AF76"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eastAsia="Calibri" w:hAnsi="Times New Roman" w:cs="Times New Roman"/>
          <w:bCs/>
          <w:sz w:val="24"/>
          <w:szCs w:val="24"/>
          <w:lang w:eastAsia="en-US"/>
        </w:rPr>
        <w:t xml:space="preserve">Bulk density (BD), tapped density (TD), Hausner ratio (HR), Carr index (CI), and porosity (PO) were measured as described by </w:t>
      </w:r>
      <w:hyperlink w:anchor="_ENREF_19" w:tooltip="Santhalakshmy, 2015 #1333"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AuthorYear="1"&gt;&lt;Author&gt;Santhalakshmy&lt;/Author&gt;&lt;Year&gt;2015&lt;/Year&gt;&lt;RecNum&gt;1333&lt;/RecNum&gt;&lt;DisplayText&gt;Santhalakshmy et al. &lt;style face="superscript"&gt;19&lt;/style&gt;&lt;/DisplayText&gt;&lt;record&gt;&lt;rec-number&gt;1333&lt;/rec-number&gt;&lt;foreign-keys&gt;&lt;key app="EN" db-id="5wdx0tztgpfe5yefsdpperx8srzetsx0pw9w" timestamp="1510644278"&gt;1333&lt;/key&gt;&lt;/foreign-keys&gt;&lt;ref-type name="Journal Article"&gt;17&lt;/ref-type&gt;&lt;contributors&gt;&lt;authors&gt;&lt;author&gt;Santhalakshmy, Swaminathan&lt;/author&gt;&lt;author&gt;Bosco, Sowriappan John Don&lt;/author&gt;&lt;author&gt;Francis, Sneha&lt;/author&gt;&lt;author&gt;Sabeena, Mallela&lt;/author&gt;&lt;/authors&gt;&lt;/contributors&gt;&lt;titles&gt;&lt;title&gt;Effect of inlet temperature on physicochemical properties of spray-dried jamun fruit juice powder&lt;/title&gt;&lt;secondary-title&gt;Powder Technology&lt;/secondary-title&gt;&lt;/titles&gt;&lt;periodical&gt;&lt;full-title&gt;Powder Technology&lt;/full-title&gt;&lt;abbr-1&gt;Powder Technol.&lt;/abbr-1&gt;&lt;abbr-2&gt;Powder Technol&lt;/abbr-2&gt;&lt;/periodical&gt;&lt;pages&gt;37-43&lt;/pages&gt;&lt;volume&gt;274&lt;/volume&gt;&lt;dates&gt;&lt;year&gt;2015&lt;/year&gt;&lt;/dates&gt;&lt;isbn&gt;0032-5910&lt;/isbn&gt;&lt;urls&gt;&lt;/urls&gt;&lt;/record&gt;&lt;/Cite&gt;&lt;/EndNote&gt;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Santhalakshmy et al. </w:t>
        </w:r>
        <w:r w:rsidR="00E124D1" w:rsidRPr="00B37812">
          <w:rPr>
            <w:rStyle w:val="Hyperlink"/>
            <w:rFonts w:ascii="Times New Roman" w:eastAsia="Calibri" w:hAnsi="Times New Roman" w:cs="Times New Roman"/>
            <w:bCs/>
            <w:noProof/>
            <w:sz w:val="24"/>
            <w:szCs w:val="24"/>
            <w:vertAlign w:val="superscript"/>
            <w:lang w:eastAsia="en-US"/>
          </w:rPr>
          <w:t>19</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sz w:val="24"/>
          <w:szCs w:val="24"/>
          <w:lang w:eastAsia="en-US"/>
        </w:rPr>
        <w:t xml:space="preserve">. Briefly, </w:t>
      </w:r>
      <w:r w:rsidR="004E366E" w:rsidRPr="00B37812">
        <w:rPr>
          <w:rFonts w:ascii="Times New Roman" w:eastAsia="Calibri" w:hAnsi="Times New Roman" w:cs="Times New Roman"/>
          <w:bCs/>
          <w:sz w:val="24"/>
          <w:szCs w:val="24"/>
          <w:lang w:eastAsia="en-US"/>
        </w:rPr>
        <w:t xml:space="preserve">the </w:t>
      </w:r>
      <w:r w:rsidRPr="00B37812">
        <w:rPr>
          <w:rFonts w:ascii="Times New Roman" w:eastAsia="Calibri" w:hAnsi="Times New Roman" w:cs="Times New Roman"/>
          <w:bCs/>
          <w:color w:val="000000"/>
          <w:sz w:val="24"/>
          <w:szCs w:val="24"/>
          <w:lang w:eastAsia="en-US"/>
        </w:rPr>
        <w:t>ENP</w:t>
      </w:r>
      <w:r w:rsidRPr="00B37812">
        <w:rPr>
          <w:rFonts w:ascii="Times New Roman" w:eastAsia="Calibri" w:hAnsi="Times New Roman" w:cs="Times New Roman"/>
          <w:bCs/>
          <w:sz w:val="24"/>
          <w:szCs w:val="24"/>
          <w:lang w:eastAsia="en-US"/>
        </w:rPr>
        <w:t xml:space="preserve"> (2 g) was loaded into a graduated cylinder (10 ml) and the ratio of the mass of </w:t>
      </w:r>
      <w:r w:rsidR="004E366E" w:rsidRPr="00B37812">
        <w:rPr>
          <w:rFonts w:ascii="Times New Roman" w:eastAsia="Calibri" w:hAnsi="Times New Roman" w:cs="Times New Roman"/>
          <w:bCs/>
          <w:sz w:val="24"/>
          <w:szCs w:val="24"/>
          <w:lang w:eastAsia="en-US"/>
        </w:rPr>
        <w:t xml:space="preserve">the </w:t>
      </w:r>
      <w:r w:rsidRPr="00B37812">
        <w:rPr>
          <w:rFonts w:ascii="Times New Roman" w:eastAsia="Calibri" w:hAnsi="Times New Roman" w:cs="Times New Roman"/>
          <w:bCs/>
          <w:sz w:val="24"/>
          <w:szCs w:val="24"/>
          <w:lang w:eastAsia="en-US"/>
        </w:rPr>
        <w:t xml:space="preserve">ENP and the volume occupied was determined as the BD. The TD was determined, by vortexing the cylinder for 1 min and the volume occupied was used to calculate the TD. The HR, CI, and PO of the </w:t>
      </w:r>
      <w:r w:rsidRPr="00B37812">
        <w:rPr>
          <w:rFonts w:ascii="Times New Roman" w:eastAsia="Calibri" w:hAnsi="Times New Roman" w:cs="Times New Roman"/>
          <w:bCs/>
          <w:color w:val="000000"/>
          <w:sz w:val="24"/>
          <w:szCs w:val="24"/>
          <w:lang w:eastAsia="en-US"/>
        </w:rPr>
        <w:t>ENP</w:t>
      </w:r>
      <w:r w:rsidRPr="00B37812">
        <w:rPr>
          <w:rFonts w:ascii="Times New Roman" w:eastAsia="Calibri" w:hAnsi="Times New Roman" w:cs="Times New Roman"/>
          <w:bCs/>
          <w:sz w:val="24"/>
          <w:szCs w:val="24"/>
          <w:lang w:eastAsia="en-US"/>
        </w:rPr>
        <w:t xml:space="preserve"> were calculated as follows:</w:t>
      </w:r>
    </w:p>
    <w:p w14:paraId="76D135FE" w14:textId="56BFD574" w:rsidR="00B85163" w:rsidRPr="00B37812" w:rsidRDefault="00B85163" w:rsidP="00A330CD">
      <w:pPr>
        <w:spacing w:after="0" w:line="360" w:lineRule="auto"/>
        <w:rPr>
          <w:rFonts w:ascii="Times New Roman" w:eastAsia="Calibri" w:hAnsi="Times New Roman" w:cs="Times New Roman"/>
          <w:bCs/>
          <w:sz w:val="24"/>
          <w:szCs w:val="24"/>
          <w:lang w:eastAsia="en-US"/>
        </w:rPr>
      </w:pPr>
      <m:oMath>
        <m:r>
          <w:rPr>
            <w:rFonts w:ascii="Cambria Math" w:eastAsia="Calibri" w:hAnsi="Cambria Math" w:cs="Times New Roman"/>
            <w:sz w:val="24"/>
            <w:szCs w:val="24"/>
            <w:lang w:eastAsia="en-US"/>
          </w:rPr>
          <m:t xml:space="preserve">HR=tapped density/bulk density </m:t>
        </m:r>
      </m:oMath>
      <w:r w:rsidRPr="00B37812">
        <w:rPr>
          <w:rFonts w:ascii="Times New Roman" w:eastAsia="Calibri" w:hAnsi="Times New Roman" w:cs="Times New Roman"/>
          <w:bCs/>
          <w:sz w:val="24"/>
          <w:szCs w:val="24"/>
          <w:lang w:eastAsia="en-US"/>
        </w:rPr>
        <w:t xml:space="preserve">          </w:t>
      </w:r>
      <w:r w:rsidR="00A02953"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sz w:val="24"/>
          <w:szCs w:val="24"/>
          <w:lang w:eastAsia="en-US"/>
        </w:rPr>
        <w:t xml:space="preserve">    </w:t>
      </w:r>
      <w:r w:rsidR="00C829AF"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sz w:val="24"/>
          <w:szCs w:val="24"/>
          <w:lang w:eastAsia="en-US"/>
        </w:rPr>
        <w:t xml:space="preserve">                                                              </w:t>
      </w:r>
      <w:r w:rsidR="00A02953"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sz w:val="24"/>
          <w:szCs w:val="24"/>
          <w:lang w:eastAsia="en-US"/>
        </w:rPr>
        <w:t>(4)</w:t>
      </w:r>
    </w:p>
    <w:p w14:paraId="53113B4C" w14:textId="3F025C1F" w:rsidR="00B85163" w:rsidRPr="00B37812" w:rsidRDefault="00B85163" w:rsidP="00A330CD">
      <w:pPr>
        <w:spacing w:after="0" w:line="360" w:lineRule="auto"/>
        <w:jc w:val="both"/>
        <w:rPr>
          <w:rFonts w:ascii="Times New Roman" w:eastAsia="Calibri" w:hAnsi="Times New Roman" w:cs="Times New Roman"/>
          <w:bCs/>
          <w:sz w:val="24"/>
          <w:szCs w:val="24"/>
          <w:lang w:eastAsia="en-US"/>
        </w:rPr>
      </w:pPr>
      <m:oMath>
        <m:r>
          <w:rPr>
            <w:rFonts w:ascii="Cambria Math" w:eastAsia="Calibri" w:hAnsi="Cambria Math" w:cs="Times New Roman"/>
            <w:sz w:val="24"/>
            <w:szCs w:val="24"/>
            <w:lang w:eastAsia="en-US"/>
          </w:rPr>
          <m:t>CI=(tapped density-bulk density/tapped density)×100</m:t>
        </m:r>
      </m:oMath>
      <w:r w:rsidRPr="00B37812">
        <w:rPr>
          <w:rFonts w:ascii="Times New Roman" w:eastAsia="Calibri" w:hAnsi="Times New Roman" w:cs="Times New Roman"/>
          <w:bCs/>
          <w:sz w:val="24"/>
          <w:szCs w:val="24"/>
          <w:lang w:eastAsia="en-US"/>
        </w:rPr>
        <w:t xml:space="preserve">             </w:t>
      </w:r>
      <w:r w:rsidR="00C829AF" w:rsidRPr="00B37812">
        <w:rPr>
          <w:rFonts w:ascii="Times New Roman" w:eastAsia="Calibri" w:hAnsi="Times New Roman" w:cs="Times New Roman"/>
          <w:bCs/>
          <w:sz w:val="24"/>
          <w:szCs w:val="24"/>
          <w:lang w:eastAsia="en-US"/>
        </w:rPr>
        <w:t xml:space="preserve">                          </w:t>
      </w:r>
      <w:r w:rsidR="00846363" w:rsidRPr="00B37812">
        <w:rPr>
          <w:rFonts w:ascii="Times New Roman" w:eastAsia="Calibri" w:hAnsi="Times New Roman" w:cs="Times New Roman"/>
          <w:bCs/>
          <w:sz w:val="24"/>
          <w:szCs w:val="24"/>
          <w:lang w:eastAsia="en-US"/>
        </w:rPr>
        <w:t xml:space="preserve">     </w:t>
      </w:r>
      <w:r w:rsidR="00C829AF"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sz w:val="24"/>
          <w:szCs w:val="24"/>
          <w:lang w:eastAsia="en-US"/>
        </w:rPr>
        <w:t>(5)</w:t>
      </w:r>
    </w:p>
    <w:p w14:paraId="571CAD59" w14:textId="3571AA93" w:rsidR="00B85163" w:rsidRPr="00B37812" w:rsidRDefault="00B85163" w:rsidP="00A330CD">
      <w:pPr>
        <w:spacing w:after="0" w:line="360" w:lineRule="auto"/>
        <w:jc w:val="both"/>
        <w:rPr>
          <w:rFonts w:ascii="Times New Roman" w:eastAsia="Calibri" w:hAnsi="Times New Roman" w:cs="Times New Roman"/>
          <w:bCs/>
          <w:sz w:val="24"/>
          <w:szCs w:val="24"/>
          <w:lang w:eastAsia="en-US"/>
        </w:rPr>
      </w:pPr>
      <m:oMath>
        <m:r>
          <w:rPr>
            <w:rFonts w:ascii="Cambria Math" w:eastAsia="Calibri" w:hAnsi="Cambria Math" w:cs="Times New Roman"/>
            <w:sz w:val="24"/>
            <w:szCs w:val="24"/>
            <w:lang w:eastAsia="en-US"/>
          </w:rPr>
          <m:t>PO=(particle density-tapped density/particle density)×100</m:t>
        </m:r>
      </m:oMath>
      <w:r w:rsidRPr="00B37812">
        <w:rPr>
          <w:rFonts w:ascii="Times New Roman" w:eastAsia="Calibri" w:hAnsi="Times New Roman" w:cs="Times New Roman"/>
          <w:bCs/>
          <w:sz w:val="24"/>
          <w:szCs w:val="24"/>
          <w:lang w:eastAsia="en-US"/>
        </w:rPr>
        <w:t xml:space="preserve">                      </w:t>
      </w:r>
      <w:r w:rsidR="00C829AF" w:rsidRPr="00B37812">
        <w:rPr>
          <w:rFonts w:ascii="Times New Roman" w:eastAsia="Calibri" w:hAnsi="Times New Roman" w:cs="Times New Roman"/>
          <w:bCs/>
          <w:sz w:val="24"/>
          <w:szCs w:val="24"/>
          <w:lang w:eastAsia="en-US"/>
        </w:rPr>
        <w:t xml:space="preserve">        </w:t>
      </w:r>
      <w:r w:rsidR="00846363" w:rsidRPr="00B37812">
        <w:rPr>
          <w:rFonts w:ascii="Times New Roman" w:eastAsia="Calibri" w:hAnsi="Times New Roman" w:cs="Times New Roman"/>
          <w:bCs/>
          <w:sz w:val="24"/>
          <w:szCs w:val="24"/>
          <w:lang w:eastAsia="en-US"/>
        </w:rPr>
        <w:t xml:space="preserve">   </w:t>
      </w:r>
      <w:r w:rsidR="00C829AF"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sz w:val="24"/>
          <w:szCs w:val="24"/>
          <w:lang w:eastAsia="en-US"/>
        </w:rPr>
        <w:t>(6)</w:t>
      </w:r>
    </w:p>
    <w:p w14:paraId="023307E7"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7AC2D0DA" w14:textId="4165C425"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w:t>
      </w:r>
      <w:r w:rsidR="008869FD" w:rsidRPr="00B37812">
        <w:rPr>
          <w:rFonts w:ascii="Times New Roman" w:eastAsia="Calibri" w:hAnsi="Times New Roman" w:cs="Times New Roman"/>
          <w:b/>
          <w:bCs/>
          <w:color w:val="000000"/>
          <w:sz w:val="24"/>
          <w:szCs w:val="24"/>
          <w:lang w:eastAsia="en-US"/>
        </w:rPr>
        <w:t>7</w:t>
      </w:r>
      <w:r w:rsidRPr="00B37812">
        <w:rPr>
          <w:rFonts w:ascii="Times New Roman" w:eastAsia="Calibri" w:hAnsi="Times New Roman" w:cs="Times New Roman"/>
          <w:b/>
          <w:bCs/>
          <w:color w:val="000000"/>
          <w:sz w:val="24"/>
          <w:szCs w:val="24"/>
          <w:lang w:eastAsia="en-US"/>
        </w:rPr>
        <w:t>. Reconstitution properties</w:t>
      </w:r>
    </w:p>
    <w:p w14:paraId="1ED33449"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 xml:space="preserve">  </w:t>
      </w:r>
    </w:p>
    <w:p w14:paraId="27898D18" w14:textId="5553C0A4"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hAnsi="Times New Roman" w:cs="Times New Roman"/>
          <w:sz w:val="24"/>
          <w:szCs w:val="24"/>
        </w:rPr>
        <w:t xml:space="preserve">Water solubility index (WSI) and wettability (WET) </w:t>
      </w:r>
      <w:r w:rsidRPr="00B37812">
        <w:rPr>
          <w:rFonts w:ascii="Times New Roman" w:hAnsi="Times New Roman" w:cs="Times New Roman"/>
          <w:sz w:val="24"/>
          <w:szCs w:val="24"/>
          <w:lang w:val="en"/>
        </w:rPr>
        <w:t xml:space="preserve">were measured according to </w:t>
      </w:r>
      <w:hyperlink w:anchor="_ENREF_19" w:tooltip="Santhalakshmy, 2015 #1333"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AuthorYear="1"&gt;&lt;Author&gt;Santhalakshmy&lt;/Author&gt;&lt;Year&gt;2015&lt;/Year&gt;&lt;RecNum&gt;1333&lt;/RecNum&gt;&lt;DisplayText&gt;Santhalakshmy et al. &lt;style face="superscript"&gt;19&lt;/style&gt;&lt;/DisplayText&gt;&lt;record&gt;&lt;rec-number&gt;1333&lt;/rec-number&gt;&lt;foreign-keys&gt;&lt;key app="EN" db-id="5wdx0tztgpfe5yefsdpperx8srzetsx0pw9w" timestamp="1510644278"&gt;1333&lt;/key&gt;&lt;/foreign-keys&gt;&lt;ref-type name="Journal Article"&gt;17&lt;/ref-type&gt;&lt;contributors&gt;&lt;authors&gt;&lt;author&gt;Santhalakshmy, Swaminathan&lt;/author&gt;&lt;author&gt;Bosco, Sowriappan John Don&lt;/author&gt;&lt;author&gt;Francis, Sneha&lt;/author&gt;&lt;author&gt;Sabeena, Mallela&lt;/author&gt;&lt;/authors&gt;&lt;/contributors&gt;&lt;titles&gt;&lt;title&gt;Effect of inlet temperature on physicochemical properties of spray-dried jamun fruit juice powder&lt;/title&gt;&lt;secondary-title&gt;Powder Technology&lt;/secondary-title&gt;&lt;/titles&gt;&lt;periodical&gt;&lt;full-title&gt;Powder Technology&lt;/full-title&gt;&lt;abbr-1&gt;Powder Technol.&lt;/abbr-1&gt;&lt;abbr-2&gt;Powder Technol&lt;/abbr-2&gt;&lt;/periodical&gt;&lt;pages&gt;37-43&lt;/pages&gt;&lt;volume&gt;274&lt;/volume&gt;&lt;dates&gt;&lt;year&gt;2015&lt;/year&gt;&lt;/dates&gt;&lt;isbn&gt;0032-5910&lt;/isbn&gt;&lt;urls&gt;&lt;/urls&gt;&lt;/record&gt;&lt;/Cite&gt;&lt;/EndNote&gt;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Santhalakshmy et al. </w:t>
        </w:r>
        <w:r w:rsidR="00E124D1" w:rsidRPr="00B37812">
          <w:rPr>
            <w:rStyle w:val="Hyperlink"/>
            <w:rFonts w:ascii="Times New Roman" w:eastAsia="Calibri" w:hAnsi="Times New Roman" w:cs="Times New Roman"/>
            <w:bCs/>
            <w:noProof/>
            <w:sz w:val="24"/>
            <w:szCs w:val="24"/>
            <w:vertAlign w:val="superscript"/>
            <w:lang w:eastAsia="en-US"/>
          </w:rPr>
          <w:t>19</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sz w:val="24"/>
          <w:szCs w:val="24"/>
          <w:lang w:eastAsia="en-US"/>
        </w:rPr>
        <w:t xml:space="preserve">. Briefly, </w:t>
      </w:r>
      <w:r w:rsidR="004E366E" w:rsidRPr="00B37812">
        <w:rPr>
          <w:rFonts w:ascii="Times New Roman" w:eastAsia="Calibri" w:hAnsi="Times New Roman" w:cs="Times New Roman"/>
          <w:bCs/>
          <w:sz w:val="24"/>
          <w:szCs w:val="24"/>
          <w:lang w:eastAsia="en-US"/>
        </w:rPr>
        <w:t xml:space="preserve">the </w:t>
      </w:r>
      <w:r w:rsidRPr="00B37812">
        <w:rPr>
          <w:rFonts w:ascii="Times New Roman" w:eastAsia="Calibri" w:hAnsi="Times New Roman" w:cs="Times New Roman"/>
          <w:bCs/>
          <w:color w:val="000000"/>
          <w:sz w:val="24"/>
          <w:szCs w:val="24"/>
          <w:lang w:eastAsia="en-US"/>
        </w:rPr>
        <w:t>ENP</w:t>
      </w:r>
      <w:r w:rsidRPr="00B37812">
        <w:rPr>
          <w:rFonts w:ascii="Times New Roman" w:eastAsia="Calibri" w:hAnsi="Times New Roman" w:cs="Times New Roman"/>
          <w:bCs/>
          <w:sz w:val="24"/>
          <w:szCs w:val="24"/>
          <w:lang w:eastAsia="en-US"/>
        </w:rPr>
        <w:t xml:space="preserve"> (2.5 g) was added to distilled water (30 ml, 30 °C), vortex (15 min), and then centrifuged (</w:t>
      </w:r>
      <w:r w:rsidR="00BF7C2F" w:rsidRPr="00B37812">
        <w:rPr>
          <w:rFonts w:ascii="Times New Roman" w:hAnsi="Times New Roman" w:cs="Times New Roman"/>
          <w:bCs/>
          <w:sz w:val="24"/>
          <w:szCs w:val="24"/>
          <w:lang w:val="en-GB"/>
        </w:rPr>
        <w:t>9056 g</w:t>
      </w:r>
      <w:r w:rsidRPr="00B37812">
        <w:rPr>
          <w:rFonts w:ascii="Times New Roman" w:eastAsia="Calibri" w:hAnsi="Times New Roman" w:cs="Times New Roman"/>
          <w:bCs/>
          <w:sz w:val="24"/>
          <w:szCs w:val="24"/>
          <w:lang w:eastAsia="en-US"/>
        </w:rPr>
        <w:t xml:space="preserve"> 10 min). The supernatant was </w:t>
      </w:r>
      <w:r w:rsidRPr="00B37812">
        <w:rPr>
          <w:rFonts w:ascii="Times New Roman" w:eastAsia="Calibri" w:hAnsi="Times New Roman" w:cs="Times New Roman"/>
          <w:bCs/>
          <w:color w:val="000000"/>
          <w:sz w:val="24"/>
          <w:szCs w:val="24"/>
          <w:lang w:eastAsia="en-US"/>
        </w:rPr>
        <w:t xml:space="preserve">collected in a petri dish and oven dried (105 °C, 8 h). The WSI of the ENP was </w:t>
      </w:r>
      <w:r w:rsidR="00A42351" w:rsidRPr="00B37812">
        <w:rPr>
          <w:rFonts w:ascii="Times New Roman" w:eastAsia="Calibri" w:hAnsi="Times New Roman" w:cs="Times New Roman"/>
          <w:bCs/>
          <w:color w:val="000000"/>
          <w:sz w:val="24"/>
          <w:szCs w:val="24"/>
          <w:lang w:eastAsia="en-US"/>
        </w:rPr>
        <w:t xml:space="preserve">expressed </w:t>
      </w:r>
      <w:r w:rsidR="00504D88" w:rsidRPr="00B37812">
        <w:rPr>
          <w:rFonts w:ascii="Times New Roman" w:eastAsia="Calibri" w:hAnsi="Times New Roman" w:cs="Times New Roman"/>
          <w:bCs/>
          <w:color w:val="000000"/>
          <w:sz w:val="24"/>
          <w:szCs w:val="24"/>
          <w:lang w:eastAsia="en-US"/>
        </w:rPr>
        <w:t>as</w:t>
      </w:r>
      <w:r w:rsidR="00A42351" w:rsidRPr="00B37812">
        <w:rPr>
          <w:rFonts w:ascii="Times New Roman" w:eastAsia="Calibri" w:hAnsi="Times New Roman" w:cs="Times New Roman"/>
          <w:bCs/>
          <w:color w:val="000000"/>
          <w:sz w:val="24"/>
          <w:szCs w:val="24"/>
          <w:lang w:eastAsia="en-US"/>
        </w:rPr>
        <w:t xml:space="preserve"> percent</w:t>
      </w:r>
      <w:r w:rsidR="00F46BA8" w:rsidRPr="00B37812">
        <w:rPr>
          <w:rFonts w:ascii="Times New Roman" w:eastAsia="Calibri" w:hAnsi="Times New Roman" w:cs="Times New Roman"/>
          <w:bCs/>
          <w:color w:val="000000"/>
          <w:sz w:val="24"/>
          <w:szCs w:val="24"/>
          <w:lang w:eastAsia="en-US"/>
        </w:rPr>
        <w:t>age</w:t>
      </w:r>
      <w:r w:rsidR="00A42351" w:rsidRPr="00B37812">
        <w:rPr>
          <w:rFonts w:ascii="Times New Roman" w:eastAsia="Calibri" w:hAnsi="Times New Roman" w:cs="Times New Roman"/>
          <w:bCs/>
          <w:color w:val="000000"/>
          <w:sz w:val="24"/>
          <w:szCs w:val="24"/>
          <w:lang w:eastAsia="en-US"/>
        </w:rPr>
        <w:t xml:space="preserve"> </w:t>
      </w:r>
      <w:r w:rsidR="00504D88" w:rsidRPr="00B37812">
        <w:rPr>
          <w:rFonts w:ascii="Times New Roman" w:eastAsia="Calibri" w:hAnsi="Times New Roman" w:cs="Times New Roman"/>
          <w:bCs/>
          <w:color w:val="000000"/>
          <w:sz w:val="24"/>
          <w:szCs w:val="24"/>
          <w:lang w:eastAsia="en-US"/>
        </w:rPr>
        <w:t>according to</w:t>
      </w:r>
      <w:r w:rsidR="00A42351" w:rsidRPr="00B37812">
        <w:rPr>
          <w:rFonts w:ascii="Times New Roman" w:eastAsia="Calibri" w:hAnsi="Times New Roman" w:cs="Times New Roman"/>
          <w:bCs/>
          <w:color w:val="000000"/>
          <w:sz w:val="24"/>
          <w:szCs w:val="24"/>
          <w:lang w:eastAsia="en-US"/>
        </w:rPr>
        <w:t xml:space="preserve"> the </w:t>
      </w:r>
      <w:r w:rsidR="00504D88" w:rsidRPr="00B37812">
        <w:rPr>
          <w:rFonts w:ascii="Times New Roman" w:eastAsia="Calibri" w:hAnsi="Times New Roman" w:cs="Times New Roman"/>
          <w:bCs/>
          <w:sz w:val="24"/>
          <w:szCs w:val="24"/>
          <w:lang w:eastAsia="en-US"/>
        </w:rPr>
        <w:t>following</w:t>
      </w:r>
      <w:r w:rsidR="00504D88" w:rsidRPr="00B37812">
        <w:rPr>
          <w:rFonts w:ascii="Times New Roman" w:eastAsia="Calibri" w:hAnsi="Times New Roman" w:cs="Times New Roman"/>
          <w:bCs/>
          <w:color w:val="000000"/>
          <w:sz w:val="24"/>
          <w:szCs w:val="24"/>
          <w:lang w:eastAsia="en-US"/>
        </w:rPr>
        <w:t xml:space="preserve"> </w:t>
      </w:r>
      <w:r w:rsidR="00A42351" w:rsidRPr="00B37812">
        <w:rPr>
          <w:rFonts w:ascii="Times New Roman" w:eastAsia="Calibri" w:hAnsi="Times New Roman" w:cs="Times New Roman"/>
          <w:bCs/>
          <w:color w:val="000000"/>
          <w:sz w:val="24"/>
          <w:szCs w:val="24"/>
          <w:lang w:eastAsia="en-US"/>
        </w:rPr>
        <w:t>equation</w:t>
      </w:r>
      <w:r w:rsidRPr="00B37812">
        <w:rPr>
          <w:rFonts w:ascii="Times New Roman" w:eastAsia="Calibri" w:hAnsi="Times New Roman" w:cs="Times New Roman"/>
          <w:bCs/>
          <w:sz w:val="24"/>
          <w:szCs w:val="24"/>
          <w:lang w:eastAsia="en-US"/>
        </w:rPr>
        <w:t xml:space="preserve">:      </w:t>
      </w:r>
    </w:p>
    <w:p w14:paraId="62F68A83" w14:textId="2EE48C84" w:rsidR="00B85163" w:rsidRPr="00B37812" w:rsidRDefault="00B85163" w:rsidP="00A330CD">
      <w:pPr>
        <w:spacing w:after="0" w:line="360" w:lineRule="auto"/>
        <w:jc w:val="both"/>
        <w:rPr>
          <w:rFonts w:ascii="Times New Roman" w:eastAsia="Calibri" w:hAnsi="Times New Roman" w:cs="Times New Roman"/>
          <w:bCs/>
          <w:sz w:val="24"/>
          <w:szCs w:val="24"/>
          <w:lang w:eastAsia="en-US"/>
        </w:rPr>
      </w:pPr>
      <m:oMath>
        <m:r>
          <w:rPr>
            <w:rFonts w:ascii="Cambria Math" w:eastAsia="Calibri" w:hAnsi="Cambria Math" w:cs="Times New Roman"/>
            <w:sz w:val="24"/>
            <w:szCs w:val="24"/>
            <w:lang w:eastAsia="en-US"/>
          </w:rPr>
          <m:t>WSI=(dry weight of  supernatant/dry weight of ENP)×100</m:t>
        </m:r>
      </m:oMath>
      <w:r w:rsidRPr="00B37812">
        <w:rPr>
          <w:rFonts w:ascii="Times New Roman" w:eastAsia="Calibri" w:hAnsi="Times New Roman" w:cs="Times New Roman"/>
          <w:bCs/>
          <w:sz w:val="24"/>
          <w:szCs w:val="24"/>
          <w:lang w:eastAsia="en-US"/>
        </w:rPr>
        <w:t xml:space="preserve">                              </w:t>
      </w:r>
      <w:r w:rsidR="00846363"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sz w:val="24"/>
          <w:szCs w:val="24"/>
          <w:lang w:eastAsia="en-US"/>
        </w:rPr>
        <w:t xml:space="preserve">        (7)</w:t>
      </w:r>
    </w:p>
    <w:p w14:paraId="272CB7A8"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eastAsia="Calibri" w:hAnsi="Times New Roman" w:cs="Times New Roman"/>
          <w:bCs/>
          <w:sz w:val="24"/>
          <w:szCs w:val="24"/>
          <w:lang w:eastAsia="en-US"/>
        </w:rPr>
        <w:t xml:space="preserve">WET was determined by recording the time for complete wetting of the </w:t>
      </w:r>
      <w:r w:rsidRPr="00B37812">
        <w:rPr>
          <w:rFonts w:ascii="Times New Roman" w:eastAsia="Calibri" w:hAnsi="Times New Roman" w:cs="Times New Roman"/>
          <w:bCs/>
          <w:color w:val="000000"/>
          <w:sz w:val="24"/>
          <w:szCs w:val="24"/>
          <w:lang w:eastAsia="en-US"/>
        </w:rPr>
        <w:t xml:space="preserve">ENP </w:t>
      </w:r>
      <w:r w:rsidRPr="00B37812">
        <w:rPr>
          <w:rFonts w:ascii="Times New Roman" w:eastAsia="Calibri" w:hAnsi="Times New Roman" w:cs="Times New Roman"/>
          <w:bCs/>
          <w:sz w:val="24"/>
          <w:szCs w:val="24"/>
          <w:lang w:eastAsia="en-US"/>
        </w:rPr>
        <w:t xml:space="preserve">(1 g) deposited on the surface of the distilled water (400 ml, 25 °C). </w:t>
      </w:r>
    </w:p>
    <w:p w14:paraId="798E695E"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p>
    <w:p w14:paraId="676D23F9" w14:textId="45776CBD"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w:t>
      </w:r>
      <w:r w:rsidR="008869FD" w:rsidRPr="00B37812">
        <w:rPr>
          <w:rFonts w:ascii="Times New Roman" w:eastAsia="Calibri" w:hAnsi="Times New Roman" w:cs="Times New Roman"/>
          <w:b/>
          <w:bCs/>
          <w:color w:val="000000"/>
          <w:sz w:val="24"/>
          <w:szCs w:val="24"/>
          <w:lang w:eastAsia="en-US"/>
        </w:rPr>
        <w:t>8</w:t>
      </w:r>
      <w:r w:rsidRPr="00B37812">
        <w:rPr>
          <w:rFonts w:ascii="Times New Roman" w:eastAsia="Calibri" w:hAnsi="Times New Roman" w:cs="Times New Roman"/>
          <w:b/>
          <w:bCs/>
          <w:color w:val="000000"/>
          <w:sz w:val="24"/>
          <w:szCs w:val="24"/>
          <w:lang w:eastAsia="en-US"/>
        </w:rPr>
        <w:t>. Shelf-life properties</w:t>
      </w:r>
    </w:p>
    <w:p w14:paraId="6109E5CA"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 xml:space="preserve">  </w:t>
      </w:r>
    </w:p>
    <w:p w14:paraId="53C16A85" w14:textId="5BF5610F" w:rsidR="00B85163" w:rsidRPr="00B37812" w:rsidRDefault="00B85163" w:rsidP="00A330CD">
      <w:pPr>
        <w:spacing w:after="0" w:line="360" w:lineRule="auto"/>
        <w:ind w:firstLine="720"/>
        <w:jc w:val="both"/>
        <w:rPr>
          <w:rFonts w:ascii="Times New Roman" w:eastAsia="Calibri" w:hAnsi="Times New Roman" w:cs="Times New Roman"/>
          <w:b/>
          <w:bCs/>
          <w:color w:val="000000"/>
          <w:sz w:val="24"/>
          <w:szCs w:val="24"/>
          <w:lang w:eastAsia="en-US"/>
        </w:rPr>
      </w:pPr>
      <w:r w:rsidRPr="00B37812">
        <w:rPr>
          <w:rFonts w:ascii="Times New Roman" w:hAnsi="Times New Roman" w:cs="Times New Roman"/>
          <w:sz w:val="24"/>
          <w:szCs w:val="24"/>
        </w:rPr>
        <w:t xml:space="preserve">Moisture content (MC), hygroscopicity (HG), glass transition temperature (GT), and water activity (WA) were </w:t>
      </w:r>
      <w:r w:rsidRPr="00B37812">
        <w:rPr>
          <w:rFonts w:ascii="Times New Roman" w:hAnsi="Times New Roman" w:cs="Times New Roman"/>
          <w:sz w:val="24"/>
          <w:szCs w:val="24"/>
          <w:lang w:val="en"/>
        </w:rPr>
        <w:t xml:space="preserve">measured according to </w:t>
      </w:r>
      <w:hyperlink w:anchor="_ENREF_19" w:tooltip="Santhalakshmy, 2015 #1333"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AuthorYear="1"&gt;&lt;Author&gt;Santhalakshmy&lt;/Author&gt;&lt;Year&gt;2015&lt;/Year&gt;&lt;RecNum&gt;1333&lt;/RecNum&gt;&lt;DisplayText&gt;Santhalakshmy et al. &lt;style face="superscript"&gt;19&lt;/style&gt;&lt;/DisplayText&gt;&lt;record&gt;&lt;rec-number&gt;1333&lt;/rec-number&gt;&lt;foreign-keys&gt;&lt;key app="EN" db-id="5wdx0tztgpfe5yefsdpperx8srzetsx0pw9w" timestamp="1510644278"&gt;1333&lt;/key&gt;&lt;/foreign-keys&gt;&lt;ref-type name="Journal Article"&gt;17&lt;/ref-type&gt;&lt;contributors&gt;&lt;authors&gt;&lt;author&gt;Santhalakshmy, Swaminathan&lt;/author&gt;&lt;author&gt;Bosco, Sowriappan John Don&lt;/author&gt;&lt;author&gt;Francis, Sneha&lt;/author&gt;&lt;author&gt;Sabeena, Mallela&lt;/author&gt;&lt;/authors&gt;&lt;/contributors&gt;&lt;titles&gt;&lt;title&gt;Effect of inlet temperature on physicochemical properties of spray-dried jamun fruit juice powder&lt;/title&gt;&lt;secondary-title&gt;Powder Technology&lt;/secondary-title&gt;&lt;/titles&gt;&lt;periodical&gt;&lt;full-title&gt;Powder Technology&lt;/full-title&gt;&lt;abbr-1&gt;Powder Technol.&lt;/abbr-1&gt;&lt;abbr-2&gt;Powder Technol&lt;/abbr-2&gt;&lt;/periodical&gt;&lt;pages&gt;37-43&lt;/pages&gt;&lt;volume&gt;274&lt;/volume&gt;&lt;dates&gt;&lt;year&gt;2015&lt;/year&gt;&lt;/dates&gt;&lt;isbn&gt;0032-5910&lt;/isbn&gt;&lt;urls&gt;&lt;/urls&gt;&lt;/record&gt;&lt;/Cite&gt;&lt;/EndNote&gt;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Santhalakshmy et al. </w:t>
        </w:r>
        <w:r w:rsidR="00E124D1" w:rsidRPr="00B37812">
          <w:rPr>
            <w:rStyle w:val="Hyperlink"/>
            <w:rFonts w:ascii="Times New Roman" w:eastAsia="Calibri" w:hAnsi="Times New Roman" w:cs="Times New Roman"/>
            <w:bCs/>
            <w:noProof/>
            <w:sz w:val="24"/>
            <w:szCs w:val="24"/>
            <w:vertAlign w:val="superscript"/>
            <w:lang w:eastAsia="en-US"/>
          </w:rPr>
          <w:t>19</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sz w:val="24"/>
          <w:szCs w:val="24"/>
          <w:lang w:eastAsia="en-US"/>
        </w:rPr>
        <w:t>.</w:t>
      </w:r>
    </w:p>
    <w:p w14:paraId="3E205EFC" w14:textId="5D5CAAAB"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hAnsi="Times New Roman" w:cs="Times New Roman"/>
          <w:sz w:val="24"/>
          <w:szCs w:val="24"/>
        </w:rPr>
        <w:t xml:space="preserve">MC </w:t>
      </w:r>
      <w:r w:rsidRPr="00B37812">
        <w:rPr>
          <w:rFonts w:ascii="Times New Roman" w:eastAsia="Calibri" w:hAnsi="Times New Roman" w:cs="Times New Roman"/>
          <w:bCs/>
          <w:sz w:val="24"/>
          <w:szCs w:val="24"/>
          <w:lang w:eastAsia="en-US"/>
        </w:rPr>
        <w:t xml:space="preserve">of the </w:t>
      </w:r>
      <w:r w:rsidRPr="00B37812">
        <w:rPr>
          <w:rFonts w:ascii="Times New Roman" w:eastAsia="Calibri" w:hAnsi="Times New Roman" w:cs="Times New Roman"/>
          <w:bCs/>
          <w:color w:val="000000"/>
          <w:sz w:val="24"/>
          <w:szCs w:val="24"/>
          <w:lang w:eastAsia="en-US"/>
        </w:rPr>
        <w:t xml:space="preserve">ENP </w:t>
      </w:r>
      <w:r w:rsidRPr="00B37812">
        <w:rPr>
          <w:rFonts w:ascii="Times New Roman" w:eastAsia="Calibri" w:hAnsi="Times New Roman" w:cs="Times New Roman"/>
          <w:bCs/>
          <w:sz w:val="24"/>
          <w:szCs w:val="24"/>
          <w:lang w:eastAsia="en-US"/>
        </w:rPr>
        <w:t>was measured gravimetrically (105 °C, 24 h)</w:t>
      </w:r>
      <w:r w:rsidR="005760D5" w:rsidRPr="00B37812">
        <w:rPr>
          <w:rFonts w:ascii="Times New Roman" w:eastAsia="Calibri" w:hAnsi="Times New Roman" w:cs="Times New Roman"/>
          <w:bCs/>
          <w:sz w:val="24"/>
          <w:szCs w:val="24"/>
          <w:lang w:eastAsia="en-US"/>
        </w:rPr>
        <w:t xml:space="preserve"> and expressed as percent</w:t>
      </w:r>
      <w:r w:rsidR="00F46BA8" w:rsidRPr="00B37812">
        <w:rPr>
          <w:rFonts w:ascii="Times New Roman" w:eastAsia="Calibri" w:hAnsi="Times New Roman" w:cs="Times New Roman"/>
          <w:bCs/>
          <w:sz w:val="24"/>
          <w:szCs w:val="24"/>
          <w:lang w:eastAsia="en-US"/>
        </w:rPr>
        <w:t>age</w:t>
      </w:r>
      <w:r w:rsidR="005760D5" w:rsidRPr="00B37812">
        <w:rPr>
          <w:rFonts w:ascii="Times New Roman" w:eastAsia="Calibri" w:hAnsi="Times New Roman" w:cs="Times New Roman"/>
          <w:bCs/>
          <w:sz w:val="24"/>
          <w:szCs w:val="24"/>
          <w:lang w:eastAsia="en-US"/>
        </w:rPr>
        <w:t xml:space="preserve"> of dry basis</w:t>
      </w:r>
      <w:r w:rsidRPr="00B37812">
        <w:rPr>
          <w:rFonts w:ascii="Times New Roman" w:eastAsia="Calibri" w:hAnsi="Times New Roman" w:cs="Times New Roman"/>
          <w:bCs/>
          <w:sz w:val="24"/>
          <w:szCs w:val="24"/>
          <w:lang w:eastAsia="en-US"/>
        </w:rPr>
        <w:t xml:space="preserve">. For the determination of the HG, the </w:t>
      </w:r>
      <w:r w:rsidRPr="00B37812">
        <w:rPr>
          <w:rFonts w:ascii="Times New Roman" w:eastAsia="Calibri" w:hAnsi="Times New Roman" w:cs="Times New Roman"/>
          <w:bCs/>
          <w:color w:val="000000"/>
          <w:sz w:val="24"/>
          <w:szCs w:val="24"/>
          <w:lang w:eastAsia="en-US"/>
        </w:rPr>
        <w:t xml:space="preserve">ENP </w:t>
      </w:r>
      <w:r w:rsidRPr="00B37812">
        <w:rPr>
          <w:rFonts w:ascii="Times New Roman" w:eastAsia="Calibri" w:hAnsi="Times New Roman" w:cs="Times New Roman"/>
          <w:bCs/>
          <w:sz w:val="24"/>
          <w:szCs w:val="24"/>
          <w:lang w:eastAsia="en-US"/>
        </w:rPr>
        <w:t>(1 g) were stored (at 25 °C) for 7 days in a container containing a saturated solution of NaCl (75% relative humidity). The HG of</w:t>
      </w:r>
      <w:r w:rsidRPr="00B37812">
        <w:rPr>
          <w:rFonts w:ascii="Times New Roman" w:eastAsia="Calibri" w:hAnsi="Times New Roman" w:cs="Times New Roman"/>
          <w:bCs/>
          <w:color w:val="000000"/>
          <w:sz w:val="24"/>
          <w:szCs w:val="24"/>
          <w:lang w:eastAsia="en-US"/>
        </w:rPr>
        <w:t xml:space="preserve"> the ENP </w:t>
      </w:r>
      <w:r w:rsidRPr="00B37812">
        <w:rPr>
          <w:rFonts w:ascii="Times New Roman" w:eastAsia="Calibri" w:hAnsi="Times New Roman" w:cs="Times New Roman"/>
          <w:bCs/>
          <w:sz w:val="24"/>
          <w:szCs w:val="24"/>
          <w:lang w:eastAsia="en-US"/>
        </w:rPr>
        <w:t xml:space="preserve">was expressed </w:t>
      </w:r>
      <w:r w:rsidR="00BE5859" w:rsidRPr="00B37812">
        <w:rPr>
          <w:rFonts w:ascii="Times New Roman" w:eastAsia="Calibri" w:hAnsi="Times New Roman" w:cs="Times New Roman"/>
          <w:bCs/>
          <w:sz w:val="24"/>
          <w:szCs w:val="24"/>
          <w:lang w:eastAsia="en-US"/>
        </w:rPr>
        <w:t>as percent</w:t>
      </w:r>
      <w:r w:rsidR="00F46BA8" w:rsidRPr="00B37812">
        <w:rPr>
          <w:rFonts w:ascii="Times New Roman" w:eastAsia="Calibri" w:hAnsi="Times New Roman" w:cs="Times New Roman"/>
          <w:bCs/>
          <w:sz w:val="24"/>
          <w:szCs w:val="24"/>
          <w:lang w:eastAsia="en-US"/>
        </w:rPr>
        <w:t>age</w:t>
      </w:r>
      <w:r w:rsidR="00BE5859" w:rsidRPr="00B37812">
        <w:rPr>
          <w:rFonts w:ascii="Times New Roman" w:eastAsia="Calibri" w:hAnsi="Times New Roman" w:cs="Times New Roman"/>
          <w:bCs/>
          <w:sz w:val="24"/>
          <w:szCs w:val="24"/>
          <w:lang w:eastAsia="en-US"/>
        </w:rPr>
        <w:t xml:space="preserve"> of 1 g of adsorbed moisture per 100 g of sample on dry </w:t>
      </w:r>
      <w:r w:rsidRPr="00B37812">
        <w:rPr>
          <w:rFonts w:ascii="Times New Roman" w:eastAsia="Calibri" w:hAnsi="Times New Roman" w:cs="Times New Roman"/>
          <w:bCs/>
          <w:sz w:val="24"/>
          <w:szCs w:val="24"/>
          <w:lang w:eastAsia="en-US"/>
        </w:rPr>
        <w:t xml:space="preserve">basis. The GT of the </w:t>
      </w:r>
      <w:r w:rsidRPr="00B37812">
        <w:rPr>
          <w:rFonts w:ascii="Times New Roman" w:eastAsia="Calibri" w:hAnsi="Times New Roman" w:cs="Times New Roman"/>
          <w:bCs/>
          <w:color w:val="000000"/>
          <w:sz w:val="24"/>
          <w:szCs w:val="24"/>
          <w:lang w:eastAsia="en-US"/>
        </w:rPr>
        <w:t xml:space="preserve">ENP </w:t>
      </w:r>
      <w:r w:rsidRPr="00B37812">
        <w:rPr>
          <w:rFonts w:ascii="Times New Roman" w:eastAsia="Calibri" w:hAnsi="Times New Roman" w:cs="Times New Roman"/>
          <w:bCs/>
          <w:sz w:val="24"/>
          <w:szCs w:val="24"/>
          <w:lang w:eastAsia="en-US"/>
        </w:rPr>
        <w:t xml:space="preserve">was measured using a Differential Scanning Calorimeter (DSC S-650, </w:t>
      </w:r>
      <w:r w:rsidRPr="00B37812">
        <w:rPr>
          <w:rFonts w:ascii="Times New Roman" w:eastAsia="Calibri" w:hAnsi="Times New Roman" w:cs="Times New Roman"/>
          <w:bCs/>
          <w:noProof/>
          <w:sz w:val="24"/>
          <w:szCs w:val="24"/>
          <w:lang w:eastAsia="en-US"/>
        </w:rPr>
        <w:t>Scinco</w:t>
      </w:r>
      <w:r w:rsidRPr="00B37812">
        <w:rPr>
          <w:rFonts w:ascii="Times New Roman" w:eastAsia="Calibri" w:hAnsi="Times New Roman" w:cs="Times New Roman"/>
          <w:bCs/>
          <w:sz w:val="24"/>
          <w:szCs w:val="24"/>
          <w:lang w:eastAsia="en-US"/>
        </w:rPr>
        <w:t>, Seoul, Korea)</w:t>
      </w:r>
      <w:r w:rsidRPr="00B37812">
        <w:rPr>
          <w:rFonts w:ascii="Times New Roman" w:hAnsi="Times New Roman" w:cs="Times New Roman"/>
          <w:sz w:val="16"/>
          <w:szCs w:val="16"/>
        </w:rPr>
        <w:t xml:space="preserve"> </w:t>
      </w:r>
      <w:r w:rsidRPr="00B37812">
        <w:rPr>
          <w:rFonts w:ascii="Times New Roman" w:eastAsia="Calibri" w:hAnsi="Times New Roman" w:cs="Times New Roman"/>
          <w:bCs/>
          <w:sz w:val="24"/>
          <w:szCs w:val="24"/>
          <w:lang w:eastAsia="en-US"/>
        </w:rPr>
        <w:t>calibrated with indium (156.6 °C) and purge with dry nitrogen (50 ml/min).</w:t>
      </w:r>
      <w:r w:rsidRPr="00B37812">
        <w:rPr>
          <w:rFonts w:ascii="Times New Roman" w:hAnsi="Times New Roman" w:cs="Times New Roman"/>
          <w:sz w:val="24"/>
          <w:szCs w:val="24"/>
        </w:rPr>
        <w:t xml:space="preserve"> </w:t>
      </w:r>
      <w:r w:rsidRPr="00B37812">
        <w:rPr>
          <w:rFonts w:ascii="Times New Roman" w:eastAsia="Calibri" w:hAnsi="Times New Roman" w:cs="Times New Roman"/>
          <w:bCs/>
          <w:sz w:val="24"/>
          <w:szCs w:val="24"/>
          <w:lang w:eastAsia="en-US"/>
        </w:rPr>
        <w:t xml:space="preserve">The test was conducted from -20 °C to 200 °C (heating rate of 10 °C/min) using an </w:t>
      </w:r>
      <w:r w:rsidRPr="00B37812">
        <w:rPr>
          <w:rFonts w:ascii="Times New Roman" w:hAnsi="Times New Roman" w:cs="Times New Roman"/>
          <w:sz w:val="24"/>
          <w:szCs w:val="24"/>
        </w:rPr>
        <w:t xml:space="preserve">empty aluminum pan as a reference. </w:t>
      </w:r>
      <w:r w:rsidRPr="00B37812">
        <w:rPr>
          <w:rFonts w:ascii="Times New Roman" w:hAnsi="Times New Roman" w:cs="Times New Roman"/>
          <w:color w:val="000000"/>
          <w:sz w:val="24"/>
          <w:szCs w:val="24"/>
        </w:rPr>
        <w:t xml:space="preserve">The glass transition </w:t>
      </w:r>
      <w:r w:rsidRPr="00B37812">
        <w:rPr>
          <w:rFonts w:ascii="Times New Roman" w:hAnsi="Times New Roman" w:cs="Times New Roman"/>
          <w:sz w:val="24"/>
          <w:szCs w:val="24"/>
        </w:rPr>
        <w:t>midpoint was reported as the GT</w:t>
      </w:r>
      <w:r w:rsidRPr="00B37812">
        <w:rPr>
          <w:rFonts w:ascii="Times New Roman" w:hAnsi="Times New Roman" w:cs="Times New Roman"/>
          <w:color w:val="000000"/>
          <w:szCs w:val="24"/>
        </w:rPr>
        <w:t xml:space="preserve">. </w:t>
      </w:r>
      <w:r w:rsidRPr="00B37812">
        <w:rPr>
          <w:rFonts w:ascii="Times New Roman" w:eastAsia="Calibri" w:hAnsi="Times New Roman" w:cs="Times New Roman"/>
          <w:bCs/>
          <w:sz w:val="24"/>
          <w:szCs w:val="24"/>
          <w:lang w:eastAsia="en-US"/>
        </w:rPr>
        <w:t>The WA of</w:t>
      </w:r>
      <w:r w:rsidRPr="00B37812">
        <w:rPr>
          <w:rFonts w:ascii="Times New Roman" w:eastAsia="Calibri" w:hAnsi="Times New Roman" w:cs="Times New Roman"/>
          <w:bCs/>
          <w:color w:val="000000"/>
          <w:sz w:val="24"/>
          <w:szCs w:val="24"/>
          <w:lang w:eastAsia="en-US"/>
        </w:rPr>
        <w:t xml:space="preserve"> the ENP </w:t>
      </w:r>
      <w:r w:rsidRPr="00B37812">
        <w:rPr>
          <w:rFonts w:ascii="Times New Roman" w:eastAsia="Calibri" w:hAnsi="Times New Roman" w:cs="Times New Roman"/>
          <w:bCs/>
          <w:sz w:val="24"/>
          <w:szCs w:val="24"/>
          <w:lang w:eastAsia="en-US"/>
        </w:rPr>
        <w:t xml:space="preserve">was measured at 25 °C using a water activity meter Aqualab 4TE (Decagon Devices, Washington, USA). </w:t>
      </w:r>
    </w:p>
    <w:p w14:paraId="7AE8CE3F"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p>
    <w:p w14:paraId="503D4BE2" w14:textId="511739A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w:t>
      </w:r>
      <w:r w:rsidR="008869FD" w:rsidRPr="00B37812">
        <w:rPr>
          <w:rFonts w:ascii="Times New Roman" w:eastAsia="Calibri" w:hAnsi="Times New Roman" w:cs="Times New Roman"/>
          <w:b/>
          <w:bCs/>
          <w:color w:val="000000"/>
          <w:sz w:val="24"/>
          <w:szCs w:val="24"/>
          <w:lang w:eastAsia="en-US"/>
        </w:rPr>
        <w:t>9</w:t>
      </w:r>
      <w:r w:rsidRPr="00B37812">
        <w:rPr>
          <w:rFonts w:ascii="Times New Roman" w:eastAsia="Calibri" w:hAnsi="Times New Roman" w:cs="Times New Roman"/>
          <w:b/>
          <w:bCs/>
          <w:color w:val="000000"/>
          <w:sz w:val="24"/>
          <w:szCs w:val="24"/>
          <w:lang w:eastAsia="en-US"/>
        </w:rPr>
        <w:t>. Chromatic properties</w:t>
      </w:r>
    </w:p>
    <w:p w14:paraId="5A9506D3"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 xml:space="preserve">  </w:t>
      </w:r>
    </w:p>
    <w:p w14:paraId="2233B1CF"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hAnsi="Times New Roman" w:cs="Times New Roman"/>
          <w:sz w:val="24"/>
          <w:szCs w:val="24"/>
        </w:rPr>
        <w:t xml:space="preserve">The chromatic properties of the </w:t>
      </w:r>
      <w:r w:rsidRPr="00B37812">
        <w:rPr>
          <w:rFonts w:ascii="Times New Roman" w:eastAsia="Calibri" w:hAnsi="Times New Roman" w:cs="Times New Roman"/>
          <w:bCs/>
          <w:color w:val="000000"/>
          <w:sz w:val="24"/>
          <w:szCs w:val="24"/>
          <w:lang w:eastAsia="en-US"/>
        </w:rPr>
        <w:t>ENP</w:t>
      </w:r>
      <w:r w:rsidRPr="00B37812">
        <w:rPr>
          <w:rFonts w:ascii="Times New Roman" w:hAnsi="Times New Roman" w:cs="Times New Roman"/>
          <w:sz w:val="24"/>
          <w:szCs w:val="24"/>
        </w:rPr>
        <w:t xml:space="preserve"> were measured using a Hunterlab colorimeter (Color Quest XE, Reston, USA) and expressed as </w:t>
      </w:r>
      <w:r w:rsidRPr="00B37812">
        <w:rPr>
          <w:rFonts w:ascii="Times New Roman" w:hAnsi="Times New Roman" w:cs="Times New Roman"/>
          <w:i/>
          <w:sz w:val="24"/>
          <w:szCs w:val="24"/>
        </w:rPr>
        <w:t>L*</w:t>
      </w:r>
      <w:r w:rsidRPr="00B37812">
        <w:rPr>
          <w:rFonts w:ascii="Times New Roman" w:hAnsi="Times New Roman" w:cs="Times New Roman"/>
          <w:sz w:val="24"/>
          <w:szCs w:val="24"/>
        </w:rPr>
        <w:t xml:space="preserve"> (lightness/darkness), </w:t>
      </w:r>
      <w:r w:rsidRPr="00B37812">
        <w:rPr>
          <w:rFonts w:ascii="Times New Roman" w:hAnsi="Times New Roman" w:cs="Times New Roman"/>
          <w:i/>
          <w:sz w:val="24"/>
          <w:szCs w:val="24"/>
        </w:rPr>
        <w:t>a*</w:t>
      </w:r>
      <w:r w:rsidRPr="00B37812">
        <w:rPr>
          <w:rFonts w:ascii="Times New Roman" w:hAnsi="Times New Roman" w:cs="Times New Roman"/>
          <w:sz w:val="24"/>
          <w:szCs w:val="24"/>
        </w:rPr>
        <w:t xml:space="preserve"> (redness/greenness), and </w:t>
      </w:r>
      <w:r w:rsidRPr="00B37812">
        <w:rPr>
          <w:rFonts w:ascii="Times New Roman" w:hAnsi="Times New Roman" w:cs="Times New Roman"/>
          <w:i/>
          <w:sz w:val="24"/>
          <w:szCs w:val="24"/>
        </w:rPr>
        <w:t>b*</w:t>
      </w:r>
      <w:r w:rsidRPr="00B37812">
        <w:rPr>
          <w:rFonts w:ascii="Times New Roman" w:hAnsi="Times New Roman" w:cs="Times New Roman"/>
          <w:sz w:val="24"/>
          <w:szCs w:val="24"/>
        </w:rPr>
        <w:t xml:space="preserve"> (yellowness/blueness). The chroma (</w:t>
      </w:r>
      <w:r w:rsidRPr="00B37812">
        <w:rPr>
          <w:rFonts w:ascii="Times New Roman" w:hAnsi="Times New Roman" w:cs="Times New Roman"/>
          <w:i/>
          <w:sz w:val="24"/>
          <w:szCs w:val="24"/>
        </w:rPr>
        <w:t>C*</w:t>
      </w:r>
      <w:r w:rsidRPr="00B37812">
        <w:rPr>
          <w:rFonts w:ascii="Times New Roman" w:hAnsi="Times New Roman" w:cs="Times New Roman"/>
          <w:sz w:val="24"/>
          <w:szCs w:val="24"/>
        </w:rPr>
        <w:t>) and hue (</w:t>
      </w:r>
      <w:r w:rsidRPr="00B37812">
        <w:rPr>
          <w:rFonts w:ascii="Times New Roman" w:hAnsi="Times New Roman" w:cs="Times New Roman"/>
          <w:i/>
          <w:sz w:val="24"/>
          <w:szCs w:val="24"/>
        </w:rPr>
        <w:t>H°</w:t>
      </w:r>
      <w:r w:rsidRPr="00B37812">
        <w:rPr>
          <w:rFonts w:ascii="Times New Roman" w:hAnsi="Times New Roman" w:cs="Times New Roman"/>
          <w:sz w:val="24"/>
          <w:szCs w:val="24"/>
        </w:rPr>
        <w:t xml:space="preserve">) were </w:t>
      </w:r>
      <w:r w:rsidRPr="00B37812">
        <w:rPr>
          <w:rFonts w:ascii="Times New Roman" w:eastAsia="Calibri" w:hAnsi="Times New Roman" w:cs="Times New Roman"/>
          <w:bCs/>
          <w:sz w:val="24"/>
          <w:szCs w:val="24"/>
          <w:lang w:eastAsia="en-US"/>
        </w:rPr>
        <w:t xml:space="preserve">calculated as follows:                                                     </w:t>
      </w:r>
    </w:p>
    <w:p w14:paraId="34390DEB" w14:textId="77777777" w:rsidR="00B85163" w:rsidRPr="00B37812" w:rsidRDefault="001C2BA1" w:rsidP="00A330CD">
      <w:pPr>
        <w:spacing w:after="0" w:line="360" w:lineRule="auto"/>
        <w:jc w:val="both"/>
        <w:rPr>
          <w:rFonts w:ascii="Times New Roman" w:eastAsia="Calibri" w:hAnsi="Times New Roman" w:cs="Times New Roman"/>
          <w:bCs/>
          <w:sz w:val="24"/>
          <w:szCs w:val="24"/>
          <w:lang w:eastAsia="en-US"/>
        </w:rPr>
      </w:pPr>
      <m:oMath>
        <m:sSup>
          <m:sSupPr>
            <m:ctrlPr>
              <w:rPr>
                <w:rFonts w:ascii="Cambria Math" w:eastAsia="Calibri" w:hAnsi="Cambria Math" w:cs="Times New Roman"/>
                <w:bCs/>
                <w:i/>
                <w:sz w:val="24"/>
                <w:szCs w:val="24"/>
                <w:lang w:eastAsia="en-US"/>
              </w:rPr>
            </m:ctrlPr>
          </m:sSupPr>
          <m:e>
            <m:r>
              <w:rPr>
                <w:rFonts w:ascii="Cambria Math" w:eastAsia="Calibri" w:hAnsi="Cambria Math" w:cs="Times New Roman"/>
                <w:sz w:val="24"/>
                <w:szCs w:val="24"/>
                <w:lang w:eastAsia="en-US"/>
              </w:rPr>
              <m:t>C</m:t>
            </m:r>
          </m:e>
          <m:sup>
            <m:r>
              <w:rPr>
                <w:rFonts w:ascii="Cambria Math" w:eastAsia="Calibri" w:hAnsi="Cambria Math" w:cs="Times New Roman"/>
                <w:sz w:val="24"/>
                <w:szCs w:val="24"/>
                <w:lang w:eastAsia="en-US"/>
              </w:rPr>
              <m:t>*</m:t>
            </m:r>
          </m:sup>
        </m:sSup>
        <m:r>
          <w:rPr>
            <w:rFonts w:ascii="Cambria Math" w:eastAsia="Calibri" w:hAnsi="Cambria Math" w:cs="Times New Roman"/>
            <w:sz w:val="24"/>
            <w:szCs w:val="24"/>
            <w:lang w:eastAsia="en-US"/>
          </w:rPr>
          <m:t>=</m:t>
        </m:r>
        <m:sSup>
          <m:sSupPr>
            <m:ctrlPr>
              <w:rPr>
                <w:rFonts w:ascii="Cambria Math" w:eastAsia="Calibri" w:hAnsi="Cambria Math" w:cs="Times New Roman"/>
                <w:bCs/>
                <w:i/>
                <w:sz w:val="24"/>
                <w:szCs w:val="24"/>
                <w:lang w:eastAsia="en-US"/>
              </w:rPr>
            </m:ctrlPr>
          </m:sSupPr>
          <m:e>
            <m:r>
              <w:rPr>
                <w:rFonts w:ascii="Cambria Math" w:eastAsia="Calibri" w:hAnsi="Cambria Math" w:cs="Times New Roman"/>
                <w:sz w:val="24"/>
                <w:szCs w:val="24"/>
                <w:lang w:eastAsia="en-US"/>
              </w:rPr>
              <m:t>(</m:t>
            </m:r>
            <m:sSup>
              <m:sSupPr>
                <m:ctrlPr>
                  <w:rPr>
                    <w:rFonts w:ascii="Cambria Math" w:eastAsia="Calibri" w:hAnsi="Cambria Math" w:cs="Times New Roman"/>
                    <w:bCs/>
                    <w:i/>
                    <w:sz w:val="24"/>
                    <w:szCs w:val="24"/>
                    <w:lang w:eastAsia="en-US"/>
                  </w:rPr>
                </m:ctrlPr>
              </m:sSupPr>
              <m:e>
                <m:r>
                  <w:rPr>
                    <w:rFonts w:ascii="Cambria Math" w:eastAsia="Calibri" w:hAnsi="Cambria Math" w:cs="Times New Roman"/>
                    <w:sz w:val="24"/>
                    <w:szCs w:val="24"/>
                    <w:lang w:eastAsia="en-US"/>
                  </w:rPr>
                  <m:t>a</m:t>
                </m:r>
              </m:e>
              <m:sup>
                <m:r>
                  <w:rPr>
                    <w:rFonts w:ascii="Cambria Math" w:eastAsia="Calibri" w:hAnsi="Cambria Math" w:cs="Times New Roman"/>
                    <w:sz w:val="24"/>
                    <w:szCs w:val="24"/>
                    <w:lang w:eastAsia="en-US"/>
                  </w:rPr>
                  <m:t>*2</m:t>
                </m:r>
              </m:sup>
            </m:sSup>
            <m:r>
              <w:rPr>
                <w:rFonts w:ascii="Cambria Math" w:eastAsia="Calibri" w:hAnsi="Cambria Math" w:cs="Times New Roman"/>
                <w:sz w:val="24"/>
                <w:szCs w:val="24"/>
                <w:lang w:eastAsia="en-US"/>
              </w:rPr>
              <m:t>+</m:t>
            </m:r>
            <m:sSup>
              <m:sSupPr>
                <m:ctrlPr>
                  <w:rPr>
                    <w:rFonts w:ascii="Cambria Math" w:eastAsia="Calibri" w:hAnsi="Cambria Math" w:cs="Times New Roman"/>
                    <w:bCs/>
                    <w:i/>
                    <w:sz w:val="24"/>
                    <w:szCs w:val="24"/>
                    <w:lang w:eastAsia="en-US"/>
                  </w:rPr>
                </m:ctrlPr>
              </m:sSupPr>
              <m:e>
                <m:r>
                  <w:rPr>
                    <w:rFonts w:ascii="Cambria Math" w:eastAsia="Calibri" w:hAnsi="Cambria Math" w:cs="Times New Roman"/>
                    <w:sz w:val="24"/>
                    <w:szCs w:val="24"/>
                    <w:lang w:eastAsia="en-US"/>
                  </w:rPr>
                  <m:t>b</m:t>
                </m:r>
              </m:e>
              <m:sup>
                <m:r>
                  <w:rPr>
                    <w:rFonts w:ascii="Cambria Math" w:eastAsia="Calibri" w:hAnsi="Cambria Math" w:cs="Times New Roman"/>
                    <w:sz w:val="24"/>
                    <w:szCs w:val="24"/>
                    <w:lang w:eastAsia="en-US"/>
                  </w:rPr>
                  <m:t>*2</m:t>
                </m:r>
              </m:sup>
            </m:sSup>
            <m:r>
              <w:rPr>
                <w:rFonts w:ascii="Cambria Math" w:eastAsia="Calibri" w:hAnsi="Cambria Math" w:cs="Times New Roman"/>
                <w:sz w:val="24"/>
                <w:szCs w:val="24"/>
                <w:lang w:eastAsia="en-US"/>
              </w:rPr>
              <m:t>)</m:t>
            </m:r>
          </m:e>
          <m:sup>
            <m:r>
              <w:rPr>
                <w:rFonts w:ascii="Cambria Math" w:eastAsia="Calibri" w:hAnsi="Cambria Math" w:cs="Times New Roman"/>
                <w:sz w:val="24"/>
                <w:szCs w:val="24"/>
                <w:lang w:eastAsia="en-US"/>
              </w:rPr>
              <m:t>1/2</m:t>
            </m:r>
          </m:sup>
        </m:sSup>
      </m:oMath>
      <w:r w:rsidR="00B85163" w:rsidRPr="00B37812">
        <w:rPr>
          <w:rFonts w:ascii="Times New Roman" w:eastAsia="Calibri" w:hAnsi="Times New Roman" w:cs="Times New Roman"/>
          <w:bCs/>
          <w:sz w:val="24"/>
          <w:szCs w:val="24"/>
          <w:lang w:eastAsia="en-US"/>
        </w:rPr>
        <w:t xml:space="preserve">                                                                                                                                    (8)</w:t>
      </w:r>
    </w:p>
    <w:p w14:paraId="6F1F3AAD" w14:textId="14C16691" w:rsidR="00B85163" w:rsidRPr="00B37812" w:rsidRDefault="001C2BA1" w:rsidP="00A02953">
      <w:pPr>
        <w:spacing w:after="0" w:line="360" w:lineRule="auto"/>
        <w:jc w:val="both"/>
        <w:rPr>
          <w:rFonts w:ascii="Times New Roman" w:eastAsia="Calibri" w:hAnsi="Times New Roman" w:cs="Times New Roman"/>
          <w:b/>
          <w:bCs/>
          <w:color w:val="000000"/>
          <w:sz w:val="24"/>
          <w:szCs w:val="24"/>
          <w:lang w:eastAsia="en-US"/>
        </w:rPr>
      </w:pPr>
      <m:oMath>
        <m:sSup>
          <m:sSupPr>
            <m:ctrlPr>
              <w:rPr>
                <w:rFonts w:ascii="Cambria Math" w:eastAsia="Calibri" w:hAnsi="Cambria Math" w:cs="Times New Roman"/>
                <w:bCs/>
                <w:i/>
                <w:sz w:val="24"/>
                <w:szCs w:val="24"/>
                <w:lang w:eastAsia="en-US"/>
              </w:rPr>
            </m:ctrlPr>
          </m:sSupPr>
          <m:e>
            <m:r>
              <w:rPr>
                <w:rFonts w:ascii="Cambria Math" w:eastAsia="Calibri" w:hAnsi="Cambria Math" w:cs="Times New Roman"/>
                <w:sz w:val="24"/>
                <w:szCs w:val="24"/>
                <w:lang w:eastAsia="en-US"/>
              </w:rPr>
              <m:t>H</m:t>
            </m:r>
          </m:e>
          <m:sup>
            <m:r>
              <w:rPr>
                <w:rFonts w:ascii="Cambria Math" w:eastAsia="Calibri" w:hAnsi="Cambria Math" w:cs="Times New Roman"/>
                <w:sz w:val="24"/>
                <w:szCs w:val="24"/>
                <w:lang w:eastAsia="en-US"/>
              </w:rPr>
              <m:t>°</m:t>
            </m:r>
          </m:sup>
        </m:sSup>
        <m:r>
          <w:rPr>
            <w:rFonts w:ascii="Cambria Math" w:eastAsia="Calibri" w:hAnsi="Cambria Math" w:cs="Times New Roman"/>
            <w:sz w:val="24"/>
            <w:szCs w:val="24"/>
            <w:lang w:eastAsia="en-US"/>
          </w:rPr>
          <m:t>=</m:t>
        </m:r>
        <m:sSup>
          <m:sSupPr>
            <m:ctrlPr>
              <w:rPr>
                <w:rFonts w:ascii="Cambria Math" w:eastAsia="Calibri" w:hAnsi="Cambria Math" w:cs="Times New Roman"/>
                <w:bCs/>
                <w:i/>
                <w:sz w:val="24"/>
                <w:szCs w:val="24"/>
                <w:lang w:eastAsia="en-US"/>
              </w:rPr>
            </m:ctrlPr>
          </m:sSupPr>
          <m:e>
            <m:r>
              <w:rPr>
                <w:rFonts w:ascii="Cambria Math" w:eastAsia="Calibri" w:hAnsi="Cambria Math" w:cs="Times New Roman"/>
                <w:sz w:val="24"/>
                <w:szCs w:val="24"/>
                <w:lang w:eastAsia="en-US"/>
              </w:rPr>
              <m:t>tan</m:t>
            </m:r>
          </m:e>
          <m:sup>
            <m:r>
              <w:rPr>
                <w:rFonts w:ascii="Cambria Math" w:eastAsia="Calibri" w:hAnsi="Cambria Math" w:cs="Times New Roman"/>
                <w:sz w:val="24"/>
                <w:szCs w:val="24"/>
                <w:lang w:eastAsia="en-US"/>
              </w:rPr>
              <m:t>-1</m:t>
            </m:r>
          </m:sup>
        </m:sSup>
        <m:r>
          <w:rPr>
            <w:rFonts w:ascii="Cambria Math" w:eastAsia="Calibri" w:hAnsi="Cambria Math" w:cs="Times New Roman"/>
            <w:sz w:val="24"/>
            <w:szCs w:val="24"/>
            <w:lang w:eastAsia="en-US"/>
          </w:rPr>
          <m:t xml:space="preserve"> (</m:t>
        </m:r>
        <m:sSup>
          <m:sSupPr>
            <m:ctrlPr>
              <w:rPr>
                <w:rFonts w:ascii="Cambria Math" w:eastAsia="Calibri" w:hAnsi="Cambria Math" w:cs="Times New Roman"/>
                <w:bCs/>
                <w:i/>
                <w:sz w:val="24"/>
                <w:szCs w:val="24"/>
                <w:lang w:eastAsia="en-US"/>
              </w:rPr>
            </m:ctrlPr>
          </m:sSupPr>
          <m:e>
            <m:r>
              <w:rPr>
                <w:rFonts w:ascii="Cambria Math" w:eastAsia="Calibri" w:hAnsi="Cambria Math" w:cs="Times New Roman"/>
                <w:sz w:val="24"/>
                <w:szCs w:val="24"/>
                <w:lang w:eastAsia="en-US"/>
              </w:rPr>
              <m:t>b</m:t>
            </m:r>
          </m:e>
          <m:sup>
            <m:r>
              <w:rPr>
                <w:rFonts w:ascii="Cambria Math" w:eastAsia="Calibri" w:hAnsi="Cambria Math" w:cs="Times New Roman"/>
                <w:sz w:val="24"/>
                <w:szCs w:val="24"/>
                <w:lang w:eastAsia="en-US"/>
              </w:rPr>
              <m:t>*</m:t>
            </m:r>
          </m:sup>
        </m:sSup>
        <m:r>
          <w:rPr>
            <w:rFonts w:ascii="Cambria Math" w:eastAsia="Calibri" w:hAnsi="Cambria Math" w:cs="Times New Roman"/>
            <w:sz w:val="24"/>
            <w:szCs w:val="24"/>
            <w:lang w:eastAsia="en-US"/>
          </w:rPr>
          <m:t>/</m:t>
        </m:r>
        <m:sSup>
          <m:sSupPr>
            <m:ctrlPr>
              <w:rPr>
                <w:rFonts w:ascii="Cambria Math" w:eastAsia="Calibri" w:hAnsi="Cambria Math" w:cs="Times New Roman"/>
                <w:bCs/>
                <w:i/>
                <w:sz w:val="24"/>
                <w:szCs w:val="24"/>
                <w:lang w:eastAsia="en-US"/>
              </w:rPr>
            </m:ctrlPr>
          </m:sSupPr>
          <m:e>
            <m:r>
              <w:rPr>
                <w:rFonts w:ascii="Cambria Math" w:eastAsia="Calibri" w:hAnsi="Cambria Math" w:cs="Times New Roman"/>
                <w:sz w:val="24"/>
                <w:szCs w:val="24"/>
                <w:lang w:eastAsia="en-US"/>
              </w:rPr>
              <m:t>a</m:t>
            </m:r>
          </m:e>
          <m:sup>
            <m:r>
              <w:rPr>
                <w:rFonts w:ascii="Cambria Math" w:eastAsia="Calibri" w:hAnsi="Cambria Math" w:cs="Times New Roman"/>
                <w:sz w:val="24"/>
                <w:szCs w:val="24"/>
                <w:lang w:eastAsia="en-US"/>
              </w:rPr>
              <m:t>*</m:t>
            </m:r>
          </m:sup>
        </m:sSup>
        <m:r>
          <w:rPr>
            <w:rFonts w:ascii="Cambria Math" w:eastAsia="Calibri" w:hAnsi="Cambria Math" w:cs="Times New Roman"/>
            <w:sz w:val="24"/>
            <w:szCs w:val="24"/>
            <w:lang w:eastAsia="en-US"/>
          </w:rPr>
          <m:t xml:space="preserve">)                                                                                                       </m:t>
        </m:r>
      </m:oMath>
      <w:r w:rsidR="00A02953" w:rsidRPr="00B37812">
        <w:rPr>
          <w:rFonts w:ascii="Times New Roman" w:eastAsia="Calibri" w:hAnsi="Times New Roman" w:cs="Times New Roman"/>
          <w:sz w:val="24"/>
          <w:szCs w:val="24"/>
          <w:lang w:eastAsia="en-US"/>
        </w:rPr>
        <w:t xml:space="preserve">  </w:t>
      </w:r>
      <w:r w:rsidR="00A02953" w:rsidRPr="00B37812">
        <w:rPr>
          <w:rFonts w:ascii="Times New Roman" w:eastAsia="Calibri" w:hAnsi="Times New Roman" w:cs="Times New Roman"/>
          <w:b/>
          <w:bCs/>
          <w:color w:val="000000"/>
          <w:sz w:val="24"/>
          <w:szCs w:val="24"/>
          <w:lang w:eastAsia="en-US"/>
        </w:rPr>
        <w:t xml:space="preserve">                          </w:t>
      </w:r>
      <w:r w:rsidR="00A02953" w:rsidRPr="00B37812">
        <w:rPr>
          <w:rFonts w:ascii="Times New Roman" w:eastAsia="Calibri" w:hAnsi="Times New Roman" w:cs="Times New Roman"/>
          <w:bCs/>
          <w:sz w:val="24"/>
          <w:szCs w:val="24"/>
          <w:lang w:eastAsia="en-US"/>
        </w:rPr>
        <w:t>(9)</w:t>
      </w:r>
    </w:p>
    <w:p w14:paraId="1C1AF649" w14:textId="12F77ED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2.</w:t>
      </w:r>
      <w:r w:rsidR="008869FD" w:rsidRPr="00B37812">
        <w:rPr>
          <w:rFonts w:ascii="Times New Roman" w:eastAsia="Calibri" w:hAnsi="Times New Roman" w:cs="Times New Roman"/>
          <w:b/>
          <w:bCs/>
          <w:color w:val="000000"/>
          <w:sz w:val="24"/>
          <w:szCs w:val="24"/>
          <w:lang w:eastAsia="en-US"/>
        </w:rPr>
        <w:t>10</w:t>
      </w:r>
      <w:r w:rsidRPr="00B37812">
        <w:rPr>
          <w:rFonts w:ascii="Times New Roman" w:eastAsia="Calibri" w:hAnsi="Times New Roman" w:cs="Times New Roman"/>
          <w:b/>
          <w:bCs/>
          <w:color w:val="000000"/>
          <w:sz w:val="24"/>
          <w:szCs w:val="24"/>
          <w:lang w:eastAsia="en-US"/>
        </w:rPr>
        <w:t>. Statistical analysis</w:t>
      </w:r>
    </w:p>
    <w:p w14:paraId="516716AD" w14:textId="77777777" w:rsidR="00B85163" w:rsidRPr="00B37812" w:rsidRDefault="00B85163" w:rsidP="00A330CD">
      <w:pPr>
        <w:spacing w:after="0" w:line="360" w:lineRule="auto"/>
        <w:ind w:firstLine="720"/>
        <w:jc w:val="both"/>
        <w:rPr>
          <w:rFonts w:ascii="Times New Roman" w:hAnsi="Times New Roman" w:cs="Times New Roman"/>
        </w:rPr>
      </w:pPr>
    </w:p>
    <w:p w14:paraId="7ADDC19D" w14:textId="77777777"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Cs/>
          <w:sz w:val="24"/>
          <w:szCs w:val="24"/>
          <w:lang w:eastAsia="en-US"/>
        </w:rPr>
        <w:t xml:space="preserve">All experiment and assays were done thrice. Tukey test for statistical difference and </w:t>
      </w:r>
      <w:r w:rsidRPr="00B37812">
        <w:rPr>
          <w:rFonts w:ascii="Times New Roman" w:eastAsia="Calibri" w:hAnsi="Times New Roman" w:cs="Times New Roman"/>
          <w:bCs/>
          <w:color w:val="000000"/>
          <w:sz w:val="24"/>
          <w:szCs w:val="24"/>
          <w:lang w:eastAsia="en-US"/>
        </w:rPr>
        <w:t>Pearson correlation</w:t>
      </w:r>
      <w:r w:rsidRPr="00B37812">
        <w:rPr>
          <w:rFonts w:ascii="Times New Roman" w:eastAsia="Calibri" w:hAnsi="Times New Roman" w:cs="Times New Roman"/>
          <w:bCs/>
          <w:sz w:val="24"/>
          <w:szCs w:val="24"/>
          <w:lang w:eastAsia="en-US"/>
        </w:rPr>
        <w:t xml:space="preserve"> were assessed </w:t>
      </w:r>
      <w:r w:rsidRPr="00B37812">
        <w:rPr>
          <w:rFonts w:ascii="Times New Roman" w:eastAsia="Calibri" w:hAnsi="Times New Roman" w:cs="Times New Roman"/>
          <w:bCs/>
          <w:color w:val="000000"/>
          <w:sz w:val="24"/>
          <w:szCs w:val="24"/>
          <w:lang w:eastAsia="en-US"/>
        </w:rPr>
        <w:t xml:space="preserve">at </w:t>
      </w:r>
      <w:r w:rsidRPr="00B37812">
        <w:rPr>
          <w:rFonts w:ascii="Times New Roman" w:eastAsia="Calibri" w:hAnsi="Times New Roman" w:cs="Times New Roman"/>
          <w:sz w:val="24"/>
          <w:szCs w:val="24"/>
          <w:lang w:eastAsia="en-US"/>
        </w:rPr>
        <w:t xml:space="preserve">5% level </w:t>
      </w:r>
      <w:r w:rsidRPr="00B37812">
        <w:rPr>
          <w:rFonts w:ascii="Times New Roman" w:eastAsia="Calibri" w:hAnsi="Times New Roman" w:cs="Times New Roman"/>
          <w:bCs/>
          <w:color w:val="000000"/>
          <w:sz w:val="24"/>
          <w:szCs w:val="24"/>
          <w:lang w:eastAsia="en-US"/>
        </w:rPr>
        <w:t xml:space="preserve">using </w:t>
      </w:r>
      <w:r w:rsidRPr="00B37812">
        <w:rPr>
          <w:rFonts w:ascii="Times New Roman" w:eastAsia="Calibri" w:hAnsi="Times New Roman" w:cs="Times New Roman"/>
          <w:sz w:val="24"/>
          <w:szCs w:val="24"/>
          <w:lang w:eastAsia="en-US"/>
        </w:rPr>
        <w:t xml:space="preserve">OriginPro 2017 (OriginLab, Northampton, USA). </w:t>
      </w:r>
    </w:p>
    <w:p w14:paraId="28598AEA"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0E32F59F"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3. RESULTS AND DISCUSSION</w:t>
      </w:r>
    </w:p>
    <w:p w14:paraId="54059A98" w14:textId="77777777" w:rsidR="00B85163" w:rsidRPr="00B37812" w:rsidRDefault="00B85163" w:rsidP="00A330CD">
      <w:pPr>
        <w:spacing w:after="0" w:line="360" w:lineRule="auto"/>
        <w:ind w:firstLine="720"/>
        <w:jc w:val="both"/>
        <w:rPr>
          <w:rFonts w:ascii="Times New Roman" w:eastAsia="Calibri" w:hAnsi="Times New Roman" w:cs="Times New Roman"/>
          <w:bCs/>
          <w:color w:val="FF0000"/>
          <w:sz w:val="24"/>
          <w:szCs w:val="24"/>
          <w:lang w:val="en-GB" w:eastAsia="en-US"/>
        </w:rPr>
      </w:pPr>
    </w:p>
    <w:p w14:paraId="76089E25"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3.1. Influence of carrier materials on chemical properties</w:t>
      </w:r>
    </w:p>
    <w:p w14:paraId="43A7E4FB"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1B084E9F" w14:textId="5EE3A43E" w:rsidR="00B85163" w:rsidRPr="00B37812" w:rsidRDefault="008869FD"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3.1.1. Influence of carrier materials</w:t>
      </w:r>
      <w:r w:rsidR="00B85163" w:rsidRPr="00B37812">
        <w:rPr>
          <w:rFonts w:ascii="Times New Roman" w:eastAsia="Calibri" w:hAnsi="Times New Roman" w:cs="Times New Roman"/>
          <w:b/>
          <w:bCs/>
          <w:color w:val="000000"/>
          <w:sz w:val="24"/>
          <w:szCs w:val="24"/>
          <w:lang w:eastAsia="en-US"/>
        </w:rPr>
        <w:t xml:space="preserve"> on nutraceuticals retention</w:t>
      </w:r>
    </w:p>
    <w:p w14:paraId="28BCF0A5" w14:textId="77777777" w:rsidR="00B85163" w:rsidRPr="00B37812" w:rsidRDefault="00B85163" w:rsidP="00A330CD">
      <w:pPr>
        <w:spacing w:after="0" w:line="360" w:lineRule="auto"/>
        <w:jc w:val="both"/>
        <w:rPr>
          <w:rFonts w:ascii="Times New Roman" w:eastAsia="Calibri" w:hAnsi="Times New Roman" w:cs="Times New Roman"/>
          <w:bCs/>
          <w:color w:val="000000"/>
          <w:sz w:val="24"/>
          <w:szCs w:val="24"/>
          <w:lang w:eastAsia="en-US"/>
        </w:rPr>
      </w:pPr>
    </w:p>
    <w:p w14:paraId="7368BD55" w14:textId="251C873D"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eastAsia="Calibri" w:hAnsi="Times New Roman" w:cs="Times New Roman"/>
          <w:bCs/>
          <w:sz w:val="24"/>
          <w:szCs w:val="24"/>
          <w:lang w:eastAsia="en-US"/>
        </w:rPr>
        <w:t xml:space="preserve">In order to assess the effect of encapsulating agents on the level of NR, a comparative analysis was done between the biocompounds content of the </w:t>
      </w:r>
      <w:r w:rsidR="008C17AC" w:rsidRPr="00B37812">
        <w:rPr>
          <w:rFonts w:ascii="Times New Roman" w:eastAsia="Calibri" w:hAnsi="Times New Roman" w:cs="Times New Roman"/>
          <w:bCs/>
          <w:sz w:val="24"/>
          <w:szCs w:val="24"/>
          <w:lang w:eastAsia="en-US"/>
        </w:rPr>
        <w:t>NE</w:t>
      </w:r>
      <w:r w:rsidRPr="00B37812">
        <w:rPr>
          <w:rFonts w:ascii="Times New Roman" w:eastAsia="Calibri" w:hAnsi="Times New Roman" w:cs="Times New Roman"/>
          <w:bCs/>
          <w:sz w:val="24"/>
          <w:szCs w:val="24"/>
          <w:lang w:eastAsia="en-US"/>
        </w:rPr>
        <w:t xml:space="preserve"> and </w:t>
      </w:r>
      <w:r w:rsidR="004E366E" w:rsidRPr="00B37812">
        <w:rPr>
          <w:rFonts w:ascii="Times New Roman" w:eastAsia="Calibri" w:hAnsi="Times New Roman" w:cs="Times New Roman"/>
          <w:bCs/>
          <w:sz w:val="24"/>
          <w:szCs w:val="24"/>
          <w:lang w:eastAsia="en-US"/>
        </w:rPr>
        <w:t xml:space="preserve">the </w:t>
      </w:r>
      <w:r w:rsidRPr="00B37812">
        <w:rPr>
          <w:rFonts w:ascii="Times New Roman" w:eastAsia="Calibri" w:hAnsi="Times New Roman" w:cs="Times New Roman"/>
          <w:bCs/>
          <w:sz w:val="24"/>
          <w:szCs w:val="24"/>
          <w:lang w:eastAsia="en-US"/>
        </w:rPr>
        <w:t xml:space="preserve">ENP. The ENP had similar nutraceuticals profile (phenolic acids, flavonols, DNJ and GABA) to that of the </w:t>
      </w:r>
      <w:r w:rsidR="008C17AC" w:rsidRPr="00B37812">
        <w:rPr>
          <w:rFonts w:ascii="Times New Roman" w:eastAsia="Calibri" w:hAnsi="Times New Roman" w:cs="Times New Roman"/>
          <w:bCs/>
          <w:sz w:val="24"/>
          <w:szCs w:val="24"/>
          <w:lang w:eastAsia="en-US"/>
        </w:rPr>
        <w:t>NE</w:t>
      </w:r>
      <w:r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color w:val="00B0F0"/>
          <w:sz w:val="24"/>
          <w:szCs w:val="24"/>
          <w:lang w:eastAsia="en-US"/>
        </w:rPr>
        <w:t>Table 1</w:t>
      </w:r>
      <w:r w:rsidRPr="00B37812">
        <w:rPr>
          <w:rFonts w:ascii="Times New Roman" w:eastAsia="Calibri" w:hAnsi="Times New Roman" w:cs="Times New Roman"/>
          <w:bCs/>
          <w:sz w:val="24"/>
          <w:szCs w:val="24"/>
          <w:lang w:eastAsia="en-US"/>
        </w:rPr>
        <w:t>). All the ENP assessed in this work presented a high NR (ranging from 66.09 to 97.86%) of the targeted bioactive compounds (</w:t>
      </w:r>
      <w:r w:rsidRPr="00B37812">
        <w:rPr>
          <w:rFonts w:ascii="Times New Roman" w:eastAsia="Calibri" w:hAnsi="Times New Roman" w:cs="Times New Roman"/>
          <w:bCs/>
          <w:color w:val="00B0F0"/>
          <w:sz w:val="24"/>
          <w:szCs w:val="24"/>
          <w:lang w:eastAsia="en-US"/>
        </w:rPr>
        <w:t>Fig. 1</w:t>
      </w:r>
      <w:r w:rsidRPr="00B37812">
        <w:rPr>
          <w:rFonts w:ascii="Times New Roman" w:eastAsia="Calibri" w:hAnsi="Times New Roman" w:cs="Times New Roman"/>
          <w:bCs/>
          <w:sz w:val="24"/>
          <w:szCs w:val="24"/>
          <w:lang w:eastAsia="en-US"/>
        </w:rPr>
        <w:t xml:space="preserve">). Similar retention of phenolic compounds through freeze drying have been reported in the literature </w:t>
      </w:r>
      <w:hyperlink w:anchor="_ENREF_20" w:tooltip="Sanchez, 2013 #1331" w:history="1">
        <w:r w:rsidRPr="00B37812">
          <w:rPr>
            <w:rStyle w:val="Hyperlink"/>
            <w:rFonts w:ascii="Times New Roman" w:eastAsia="Calibri" w:hAnsi="Times New Roman" w:cs="Times New Roman"/>
            <w:bCs/>
            <w:sz w:val="24"/>
            <w:szCs w:val="24"/>
            <w:lang w:eastAsia="en-US"/>
          </w:rPr>
          <w:fldChar w:fldCharType="begin">
            <w:fldData xml:space="preserve">PEVuZE5vdGU+PENpdGU+PEF1dGhvcj5TYW5jaGV6PC9BdXRob3I+PFllYXI+MjAxMzwvWWVhcj48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</w:fldData>
          </w:fldChar>
        </w:r>
        <w:r w:rsidR="00E124D1" w:rsidRPr="00B37812">
          <w:rPr>
            <w:rStyle w:val="Hyperlink"/>
            <w:rFonts w:ascii="Times New Roman" w:eastAsia="Calibri" w:hAnsi="Times New Roman" w:cs="Times New Roman"/>
            <w:bCs/>
            <w:sz w:val="24"/>
            <w:szCs w:val="24"/>
            <w:lang w:eastAsia="en-US"/>
          </w:rPr>
          <w:instrText xml:space="preserve"> ADDIN EN.CITE </w:instrText>
        </w:r>
        <w:r w:rsidR="00E124D1" w:rsidRPr="00B37812">
          <w:rPr>
            <w:rStyle w:val="Hyperlink"/>
            <w:rFonts w:ascii="Times New Roman" w:eastAsia="Calibri" w:hAnsi="Times New Roman" w:cs="Times New Roman"/>
            <w:bCs/>
            <w:sz w:val="24"/>
            <w:szCs w:val="24"/>
            <w:lang w:eastAsia="en-US"/>
          </w:rPr>
          <w:fldChar w:fldCharType="begin">
            <w:fldData xml:space="preserve">PEVuZE5vdGU+PENpdGU+PEF1dGhvcj5TYW5jaGV6PC9BdXRob3I+PFllYXI+MjAxMzwvWWVhcj48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</w:fldData>
          </w:fldChar>
        </w:r>
        <w:r w:rsidR="00E124D1" w:rsidRPr="00B37812">
          <w:rPr>
            <w:rStyle w:val="Hyperlink"/>
            <w:rFonts w:ascii="Times New Roman" w:eastAsia="Calibri" w:hAnsi="Times New Roman" w:cs="Times New Roman"/>
            <w:bCs/>
            <w:sz w:val="24"/>
            <w:szCs w:val="24"/>
            <w:lang w:eastAsia="en-US"/>
          </w:rPr>
          <w:instrText xml:space="preserve"> ADDIN EN.CITE.DATA </w:instrText>
        </w:r>
        <w:r w:rsidR="00E124D1" w:rsidRPr="00B37812">
          <w:rPr>
            <w:rStyle w:val="Hyperlink"/>
            <w:rFonts w:ascii="Times New Roman" w:eastAsia="Calibri" w:hAnsi="Times New Roman" w:cs="Times New Roman"/>
            <w:bCs/>
            <w:sz w:val="24"/>
            <w:szCs w:val="24"/>
            <w:lang w:eastAsia="en-US"/>
          </w:rPr>
        </w:r>
        <w:r w:rsidR="00E124D1" w:rsidRPr="00B37812">
          <w:rPr>
            <w:rStyle w:val="Hyperlink"/>
            <w:rFonts w:ascii="Times New Roman" w:eastAsia="Calibri" w:hAnsi="Times New Roman" w:cs="Times New Roman"/>
            <w:bCs/>
            <w:sz w:val="24"/>
            <w:szCs w:val="24"/>
            <w:lang w:eastAsia="en-US"/>
          </w:rPr>
          <w:fldChar w:fldCharType="end"/>
        </w:r>
        <w:r w:rsidRPr="00B37812">
          <w:rPr>
            <w:rStyle w:val="Hyperlink"/>
            <w:rFonts w:ascii="Times New Roman" w:eastAsia="Calibri" w:hAnsi="Times New Roman" w:cs="Times New Roman"/>
            <w:bCs/>
            <w:sz w:val="24"/>
            <w:szCs w:val="24"/>
            <w:lang w:eastAsia="en-US"/>
          </w:rPr>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20-22</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sz w:val="24"/>
          <w:szCs w:val="24"/>
          <w:lang w:eastAsia="en-US"/>
        </w:rPr>
        <w:t>.</w:t>
      </w:r>
    </w:p>
    <w:p w14:paraId="55E1AF5C" w14:textId="77777777" w:rsidR="000D2F7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sectPr w:rsidR="000D2F73" w:rsidRPr="00B37812" w:rsidSect="002C02A7">
          <w:footerReference w:type="default" r:id="rId13"/>
          <w:pgSz w:w="12240" w:h="15840"/>
          <w:pgMar w:top="1440" w:right="1440" w:bottom="1440" w:left="1440" w:header="708" w:footer="708" w:gutter="0"/>
          <w:lnNumType w:countBy="1" w:restart="continuous"/>
          <w:cols w:space="708"/>
          <w:docGrid w:linePitch="360"/>
        </w:sectPr>
      </w:pPr>
      <w:r w:rsidRPr="00B37812">
        <w:rPr>
          <w:rFonts w:ascii="Times New Roman" w:eastAsia="Calibri" w:hAnsi="Times New Roman" w:cs="Times New Roman"/>
          <w:bCs/>
          <w:color w:val="000000"/>
          <w:sz w:val="24"/>
          <w:szCs w:val="24"/>
          <w:lang w:eastAsia="en-US"/>
        </w:rPr>
        <w:t>With respect to the wall material, the type of carrier was noted to have significantly (</w:t>
      </w:r>
      <w:r w:rsidRPr="00B37812">
        <w:rPr>
          <w:rFonts w:ascii="Times New Roman" w:eastAsia="Calibri" w:hAnsi="Times New Roman" w:cs="Times New Roman"/>
          <w:bCs/>
          <w:i/>
          <w:color w:val="000000"/>
          <w:sz w:val="24"/>
          <w:szCs w:val="24"/>
          <w:lang w:eastAsia="en-US"/>
        </w:rPr>
        <w:t>p</w:t>
      </w:r>
      <w:r w:rsidRPr="00B37812">
        <w:rPr>
          <w:rFonts w:ascii="Times New Roman" w:eastAsia="Calibri" w:hAnsi="Times New Roman" w:cs="Times New Roman"/>
          <w:bCs/>
          <w:color w:val="000000"/>
          <w:sz w:val="24"/>
          <w:szCs w:val="24"/>
          <w:lang w:eastAsia="en-US"/>
        </w:rPr>
        <w:t xml:space="preserve"> &lt; 0.0001) altered the </w:t>
      </w:r>
      <w:r w:rsidRPr="00B37812">
        <w:rPr>
          <w:rFonts w:ascii="Times New Roman" w:hAnsi="Times New Roman" w:cs="Times New Roman"/>
          <w:sz w:val="24"/>
          <w:szCs w:val="24"/>
        </w:rPr>
        <w:t>nutraceutical content</w:t>
      </w:r>
      <w:r w:rsidRPr="00B37812">
        <w:rPr>
          <w:rFonts w:ascii="Times New Roman" w:eastAsia="Calibri" w:hAnsi="Times New Roman" w:cs="Times New Roman"/>
          <w:bCs/>
          <w:color w:val="000000"/>
          <w:sz w:val="24"/>
          <w:szCs w:val="24"/>
          <w:lang w:eastAsia="en-US"/>
        </w:rPr>
        <w:t xml:space="preserve">. As graphically illustrated in </w:t>
      </w:r>
      <w:r w:rsidRPr="00B37812">
        <w:rPr>
          <w:rFonts w:ascii="Times New Roman" w:eastAsia="Calibri" w:hAnsi="Times New Roman" w:cs="Times New Roman"/>
          <w:bCs/>
          <w:color w:val="00B0F0"/>
          <w:sz w:val="24"/>
          <w:szCs w:val="24"/>
          <w:lang w:eastAsia="en-US"/>
        </w:rPr>
        <w:t>Fig. 1</w:t>
      </w:r>
      <w:r w:rsidRPr="00B37812">
        <w:rPr>
          <w:rFonts w:ascii="Times New Roman" w:eastAsia="Calibri" w:hAnsi="Times New Roman" w:cs="Times New Roman"/>
          <w:bCs/>
          <w:color w:val="000000"/>
          <w:sz w:val="24"/>
          <w:szCs w:val="24"/>
          <w:lang w:eastAsia="en-US"/>
        </w:rPr>
        <w:t xml:space="preserve">, encapsulation using MD provided the highest NR of phenolic acids (96.16 to 97.86% for CHA; 88.89 to 90.45% for CA) and DNJ (95.57 to 97.80%) as compared to the CMC which resulted in the highest NR of flavonols (83.87 to 88.35% for K3M; 75.93 to 82.75% for K3R; 84.39 to 85.75% for K3G; 80.27 to 83.85% for K7G; 87.97 to 90.88% for Q3R; 91.67 to 92.89% for Q3M; 95.03 to 97.75% for Q3G, and GABA 86.67 to 92.45%). </w:t>
      </w:r>
      <w:hyperlink w:anchor="_ENREF_23" w:tooltip="Stoll, 2016 #1457"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AuthorYear="1"&gt;&lt;Author&gt;Stoll&lt;/Author&gt;&lt;Year&gt;2016&lt;/Year&gt;&lt;RecNum&gt;1457&lt;/RecNum&gt;&lt;DisplayText&gt;Stoll et al. &lt;style face="superscript"&gt;23&lt;/style&gt;&lt;/DisplayText&gt;&lt;record&gt;&lt;rec-number&gt;1457&lt;/rec-number&gt;&lt;foreign-keys&gt;&lt;key app="EN" db-id="5wdx0tztgpfe5yefsdpperx8srzetsx0pw9w" timestamp="1519695450"&gt;1457&lt;/key&gt;&lt;/foreign-keys&gt;&lt;ref-type name="Journal Article"&gt;17&lt;/ref-type&gt;&lt;contributors&gt;&lt;authors&gt;&lt;author&gt;Stoll, Liana&lt;/author&gt;&lt;author&gt;Costa, Tania Maria Haas&lt;/author&gt;&lt;author&gt;Jablonski, André&lt;/author&gt;&lt;author&gt;Flôres, Simone Hickmann&lt;/author&gt;&lt;author&gt;de Oliveira Rios, Alessandro&lt;/author&gt;&lt;/authors&gt;&lt;/contributors&gt;&lt;titles&gt;&lt;title&gt;Microencapsulation of anthocyanins with different wall materials and its application in active biodegradable films&lt;/title&gt;&lt;secondary-title&gt;Food and bioprocess technology&lt;/secondary-title&gt;&lt;/titles&gt;&lt;pages&gt;172-181&lt;/pages&gt;&lt;volume&gt;9&lt;/volume&gt;&lt;number&gt;1&lt;/number&gt;&lt;dates&gt;&lt;year&gt;2016&lt;/year&gt;&lt;/dates&gt;&lt;isbn&gt;1935-5130&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Stoll et al. </w:t>
        </w:r>
        <w:r w:rsidR="00E124D1" w:rsidRPr="00B37812">
          <w:rPr>
            <w:rStyle w:val="Hyperlink"/>
            <w:rFonts w:ascii="Times New Roman" w:eastAsia="Calibri" w:hAnsi="Times New Roman" w:cs="Times New Roman"/>
            <w:bCs/>
            <w:noProof/>
            <w:sz w:val="24"/>
            <w:szCs w:val="24"/>
            <w:vertAlign w:val="superscript"/>
            <w:lang w:eastAsia="en-US"/>
          </w:rPr>
          <w:t>23</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also observed differences in the retention of individual anthocyanins with different wall materials during freeze-drying of grape pomace extract. This discrepancy in the NR could be attributed to the formation of complexes between the biomolecule and the polysaccharides. As stated </w:t>
      </w:r>
      <w:r w:rsidR="0097795E" w:rsidRPr="00B37812">
        <w:rPr>
          <w:rFonts w:ascii="Times New Roman" w:eastAsia="Calibri" w:hAnsi="Times New Roman" w:cs="Times New Roman"/>
          <w:bCs/>
          <w:color w:val="000000"/>
          <w:sz w:val="24"/>
          <w:szCs w:val="24"/>
          <w:lang w:eastAsia="en-US"/>
        </w:rPr>
        <w:t>by</w:t>
      </w:r>
      <w:r w:rsidRPr="00B37812">
        <w:rPr>
          <w:rFonts w:ascii="Times New Roman" w:eastAsia="Calibri" w:hAnsi="Times New Roman" w:cs="Times New Roman"/>
          <w:bCs/>
          <w:color w:val="000000"/>
          <w:sz w:val="24"/>
          <w:szCs w:val="24"/>
          <w:lang w:eastAsia="en-US"/>
        </w:rPr>
        <w:t xml:space="preserve"> </w:t>
      </w:r>
      <w:hyperlink w:anchor="_ENREF_24" w:tooltip="Laine, 2008 #1435"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AuthorYear="1"&gt;&lt;Author&gt;Laine&lt;/Author&gt;&lt;Year&gt;2008&lt;/Year&gt;&lt;RecNum&gt;1435&lt;/RecNum&gt;&lt;DisplayText&gt;Laine et al. &lt;style face="superscript"&gt;24&lt;/style&gt;&lt;/DisplayText&gt;&lt;record&gt;&lt;rec-number&gt;1435&lt;/rec-number&gt;&lt;foreign-keys&gt;&lt;key app="EN" db-id="5wdx0tztgpfe5yefsdpperx8srzetsx0pw9w" timestamp="1518607072"&gt;1435&lt;/key&gt;&lt;/foreign-keys&gt;&lt;ref-type name="Journal Article"&gt;17&lt;/ref-type&gt;&lt;contributors&gt;&lt;authors&gt;&lt;author&gt;Laine, Pia&lt;/author&gt;&lt;author&gt;Kylli, Petri&lt;/author&gt;&lt;author&gt;Heinonen, Marina&lt;/author&gt;&lt;author&gt;Jouppila, Kirsi&lt;/author&gt;&lt;/authors&gt;&lt;/contributors&gt;&lt;titles&gt;&lt;title&gt;Storage stability of microencapsulated cloudberry (Rubus chamaemorus) phenolics&lt;/title&gt;&lt;secondary-title&gt;Journal of Agricultural and Food Chemistry&lt;/secondary-title&gt;&lt;/titles&gt;&lt;periodical&gt;&lt;full-title&gt;Journal of Agricultural and Food Chemistry&lt;/full-title&gt;&lt;abbr-1&gt;J. Agric. Food Chem.&lt;/abbr-1&gt;&lt;abbr-2&gt;J Agric Food Chem&lt;/abbr-2&gt;&lt;/periodical&gt;&lt;pages&gt;11251-11261&lt;/pages&gt;&lt;volume&gt;56&lt;/volume&gt;&lt;number&gt;23&lt;/number&gt;&lt;dates&gt;&lt;year&gt;2008&lt;/year&gt;&lt;/dates&gt;&lt;isbn&gt;0021-8561&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Laine et al. </w:t>
        </w:r>
        <w:r w:rsidR="00E124D1" w:rsidRPr="00B37812">
          <w:rPr>
            <w:rStyle w:val="Hyperlink"/>
            <w:rFonts w:ascii="Times New Roman" w:eastAsia="Calibri" w:hAnsi="Times New Roman" w:cs="Times New Roman"/>
            <w:bCs/>
            <w:noProof/>
            <w:sz w:val="24"/>
            <w:szCs w:val="24"/>
            <w:vertAlign w:val="superscript"/>
            <w:lang w:eastAsia="en-US"/>
          </w:rPr>
          <w:t>24</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biocompounds may form complexes with polysaccharides depending on the nature of the core compounds (hydrophilic/hydrophobic character, and positive/negative charge), and the chemical structure of the carrier agent (conformational mobility and molecular size). Hence, the hydrophobic properties of CMC </w:t>
      </w:r>
      <w:hyperlink w:anchor="_ENREF_25" w:tooltip="Lopez, 2015 #1434"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&lt;EndNote&gt;&lt;Cite&gt;&lt;Author&gt;Lopez&lt;/Author&gt;&lt;Year&gt;2015&lt;/Year&gt;&lt;RecNum&gt;1434&lt;/RecNum&gt;&lt;DisplayText&gt;&lt;style face="superscript"&gt;25&lt;/style&gt;&lt;/DisplayText&gt;&lt;record&gt;&lt;rec-number&gt;1434&lt;/rec-number&gt;&lt;foreign-keys&gt;&lt;key app="EN" db-id="5wdx0tztgpfe5yefsdpperx8srzetsx0pw9w" timestamp="1518606217"&gt;1434&lt;/key&gt;&lt;/foreign-keys&gt;&lt;ref-type name="Journal Article"&gt;17&lt;/ref-type&gt;&lt;contributors&gt;&lt;authors&gt;&lt;author&gt;Lopez, Carlos G.&lt;/author&gt;&lt;author&gt;Rogers, Sarah E.&lt;/author&gt;&lt;author&gt;Colby, Ralph H.&lt;/author&gt;&lt;author&gt;Graham, Peter&lt;/author&gt;&lt;author&gt;Cabral, João T.&lt;/author&gt;&lt;/authors&gt;&lt;/contributors&gt;&lt;titles&gt;&lt;title&gt;Structure of sodium carboxymethyl cellulose aqueous solutions: A SANS and rheology study&lt;/title&gt;&lt;secondary-title&gt;Journal of Polymer Science Part B: Polymer Physics&lt;/secondary-title&gt;&lt;/titles&gt;&lt;periodical&gt;&lt;full-title&gt;Journal of Polymer Science Part B: Polymer Physics&lt;/full-title&gt;&lt;abbr-1&gt;J. Polym. Sci., Part B: Polym. Phys.&lt;/abbr-1&gt;&lt;abbr-2&gt;J Polym Sci, Part B: Polym Phys&lt;/abbr-2&gt;&lt;/periodical&gt;&lt;pages&gt;492-501&lt;/pages&gt;&lt;volume&gt;53&lt;/volume&gt;&lt;number&gt;7&lt;/number&gt;&lt;keywords&gt;&lt;keyword&gt;polyelectrolytes&lt;/keyword&gt;&lt;keyword&gt;cellulose&lt;/keyword&gt;&lt;keyword&gt;neutron scattering&lt;/keyword&gt;&lt;keyword&gt;rheology&lt;/keyword&gt;&lt;keyword&gt;structural characterization&lt;/keyword&gt;&lt;keyword&gt;water-soluble polymers&lt;/keyword&gt;&lt;/keywords&gt;&lt;dates&gt;&lt;year&gt;2015&lt;/year&gt;&lt;/dates&gt;&lt;isbn&gt;1099-0488&lt;/isbn&gt;&lt;urls&gt;&lt;related-urls&gt;&lt;url&gt;http://dx.doi.org/10.1002/polb.23657&lt;/url&gt;&lt;/related-urls&gt;&lt;/urls&gt;&lt;electronic-resource-num&gt;10.1002/polb.23657&lt;/electronic-resource-num&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25</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might be ascribed to the better retention of flavonols and GABA, while the hydrophilic properties of MD </w:t>
      </w:r>
      <w:hyperlink w:anchor="_ENREF_26" w:tooltip="Negrão-Murakami, 2017 #1442"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&lt;EndNote&gt;&lt;Cite&gt;&lt;Author&gt;Negrão-Murakami&lt;/Author&gt;&lt;Year&gt;2017&lt;/Year&gt;&lt;RecNum&gt;1442&lt;/RecNum&gt;&lt;DisplayText&gt;&lt;style face="superscript"&gt;26&lt;/style&gt;&lt;/DisplayText&gt;&lt;record&gt;&lt;rec-number&gt;1442&lt;/rec-number&gt;&lt;foreign-keys&gt;&lt;key app="EN" db-id="5wdx0tztgpfe5yefsdpperx8srzetsx0pw9w" timestamp="1518760265"&gt;1442&lt;/key&gt;&lt;/foreign-keys&gt;&lt;ref-type name="Journal Article"&gt;17&lt;/ref-type&gt;&lt;contributors&gt;&lt;authors&gt;&lt;author&gt;Negrão-Murakami, Aureanna N.&lt;/author&gt;&lt;author&gt;Nunes, Graciele L.&lt;/author&gt;&lt;author&gt;Pinto, Stephanie S.&lt;/author&gt;&lt;author&gt;Murakami, Fabio S.&lt;/author&gt;&lt;author&gt;Amante, Edna R.&lt;/author&gt;&lt;author&gt;Petrus, José Carlos Cunha&lt;/author&gt;&lt;author&gt;Prudêncio, Elane S.&lt;/author&gt;&lt;author&gt;Amboni, Renata D. M. C.&lt;/author&gt;&lt;/authors&gt;&lt;/contributors&gt;&lt;titles&gt;&lt;title&gt;Influence of DE-value of maltodextrin on the physicochemical properties, antioxidant activity, and storage stability of spray dried concentrated mate (Ilex paraguariensis A. St. Hil.)&lt;/title&gt;&lt;secondary-title&gt;LWT - Food Science and Technology&lt;/secondary-title&gt;&lt;/titles&gt;&lt;pages&gt;561-567&lt;/pages&gt;&lt;volume&gt;79&lt;/volume&gt;&lt;keywords&gt;&lt;keyword&gt;Yerba mate&lt;/keyword&gt;&lt;keyword&gt;Microencapsulation&lt;/keyword&gt;&lt;keyword&gt;Nanofiltration&lt;/keyword&gt;&lt;keyword&gt;Phenolic compounds&lt;/keyword&gt;&lt;keyword&gt;Antioxidant activity&lt;/keyword&gt;&lt;/keywords&gt;&lt;dates&gt;&lt;year&gt;2017&lt;/year&gt;&lt;pub-dates&gt;&lt;date&gt;2017/06/01/&lt;/date&gt;&lt;/pub-dates&gt;&lt;/dates&gt;&lt;isbn&gt;0023-6438&lt;/isbn&gt;&lt;urls&gt;&lt;related-urls&gt;&lt;url&gt;http://www.sciencedirect.com/science/article/pii/S0023643816306739&lt;/url&gt;&lt;/related-urls&gt;&lt;/urls&gt;&lt;electronic-resource-num&gt;https://doi.org/10.1016/j.lwt.2016.11.002&lt;/electronic-resource-num&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26</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could be attributed to its better retention of DNJ and phenolic acids. A similar observation has been reported by</w:t>
      </w:r>
      <w:r w:rsidRPr="00B37812">
        <w:rPr>
          <w:rFonts w:ascii="Times New Roman" w:eastAsia="Calibri" w:hAnsi="Times New Roman" w:cs="Times New Roman"/>
          <w:bCs/>
          <w:sz w:val="24"/>
          <w:szCs w:val="24"/>
          <w:lang w:eastAsia="en-US"/>
        </w:rPr>
        <w:t xml:space="preserve"> </w:t>
      </w:r>
      <w:hyperlink w:anchor="_ENREF_27" w:tooltip="Stănciuc, 2017 #1458"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AuthorYear="1"&gt;&lt;Author&gt;Stănciuc&lt;/Author&gt;&lt;Year&gt;2017&lt;/Year&gt;&lt;RecNum&gt;1458&lt;/RecNum&gt;&lt;DisplayText&gt;Stănciuc et al. &lt;style face="superscript"&gt;27&lt;/style&gt;&lt;/DisplayText&gt;&lt;record&gt;&lt;rec-number&gt;1458&lt;/rec-number&gt;&lt;foreign-keys&gt;&lt;key app="EN" db-id="5wdx0tztgpfe5yefsdpperx8srzetsx0pw9w" timestamp="1519696882"&gt;1458&lt;/key&gt;&lt;/foreign-keys&gt;&lt;ref-type name="Journal Article"&gt;17&lt;/ref-type&gt;&lt;contributors&gt;&lt;authors&gt;&lt;author&gt;Stănciuc, Nicoleta&lt;/author&gt;&lt;author&gt;Turturică, Mihaela&lt;/author&gt;&lt;author&gt;Oancea, Ana Maria&lt;/author&gt;&lt;author&gt;Barbu, Vasilica&lt;/author&gt;&lt;author&gt;Ioniţă, Elena&lt;/author&gt;&lt;author&gt;Aprodu, Iuliana&lt;/author&gt;&lt;author&gt;Râpeanu, Gabriela&lt;/author&gt;&lt;/authors&gt;&lt;/contributors&gt;&lt;titles&gt;&lt;title&gt;Microencapsulation of Anthocyanins from Grape Skins by Whey Protein Isolates and Different Polymers&lt;/title&gt;&lt;secondary-title&gt;Food and Bioprocess Technology&lt;/secondary-title&gt;&lt;/titles&gt;&lt;pages&gt;1715-1726&lt;/pages&gt;&lt;volume&gt;10&lt;/volume&gt;&lt;number&gt;9&lt;/number&gt;&lt;dates&gt;&lt;year&gt;2017&lt;/year&gt;&lt;/dates&gt;&lt;isbn&gt;1935-5130&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Stănciuc et al. </w:t>
        </w:r>
        <w:r w:rsidR="00E124D1" w:rsidRPr="00B37812">
          <w:rPr>
            <w:rStyle w:val="Hyperlink"/>
            <w:rFonts w:ascii="Times New Roman" w:eastAsia="Calibri" w:hAnsi="Times New Roman" w:cs="Times New Roman"/>
            <w:bCs/>
            <w:noProof/>
            <w:sz w:val="24"/>
            <w:szCs w:val="24"/>
            <w:vertAlign w:val="superscript"/>
            <w:lang w:eastAsia="en-US"/>
          </w:rPr>
          <w:t>27</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w:t>
      </w:r>
    </w:p>
    <w:p w14:paraId="16F51C77" w14:textId="77777777" w:rsidR="000D2F73" w:rsidRPr="00B37812" w:rsidRDefault="000D2F73" w:rsidP="000D2F73">
      <w:pPr>
        <w:spacing w:after="0" w:line="240" w:lineRule="auto"/>
        <w:jc w:val="both"/>
        <w:rPr>
          <w:rFonts w:ascii="Times New Roman" w:hAnsi="Times New Roman" w:cs="Times New Roman"/>
          <w:color w:val="FF0000"/>
          <w:sz w:val="24"/>
          <w:szCs w:val="24"/>
        </w:rPr>
      </w:pPr>
      <w:r w:rsidRPr="00B37812">
        <w:rPr>
          <w:rFonts w:ascii="Times New Roman" w:hAnsi="Times New Roman" w:cs="Times New Roman"/>
          <w:b/>
          <w:sz w:val="24"/>
          <w:szCs w:val="24"/>
        </w:rPr>
        <w:t>Table 1:</w:t>
      </w:r>
      <w:r w:rsidRPr="00B37812">
        <w:rPr>
          <w:rFonts w:ascii="Times New Roman" w:hAnsi="Times New Roman" w:cs="Times New Roman"/>
          <w:sz w:val="24"/>
          <w:szCs w:val="24"/>
        </w:rPr>
        <w:t xml:space="preserve"> Nutraceuticals and antioxidant properties of encapsulated freeze-dried mulberry leaf extract powders</w:t>
      </w:r>
    </w:p>
    <w:p w14:paraId="5451C45E" w14:textId="77777777" w:rsidR="000D2F73" w:rsidRPr="00B37812" w:rsidRDefault="000D2F73" w:rsidP="000D2F73">
      <w:pPr>
        <w:spacing w:after="0" w:line="240" w:lineRule="auto"/>
        <w:jc w:val="both"/>
        <w:rPr>
          <w:rFonts w:ascii="Times New Roman" w:hAnsi="Times New Roman" w:cs="Times New Roman"/>
          <w:color w:val="FF0000"/>
          <w:sz w:val="24"/>
          <w:szCs w:val="24"/>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
        <w:gridCol w:w="2092"/>
        <w:gridCol w:w="1464"/>
        <w:gridCol w:w="1405"/>
        <w:gridCol w:w="1405"/>
        <w:gridCol w:w="241"/>
        <w:gridCol w:w="1405"/>
        <w:gridCol w:w="1405"/>
        <w:gridCol w:w="1405"/>
        <w:gridCol w:w="241"/>
        <w:gridCol w:w="1400"/>
      </w:tblGrid>
      <w:tr w:rsidR="000D2F73" w:rsidRPr="00B37812" w14:paraId="1AB4082F" w14:textId="77777777" w:rsidTr="00927E41">
        <w:tc>
          <w:tcPr>
            <w:tcW w:w="999" w:type="pct"/>
            <w:gridSpan w:val="2"/>
            <w:vMerge w:val="restart"/>
            <w:tcBorders>
              <w:top w:val="single" w:sz="4" w:space="0" w:color="auto"/>
              <w:bottom w:val="single" w:sz="4" w:space="0" w:color="auto"/>
            </w:tcBorders>
            <w:vAlign w:val="center"/>
          </w:tcPr>
          <w:p w14:paraId="5FE71A6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Parameters</w:t>
            </w:r>
          </w:p>
        </w:tc>
        <w:tc>
          <w:tcPr>
            <w:tcW w:w="1649" w:type="pct"/>
            <w:gridSpan w:val="3"/>
            <w:tcBorders>
              <w:top w:val="single" w:sz="4" w:space="0" w:color="auto"/>
              <w:bottom w:val="single" w:sz="4" w:space="0" w:color="auto"/>
            </w:tcBorders>
            <w:vAlign w:val="center"/>
          </w:tcPr>
          <w:p w14:paraId="3FEC8323" w14:textId="77777777" w:rsidR="000D2F73" w:rsidRPr="00B37812" w:rsidRDefault="000D2F73" w:rsidP="000D2F73">
            <w:pPr>
              <w:tabs>
                <w:tab w:val="center" w:pos="4680"/>
                <w:tab w:val="right" w:pos="9360"/>
              </w:tabs>
              <w:spacing w:after="0" w:line="240" w:lineRule="auto"/>
              <w:jc w:val="center"/>
              <w:rPr>
                <w:rFonts w:ascii="Times New Roman" w:hAnsi="Times New Roman" w:cs="Times New Roman"/>
                <w:sz w:val="20"/>
                <w:szCs w:val="20"/>
              </w:rPr>
            </w:pPr>
            <w:r w:rsidRPr="00B37812">
              <w:rPr>
                <w:rFonts w:ascii="Times New Roman" w:hAnsi="Times New Roman" w:cs="Times New Roman"/>
                <w:sz w:val="20"/>
                <w:szCs w:val="20"/>
              </w:rPr>
              <w:t>CMC (%)</w:t>
            </w:r>
          </w:p>
        </w:tc>
        <w:tc>
          <w:tcPr>
            <w:tcW w:w="93" w:type="pct"/>
            <w:tcBorders>
              <w:top w:val="single" w:sz="4" w:space="0" w:color="auto"/>
            </w:tcBorders>
            <w:vAlign w:val="center"/>
          </w:tcPr>
          <w:p w14:paraId="6F6FA583" w14:textId="77777777" w:rsidR="000D2F73" w:rsidRPr="00B37812" w:rsidRDefault="000D2F73" w:rsidP="000D2F73">
            <w:pPr>
              <w:tabs>
                <w:tab w:val="center" w:pos="4680"/>
                <w:tab w:val="right" w:pos="9360"/>
              </w:tabs>
              <w:spacing w:after="0" w:line="240" w:lineRule="auto"/>
              <w:jc w:val="center"/>
              <w:rPr>
                <w:rFonts w:ascii="Times New Roman" w:hAnsi="Times New Roman" w:cs="Times New Roman"/>
                <w:sz w:val="20"/>
                <w:szCs w:val="20"/>
              </w:rPr>
            </w:pPr>
          </w:p>
        </w:tc>
        <w:tc>
          <w:tcPr>
            <w:tcW w:w="1626" w:type="pct"/>
            <w:gridSpan w:val="3"/>
            <w:tcBorders>
              <w:top w:val="single" w:sz="4" w:space="0" w:color="auto"/>
              <w:bottom w:val="single" w:sz="4" w:space="0" w:color="auto"/>
            </w:tcBorders>
            <w:vAlign w:val="center"/>
          </w:tcPr>
          <w:p w14:paraId="292D7D97" w14:textId="77777777" w:rsidR="000D2F73" w:rsidRPr="00B37812" w:rsidRDefault="000D2F73" w:rsidP="000D2F73">
            <w:pPr>
              <w:tabs>
                <w:tab w:val="center" w:pos="4680"/>
                <w:tab w:val="right" w:pos="9360"/>
              </w:tabs>
              <w:spacing w:after="0" w:line="240" w:lineRule="auto"/>
              <w:jc w:val="center"/>
              <w:rPr>
                <w:rFonts w:ascii="Times New Roman" w:hAnsi="Times New Roman" w:cs="Times New Roman"/>
                <w:sz w:val="20"/>
                <w:szCs w:val="20"/>
              </w:rPr>
            </w:pPr>
            <w:r w:rsidRPr="00B37812">
              <w:rPr>
                <w:rFonts w:ascii="Times New Roman" w:hAnsi="Times New Roman" w:cs="Times New Roman"/>
                <w:sz w:val="20"/>
                <w:szCs w:val="20"/>
              </w:rPr>
              <w:t>MD (%)</w:t>
            </w:r>
          </w:p>
        </w:tc>
        <w:tc>
          <w:tcPr>
            <w:tcW w:w="93" w:type="pct"/>
            <w:tcBorders>
              <w:top w:val="single" w:sz="4" w:space="0" w:color="auto"/>
            </w:tcBorders>
            <w:vAlign w:val="center"/>
          </w:tcPr>
          <w:p w14:paraId="5137CC04" w14:textId="77777777" w:rsidR="000D2F73" w:rsidRPr="00B37812" w:rsidRDefault="000D2F73" w:rsidP="000D2F73">
            <w:pPr>
              <w:tabs>
                <w:tab w:val="center" w:pos="4680"/>
                <w:tab w:val="right" w:pos="9360"/>
              </w:tabs>
              <w:spacing w:after="0" w:line="240" w:lineRule="auto"/>
              <w:jc w:val="center"/>
              <w:rPr>
                <w:rFonts w:ascii="Times New Roman" w:hAnsi="Times New Roman" w:cs="Times New Roman"/>
                <w:sz w:val="20"/>
                <w:szCs w:val="20"/>
              </w:rPr>
            </w:pPr>
          </w:p>
        </w:tc>
        <w:tc>
          <w:tcPr>
            <w:tcW w:w="540" w:type="pct"/>
            <w:vMerge w:val="restart"/>
            <w:tcBorders>
              <w:top w:val="single" w:sz="4" w:space="0" w:color="auto"/>
            </w:tcBorders>
            <w:vAlign w:val="center"/>
          </w:tcPr>
          <w:p w14:paraId="649A9E33" w14:textId="77777777" w:rsidR="000D2F73" w:rsidRPr="00B37812" w:rsidRDefault="000D2F73" w:rsidP="000D2F73">
            <w:pPr>
              <w:tabs>
                <w:tab w:val="center" w:pos="4680"/>
                <w:tab w:val="right" w:pos="9360"/>
              </w:tabs>
              <w:spacing w:after="0" w:line="240" w:lineRule="auto"/>
              <w:jc w:val="center"/>
              <w:rPr>
                <w:rFonts w:ascii="Times New Roman" w:hAnsi="Times New Roman" w:cs="Times New Roman"/>
                <w:sz w:val="20"/>
                <w:szCs w:val="20"/>
              </w:rPr>
            </w:pPr>
            <w:r w:rsidRPr="00B37812">
              <w:rPr>
                <w:rFonts w:ascii="Times New Roman" w:hAnsi="Times New Roman" w:cs="Times New Roman"/>
                <w:sz w:val="20"/>
                <w:szCs w:val="20"/>
              </w:rPr>
              <w:t>NE</w:t>
            </w:r>
          </w:p>
        </w:tc>
      </w:tr>
      <w:tr w:rsidR="000D2F73" w:rsidRPr="00B37812" w14:paraId="7D66EFE3" w14:textId="77777777" w:rsidTr="00927E41">
        <w:trPr>
          <w:trHeight w:val="70"/>
        </w:trPr>
        <w:tc>
          <w:tcPr>
            <w:tcW w:w="999" w:type="pct"/>
            <w:gridSpan w:val="2"/>
            <w:vMerge/>
            <w:tcBorders>
              <w:top w:val="single" w:sz="4" w:space="0" w:color="auto"/>
              <w:bottom w:val="single" w:sz="4" w:space="0" w:color="auto"/>
            </w:tcBorders>
            <w:vAlign w:val="center"/>
          </w:tcPr>
          <w:p w14:paraId="07AABE0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65" w:type="pct"/>
            <w:tcBorders>
              <w:top w:val="single" w:sz="4" w:space="0" w:color="auto"/>
              <w:bottom w:val="single" w:sz="4" w:space="0" w:color="auto"/>
            </w:tcBorders>
            <w:vAlign w:val="center"/>
          </w:tcPr>
          <w:p w14:paraId="3C47F86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0.55</w:t>
            </w:r>
          </w:p>
        </w:tc>
        <w:tc>
          <w:tcPr>
            <w:tcW w:w="542" w:type="pct"/>
            <w:tcBorders>
              <w:top w:val="single" w:sz="4" w:space="0" w:color="auto"/>
              <w:bottom w:val="single" w:sz="4" w:space="0" w:color="auto"/>
            </w:tcBorders>
            <w:vAlign w:val="center"/>
          </w:tcPr>
          <w:p w14:paraId="3011E25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0.70</w:t>
            </w:r>
          </w:p>
        </w:tc>
        <w:tc>
          <w:tcPr>
            <w:tcW w:w="542" w:type="pct"/>
            <w:tcBorders>
              <w:top w:val="single" w:sz="4" w:space="0" w:color="auto"/>
              <w:bottom w:val="single" w:sz="4" w:space="0" w:color="auto"/>
            </w:tcBorders>
            <w:vAlign w:val="center"/>
          </w:tcPr>
          <w:p w14:paraId="3925B3D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0.85</w:t>
            </w:r>
          </w:p>
        </w:tc>
        <w:tc>
          <w:tcPr>
            <w:tcW w:w="93" w:type="pct"/>
            <w:tcBorders>
              <w:bottom w:val="single" w:sz="4" w:space="0" w:color="auto"/>
            </w:tcBorders>
            <w:vAlign w:val="center"/>
          </w:tcPr>
          <w:p w14:paraId="7670554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Borders>
              <w:top w:val="single" w:sz="4" w:space="0" w:color="auto"/>
              <w:bottom w:val="single" w:sz="4" w:space="0" w:color="auto"/>
            </w:tcBorders>
            <w:vAlign w:val="center"/>
          </w:tcPr>
          <w:p w14:paraId="4E857F4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08</w:t>
            </w:r>
          </w:p>
        </w:tc>
        <w:tc>
          <w:tcPr>
            <w:tcW w:w="542" w:type="pct"/>
            <w:tcBorders>
              <w:top w:val="single" w:sz="4" w:space="0" w:color="auto"/>
              <w:bottom w:val="single" w:sz="4" w:space="0" w:color="auto"/>
            </w:tcBorders>
            <w:vAlign w:val="center"/>
          </w:tcPr>
          <w:p w14:paraId="726FCC6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10</w:t>
            </w:r>
          </w:p>
        </w:tc>
        <w:tc>
          <w:tcPr>
            <w:tcW w:w="542" w:type="pct"/>
            <w:tcBorders>
              <w:top w:val="single" w:sz="4" w:space="0" w:color="auto"/>
              <w:bottom w:val="single" w:sz="4" w:space="0" w:color="auto"/>
            </w:tcBorders>
            <w:vAlign w:val="center"/>
          </w:tcPr>
          <w:p w14:paraId="4602A6C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12</w:t>
            </w:r>
          </w:p>
        </w:tc>
        <w:tc>
          <w:tcPr>
            <w:tcW w:w="93" w:type="pct"/>
            <w:tcBorders>
              <w:bottom w:val="single" w:sz="4" w:space="0" w:color="auto"/>
            </w:tcBorders>
          </w:tcPr>
          <w:p w14:paraId="6EC4DBD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Merge/>
            <w:tcBorders>
              <w:bottom w:val="single" w:sz="4" w:space="0" w:color="auto"/>
            </w:tcBorders>
          </w:tcPr>
          <w:p w14:paraId="1133704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r>
      <w:tr w:rsidR="000D2F73" w:rsidRPr="00B37812" w14:paraId="0BEFE399" w14:textId="77777777" w:rsidTr="00927E41">
        <w:trPr>
          <w:trHeight w:val="227"/>
        </w:trPr>
        <w:tc>
          <w:tcPr>
            <w:tcW w:w="999" w:type="pct"/>
            <w:gridSpan w:val="2"/>
            <w:tcBorders>
              <w:top w:val="single" w:sz="4" w:space="0" w:color="auto"/>
            </w:tcBorders>
            <w:vAlign w:val="center"/>
          </w:tcPr>
          <w:p w14:paraId="710DDC16" w14:textId="77777777" w:rsidR="000D2F73" w:rsidRPr="00B37812" w:rsidRDefault="000D2F73" w:rsidP="000D2F73">
            <w:pPr>
              <w:tabs>
                <w:tab w:val="center" w:pos="4680"/>
                <w:tab w:val="right" w:pos="9360"/>
              </w:tabs>
              <w:spacing w:before="120" w:after="60" w:line="240" w:lineRule="auto"/>
              <w:jc w:val="both"/>
              <w:rPr>
                <w:rFonts w:ascii="Times New Roman" w:hAnsi="Times New Roman" w:cs="Times New Roman"/>
                <w:i/>
                <w:sz w:val="20"/>
                <w:szCs w:val="20"/>
              </w:rPr>
            </w:pPr>
            <w:r w:rsidRPr="00B37812">
              <w:rPr>
                <w:rFonts w:ascii="Times New Roman" w:hAnsi="Times New Roman" w:cs="Times New Roman"/>
                <w:i/>
                <w:sz w:val="20"/>
                <w:szCs w:val="20"/>
              </w:rPr>
              <w:t>Phenolic acids (mg/g db)</w:t>
            </w:r>
          </w:p>
        </w:tc>
        <w:tc>
          <w:tcPr>
            <w:tcW w:w="565" w:type="pct"/>
            <w:tcBorders>
              <w:top w:val="single" w:sz="4" w:space="0" w:color="auto"/>
            </w:tcBorders>
            <w:vAlign w:val="center"/>
          </w:tcPr>
          <w:p w14:paraId="3BC12550"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Borders>
              <w:top w:val="single" w:sz="4" w:space="0" w:color="auto"/>
            </w:tcBorders>
            <w:vAlign w:val="center"/>
          </w:tcPr>
          <w:p w14:paraId="7BC1487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Borders>
              <w:top w:val="single" w:sz="4" w:space="0" w:color="auto"/>
            </w:tcBorders>
            <w:vAlign w:val="center"/>
          </w:tcPr>
          <w:p w14:paraId="4107398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tcBorders>
              <w:top w:val="single" w:sz="4" w:space="0" w:color="auto"/>
            </w:tcBorders>
            <w:vAlign w:val="center"/>
          </w:tcPr>
          <w:p w14:paraId="4D37DB8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Borders>
              <w:top w:val="single" w:sz="4" w:space="0" w:color="auto"/>
            </w:tcBorders>
            <w:vAlign w:val="center"/>
          </w:tcPr>
          <w:p w14:paraId="72ED5C7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Borders>
              <w:top w:val="single" w:sz="4" w:space="0" w:color="auto"/>
            </w:tcBorders>
            <w:vAlign w:val="center"/>
          </w:tcPr>
          <w:p w14:paraId="1701820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Borders>
              <w:top w:val="single" w:sz="4" w:space="0" w:color="auto"/>
            </w:tcBorders>
            <w:vAlign w:val="center"/>
          </w:tcPr>
          <w:p w14:paraId="2FE5E19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tcBorders>
              <w:top w:val="single" w:sz="4" w:space="0" w:color="auto"/>
            </w:tcBorders>
          </w:tcPr>
          <w:p w14:paraId="210C4DA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tcBorders>
              <w:top w:val="single" w:sz="4" w:space="0" w:color="auto"/>
            </w:tcBorders>
          </w:tcPr>
          <w:p w14:paraId="700BB37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r>
      <w:tr w:rsidR="000D2F73" w:rsidRPr="00B37812" w14:paraId="777286DC" w14:textId="77777777" w:rsidTr="00927E41">
        <w:trPr>
          <w:trHeight w:val="227"/>
        </w:trPr>
        <w:tc>
          <w:tcPr>
            <w:tcW w:w="192" w:type="pct"/>
            <w:vAlign w:val="center"/>
          </w:tcPr>
          <w:p w14:paraId="0CFB2DA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1B12A3E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CHA</w:t>
            </w:r>
          </w:p>
        </w:tc>
        <w:tc>
          <w:tcPr>
            <w:tcW w:w="565" w:type="pct"/>
            <w:vAlign w:val="center"/>
          </w:tcPr>
          <w:p w14:paraId="3525A42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58.86±0.03</w:t>
            </w:r>
            <w:r w:rsidRPr="00B37812">
              <w:rPr>
                <w:rFonts w:ascii="Times New Roman" w:hAnsi="Times New Roman" w:cs="Times New Roman"/>
                <w:sz w:val="20"/>
                <w:szCs w:val="20"/>
                <w:vertAlign w:val="superscript"/>
              </w:rPr>
              <w:t>e</w:t>
            </w:r>
          </w:p>
        </w:tc>
        <w:tc>
          <w:tcPr>
            <w:tcW w:w="542" w:type="pct"/>
            <w:vAlign w:val="center"/>
          </w:tcPr>
          <w:p w14:paraId="0017A64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58.52±0.04</w:t>
            </w:r>
            <w:r w:rsidRPr="00B37812">
              <w:rPr>
                <w:rFonts w:ascii="Times New Roman" w:hAnsi="Times New Roman" w:cs="Times New Roman"/>
                <w:sz w:val="20"/>
                <w:szCs w:val="20"/>
                <w:vertAlign w:val="superscript"/>
              </w:rPr>
              <w:t>f</w:t>
            </w:r>
          </w:p>
        </w:tc>
        <w:tc>
          <w:tcPr>
            <w:tcW w:w="542" w:type="pct"/>
            <w:vAlign w:val="center"/>
          </w:tcPr>
          <w:p w14:paraId="2653463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58.37±0.02</w:t>
            </w:r>
            <w:r w:rsidRPr="00B37812">
              <w:rPr>
                <w:rFonts w:ascii="Times New Roman" w:hAnsi="Times New Roman" w:cs="Times New Roman"/>
                <w:sz w:val="20"/>
                <w:szCs w:val="20"/>
                <w:vertAlign w:val="superscript"/>
              </w:rPr>
              <w:t>g</w:t>
            </w:r>
          </w:p>
        </w:tc>
        <w:tc>
          <w:tcPr>
            <w:tcW w:w="93" w:type="pct"/>
            <w:vAlign w:val="center"/>
          </w:tcPr>
          <w:p w14:paraId="63B983F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5F07CBD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60.77±0.03</w:t>
            </w:r>
            <w:r w:rsidRPr="00B37812">
              <w:rPr>
                <w:rFonts w:ascii="Times New Roman" w:hAnsi="Times New Roman" w:cs="Times New Roman"/>
                <w:sz w:val="20"/>
                <w:szCs w:val="20"/>
                <w:vertAlign w:val="superscript"/>
              </w:rPr>
              <w:t>b</w:t>
            </w:r>
          </w:p>
        </w:tc>
        <w:tc>
          <w:tcPr>
            <w:tcW w:w="542" w:type="pct"/>
            <w:vAlign w:val="center"/>
          </w:tcPr>
          <w:p w14:paraId="492379F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59.96±0.04</w:t>
            </w:r>
            <w:r w:rsidRPr="00B37812">
              <w:rPr>
                <w:rFonts w:ascii="Times New Roman" w:hAnsi="Times New Roman" w:cs="Times New Roman"/>
                <w:sz w:val="20"/>
                <w:szCs w:val="20"/>
                <w:vertAlign w:val="superscript"/>
              </w:rPr>
              <w:t>c</w:t>
            </w:r>
          </w:p>
        </w:tc>
        <w:tc>
          <w:tcPr>
            <w:tcW w:w="542" w:type="pct"/>
            <w:vAlign w:val="center"/>
          </w:tcPr>
          <w:p w14:paraId="710A5BB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59.72±0.02</w:t>
            </w:r>
            <w:r w:rsidRPr="00B37812">
              <w:rPr>
                <w:rFonts w:ascii="Times New Roman" w:hAnsi="Times New Roman" w:cs="Times New Roman"/>
                <w:sz w:val="20"/>
                <w:szCs w:val="20"/>
                <w:vertAlign w:val="superscript"/>
              </w:rPr>
              <w:t>d</w:t>
            </w:r>
          </w:p>
        </w:tc>
        <w:tc>
          <w:tcPr>
            <w:tcW w:w="93" w:type="pct"/>
            <w:vAlign w:val="center"/>
          </w:tcPr>
          <w:p w14:paraId="356E09D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597BA4E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bCs/>
                <w:sz w:val="20"/>
                <w:szCs w:val="20"/>
              </w:rPr>
              <w:t>62.10</w:t>
            </w:r>
            <w:r w:rsidRPr="00B37812">
              <w:rPr>
                <w:rFonts w:ascii="Times New Roman" w:hAnsi="Times New Roman" w:cs="Times New Roman"/>
                <w:sz w:val="20"/>
                <w:szCs w:val="20"/>
              </w:rPr>
              <w:t>±</w:t>
            </w:r>
            <w:r w:rsidRPr="00B37812">
              <w:rPr>
                <w:rFonts w:ascii="Times New Roman" w:hAnsi="Times New Roman" w:cs="Times New Roman"/>
                <w:bCs/>
                <w:sz w:val="20"/>
                <w:szCs w:val="20"/>
              </w:rPr>
              <w:t>0.06</w:t>
            </w:r>
            <w:r w:rsidRPr="00B37812">
              <w:rPr>
                <w:rFonts w:ascii="Times New Roman" w:hAnsi="Times New Roman" w:cs="Times New Roman"/>
                <w:bCs/>
                <w:sz w:val="20"/>
                <w:szCs w:val="20"/>
                <w:vertAlign w:val="superscript"/>
              </w:rPr>
              <w:t>a</w:t>
            </w:r>
          </w:p>
        </w:tc>
      </w:tr>
      <w:tr w:rsidR="000D2F73" w:rsidRPr="00B37812" w14:paraId="4FA17B84" w14:textId="77777777" w:rsidTr="00927E41">
        <w:trPr>
          <w:trHeight w:val="227"/>
        </w:trPr>
        <w:tc>
          <w:tcPr>
            <w:tcW w:w="192" w:type="pct"/>
            <w:vAlign w:val="center"/>
          </w:tcPr>
          <w:p w14:paraId="7FACAEA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1EB59CA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CA</w:t>
            </w:r>
          </w:p>
        </w:tc>
        <w:tc>
          <w:tcPr>
            <w:tcW w:w="565" w:type="pct"/>
            <w:vAlign w:val="center"/>
          </w:tcPr>
          <w:p w14:paraId="3846A37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28.25±0.01</w:t>
            </w:r>
            <w:r w:rsidRPr="00B37812">
              <w:rPr>
                <w:rFonts w:ascii="Times New Roman" w:hAnsi="Times New Roman" w:cs="Times New Roman"/>
                <w:sz w:val="20"/>
                <w:szCs w:val="20"/>
                <w:vertAlign w:val="superscript"/>
              </w:rPr>
              <w:t>e</w:t>
            </w:r>
          </w:p>
        </w:tc>
        <w:tc>
          <w:tcPr>
            <w:tcW w:w="542" w:type="pct"/>
            <w:vAlign w:val="center"/>
          </w:tcPr>
          <w:p w14:paraId="08FA7B1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28.14±0.03</w:t>
            </w:r>
            <w:r w:rsidRPr="00B37812">
              <w:rPr>
                <w:rFonts w:ascii="Times New Roman" w:hAnsi="Times New Roman" w:cs="Times New Roman"/>
                <w:sz w:val="20"/>
                <w:szCs w:val="20"/>
                <w:vertAlign w:val="superscript"/>
              </w:rPr>
              <w:t>f</w:t>
            </w:r>
          </w:p>
        </w:tc>
        <w:tc>
          <w:tcPr>
            <w:tcW w:w="542" w:type="pct"/>
            <w:vAlign w:val="center"/>
          </w:tcPr>
          <w:p w14:paraId="0C5170F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27.93±0.01</w:t>
            </w:r>
            <w:r w:rsidRPr="00B37812">
              <w:rPr>
                <w:rFonts w:ascii="Times New Roman" w:hAnsi="Times New Roman" w:cs="Times New Roman"/>
                <w:sz w:val="20"/>
                <w:szCs w:val="20"/>
                <w:vertAlign w:val="superscript"/>
              </w:rPr>
              <w:t>g</w:t>
            </w:r>
          </w:p>
        </w:tc>
        <w:tc>
          <w:tcPr>
            <w:tcW w:w="93" w:type="pct"/>
            <w:vAlign w:val="center"/>
          </w:tcPr>
          <w:p w14:paraId="2B68338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578DED4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29.13±0.02</w:t>
            </w:r>
            <w:r w:rsidRPr="00B37812">
              <w:rPr>
                <w:rFonts w:ascii="Times New Roman" w:hAnsi="Times New Roman" w:cs="Times New Roman"/>
                <w:sz w:val="20"/>
                <w:szCs w:val="20"/>
                <w:vertAlign w:val="superscript"/>
              </w:rPr>
              <w:t>b</w:t>
            </w:r>
          </w:p>
        </w:tc>
        <w:tc>
          <w:tcPr>
            <w:tcW w:w="542" w:type="pct"/>
            <w:vAlign w:val="center"/>
          </w:tcPr>
          <w:p w14:paraId="7AD3B25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29.00±0.04</w:t>
            </w:r>
            <w:r w:rsidRPr="00B37812">
              <w:rPr>
                <w:rFonts w:ascii="Times New Roman" w:hAnsi="Times New Roman" w:cs="Times New Roman"/>
                <w:sz w:val="20"/>
                <w:szCs w:val="20"/>
                <w:vertAlign w:val="superscript"/>
              </w:rPr>
              <w:t>c</w:t>
            </w:r>
          </w:p>
        </w:tc>
        <w:tc>
          <w:tcPr>
            <w:tcW w:w="542" w:type="pct"/>
            <w:vAlign w:val="center"/>
          </w:tcPr>
          <w:p w14:paraId="266D009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28.63±0.04</w:t>
            </w:r>
            <w:r w:rsidRPr="00B37812">
              <w:rPr>
                <w:rFonts w:ascii="Times New Roman" w:hAnsi="Times New Roman" w:cs="Times New Roman"/>
                <w:sz w:val="20"/>
                <w:szCs w:val="20"/>
                <w:vertAlign w:val="superscript"/>
              </w:rPr>
              <w:t>d</w:t>
            </w:r>
          </w:p>
        </w:tc>
        <w:tc>
          <w:tcPr>
            <w:tcW w:w="93" w:type="pct"/>
            <w:vAlign w:val="center"/>
          </w:tcPr>
          <w:p w14:paraId="3EBC134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503D02C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bCs/>
                <w:sz w:val="20"/>
                <w:szCs w:val="20"/>
              </w:rPr>
              <w:t>32.21</w:t>
            </w:r>
            <w:r w:rsidRPr="00B37812">
              <w:rPr>
                <w:rFonts w:ascii="Times New Roman" w:hAnsi="Times New Roman" w:cs="Times New Roman"/>
                <w:sz w:val="20"/>
                <w:szCs w:val="20"/>
              </w:rPr>
              <w:t>±</w:t>
            </w:r>
            <w:r w:rsidRPr="00B37812">
              <w:rPr>
                <w:rFonts w:ascii="Times New Roman" w:hAnsi="Times New Roman" w:cs="Times New Roman"/>
                <w:bCs/>
                <w:sz w:val="20"/>
                <w:szCs w:val="20"/>
              </w:rPr>
              <w:t>0.06</w:t>
            </w:r>
            <w:r w:rsidRPr="00B37812">
              <w:rPr>
                <w:rFonts w:ascii="Times New Roman" w:hAnsi="Times New Roman" w:cs="Times New Roman"/>
                <w:bCs/>
                <w:sz w:val="20"/>
                <w:szCs w:val="20"/>
                <w:vertAlign w:val="superscript"/>
              </w:rPr>
              <w:t>a</w:t>
            </w:r>
          </w:p>
        </w:tc>
      </w:tr>
      <w:tr w:rsidR="000D2F73" w:rsidRPr="00B37812" w14:paraId="3AF1C207" w14:textId="77777777" w:rsidTr="00927E41">
        <w:trPr>
          <w:trHeight w:val="227"/>
        </w:trPr>
        <w:tc>
          <w:tcPr>
            <w:tcW w:w="999" w:type="pct"/>
            <w:gridSpan w:val="2"/>
            <w:vAlign w:val="center"/>
          </w:tcPr>
          <w:p w14:paraId="010C5943" w14:textId="77777777" w:rsidR="000D2F73" w:rsidRPr="00B37812" w:rsidRDefault="000D2F73" w:rsidP="000D2F73">
            <w:pPr>
              <w:tabs>
                <w:tab w:val="center" w:pos="4680"/>
                <w:tab w:val="right" w:pos="9360"/>
              </w:tabs>
              <w:spacing w:before="120" w:after="60" w:line="240" w:lineRule="auto"/>
              <w:jc w:val="both"/>
              <w:rPr>
                <w:rFonts w:ascii="Times New Roman" w:hAnsi="Times New Roman" w:cs="Times New Roman"/>
                <w:sz w:val="20"/>
                <w:szCs w:val="20"/>
              </w:rPr>
            </w:pPr>
            <w:r w:rsidRPr="00B37812">
              <w:rPr>
                <w:rFonts w:ascii="Times New Roman" w:hAnsi="Times New Roman" w:cs="Times New Roman"/>
                <w:i/>
                <w:sz w:val="20"/>
                <w:szCs w:val="20"/>
              </w:rPr>
              <w:t>Flavonols (mg/g db)</w:t>
            </w:r>
          </w:p>
        </w:tc>
        <w:tc>
          <w:tcPr>
            <w:tcW w:w="565" w:type="pct"/>
            <w:vAlign w:val="center"/>
          </w:tcPr>
          <w:p w14:paraId="51C91EC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2BAF98E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0A89D9F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vAlign w:val="center"/>
          </w:tcPr>
          <w:p w14:paraId="657ACE5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334AA6A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51E79C8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3D6D7ED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tcPr>
          <w:p w14:paraId="2CA747E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tcPr>
          <w:p w14:paraId="287F692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r>
      <w:tr w:rsidR="000D2F73" w:rsidRPr="00B37812" w14:paraId="2C24B666" w14:textId="77777777" w:rsidTr="00927E41">
        <w:trPr>
          <w:trHeight w:val="227"/>
        </w:trPr>
        <w:tc>
          <w:tcPr>
            <w:tcW w:w="192" w:type="pct"/>
          </w:tcPr>
          <w:p w14:paraId="67AD5D9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00ED0610"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K3M</w:t>
            </w:r>
          </w:p>
        </w:tc>
        <w:tc>
          <w:tcPr>
            <w:tcW w:w="565" w:type="pct"/>
            <w:vAlign w:val="center"/>
          </w:tcPr>
          <w:p w14:paraId="200E45D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44.33±0.07</w:t>
            </w:r>
            <w:r w:rsidRPr="00B37812">
              <w:rPr>
                <w:rFonts w:ascii="Times New Roman" w:hAnsi="Times New Roman" w:cs="Times New Roman"/>
                <w:sz w:val="20"/>
                <w:szCs w:val="20"/>
                <w:vertAlign w:val="superscript"/>
              </w:rPr>
              <w:t>b</w:t>
            </w:r>
          </w:p>
        </w:tc>
        <w:tc>
          <w:tcPr>
            <w:tcW w:w="542" w:type="pct"/>
            <w:vAlign w:val="center"/>
          </w:tcPr>
          <w:p w14:paraId="5E9B160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43.18±0.04</w:t>
            </w:r>
            <w:r w:rsidRPr="00B37812">
              <w:rPr>
                <w:rFonts w:ascii="Times New Roman" w:hAnsi="Times New Roman" w:cs="Times New Roman"/>
                <w:sz w:val="20"/>
                <w:szCs w:val="20"/>
                <w:vertAlign w:val="superscript"/>
              </w:rPr>
              <w:t>c</w:t>
            </w:r>
          </w:p>
        </w:tc>
        <w:tc>
          <w:tcPr>
            <w:tcW w:w="542" w:type="pct"/>
            <w:vAlign w:val="center"/>
          </w:tcPr>
          <w:p w14:paraId="7EA8578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42.09±0.06</w:t>
            </w:r>
            <w:r w:rsidRPr="00B37812">
              <w:rPr>
                <w:rFonts w:ascii="Times New Roman" w:hAnsi="Times New Roman" w:cs="Times New Roman"/>
                <w:sz w:val="20"/>
                <w:szCs w:val="20"/>
                <w:vertAlign w:val="superscript"/>
              </w:rPr>
              <w:t>d</w:t>
            </w:r>
          </w:p>
        </w:tc>
        <w:tc>
          <w:tcPr>
            <w:tcW w:w="93" w:type="pct"/>
            <w:vAlign w:val="center"/>
          </w:tcPr>
          <w:p w14:paraId="1B33B84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2A325A6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41.04±0.04</w:t>
            </w:r>
            <w:r w:rsidRPr="00B37812">
              <w:rPr>
                <w:rFonts w:ascii="Times New Roman" w:hAnsi="Times New Roman" w:cs="Times New Roman"/>
                <w:sz w:val="20"/>
                <w:szCs w:val="20"/>
                <w:vertAlign w:val="superscript"/>
              </w:rPr>
              <w:t>e</w:t>
            </w:r>
          </w:p>
        </w:tc>
        <w:tc>
          <w:tcPr>
            <w:tcW w:w="542" w:type="pct"/>
            <w:vAlign w:val="center"/>
          </w:tcPr>
          <w:p w14:paraId="68C2377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39.92±0.05</w:t>
            </w:r>
            <w:r w:rsidRPr="00B37812">
              <w:rPr>
                <w:rFonts w:ascii="Times New Roman" w:hAnsi="Times New Roman" w:cs="Times New Roman"/>
                <w:sz w:val="20"/>
                <w:szCs w:val="20"/>
                <w:vertAlign w:val="superscript"/>
              </w:rPr>
              <w:t>f</w:t>
            </w:r>
          </w:p>
        </w:tc>
        <w:tc>
          <w:tcPr>
            <w:tcW w:w="542" w:type="pct"/>
            <w:vAlign w:val="center"/>
          </w:tcPr>
          <w:p w14:paraId="7DD6D69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39.06±0.06</w:t>
            </w:r>
            <w:r w:rsidRPr="00B37812">
              <w:rPr>
                <w:rFonts w:ascii="Times New Roman" w:hAnsi="Times New Roman" w:cs="Times New Roman"/>
                <w:sz w:val="20"/>
                <w:szCs w:val="20"/>
                <w:vertAlign w:val="superscript"/>
              </w:rPr>
              <w:t>g</w:t>
            </w:r>
          </w:p>
        </w:tc>
        <w:tc>
          <w:tcPr>
            <w:tcW w:w="93" w:type="pct"/>
            <w:vAlign w:val="center"/>
          </w:tcPr>
          <w:p w14:paraId="35F2B96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3BBF1210"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50.18±0.12</w:t>
            </w:r>
            <w:r w:rsidRPr="00B37812">
              <w:rPr>
                <w:rFonts w:ascii="Times New Roman" w:hAnsi="Times New Roman" w:cs="Times New Roman"/>
                <w:sz w:val="20"/>
                <w:szCs w:val="20"/>
                <w:vertAlign w:val="superscript"/>
              </w:rPr>
              <w:t>a</w:t>
            </w:r>
          </w:p>
        </w:tc>
      </w:tr>
      <w:tr w:rsidR="000D2F73" w:rsidRPr="00B37812" w14:paraId="03A3D8AC" w14:textId="77777777" w:rsidTr="00927E41">
        <w:trPr>
          <w:trHeight w:val="227"/>
        </w:trPr>
        <w:tc>
          <w:tcPr>
            <w:tcW w:w="192" w:type="pct"/>
          </w:tcPr>
          <w:p w14:paraId="17761E9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297FDE1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K3R</w:t>
            </w:r>
          </w:p>
        </w:tc>
        <w:tc>
          <w:tcPr>
            <w:tcW w:w="565" w:type="pct"/>
            <w:vAlign w:val="center"/>
          </w:tcPr>
          <w:p w14:paraId="29781FC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35.19±0.06</w:t>
            </w:r>
            <w:r w:rsidRPr="00B37812">
              <w:rPr>
                <w:rFonts w:ascii="Times New Roman" w:hAnsi="Times New Roman" w:cs="Times New Roman"/>
                <w:sz w:val="20"/>
                <w:szCs w:val="20"/>
                <w:vertAlign w:val="superscript"/>
              </w:rPr>
              <w:t>b</w:t>
            </w:r>
          </w:p>
        </w:tc>
        <w:tc>
          <w:tcPr>
            <w:tcW w:w="542" w:type="pct"/>
            <w:vAlign w:val="center"/>
          </w:tcPr>
          <w:p w14:paraId="0066EB3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33.69±0.07</w:t>
            </w:r>
            <w:r w:rsidRPr="00B37812">
              <w:rPr>
                <w:rFonts w:ascii="Times New Roman" w:hAnsi="Times New Roman" w:cs="Times New Roman"/>
                <w:sz w:val="20"/>
                <w:szCs w:val="20"/>
                <w:vertAlign w:val="superscript"/>
              </w:rPr>
              <w:t>c</w:t>
            </w:r>
          </w:p>
        </w:tc>
        <w:tc>
          <w:tcPr>
            <w:tcW w:w="542" w:type="pct"/>
            <w:vAlign w:val="center"/>
          </w:tcPr>
          <w:p w14:paraId="075A1DA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32.29±0.05</w:t>
            </w:r>
            <w:r w:rsidRPr="00B37812">
              <w:rPr>
                <w:rFonts w:ascii="Times New Roman" w:hAnsi="Times New Roman" w:cs="Times New Roman"/>
                <w:sz w:val="20"/>
                <w:szCs w:val="20"/>
                <w:vertAlign w:val="superscript"/>
              </w:rPr>
              <w:t>d</w:t>
            </w:r>
          </w:p>
        </w:tc>
        <w:tc>
          <w:tcPr>
            <w:tcW w:w="93" w:type="pct"/>
            <w:vAlign w:val="center"/>
          </w:tcPr>
          <w:p w14:paraId="273081D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0AF2B63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31.16±0.09</w:t>
            </w:r>
            <w:r w:rsidRPr="00B37812">
              <w:rPr>
                <w:rFonts w:ascii="Times New Roman" w:hAnsi="Times New Roman" w:cs="Times New Roman"/>
                <w:sz w:val="20"/>
                <w:szCs w:val="20"/>
                <w:vertAlign w:val="superscript"/>
              </w:rPr>
              <w:t>e</w:t>
            </w:r>
          </w:p>
        </w:tc>
        <w:tc>
          <w:tcPr>
            <w:tcW w:w="542" w:type="pct"/>
            <w:vAlign w:val="center"/>
          </w:tcPr>
          <w:p w14:paraId="1C46579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29.98±0.05</w:t>
            </w:r>
            <w:r w:rsidRPr="00B37812">
              <w:rPr>
                <w:rFonts w:ascii="Times New Roman" w:hAnsi="Times New Roman" w:cs="Times New Roman"/>
                <w:sz w:val="20"/>
                <w:szCs w:val="20"/>
                <w:vertAlign w:val="superscript"/>
              </w:rPr>
              <w:t>f</w:t>
            </w:r>
          </w:p>
        </w:tc>
        <w:tc>
          <w:tcPr>
            <w:tcW w:w="542" w:type="pct"/>
            <w:vAlign w:val="center"/>
          </w:tcPr>
          <w:p w14:paraId="519BA6C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28.10±0.06</w:t>
            </w:r>
            <w:r w:rsidRPr="00B37812">
              <w:rPr>
                <w:rFonts w:ascii="Times New Roman" w:hAnsi="Times New Roman" w:cs="Times New Roman"/>
                <w:sz w:val="20"/>
                <w:szCs w:val="20"/>
                <w:vertAlign w:val="superscript"/>
              </w:rPr>
              <w:t>g</w:t>
            </w:r>
          </w:p>
        </w:tc>
        <w:tc>
          <w:tcPr>
            <w:tcW w:w="93" w:type="pct"/>
            <w:vAlign w:val="center"/>
          </w:tcPr>
          <w:p w14:paraId="5B5A94E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3D0F00F0"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42.52±0.09</w:t>
            </w:r>
            <w:r w:rsidRPr="00B37812">
              <w:rPr>
                <w:rFonts w:ascii="Times New Roman" w:hAnsi="Times New Roman" w:cs="Times New Roman"/>
                <w:sz w:val="20"/>
                <w:szCs w:val="20"/>
                <w:vertAlign w:val="superscript"/>
              </w:rPr>
              <w:t>a</w:t>
            </w:r>
          </w:p>
        </w:tc>
      </w:tr>
      <w:tr w:rsidR="000D2F73" w:rsidRPr="00B37812" w14:paraId="11DF11FD" w14:textId="77777777" w:rsidTr="00927E41">
        <w:trPr>
          <w:trHeight w:val="227"/>
        </w:trPr>
        <w:tc>
          <w:tcPr>
            <w:tcW w:w="192" w:type="pct"/>
          </w:tcPr>
          <w:p w14:paraId="3FBBFE0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2A0D073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K3G</w:t>
            </w:r>
          </w:p>
        </w:tc>
        <w:tc>
          <w:tcPr>
            <w:tcW w:w="565" w:type="pct"/>
            <w:vAlign w:val="center"/>
          </w:tcPr>
          <w:p w14:paraId="50DABD6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56.83±0.05</w:t>
            </w:r>
            <w:r w:rsidRPr="00B37812">
              <w:rPr>
                <w:rFonts w:ascii="Times New Roman" w:hAnsi="Times New Roman" w:cs="Times New Roman"/>
                <w:sz w:val="20"/>
                <w:szCs w:val="20"/>
                <w:vertAlign w:val="superscript"/>
              </w:rPr>
              <w:t>b</w:t>
            </w:r>
          </w:p>
        </w:tc>
        <w:tc>
          <w:tcPr>
            <w:tcW w:w="542" w:type="pct"/>
            <w:vAlign w:val="center"/>
          </w:tcPr>
          <w:p w14:paraId="72A1960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56.55±0.07</w:t>
            </w:r>
            <w:r w:rsidRPr="00B37812">
              <w:rPr>
                <w:rFonts w:ascii="Times New Roman" w:hAnsi="Times New Roman" w:cs="Times New Roman"/>
                <w:sz w:val="20"/>
                <w:szCs w:val="20"/>
                <w:vertAlign w:val="superscript"/>
              </w:rPr>
              <w:t>c</w:t>
            </w:r>
          </w:p>
        </w:tc>
        <w:tc>
          <w:tcPr>
            <w:tcW w:w="542" w:type="pct"/>
            <w:vAlign w:val="center"/>
          </w:tcPr>
          <w:p w14:paraId="3C0644F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55.93±0.07</w:t>
            </w:r>
            <w:r w:rsidRPr="00B37812">
              <w:rPr>
                <w:rFonts w:ascii="Times New Roman" w:hAnsi="Times New Roman" w:cs="Times New Roman"/>
                <w:sz w:val="20"/>
                <w:szCs w:val="20"/>
                <w:vertAlign w:val="superscript"/>
              </w:rPr>
              <w:t>d</w:t>
            </w:r>
          </w:p>
        </w:tc>
        <w:tc>
          <w:tcPr>
            <w:tcW w:w="93" w:type="pct"/>
            <w:vAlign w:val="center"/>
          </w:tcPr>
          <w:p w14:paraId="578FB1A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3EA0622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51.47±0.05</w:t>
            </w:r>
            <w:r w:rsidRPr="00B37812">
              <w:rPr>
                <w:rFonts w:ascii="Times New Roman" w:hAnsi="Times New Roman" w:cs="Times New Roman"/>
                <w:sz w:val="20"/>
                <w:szCs w:val="20"/>
                <w:vertAlign w:val="superscript"/>
              </w:rPr>
              <w:t>e</w:t>
            </w:r>
          </w:p>
        </w:tc>
        <w:tc>
          <w:tcPr>
            <w:tcW w:w="542" w:type="pct"/>
            <w:vAlign w:val="center"/>
          </w:tcPr>
          <w:p w14:paraId="29E1B13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50.64±0.07</w:t>
            </w:r>
            <w:r w:rsidRPr="00B37812">
              <w:rPr>
                <w:rFonts w:ascii="Times New Roman" w:hAnsi="Times New Roman" w:cs="Times New Roman"/>
                <w:sz w:val="20"/>
                <w:szCs w:val="20"/>
                <w:vertAlign w:val="superscript"/>
              </w:rPr>
              <w:t>f</w:t>
            </w:r>
          </w:p>
        </w:tc>
        <w:tc>
          <w:tcPr>
            <w:tcW w:w="542" w:type="pct"/>
            <w:vAlign w:val="center"/>
          </w:tcPr>
          <w:p w14:paraId="5258059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49.73±0.03</w:t>
            </w:r>
            <w:r w:rsidRPr="00B37812">
              <w:rPr>
                <w:rFonts w:ascii="Times New Roman" w:hAnsi="Times New Roman" w:cs="Times New Roman"/>
                <w:sz w:val="20"/>
                <w:szCs w:val="20"/>
                <w:vertAlign w:val="superscript"/>
              </w:rPr>
              <w:t>g</w:t>
            </w:r>
          </w:p>
        </w:tc>
        <w:tc>
          <w:tcPr>
            <w:tcW w:w="93" w:type="pct"/>
            <w:vAlign w:val="center"/>
          </w:tcPr>
          <w:p w14:paraId="15DB225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12C104B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66.27±0.06</w:t>
            </w:r>
            <w:r w:rsidRPr="00B37812">
              <w:rPr>
                <w:rFonts w:ascii="Times New Roman" w:hAnsi="Times New Roman" w:cs="Times New Roman"/>
                <w:sz w:val="20"/>
                <w:szCs w:val="20"/>
                <w:vertAlign w:val="superscript"/>
              </w:rPr>
              <w:t>a</w:t>
            </w:r>
          </w:p>
        </w:tc>
      </w:tr>
      <w:tr w:rsidR="000D2F73" w:rsidRPr="00B37812" w14:paraId="28945B79" w14:textId="77777777" w:rsidTr="00927E41">
        <w:trPr>
          <w:trHeight w:val="227"/>
        </w:trPr>
        <w:tc>
          <w:tcPr>
            <w:tcW w:w="192" w:type="pct"/>
          </w:tcPr>
          <w:p w14:paraId="35C1D62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6841555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K7G</w:t>
            </w:r>
          </w:p>
        </w:tc>
        <w:tc>
          <w:tcPr>
            <w:tcW w:w="565" w:type="pct"/>
            <w:vAlign w:val="center"/>
          </w:tcPr>
          <w:p w14:paraId="2D737C7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16.18±0.04</w:t>
            </w:r>
            <w:r w:rsidRPr="00B37812">
              <w:rPr>
                <w:rFonts w:ascii="Times New Roman" w:hAnsi="Times New Roman" w:cs="Times New Roman"/>
                <w:sz w:val="20"/>
                <w:szCs w:val="20"/>
                <w:vertAlign w:val="superscript"/>
              </w:rPr>
              <w:t>b</w:t>
            </w:r>
          </w:p>
        </w:tc>
        <w:tc>
          <w:tcPr>
            <w:tcW w:w="542" w:type="pct"/>
            <w:vAlign w:val="center"/>
          </w:tcPr>
          <w:p w14:paraId="4279B75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15.81±0.05</w:t>
            </w:r>
            <w:r w:rsidRPr="00B37812">
              <w:rPr>
                <w:rFonts w:ascii="Times New Roman" w:hAnsi="Times New Roman" w:cs="Times New Roman"/>
                <w:sz w:val="20"/>
                <w:szCs w:val="20"/>
                <w:vertAlign w:val="superscript"/>
              </w:rPr>
              <w:t>c</w:t>
            </w:r>
          </w:p>
        </w:tc>
        <w:tc>
          <w:tcPr>
            <w:tcW w:w="542" w:type="pct"/>
            <w:vAlign w:val="center"/>
          </w:tcPr>
          <w:p w14:paraId="527C737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15.49±0.06</w:t>
            </w:r>
            <w:r w:rsidRPr="00B37812">
              <w:rPr>
                <w:rFonts w:ascii="Times New Roman" w:hAnsi="Times New Roman" w:cs="Times New Roman"/>
                <w:sz w:val="20"/>
                <w:szCs w:val="20"/>
                <w:vertAlign w:val="superscript"/>
              </w:rPr>
              <w:t>d</w:t>
            </w:r>
          </w:p>
        </w:tc>
        <w:tc>
          <w:tcPr>
            <w:tcW w:w="93" w:type="pct"/>
            <w:vAlign w:val="center"/>
          </w:tcPr>
          <w:p w14:paraId="0B660EF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6559142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14.68±0.04</w:t>
            </w:r>
            <w:r w:rsidRPr="00B37812">
              <w:rPr>
                <w:rFonts w:ascii="Times New Roman" w:hAnsi="Times New Roman" w:cs="Times New Roman"/>
                <w:sz w:val="20"/>
                <w:szCs w:val="20"/>
                <w:vertAlign w:val="superscript"/>
              </w:rPr>
              <w:t>e</w:t>
            </w:r>
          </w:p>
        </w:tc>
        <w:tc>
          <w:tcPr>
            <w:tcW w:w="542" w:type="pct"/>
            <w:vAlign w:val="center"/>
          </w:tcPr>
          <w:p w14:paraId="2567617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14.09±0.06</w:t>
            </w:r>
            <w:r w:rsidRPr="00B37812">
              <w:rPr>
                <w:rFonts w:ascii="Times New Roman" w:hAnsi="Times New Roman" w:cs="Times New Roman"/>
                <w:sz w:val="20"/>
                <w:szCs w:val="20"/>
                <w:vertAlign w:val="superscript"/>
              </w:rPr>
              <w:t>f</w:t>
            </w:r>
          </w:p>
        </w:tc>
        <w:tc>
          <w:tcPr>
            <w:tcW w:w="542" w:type="pct"/>
            <w:vAlign w:val="center"/>
          </w:tcPr>
          <w:p w14:paraId="0A1282F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13.77±0.05</w:t>
            </w:r>
            <w:r w:rsidRPr="00B37812">
              <w:rPr>
                <w:rFonts w:ascii="Times New Roman" w:hAnsi="Times New Roman" w:cs="Times New Roman"/>
                <w:sz w:val="20"/>
                <w:szCs w:val="20"/>
                <w:vertAlign w:val="superscript"/>
              </w:rPr>
              <w:t>g</w:t>
            </w:r>
          </w:p>
        </w:tc>
        <w:tc>
          <w:tcPr>
            <w:tcW w:w="93" w:type="pct"/>
            <w:vAlign w:val="center"/>
          </w:tcPr>
          <w:p w14:paraId="033655A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5680DC6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19.30±0.04</w:t>
            </w:r>
            <w:r w:rsidRPr="00B37812">
              <w:rPr>
                <w:rFonts w:ascii="Times New Roman" w:hAnsi="Times New Roman" w:cs="Times New Roman"/>
                <w:sz w:val="20"/>
                <w:szCs w:val="20"/>
                <w:vertAlign w:val="superscript"/>
              </w:rPr>
              <w:t>a</w:t>
            </w:r>
          </w:p>
        </w:tc>
      </w:tr>
      <w:tr w:rsidR="000D2F73" w:rsidRPr="00B37812" w14:paraId="5F3596A4" w14:textId="77777777" w:rsidTr="00927E41">
        <w:trPr>
          <w:trHeight w:val="227"/>
        </w:trPr>
        <w:tc>
          <w:tcPr>
            <w:tcW w:w="192" w:type="pct"/>
          </w:tcPr>
          <w:p w14:paraId="5E860BB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lang w:val="fr-FR"/>
              </w:rPr>
            </w:pPr>
          </w:p>
        </w:tc>
        <w:tc>
          <w:tcPr>
            <w:tcW w:w="807" w:type="pct"/>
            <w:vAlign w:val="center"/>
          </w:tcPr>
          <w:p w14:paraId="577B843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Q3R</w:t>
            </w:r>
          </w:p>
        </w:tc>
        <w:tc>
          <w:tcPr>
            <w:tcW w:w="565" w:type="pct"/>
            <w:vAlign w:val="center"/>
          </w:tcPr>
          <w:p w14:paraId="388C99B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14.26±0.09</w:t>
            </w:r>
            <w:r w:rsidRPr="00B37812">
              <w:rPr>
                <w:rFonts w:ascii="Times New Roman" w:hAnsi="Times New Roman" w:cs="Times New Roman"/>
                <w:sz w:val="20"/>
                <w:szCs w:val="20"/>
                <w:vertAlign w:val="superscript"/>
              </w:rPr>
              <w:t>b</w:t>
            </w:r>
          </w:p>
        </w:tc>
        <w:tc>
          <w:tcPr>
            <w:tcW w:w="542" w:type="pct"/>
            <w:vAlign w:val="center"/>
          </w:tcPr>
          <w:p w14:paraId="04F2940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14.04±0.05</w:t>
            </w:r>
            <w:r w:rsidRPr="00B37812">
              <w:rPr>
                <w:rFonts w:ascii="Times New Roman" w:hAnsi="Times New Roman" w:cs="Times New Roman"/>
                <w:sz w:val="20"/>
                <w:szCs w:val="20"/>
                <w:vertAlign w:val="superscript"/>
              </w:rPr>
              <w:t>c</w:t>
            </w:r>
          </w:p>
        </w:tc>
        <w:tc>
          <w:tcPr>
            <w:tcW w:w="542" w:type="pct"/>
            <w:vAlign w:val="center"/>
          </w:tcPr>
          <w:p w14:paraId="69254BAC" w14:textId="77777777" w:rsidR="000D2F73" w:rsidRPr="00B37812" w:rsidRDefault="000D2F73" w:rsidP="000D2F73">
            <w:pPr>
              <w:tabs>
                <w:tab w:val="left" w:pos="915"/>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13.80±0.05</w:t>
            </w:r>
            <w:r w:rsidRPr="00B37812">
              <w:rPr>
                <w:rFonts w:ascii="Times New Roman" w:hAnsi="Times New Roman" w:cs="Times New Roman"/>
                <w:sz w:val="20"/>
                <w:szCs w:val="20"/>
                <w:vertAlign w:val="superscript"/>
              </w:rPr>
              <w:t>d</w:t>
            </w:r>
          </w:p>
        </w:tc>
        <w:tc>
          <w:tcPr>
            <w:tcW w:w="93" w:type="pct"/>
            <w:vAlign w:val="center"/>
          </w:tcPr>
          <w:p w14:paraId="56D4E6B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40A4D80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13.26±0.09</w:t>
            </w:r>
            <w:r w:rsidRPr="00B37812">
              <w:rPr>
                <w:rFonts w:ascii="Times New Roman" w:hAnsi="Times New Roman" w:cs="Times New Roman"/>
                <w:sz w:val="20"/>
                <w:szCs w:val="20"/>
                <w:vertAlign w:val="superscript"/>
              </w:rPr>
              <w:t>e</w:t>
            </w:r>
          </w:p>
        </w:tc>
        <w:tc>
          <w:tcPr>
            <w:tcW w:w="542" w:type="pct"/>
            <w:vAlign w:val="center"/>
          </w:tcPr>
          <w:p w14:paraId="0F001F3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12.81±0.08</w:t>
            </w:r>
            <w:r w:rsidRPr="00B37812">
              <w:rPr>
                <w:rFonts w:ascii="Times New Roman" w:hAnsi="Times New Roman" w:cs="Times New Roman"/>
                <w:sz w:val="20"/>
                <w:szCs w:val="20"/>
                <w:vertAlign w:val="superscript"/>
              </w:rPr>
              <w:t>f</w:t>
            </w:r>
          </w:p>
        </w:tc>
        <w:tc>
          <w:tcPr>
            <w:tcW w:w="542" w:type="pct"/>
            <w:vAlign w:val="center"/>
          </w:tcPr>
          <w:p w14:paraId="12BA744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12.29±0.06</w:t>
            </w:r>
            <w:r w:rsidRPr="00B37812">
              <w:rPr>
                <w:rFonts w:ascii="Times New Roman" w:hAnsi="Times New Roman" w:cs="Times New Roman"/>
                <w:sz w:val="20"/>
                <w:szCs w:val="20"/>
                <w:vertAlign w:val="superscript"/>
              </w:rPr>
              <w:t>g</w:t>
            </w:r>
          </w:p>
        </w:tc>
        <w:tc>
          <w:tcPr>
            <w:tcW w:w="93" w:type="pct"/>
            <w:vAlign w:val="center"/>
          </w:tcPr>
          <w:p w14:paraId="160C4FF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7165889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15.69±0.07</w:t>
            </w:r>
            <w:r w:rsidRPr="00B37812">
              <w:rPr>
                <w:rFonts w:ascii="Times New Roman" w:hAnsi="Times New Roman" w:cs="Times New Roman"/>
                <w:sz w:val="20"/>
                <w:szCs w:val="20"/>
                <w:vertAlign w:val="superscript"/>
              </w:rPr>
              <w:t>a</w:t>
            </w:r>
          </w:p>
        </w:tc>
      </w:tr>
      <w:tr w:rsidR="000D2F73" w:rsidRPr="00B37812" w14:paraId="4917B76C" w14:textId="77777777" w:rsidTr="00927E41">
        <w:trPr>
          <w:trHeight w:val="227"/>
        </w:trPr>
        <w:tc>
          <w:tcPr>
            <w:tcW w:w="192" w:type="pct"/>
          </w:tcPr>
          <w:p w14:paraId="25E0FB9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43211D9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Q3M</w:t>
            </w:r>
          </w:p>
        </w:tc>
        <w:tc>
          <w:tcPr>
            <w:tcW w:w="565" w:type="pct"/>
            <w:vAlign w:val="center"/>
          </w:tcPr>
          <w:p w14:paraId="6879BB4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60.55±0.04</w:t>
            </w:r>
            <w:r w:rsidRPr="00B37812">
              <w:rPr>
                <w:rFonts w:ascii="Times New Roman" w:hAnsi="Times New Roman" w:cs="Times New Roman"/>
                <w:sz w:val="20"/>
                <w:szCs w:val="20"/>
                <w:vertAlign w:val="superscript"/>
              </w:rPr>
              <w:t>b</w:t>
            </w:r>
          </w:p>
        </w:tc>
        <w:tc>
          <w:tcPr>
            <w:tcW w:w="542" w:type="pct"/>
            <w:vAlign w:val="center"/>
          </w:tcPr>
          <w:p w14:paraId="2112187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60.23±0.06</w:t>
            </w:r>
            <w:r w:rsidRPr="00B37812">
              <w:rPr>
                <w:rFonts w:ascii="Times New Roman" w:hAnsi="Times New Roman" w:cs="Times New Roman"/>
                <w:sz w:val="20"/>
                <w:szCs w:val="20"/>
                <w:vertAlign w:val="superscript"/>
              </w:rPr>
              <w:t>c</w:t>
            </w:r>
          </w:p>
        </w:tc>
        <w:tc>
          <w:tcPr>
            <w:tcW w:w="542" w:type="pct"/>
            <w:vAlign w:val="center"/>
          </w:tcPr>
          <w:p w14:paraId="4E4245C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59.76±0.05</w:t>
            </w:r>
            <w:r w:rsidRPr="00B37812">
              <w:rPr>
                <w:rFonts w:ascii="Times New Roman" w:hAnsi="Times New Roman" w:cs="Times New Roman"/>
                <w:sz w:val="20"/>
                <w:szCs w:val="20"/>
                <w:vertAlign w:val="superscript"/>
              </w:rPr>
              <w:t>d</w:t>
            </w:r>
          </w:p>
        </w:tc>
        <w:tc>
          <w:tcPr>
            <w:tcW w:w="93" w:type="pct"/>
            <w:vAlign w:val="center"/>
          </w:tcPr>
          <w:p w14:paraId="5F7AEED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0A2A1710"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59.61±0.04</w:t>
            </w:r>
            <w:r w:rsidRPr="00B37812">
              <w:rPr>
                <w:rFonts w:ascii="Times New Roman" w:hAnsi="Times New Roman" w:cs="Times New Roman"/>
                <w:sz w:val="20"/>
                <w:szCs w:val="20"/>
                <w:vertAlign w:val="superscript"/>
              </w:rPr>
              <w:t>e</w:t>
            </w:r>
          </w:p>
        </w:tc>
        <w:tc>
          <w:tcPr>
            <w:tcW w:w="542" w:type="pct"/>
            <w:vAlign w:val="center"/>
          </w:tcPr>
          <w:p w14:paraId="0BC3699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58.99±0.05</w:t>
            </w:r>
            <w:r w:rsidRPr="00B37812">
              <w:rPr>
                <w:rFonts w:ascii="Times New Roman" w:hAnsi="Times New Roman" w:cs="Times New Roman"/>
                <w:sz w:val="20"/>
                <w:szCs w:val="20"/>
                <w:vertAlign w:val="superscript"/>
              </w:rPr>
              <w:t>f</w:t>
            </w:r>
          </w:p>
        </w:tc>
        <w:tc>
          <w:tcPr>
            <w:tcW w:w="542" w:type="pct"/>
            <w:vAlign w:val="center"/>
          </w:tcPr>
          <w:p w14:paraId="62B5FF0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58.76±0.04</w:t>
            </w:r>
            <w:r w:rsidRPr="00B37812">
              <w:rPr>
                <w:rFonts w:ascii="Times New Roman" w:hAnsi="Times New Roman" w:cs="Times New Roman"/>
                <w:sz w:val="20"/>
                <w:szCs w:val="20"/>
                <w:vertAlign w:val="superscript"/>
              </w:rPr>
              <w:t>g</w:t>
            </w:r>
          </w:p>
        </w:tc>
        <w:tc>
          <w:tcPr>
            <w:tcW w:w="93" w:type="pct"/>
            <w:vAlign w:val="center"/>
          </w:tcPr>
          <w:p w14:paraId="7B06569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3D35840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65.19±0.06</w:t>
            </w:r>
            <w:r w:rsidRPr="00B37812">
              <w:rPr>
                <w:rFonts w:ascii="Times New Roman" w:hAnsi="Times New Roman" w:cs="Times New Roman"/>
                <w:sz w:val="20"/>
                <w:szCs w:val="20"/>
                <w:vertAlign w:val="superscript"/>
              </w:rPr>
              <w:t>a</w:t>
            </w:r>
          </w:p>
        </w:tc>
      </w:tr>
      <w:tr w:rsidR="000D2F73" w:rsidRPr="00B37812" w14:paraId="355AFA7B" w14:textId="77777777" w:rsidTr="00927E41">
        <w:trPr>
          <w:trHeight w:val="227"/>
        </w:trPr>
        <w:tc>
          <w:tcPr>
            <w:tcW w:w="192" w:type="pct"/>
          </w:tcPr>
          <w:p w14:paraId="2DE475C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lang w:val="fr-FR"/>
              </w:rPr>
            </w:pPr>
          </w:p>
        </w:tc>
        <w:tc>
          <w:tcPr>
            <w:tcW w:w="807" w:type="pct"/>
            <w:vAlign w:val="center"/>
          </w:tcPr>
          <w:p w14:paraId="3086974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Q3G</w:t>
            </w:r>
          </w:p>
        </w:tc>
        <w:tc>
          <w:tcPr>
            <w:tcW w:w="565" w:type="pct"/>
            <w:vAlign w:val="center"/>
          </w:tcPr>
          <w:p w14:paraId="366645A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31.65±0.07</w:t>
            </w:r>
            <w:r w:rsidRPr="00B37812">
              <w:rPr>
                <w:rFonts w:ascii="Times New Roman" w:hAnsi="Times New Roman" w:cs="Times New Roman"/>
                <w:sz w:val="20"/>
                <w:szCs w:val="20"/>
                <w:vertAlign w:val="superscript"/>
              </w:rPr>
              <w:t>b</w:t>
            </w:r>
          </w:p>
        </w:tc>
        <w:tc>
          <w:tcPr>
            <w:tcW w:w="542" w:type="pct"/>
            <w:vAlign w:val="center"/>
          </w:tcPr>
          <w:p w14:paraId="0C8BD13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31.17±0.07</w:t>
            </w:r>
            <w:r w:rsidRPr="00B37812">
              <w:rPr>
                <w:rFonts w:ascii="Times New Roman" w:hAnsi="Times New Roman" w:cs="Times New Roman"/>
                <w:sz w:val="20"/>
                <w:szCs w:val="20"/>
                <w:vertAlign w:val="superscript"/>
              </w:rPr>
              <w:t>c</w:t>
            </w:r>
          </w:p>
        </w:tc>
        <w:tc>
          <w:tcPr>
            <w:tcW w:w="542" w:type="pct"/>
            <w:vAlign w:val="center"/>
          </w:tcPr>
          <w:p w14:paraId="6AE717B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30.77±0.08</w:t>
            </w:r>
            <w:r w:rsidRPr="00B37812">
              <w:rPr>
                <w:rFonts w:ascii="Times New Roman" w:hAnsi="Times New Roman" w:cs="Times New Roman"/>
                <w:sz w:val="20"/>
                <w:szCs w:val="20"/>
                <w:vertAlign w:val="superscript"/>
              </w:rPr>
              <w:t>d</w:t>
            </w:r>
          </w:p>
        </w:tc>
        <w:tc>
          <w:tcPr>
            <w:tcW w:w="93" w:type="pct"/>
            <w:vAlign w:val="center"/>
          </w:tcPr>
          <w:p w14:paraId="3E86437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3FD700A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30.36±0.06</w:t>
            </w:r>
            <w:r w:rsidRPr="00B37812">
              <w:rPr>
                <w:rFonts w:ascii="Times New Roman" w:hAnsi="Times New Roman" w:cs="Times New Roman"/>
                <w:sz w:val="20"/>
                <w:szCs w:val="20"/>
                <w:vertAlign w:val="superscript"/>
              </w:rPr>
              <w:t>e</w:t>
            </w:r>
          </w:p>
        </w:tc>
        <w:tc>
          <w:tcPr>
            <w:tcW w:w="542" w:type="pct"/>
            <w:vAlign w:val="center"/>
          </w:tcPr>
          <w:p w14:paraId="3641BB8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29.96±0.05</w:t>
            </w:r>
            <w:r w:rsidRPr="00B37812">
              <w:rPr>
                <w:rFonts w:ascii="Times New Roman" w:hAnsi="Times New Roman" w:cs="Times New Roman"/>
                <w:sz w:val="20"/>
                <w:szCs w:val="20"/>
                <w:vertAlign w:val="superscript"/>
              </w:rPr>
              <w:t>f</w:t>
            </w:r>
          </w:p>
        </w:tc>
        <w:tc>
          <w:tcPr>
            <w:tcW w:w="542" w:type="pct"/>
            <w:vAlign w:val="center"/>
          </w:tcPr>
          <w:p w14:paraId="12C3D2E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29.67±0.05</w:t>
            </w:r>
            <w:r w:rsidRPr="00B37812">
              <w:rPr>
                <w:rFonts w:ascii="Times New Roman" w:hAnsi="Times New Roman" w:cs="Times New Roman"/>
                <w:sz w:val="20"/>
                <w:szCs w:val="20"/>
                <w:vertAlign w:val="superscript"/>
              </w:rPr>
              <w:t>g</w:t>
            </w:r>
          </w:p>
        </w:tc>
        <w:tc>
          <w:tcPr>
            <w:tcW w:w="93" w:type="pct"/>
            <w:vAlign w:val="center"/>
          </w:tcPr>
          <w:p w14:paraId="7D7DDB5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6054EED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32.38±0.11</w:t>
            </w:r>
            <w:r w:rsidRPr="00B37812">
              <w:rPr>
                <w:rFonts w:ascii="Times New Roman" w:hAnsi="Times New Roman" w:cs="Times New Roman"/>
                <w:sz w:val="20"/>
                <w:szCs w:val="20"/>
                <w:vertAlign w:val="superscript"/>
              </w:rPr>
              <w:t>a</w:t>
            </w:r>
          </w:p>
        </w:tc>
      </w:tr>
      <w:tr w:rsidR="000D2F73" w:rsidRPr="00B37812" w14:paraId="0ABA7CB9" w14:textId="77777777" w:rsidTr="00927E41">
        <w:trPr>
          <w:trHeight w:val="227"/>
        </w:trPr>
        <w:tc>
          <w:tcPr>
            <w:tcW w:w="1564" w:type="pct"/>
            <w:gridSpan w:val="3"/>
            <w:vAlign w:val="center"/>
          </w:tcPr>
          <w:p w14:paraId="7E4814C0" w14:textId="77777777" w:rsidR="000D2F73" w:rsidRPr="00B37812" w:rsidRDefault="000D2F73" w:rsidP="000D2F73">
            <w:pPr>
              <w:tabs>
                <w:tab w:val="center" w:pos="4680"/>
                <w:tab w:val="right" w:pos="9360"/>
              </w:tabs>
              <w:spacing w:before="120" w:after="60" w:line="240" w:lineRule="auto"/>
              <w:jc w:val="both"/>
              <w:rPr>
                <w:rFonts w:ascii="Times New Roman" w:hAnsi="Times New Roman" w:cs="Times New Roman"/>
                <w:sz w:val="20"/>
                <w:szCs w:val="20"/>
              </w:rPr>
            </w:pPr>
            <w:r w:rsidRPr="00B37812">
              <w:rPr>
                <w:rFonts w:ascii="Times New Roman" w:hAnsi="Times New Roman" w:cs="Times New Roman"/>
                <w:i/>
                <w:sz w:val="20"/>
                <w:szCs w:val="20"/>
              </w:rPr>
              <w:t>Other nutraceutical compounds (mg/g db)</w:t>
            </w:r>
          </w:p>
        </w:tc>
        <w:tc>
          <w:tcPr>
            <w:tcW w:w="542" w:type="pct"/>
            <w:vAlign w:val="center"/>
          </w:tcPr>
          <w:p w14:paraId="2E510250"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74D2749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vAlign w:val="center"/>
          </w:tcPr>
          <w:p w14:paraId="48CF307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4F83829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03351B7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276B8AC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tcPr>
          <w:p w14:paraId="63B8F43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tcPr>
          <w:p w14:paraId="497E3B6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r>
      <w:tr w:rsidR="000D2F73" w:rsidRPr="00B37812" w14:paraId="79B28292" w14:textId="77777777" w:rsidTr="00927E41">
        <w:trPr>
          <w:trHeight w:val="227"/>
        </w:trPr>
        <w:tc>
          <w:tcPr>
            <w:tcW w:w="192" w:type="pct"/>
          </w:tcPr>
          <w:p w14:paraId="2F4F7A8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171D800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DNJ</w:t>
            </w:r>
          </w:p>
        </w:tc>
        <w:tc>
          <w:tcPr>
            <w:tcW w:w="565" w:type="pct"/>
            <w:vAlign w:val="center"/>
          </w:tcPr>
          <w:p w14:paraId="61C4D88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14.56±0.03</w:t>
            </w:r>
            <w:r w:rsidRPr="00B37812">
              <w:rPr>
                <w:rFonts w:ascii="Times New Roman" w:hAnsi="Times New Roman" w:cs="Times New Roman"/>
                <w:sz w:val="20"/>
                <w:szCs w:val="20"/>
                <w:vertAlign w:val="superscript"/>
              </w:rPr>
              <w:t>e</w:t>
            </w:r>
          </w:p>
        </w:tc>
        <w:tc>
          <w:tcPr>
            <w:tcW w:w="542" w:type="pct"/>
            <w:vAlign w:val="center"/>
          </w:tcPr>
          <w:p w14:paraId="57B4241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14.30±0.04</w:t>
            </w:r>
            <w:r w:rsidRPr="00B37812">
              <w:rPr>
                <w:rFonts w:ascii="Times New Roman" w:hAnsi="Times New Roman" w:cs="Times New Roman"/>
                <w:sz w:val="20"/>
                <w:szCs w:val="20"/>
                <w:vertAlign w:val="superscript"/>
              </w:rPr>
              <w:t>f</w:t>
            </w:r>
          </w:p>
        </w:tc>
        <w:tc>
          <w:tcPr>
            <w:tcW w:w="542" w:type="pct"/>
            <w:vAlign w:val="center"/>
          </w:tcPr>
          <w:p w14:paraId="34D946C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14.10±0.05</w:t>
            </w:r>
            <w:r w:rsidRPr="00B37812">
              <w:rPr>
                <w:rFonts w:ascii="Times New Roman" w:hAnsi="Times New Roman" w:cs="Times New Roman"/>
                <w:sz w:val="20"/>
                <w:szCs w:val="20"/>
                <w:vertAlign w:val="superscript"/>
              </w:rPr>
              <w:t>g</w:t>
            </w:r>
          </w:p>
        </w:tc>
        <w:tc>
          <w:tcPr>
            <w:tcW w:w="93" w:type="pct"/>
            <w:vAlign w:val="center"/>
          </w:tcPr>
          <w:p w14:paraId="0E7DBBA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0895C53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15.24±0.03</w:t>
            </w:r>
            <w:r w:rsidRPr="00B37812">
              <w:rPr>
                <w:rFonts w:ascii="Times New Roman" w:hAnsi="Times New Roman" w:cs="Times New Roman"/>
                <w:sz w:val="20"/>
                <w:szCs w:val="20"/>
                <w:vertAlign w:val="superscript"/>
              </w:rPr>
              <w:t>b</w:t>
            </w:r>
          </w:p>
        </w:tc>
        <w:tc>
          <w:tcPr>
            <w:tcW w:w="542" w:type="pct"/>
            <w:vAlign w:val="center"/>
          </w:tcPr>
          <w:p w14:paraId="74BAF7D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15.09±0.04</w:t>
            </w:r>
            <w:r w:rsidRPr="00B37812">
              <w:rPr>
                <w:rFonts w:ascii="Times New Roman" w:hAnsi="Times New Roman" w:cs="Times New Roman"/>
                <w:sz w:val="20"/>
                <w:szCs w:val="20"/>
                <w:vertAlign w:val="superscript"/>
              </w:rPr>
              <w:t>c</w:t>
            </w:r>
          </w:p>
        </w:tc>
        <w:tc>
          <w:tcPr>
            <w:tcW w:w="542" w:type="pct"/>
            <w:vAlign w:val="center"/>
          </w:tcPr>
          <w:p w14:paraId="43C2C36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14.89±0.05</w:t>
            </w:r>
            <w:r w:rsidRPr="00B37812">
              <w:rPr>
                <w:rFonts w:ascii="Times New Roman" w:hAnsi="Times New Roman" w:cs="Times New Roman"/>
                <w:sz w:val="20"/>
                <w:szCs w:val="20"/>
                <w:vertAlign w:val="superscript"/>
              </w:rPr>
              <w:t>d</w:t>
            </w:r>
          </w:p>
        </w:tc>
        <w:tc>
          <w:tcPr>
            <w:tcW w:w="93" w:type="pct"/>
            <w:vAlign w:val="center"/>
          </w:tcPr>
          <w:p w14:paraId="21D0220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48B598C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15.58±0.07</w:t>
            </w:r>
            <w:r w:rsidRPr="00B37812">
              <w:rPr>
                <w:rFonts w:ascii="Times New Roman" w:hAnsi="Times New Roman" w:cs="Times New Roman"/>
                <w:sz w:val="20"/>
                <w:szCs w:val="20"/>
                <w:vertAlign w:val="superscript"/>
              </w:rPr>
              <w:t>a</w:t>
            </w:r>
          </w:p>
        </w:tc>
      </w:tr>
      <w:tr w:rsidR="000D2F73" w:rsidRPr="00B37812" w14:paraId="319390E9" w14:textId="77777777" w:rsidTr="00927E41">
        <w:trPr>
          <w:trHeight w:val="227"/>
        </w:trPr>
        <w:tc>
          <w:tcPr>
            <w:tcW w:w="192" w:type="pct"/>
          </w:tcPr>
          <w:p w14:paraId="5048266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7AF637E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eastAsia="Calibri" w:hAnsi="Times New Roman" w:cs="Times New Roman"/>
                <w:sz w:val="20"/>
                <w:szCs w:val="20"/>
              </w:rPr>
              <w:t>GABA</w:t>
            </w:r>
          </w:p>
        </w:tc>
        <w:tc>
          <w:tcPr>
            <w:tcW w:w="565" w:type="pct"/>
            <w:vAlign w:val="center"/>
          </w:tcPr>
          <w:p w14:paraId="52CC584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4.67±0.01</w:t>
            </w:r>
            <w:r w:rsidRPr="00B37812">
              <w:rPr>
                <w:rFonts w:ascii="Times New Roman" w:hAnsi="Times New Roman" w:cs="Times New Roman"/>
                <w:sz w:val="20"/>
                <w:szCs w:val="20"/>
                <w:vertAlign w:val="superscript"/>
              </w:rPr>
              <w:t>b</w:t>
            </w:r>
          </w:p>
        </w:tc>
        <w:tc>
          <w:tcPr>
            <w:tcW w:w="542" w:type="pct"/>
            <w:vAlign w:val="center"/>
          </w:tcPr>
          <w:p w14:paraId="0462E22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4.48±0.02</w:t>
            </w:r>
            <w:r w:rsidRPr="00B37812">
              <w:rPr>
                <w:rFonts w:ascii="Times New Roman" w:hAnsi="Times New Roman" w:cs="Times New Roman"/>
                <w:sz w:val="20"/>
                <w:szCs w:val="20"/>
                <w:vertAlign w:val="superscript"/>
              </w:rPr>
              <w:t>c</w:t>
            </w:r>
          </w:p>
        </w:tc>
        <w:tc>
          <w:tcPr>
            <w:tcW w:w="542" w:type="pct"/>
            <w:vAlign w:val="center"/>
          </w:tcPr>
          <w:p w14:paraId="608B980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4.38±0.04</w:t>
            </w:r>
            <w:r w:rsidRPr="00B37812">
              <w:rPr>
                <w:rFonts w:ascii="Times New Roman" w:hAnsi="Times New Roman" w:cs="Times New Roman"/>
                <w:sz w:val="20"/>
                <w:szCs w:val="20"/>
                <w:vertAlign w:val="superscript"/>
              </w:rPr>
              <w:t>d</w:t>
            </w:r>
          </w:p>
        </w:tc>
        <w:tc>
          <w:tcPr>
            <w:tcW w:w="93" w:type="pct"/>
            <w:vAlign w:val="center"/>
          </w:tcPr>
          <w:p w14:paraId="66547A3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51E288B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4.24±0.01</w:t>
            </w:r>
            <w:r w:rsidRPr="00B37812">
              <w:rPr>
                <w:rFonts w:ascii="Times New Roman" w:hAnsi="Times New Roman" w:cs="Times New Roman"/>
                <w:sz w:val="20"/>
                <w:szCs w:val="20"/>
                <w:vertAlign w:val="superscript"/>
              </w:rPr>
              <w:t>e</w:t>
            </w:r>
          </w:p>
        </w:tc>
        <w:tc>
          <w:tcPr>
            <w:tcW w:w="542" w:type="pct"/>
            <w:vAlign w:val="center"/>
          </w:tcPr>
          <w:p w14:paraId="7AA3DFC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4.14±0.03</w:t>
            </w:r>
            <w:r w:rsidRPr="00B37812">
              <w:rPr>
                <w:rFonts w:ascii="Times New Roman" w:hAnsi="Times New Roman" w:cs="Times New Roman"/>
                <w:sz w:val="20"/>
                <w:szCs w:val="20"/>
                <w:vertAlign w:val="superscript"/>
              </w:rPr>
              <w:t>f</w:t>
            </w:r>
          </w:p>
        </w:tc>
        <w:tc>
          <w:tcPr>
            <w:tcW w:w="542" w:type="pct"/>
            <w:vAlign w:val="center"/>
          </w:tcPr>
          <w:p w14:paraId="7BCC7C1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4.04±0.04</w:t>
            </w:r>
            <w:r w:rsidRPr="00B37812">
              <w:rPr>
                <w:rFonts w:ascii="Times New Roman" w:hAnsi="Times New Roman" w:cs="Times New Roman"/>
                <w:sz w:val="20"/>
                <w:szCs w:val="20"/>
                <w:vertAlign w:val="superscript"/>
              </w:rPr>
              <w:t>g</w:t>
            </w:r>
          </w:p>
        </w:tc>
        <w:tc>
          <w:tcPr>
            <w:tcW w:w="93" w:type="pct"/>
            <w:vAlign w:val="center"/>
          </w:tcPr>
          <w:p w14:paraId="6EC1F53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21EA38D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5.05±0.04</w:t>
            </w:r>
            <w:r w:rsidRPr="00B37812">
              <w:rPr>
                <w:rFonts w:ascii="Times New Roman" w:hAnsi="Times New Roman" w:cs="Times New Roman"/>
                <w:sz w:val="20"/>
                <w:szCs w:val="20"/>
                <w:vertAlign w:val="superscript"/>
              </w:rPr>
              <w:t>a</w:t>
            </w:r>
          </w:p>
        </w:tc>
      </w:tr>
      <w:tr w:rsidR="000D2F73" w:rsidRPr="00B37812" w14:paraId="497C6CDB" w14:textId="77777777" w:rsidTr="00927E41">
        <w:trPr>
          <w:trHeight w:val="227"/>
        </w:trPr>
        <w:tc>
          <w:tcPr>
            <w:tcW w:w="192" w:type="pct"/>
          </w:tcPr>
          <w:p w14:paraId="052AF75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5C5F7D0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65" w:type="pct"/>
            <w:vAlign w:val="center"/>
          </w:tcPr>
          <w:p w14:paraId="564C46C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4743A32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08D6A96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vAlign w:val="center"/>
          </w:tcPr>
          <w:p w14:paraId="2E2D5133"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1B90CC4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1CF95C7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255E170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tcPr>
          <w:p w14:paraId="25A7404A"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tcPr>
          <w:p w14:paraId="1C5A264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r>
      <w:tr w:rsidR="000D2F73" w:rsidRPr="00B37812" w14:paraId="516D01EF" w14:textId="77777777" w:rsidTr="00927E41">
        <w:trPr>
          <w:trHeight w:val="227"/>
        </w:trPr>
        <w:tc>
          <w:tcPr>
            <w:tcW w:w="1564" w:type="pct"/>
            <w:gridSpan w:val="3"/>
            <w:vAlign w:val="center"/>
          </w:tcPr>
          <w:p w14:paraId="4568E453" w14:textId="77777777" w:rsidR="000D2F73" w:rsidRPr="00B37812" w:rsidRDefault="000D2F73" w:rsidP="000D2F73">
            <w:pPr>
              <w:tabs>
                <w:tab w:val="center" w:pos="4680"/>
                <w:tab w:val="right" w:pos="9360"/>
              </w:tabs>
              <w:spacing w:before="120" w:after="60" w:line="240" w:lineRule="auto"/>
              <w:jc w:val="both"/>
              <w:rPr>
                <w:rFonts w:ascii="Times New Roman" w:hAnsi="Times New Roman" w:cs="Times New Roman"/>
                <w:sz w:val="20"/>
                <w:szCs w:val="20"/>
              </w:rPr>
            </w:pPr>
            <w:r w:rsidRPr="00B37812">
              <w:rPr>
                <w:rFonts w:ascii="Times New Roman" w:hAnsi="Times New Roman" w:cs="Times New Roman"/>
                <w:i/>
                <w:sz w:val="20"/>
                <w:szCs w:val="20"/>
              </w:rPr>
              <w:t>Antiradical activities (mM/g db)</w:t>
            </w:r>
          </w:p>
        </w:tc>
        <w:tc>
          <w:tcPr>
            <w:tcW w:w="542" w:type="pct"/>
            <w:vAlign w:val="center"/>
          </w:tcPr>
          <w:p w14:paraId="640C2B0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41DB947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vAlign w:val="center"/>
          </w:tcPr>
          <w:p w14:paraId="1FDA984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Pr>
          <w:p w14:paraId="2010C4D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Pr>
          <w:p w14:paraId="3E5C5F4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Pr>
          <w:p w14:paraId="78BFBAD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93" w:type="pct"/>
          </w:tcPr>
          <w:p w14:paraId="6E70F0E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tcPr>
          <w:p w14:paraId="7DD78DE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r>
      <w:tr w:rsidR="000D2F73" w:rsidRPr="00B37812" w14:paraId="4DE74ABB" w14:textId="77777777" w:rsidTr="00927E41">
        <w:trPr>
          <w:trHeight w:val="227"/>
        </w:trPr>
        <w:tc>
          <w:tcPr>
            <w:tcW w:w="192" w:type="pct"/>
          </w:tcPr>
          <w:p w14:paraId="5DF00E4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5D5FCB0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ABTS</w:t>
            </w:r>
          </w:p>
        </w:tc>
        <w:tc>
          <w:tcPr>
            <w:tcW w:w="565" w:type="pct"/>
            <w:vAlign w:val="center"/>
          </w:tcPr>
          <w:p w14:paraId="3EFD79B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31.58±0.09</w:t>
            </w:r>
            <w:r w:rsidRPr="00B37812">
              <w:rPr>
                <w:rFonts w:ascii="Times New Roman" w:hAnsi="Times New Roman" w:cs="Times New Roman"/>
                <w:sz w:val="20"/>
                <w:szCs w:val="20"/>
                <w:vertAlign w:val="superscript"/>
              </w:rPr>
              <w:t>e</w:t>
            </w:r>
          </w:p>
        </w:tc>
        <w:tc>
          <w:tcPr>
            <w:tcW w:w="542" w:type="pct"/>
            <w:vAlign w:val="center"/>
          </w:tcPr>
          <w:p w14:paraId="1D33C3C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30.05±0.20</w:t>
            </w:r>
            <w:r w:rsidRPr="00B37812">
              <w:rPr>
                <w:rFonts w:ascii="Times New Roman" w:hAnsi="Times New Roman" w:cs="Times New Roman"/>
                <w:sz w:val="20"/>
                <w:szCs w:val="20"/>
                <w:vertAlign w:val="superscript"/>
              </w:rPr>
              <w:t>f</w:t>
            </w:r>
          </w:p>
        </w:tc>
        <w:tc>
          <w:tcPr>
            <w:tcW w:w="542" w:type="pct"/>
            <w:vAlign w:val="center"/>
          </w:tcPr>
          <w:p w14:paraId="65E9FEF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29.18±0.17</w:t>
            </w:r>
            <w:r w:rsidRPr="00B37812">
              <w:rPr>
                <w:rFonts w:ascii="Times New Roman" w:hAnsi="Times New Roman" w:cs="Times New Roman"/>
                <w:sz w:val="20"/>
                <w:szCs w:val="20"/>
                <w:vertAlign w:val="superscript"/>
              </w:rPr>
              <w:t>g</w:t>
            </w:r>
          </w:p>
        </w:tc>
        <w:tc>
          <w:tcPr>
            <w:tcW w:w="93" w:type="pct"/>
            <w:vAlign w:val="center"/>
          </w:tcPr>
          <w:p w14:paraId="5CE6E52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20F1F57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37.56±0.08</w:t>
            </w:r>
            <w:r w:rsidRPr="00B37812">
              <w:rPr>
                <w:rFonts w:ascii="Times New Roman" w:hAnsi="Times New Roman" w:cs="Times New Roman"/>
                <w:sz w:val="20"/>
                <w:szCs w:val="20"/>
                <w:vertAlign w:val="superscript"/>
              </w:rPr>
              <w:t>b</w:t>
            </w:r>
          </w:p>
        </w:tc>
        <w:tc>
          <w:tcPr>
            <w:tcW w:w="542" w:type="pct"/>
            <w:vAlign w:val="center"/>
          </w:tcPr>
          <w:p w14:paraId="7D61B595"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37.04±0.12</w:t>
            </w:r>
            <w:r w:rsidRPr="00B37812">
              <w:rPr>
                <w:rFonts w:ascii="Times New Roman" w:hAnsi="Times New Roman" w:cs="Times New Roman"/>
                <w:sz w:val="20"/>
                <w:szCs w:val="20"/>
                <w:vertAlign w:val="superscript"/>
              </w:rPr>
              <w:t>c</w:t>
            </w:r>
          </w:p>
        </w:tc>
        <w:tc>
          <w:tcPr>
            <w:tcW w:w="542" w:type="pct"/>
            <w:vAlign w:val="center"/>
          </w:tcPr>
          <w:p w14:paraId="2880048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35.16±0.12</w:t>
            </w:r>
            <w:r w:rsidRPr="00B37812">
              <w:rPr>
                <w:rFonts w:ascii="Times New Roman" w:hAnsi="Times New Roman" w:cs="Times New Roman"/>
                <w:sz w:val="20"/>
                <w:szCs w:val="20"/>
                <w:vertAlign w:val="superscript"/>
              </w:rPr>
              <w:t>d</w:t>
            </w:r>
          </w:p>
        </w:tc>
        <w:tc>
          <w:tcPr>
            <w:tcW w:w="93" w:type="pct"/>
            <w:vAlign w:val="center"/>
          </w:tcPr>
          <w:p w14:paraId="523B4C9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47F645F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39.98±0.14</w:t>
            </w:r>
            <w:r w:rsidRPr="00B37812">
              <w:rPr>
                <w:rFonts w:ascii="Times New Roman" w:hAnsi="Times New Roman" w:cs="Times New Roman"/>
                <w:sz w:val="20"/>
                <w:szCs w:val="20"/>
                <w:vertAlign w:val="superscript"/>
              </w:rPr>
              <w:t>a</w:t>
            </w:r>
          </w:p>
        </w:tc>
      </w:tr>
      <w:tr w:rsidR="000D2F73" w:rsidRPr="00B37812" w14:paraId="0D7AC149" w14:textId="77777777" w:rsidTr="00927E41">
        <w:trPr>
          <w:trHeight w:val="227"/>
        </w:trPr>
        <w:tc>
          <w:tcPr>
            <w:tcW w:w="192" w:type="pct"/>
          </w:tcPr>
          <w:p w14:paraId="3D2AC9A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2D866D0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CUPRAC</w:t>
            </w:r>
          </w:p>
        </w:tc>
        <w:tc>
          <w:tcPr>
            <w:tcW w:w="565" w:type="pct"/>
            <w:vAlign w:val="center"/>
          </w:tcPr>
          <w:p w14:paraId="19114DD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53.44±0.22</w:t>
            </w:r>
            <w:r w:rsidRPr="00B37812">
              <w:rPr>
                <w:rFonts w:ascii="Times New Roman" w:hAnsi="Times New Roman" w:cs="Times New Roman"/>
                <w:sz w:val="20"/>
                <w:szCs w:val="20"/>
                <w:vertAlign w:val="superscript"/>
              </w:rPr>
              <w:t>b</w:t>
            </w:r>
          </w:p>
        </w:tc>
        <w:tc>
          <w:tcPr>
            <w:tcW w:w="542" w:type="pct"/>
            <w:vAlign w:val="center"/>
          </w:tcPr>
          <w:p w14:paraId="47E499C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51.98±0.24</w:t>
            </w:r>
            <w:r w:rsidRPr="00B37812">
              <w:rPr>
                <w:rFonts w:ascii="Times New Roman" w:hAnsi="Times New Roman" w:cs="Times New Roman"/>
                <w:sz w:val="20"/>
                <w:szCs w:val="20"/>
                <w:vertAlign w:val="superscript"/>
              </w:rPr>
              <w:t>c</w:t>
            </w:r>
          </w:p>
        </w:tc>
        <w:tc>
          <w:tcPr>
            <w:tcW w:w="542" w:type="pct"/>
            <w:vAlign w:val="center"/>
          </w:tcPr>
          <w:p w14:paraId="27EB811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50.95±0.12</w:t>
            </w:r>
            <w:r w:rsidRPr="00B37812">
              <w:rPr>
                <w:rFonts w:ascii="Times New Roman" w:hAnsi="Times New Roman" w:cs="Times New Roman"/>
                <w:sz w:val="20"/>
                <w:szCs w:val="20"/>
                <w:vertAlign w:val="superscript"/>
              </w:rPr>
              <w:t>d</w:t>
            </w:r>
          </w:p>
        </w:tc>
        <w:tc>
          <w:tcPr>
            <w:tcW w:w="93" w:type="pct"/>
            <w:vAlign w:val="center"/>
          </w:tcPr>
          <w:p w14:paraId="10C4327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51D1A4C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48.38±0.18</w:t>
            </w:r>
            <w:r w:rsidRPr="00B37812">
              <w:rPr>
                <w:rFonts w:ascii="Times New Roman" w:hAnsi="Times New Roman" w:cs="Times New Roman"/>
                <w:sz w:val="20"/>
                <w:szCs w:val="20"/>
                <w:vertAlign w:val="superscript"/>
              </w:rPr>
              <w:t>e</w:t>
            </w:r>
          </w:p>
        </w:tc>
        <w:tc>
          <w:tcPr>
            <w:tcW w:w="542" w:type="pct"/>
            <w:vAlign w:val="center"/>
          </w:tcPr>
          <w:p w14:paraId="72AC199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47.80±0.18</w:t>
            </w:r>
            <w:r w:rsidRPr="00B37812">
              <w:rPr>
                <w:rFonts w:ascii="Times New Roman" w:hAnsi="Times New Roman" w:cs="Times New Roman"/>
                <w:sz w:val="20"/>
                <w:szCs w:val="20"/>
                <w:vertAlign w:val="superscript"/>
              </w:rPr>
              <w:t>f</w:t>
            </w:r>
          </w:p>
        </w:tc>
        <w:tc>
          <w:tcPr>
            <w:tcW w:w="542" w:type="pct"/>
            <w:vAlign w:val="center"/>
          </w:tcPr>
          <w:p w14:paraId="4F5DF2B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46.07±0.12</w:t>
            </w:r>
            <w:r w:rsidRPr="00B37812">
              <w:rPr>
                <w:rFonts w:ascii="Times New Roman" w:hAnsi="Times New Roman" w:cs="Times New Roman"/>
                <w:sz w:val="20"/>
                <w:szCs w:val="20"/>
                <w:vertAlign w:val="superscript"/>
              </w:rPr>
              <w:t>g</w:t>
            </w:r>
          </w:p>
        </w:tc>
        <w:tc>
          <w:tcPr>
            <w:tcW w:w="93" w:type="pct"/>
            <w:vAlign w:val="center"/>
          </w:tcPr>
          <w:p w14:paraId="6235604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34BB38B2"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58.93±0.21</w:t>
            </w:r>
            <w:r w:rsidRPr="00B37812">
              <w:rPr>
                <w:rFonts w:ascii="Times New Roman" w:hAnsi="Times New Roman" w:cs="Times New Roman"/>
                <w:sz w:val="20"/>
                <w:szCs w:val="20"/>
                <w:vertAlign w:val="superscript"/>
              </w:rPr>
              <w:t>a</w:t>
            </w:r>
          </w:p>
        </w:tc>
      </w:tr>
      <w:tr w:rsidR="000D2F73" w:rsidRPr="00B37812" w14:paraId="3E830B01" w14:textId="77777777" w:rsidTr="00927E41">
        <w:trPr>
          <w:trHeight w:val="227"/>
        </w:trPr>
        <w:tc>
          <w:tcPr>
            <w:tcW w:w="192" w:type="pct"/>
          </w:tcPr>
          <w:p w14:paraId="3955BEF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vAlign w:val="center"/>
          </w:tcPr>
          <w:p w14:paraId="298C2BCD"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DPPH</w:t>
            </w:r>
          </w:p>
        </w:tc>
        <w:tc>
          <w:tcPr>
            <w:tcW w:w="565" w:type="pct"/>
            <w:vAlign w:val="center"/>
          </w:tcPr>
          <w:p w14:paraId="01792D0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89.25±0.03</w:t>
            </w:r>
            <w:r w:rsidRPr="00B37812">
              <w:rPr>
                <w:rFonts w:ascii="Times New Roman" w:hAnsi="Times New Roman" w:cs="Times New Roman"/>
                <w:sz w:val="20"/>
                <w:szCs w:val="20"/>
                <w:vertAlign w:val="superscript"/>
              </w:rPr>
              <w:t>e</w:t>
            </w:r>
          </w:p>
        </w:tc>
        <w:tc>
          <w:tcPr>
            <w:tcW w:w="542" w:type="pct"/>
            <w:vAlign w:val="center"/>
          </w:tcPr>
          <w:p w14:paraId="20C1C31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85.23±0.03</w:t>
            </w:r>
            <w:r w:rsidRPr="00B37812">
              <w:rPr>
                <w:rFonts w:ascii="Times New Roman" w:hAnsi="Times New Roman" w:cs="Times New Roman"/>
                <w:sz w:val="20"/>
                <w:szCs w:val="20"/>
                <w:vertAlign w:val="superscript"/>
              </w:rPr>
              <w:t>f</w:t>
            </w:r>
          </w:p>
        </w:tc>
        <w:tc>
          <w:tcPr>
            <w:tcW w:w="542" w:type="pct"/>
            <w:vAlign w:val="center"/>
          </w:tcPr>
          <w:p w14:paraId="4466C0EB"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83.27±0.06</w:t>
            </w:r>
            <w:r w:rsidRPr="00B37812">
              <w:rPr>
                <w:rFonts w:ascii="Times New Roman" w:hAnsi="Times New Roman" w:cs="Times New Roman"/>
                <w:sz w:val="20"/>
                <w:szCs w:val="20"/>
                <w:vertAlign w:val="superscript"/>
              </w:rPr>
              <w:t>g</w:t>
            </w:r>
          </w:p>
        </w:tc>
        <w:tc>
          <w:tcPr>
            <w:tcW w:w="93" w:type="pct"/>
            <w:vAlign w:val="center"/>
          </w:tcPr>
          <w:p w14:paraId="3503E21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vAlign w:val="center"/>
          </w:tcPr>
          <w:p w14:paraId="7106092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95.02±0.06</w:t>
            </w:r>
            <w:r w:rsidRPr="00B37812">
              <w:rPr>
                <w:rFonts w:ascii="Times New Roman" w:hAnsi="Times New Roman" w:cs="Times New Roman"/>
                <w:sz w:val="20"/>
                <w:szCs w:val="20"/>
                <w:vertAlign w:val="superscript"/>
              </w:rPr>
              <w:t>b</w:t>
            </w:r>
          </w:p>
        </w:tc>
        <w:tc>
          <w:tcPr>
            <w:tcW w:w="542" w:type="pct"/>
            <w:vAlign w:val="center"/>
          </w:tcPr>
          <w:p w14:paraId="0F9A648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94.74±0.07</w:t>
            </w:r>
            <w:r w:rsidRPr="00B37812">
              <w:rPr>
                <w:rFonts w:ascii="Times New Roman" w:hAnsi="Times New Roman" w:cs="Times New Roman"/>
                <w:sz w:val="20"/>
                <w:szCs w:val="20"/>
                <w:vertAlign w:val="superscript"/>
              </w:rPr>
              <w:t>c</w:t>
            </w:r>
          </w:p>
        </w:tc>
        <w:tc>
          <w:tcPr>
            <w:tcW w:w="542" w:type="pct"/>
            <w:vAlign w:val="center"/>
          </w:tcPr>
          <w:p w14:paraId="31105C6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92.56±0.08</w:t>
            </w:r>
            <w:r w:rsidRPr="00B37812">
              <w:rPr>
                <w:rFonts w:ascii="Times New Roman" w:hAnsi="Times New Roman" w:cs="Times New Roman"/>
                <w:sz w:val="20"/>
                <w:szCs w:val="20"/>
                <w:vertAlign w:val="superscript"/>
              </w:rPr>
              <w:t>d</w:t>
            </w:r>
          </w:p>
        </w:tc>
        <w:tc>
          <w:tcPr>
            <w:tcW w:w="93" w:type="pct"/>
            <w:vAlign w:val="center"/>
          </w:tcPr>
          <w:p w14:paraId="5BB59377"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vAlign w:val="center"/>
          </w:tcPr>
          <w:p w14:paraId="5FE710F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101.33±0.10</w:t>
            </w:r>
            <w:r w:rsidRPr="00B37812">
              <w:rPr>
                <w:rFonts w:ascii="Times New Roman" w:hAnsi="Times New Roman" w:cs="Times New Roman"/>
                <w:sz w:val="20"/>
                <w:szCs w:val="20"/>
                <w:vertAlign w:val="superscript"/>
              </w:rPr>
              <w:t>a</w:t>
            </w:r>
          </w:p>
        </w:tc>
      </w:tr>
      <w:tr w:rsidR="000D2F73" w:rsidRPr="00B37812" w14:paraId="44A9A5DB" w14:textId="77777777" w:rsidTr="00927E41">
        <w:trPr>
          <w:trHeight w:val="70"/>
        </w:trPr>
        <w:tc>
          <w:tcPr>
            <w:tcW w:w="192" w:type="pct"/>
            <w:tcBorders>
              <w:bottom w:val="single" w:sz="4" w:space="0" w:color="auto"/>
            </w:tcBorders>
          </w:tcPr>
          <w:p w14:paraId="444A0A71"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807" w:type="pct"/>
            <w:tcBorders>
              <w:bottom w:val="single" w:sz="4" w:space="0" w:color="auto"/>
            </w:tcBorders>
            <w:vAlign w:val="center"/>
          </w:tcPr>
          <w:p w14:paraId="677F6C29"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FRAP</w:t>
            </w:r>
          </w:p>
        </w:tc>
        <w:tc>
          <w:tcPr>
            <w:tcW w:w="565" w:type="pct"/>
            <w:tcBorders>
              <w:bottom w:val="single" w:sz="4" w:space="0" w:color="auto"/>
            </w:tcBorders>
            <w:vAlign w:val="center"/>
          </w:tcPr>
          <w:p w14:paraId="1E655C4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219.46±0.28</w:t>
            </w:r>
            <w:r w:rsidRPr="00B37812">
              <w:rPr>
                <w:rFonts w:ascii="Times New Roman" w:hAnsi="Times New Roman" w:cs="Times New Roman"/>
                <w:sz w:val="20"/>
                <w:szCs w:val="20"/>
                <w:vertAlign w:val="superscript"/>
              </w:rPr>
              <w:t>b</w:t>
            </w:r>
          </w:p>
        </w:tc>
        <w:tc>
          <w:tcPr>
            <w:tcW w:w="542" w:type="pct"/>
            <w:tcBorders>
              <w:bottom w:val="single" w:sz="4" w:space="0" w:color="auto"/>
            </w:tcBorders>
            <w:vAlign w:val="center"/>
          </w:tcPr>
          <w:p w14:paraId="3192D608"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211.69±0.33</w:t>
            </w:r>
            <w:r w:rsidRPr="00B37812">
              <w:rPr>
                <w:rFonts w:ascii="Times New Roman" w:hAnsi="Times New Roman" w:cs="Times New Roman"/>
                <w:sz w:val="20"/>
                <w:szCs w:val="20"/>
                <w:vertAlign w:val="superscript"/>
              </w:rPr>
              <w:t>c</w:t>
            </w:r>
          </w:p>
        </w:tc>
        <w:tc>
          <w:tcPr>
            <w:tcW w:w="542" w:type="pct"/>
            <w:tcBorders>
              <w:bottom w:val="single" w:sz="4" w:space="0" w:color="auto"/>
            </w:tcBorders>
            <w:vAlign w:val="center"/>
          </w:tcPr>
          <w:p w14:paraId="6929C580"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205.26±0.16</w:t>
            </w:r>
            <w:r w:rsidRPr="00B37812">
              <w:rPr>
                <w:rFonts w:ascii="Times New Roman" w:hAnsi="Times New Roman" w:cs="Times New Roman"/>
                <w:sz w:val="20"/>
                <w:szCs w:val="20"/>
                <w:vertAlign w:val="superscript"/>
              </w:rPr>
              <w:t>d</w:t>
            </w:r>
          </w:p>
        </w:tc>
        <w:tc>
          <w:tcPr>
            <w:tcW w:w="93" w:type="pct"/>
            <w:tcBorders>
              <w:bottom w:val="single" w:sz="4" w:space="0" w:color="auto"/>
            </w:tcBorders>
            <w:vAlign w:val="center"/>
          </w:tcPr>
          <w:p w14:paraId="028A9C1E"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2" w:type="pct"/>
            <w:tcBorders>
              <w:bottom w:val="single" w:sz="4" w:space="0" w:color="auto"/>
            </w:tcBorders>
            <w:vAlign w:val="center"/>
          </w:tcPr>
          <w:p w14:paraId="1A93CB7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201.67±0.13</w:t>
            </w:r>
            <w:r w:rsidRPr="00B37812">
              <w:rPr>
                <w:rFonts w:ascii="Times New Roman" w:hAnsi="Times New Roman" w:cs="Times New Roman"/>
                <w:sz w:val="20"/>
                <w:szCs w:val="20"/>
                <w:vertAlign w:val="superscript"/>
              </w:rPr>
              <w:t>e</w:t>
            </w:r>
          </w:p>
        </w:tc>
        <w:tc>
          <w:tcPr>
            <w:tcW w:w="542" w:type="pct"/>
            <w:tcBorders>
              <w:bottom w:val="single" w:sz="4" w:space="0" w:color="auto"/>
            </w:tcBorders>
            <w:vAlign w:val="center"/>
          </w:tcPr>
          <w:p w14:paraId="32F27B24"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200.07±0.15</w:t>
            </w:r>
            <w:r w:rsidRPr="00B37812">
              <w:rPr>
                <w:rFonts w:ascii="Times New Roman" w:hAnsi="Times New Roman" w:cs="Times New Roman"/>
                <w:sz w:val="20"/>
                <w:szCs w:val="20"/>
                <w:vertAlign w:val="superscript"/>
              </w:rPr>
              <w:t>f</w:t>
            </w:r>
          </w:p>
        </w:tc>
        <w:tc>
          <w:tcPr>
            <w:tcW w:w="542" w:type="pct"/>
            <w:tcBorders>
              <w:bottom w:val="single" w:sz="4" w:space="0" w:color="auto"/>
            </w:tcBorders>
            <w:vAlign w:val="center"/>
          </w:tcPr>
          <w:p w14:paraId="1B6AE0CF"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193.63±0.17</w:t>
            </w:r>
            <w:r w:rsidRPr="00B37812">
              <w:rPr>
                <w:rFonts w:ascii="Times New Roman" w:hAnsi="Times New Roman" w:cs="Times New Roman"/>
                <w:sz w:val="20"/>
                <w:szCs w:val="20"/>
                <w:vertAlign w:val="superscript"/>
              </w:rPr>
              <w:t>g</w:t>
            </w:r>
          </w:p>
        </w:tc>
        <w:tc>
          <w:tcPr>
            <w:tcW w:w="93" w:type="pct"/>
            <w:tcBorders>
              <w:bottom w:val="single" w:sz="4" w:space="0" w:color="auto"/>
            </w:tcBorders>
            <w:vAlign w:val="center"/>
          </w:tcPr>
          <w:p w14:paraId="6E3F18AC"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p>
        </w:tc>
        <w:tc>
          <w:tcPr>
            <w:tcW w:w="540" w:type="pct"/>
            <w:tcBorders>
              <w:bottom w:val="single" w:sz="4" w:space="0" w:color="auto"/>
            </w:tcBorders>
            <w:vAlign w:val="center"/>
          </w:tcPr>
          <w:p w14:paraId="05A27686" w14:textId="77777777" w:rsidR="000D2F73" w:rsidRPr="00B37812" w:rsidRDefault="000D2F73" w:rsidP="000D2F73">
            <w:pPr>
              <w:tabs>
                <w:tab w:val="center" w:pos="4680"/>
                <w:tab w:val="right" w:pos="9360"/>
              </w:tabs>
              <w:spacing w:after="0" w:line="240" w:lineRule="auto"/>
              <w:jc w:val="both"/>
              <w:rPr>
                <w:rFonts w:ascii="Times New Roman" w:hAnsi="Times New Roman" w:cs="Times New Roman"/>
                <w:sz w:val="20"/>
                <w:szCs w:val="20"/>
              </w:rPr>
            </w:pPr>
            <w:r w:rsidRPr="00B37812">
              <w:rPr>
                <w:rFonts w:ascii="Times New Roman" w:hAnsi="Times New Roman" w:cs="Times New Roman"/>
                <w:sz w:val="20"/>
                <w:szCs w:val="20"/>
              </w:rPr>
              <w:t>233.77±0.23</w:t>
            </w:r>
            <w:r w:rsidRPr="00B37812">
              <w:rPr>
                <w:rFonts w:ascii="Times New Roman" w:hAnsi="Times New Roman" w:cs="Times New Roman"/>
                <w:sz w:val="20"/>
                <w:szCs w:val="20"/>
                <w:vertAlign w:val="superscript"/>
              </w:rPr>
              <w:t>a</w:t>
            </w:r>
          </w:p>
        </w:tc>
      </w:tr>
    </w:tbl>
    <w:p w14:paraId="3B4C9EB9" w14:textId="77777777" w:rsidR="000D2F73" w:rsidRPr="00B37812" w:rsidRDefault="000D2F73" w:rsidP="000D2F73">
      <w:pPr>
        <w:spacing w:after="0" w:line="276" w:lineRule="auto"/>
        <w:jc w:val="both"/>
        <w:rPr>
          <w:rFonts w:ascii="Times New Roman" w:hAnsi="Times New Roman" w:cs="Times New Roman"/>
          <w:sz w:val="24"/>
          <w:szCs w:val="24"/>
        </w:rPr>
      </w:pPr>
      <w:r w:rsidRPr="00B37812">
        <w:rPr>
          <w:rFonts w:ascii="Times New Roman" w:hAnsi="Times New Roman" w:cs="Times New Roman"/>
          <w:color w:val="000000"/>
          <w:sz w:val="18"/>
          <w:szCs w:val="18"/>
        </w:rPr>
        <w:t xml:space="preserve">Values with different letters in the same row are significantly different at </w:t>
      </w:r>
      <w:r w:rsidRPr="00B37812">
        <w:rPr>
          <w:rFonts w:ascii="Times New Roman" w:hAnsi="Times New Roman" w:cs="Times New Roman"/>
          <w:i/>
          <w:color w:val="000000"/>
          <w:sz w:val="18"/>
          <w:szCs w:val="18"/>
        </w:rPr>
        <w:t>p</w:t>
      </w:r>
      <w:r w:rsidRPr="00B37812">
        <w:rPr>
          <w:rFonts w:ascii="Times New Roman" w:hAnsi="Times New Roman" w:cs="Times New Roman"/>
          <w:color w:val="000000"/>
          <w:sz w:val="18"/>
          <w:szCs w:val="18"/>
        </w:rPr>
        <w:t xml:space="preserve"> &lt; 0.05 (Anova, Tukey’s test)</w:t>
      </w:r>
    </w:p>
    <w:p w14:paraId="0571E2B9" w14:textId="77777777" w:rsidR="000D2F73" w:rsidRPr="00B37812" w:rsidRDefault="000D2F73" w:rsidP="000D2F73">
      <w:pPr>
        <w:spacing w:after="0" w:line="240" w:lineRule="auto"/>
        <w:jc w:val="both"/>
        <w:rPr>
          <w:rFonts w:ascii="Times New Roman" w:hAnsi="Times New Roman" w:cs="Times New Roman"/>
          <w:bCs/>
          <w:color w:val="000000"/>
          <w:sz w:val="18"/>
          <w:szCs w:val="18"/>
        </w:rPr>
      </w:pPr>
      <w:r w:rsidRPr="00B37812">
        <w:rPr>
          <w:rFonts w:ascii="Times New Roman" w:hAnsi="Times New Roman" w:cs="Times New Roman"/>
          <w:sz w:val="18"/>
          <w:szCs w:val="18"/>
        </w:rPr>
        <w:t xml:space="preserve">CHA-chlorogenic acid, CA-caffeic acid, K3M-kaempferol-3-(6-malonylglucoside), K3R-kaempferol-3-(6-rhamnosylglucoside), K3G-kaempferol-3-glucoside, K7G- kaempferol-7-O-glucoside, Q3R-quercetin-3-rutinose, Q3M-quercetin-3-(6-malonylglucoside), Q3G-quercetin-3-O-glucoside, DNJ-1-deoxynojirimycin, GABA-gamma-aminobutyric acid, </w:t>
      </w:r>
      <w:r w:rsidRPr="00B37812">
        <w:rPr>
          <w:rFonts w:ascii="Times New Roman" w:hAnsi="Times New Roman" w:cs="Times New Roman"/>
          <w:bCs/>
          <w:sz w:val="18"/>
          <w:szCs w:val="18"/>
        </w:rPr>
        <w:t xml:space="preserve">ABTS-2,2-azino-bis-(3-ethylbenzothiazoline-6-sulfonic acid), CUPRAC-cupric ion reducing capacity, DPPH-1,1-diphenyl-2-picrylhydrazyl, FRAP-ferric reducing antioxidant power capacity, </w:t>
      </w:r>
      <w:r w:rsidRPr="00B37812">
        <w:rPr>
          <w:rFonts w:ascii="Times New Roman" w:hAnsi="Times New Roman" w:cs="Times New Roman"/>
          <w:color w:val="231F20"/>
          <w:sz w:val="18"/>
          <w:szCs w:val="18"/>
        </w:rPr>
        <w:t xml:space="preserve">CMC-sodium </w:t>
      </w:r>
      <w:r w:rsidRPr="00B37812">
        <w:rPr>
          <w:rFonts w:ascii="Times New Roman" w:hAnsi="Times New Roman" w:cs="Times New Roman"/>
          <w:bCs/>
          <w:color w:val="231F20"/>
          <w:sz w:val="18"/>
          <w:szCs w:val="18"/>
        </w:rPr>
        <w:t>carboxymethyl cellulose</w:t>
      </w:r>
      <w:r w:rsidRPr="00B37812">
        <w:rPr>
          <w:rFonts w:ascii="Times New Roman" w:hAnsi="Times New Roman" w:cs="Times New Roman"/>
          <w:color w:val="231F20"/>
          <w:sz w:val="18"/>
          <w:szCs w:val="18"/>
        </w:rPr>
        <w:t>, MD-</w:t>
      </w:r>
      <w:r w:rsidRPr="00B37812">
        <w:rPr>
          <w:rFonts w:ascii="Times New Roman" w:hAnsi="Times New Roman" w:cs="Times New Roman"/>
          <w:sz w:val="18"/>
          <w:szCs w:val="18"/>
        </w:rPr>
        <w:t>maltodextrin, and NE-nutraceutical-dried extract</w:t>
      </w:r>
    </w:p>
    <w:p w14:paraId="122ECC2D" w14:textId="77777777" w:rsidR="000D2F73" w:rsidRPr="00B37812" w:rsidRDefault="000D2F73" w:rsidP="00A330CD">
      <w:pPr>
        <w:spacing w:after="0" w:line="360" w:lineRule="auto"/>
        <w:ind w:firstLine="720"/>
        <w:jc w:val="both"/>
        <w:rPr>
          <w:rFonts w:ascii="Times New Roman" w:eastAsia="Calibri" w:hAnsi="Times New Roman" w:cs="Times New Roman"/>
          <w:bCs/>
          <w:color w:val="000000"/>
          <w:sz w:val="24"/>
          <w:szCs w:val="24"/>
          <w:lang w:eastAsia="en-US"/>
        </w:rPr>
        <w:sectPr w:rsidR="000D2F73" w:rsidRPr="00B37812" w:rsidSect="000D2F73">
          <w:pgSz w:w="15840" w:h="12240" w:orient="landscape"/>
          <w:pgMar w:top="1440" w:right="1440" w:bottom="1440" w:left="1440" w:header="708" w:footer="708" w:gutter="0"/>
          <w:lnNumType w:countBy="1" w:restart="continuous"/>
          <w:cols w:space="708"/>
          <w:docGrid w:linePitch="360"/>
        </w:sectPr>
      </w:pPr>
    </w:p>
    <w:p w14:paraId="444112D2" w14:textId="45AD75F2" w:rsidR="00E079A1" w:rsidRPr="00B37812" w:rsidRDefault="00E079A1" w:rsidP="00A330CD">
      <w:pPr>
        <w:spacing w:after="0" w:line="360" w:lineRule="auto"/>
        <w:ind w:firstLine="720"/>
        <w:jc w:val="both"/>
        <w:rPr>
          <w:rFonts w:ascii="Times New Roman" w:eastAsia="Calibri" w:hAnsi="Times New Roman" w:cs="Times New Roman"/>
          <w:bCs/>
          <w:color w:val="000000"/>
          <w:sz w:val="24"/>
          <w:szCs w:val="24"/>
          <w:lang w:eastAsia="en-US"/>
        </w:rPr>
        <w:sectPr w:rsidR="00E079A1" w:rsidRPr="00B37812" w:rsidSect="002C02A7">
          <w:pgSz w:w="12240" w:h="15840"/>
          <w:pgMar w:top="1440" w:right="1440" w:bottom="1440" w:left="1440" w:header="708" w:footer="708" w:gutter="0"/>
          <w:lnNumType w:countBy="1" w:restart="continuous"/>
          <w:cols w:space="708"/>
          <w:docGrid w:linePitch="360"/>
        </w:sectPr>
      </w:pPr>
      <w:r w:rsidRPr="00B37812">
        <w:rPr>
          <w:rFonts w:ascii="Times New Roman" w:eastAsia="Calibri" w:hAnsi="Times New Roman" w:cs="Times New Roman"/>
          <w:b/>
          <w:noProof/>
          <w:color w:val="000000"/>
          <w:sz w:val="24"/>
          <w:szCs w:val="24"/>
        </w:rPr>
        <mc:AlternateContent>
          <mc:Choice Requires="wpg">
            <w:drawing>
              <wp:anchor distT="0" distB="0" distL="114300" distR="114300" simplePos="0" relativeHeight="251659264" behindDoc="0" locked="0" layoutInCell="1" allowOverlap="1" wp14:anchorId="2A92A1D4" wp14:editId="5657157C">
                <wp:simplePos x="0" y="0"/>
                <wp:positionH relativeFrom="column">
                  <wp:posOffset>0</wp:posOffset>
                </wp:positionH>
                <wp:positionV relativeFrom="paragraph">
                  <wp:posOffset>0</wp:posOffset>
                </wp:positionV>
                <wp:extent cx="5962650" cy="7772400"/>
                <wp:effectExtent l="0" t="0" r="0" b="0"/>
                <wp:wrapNone/>
                <wp:docPr id="30" name="Group 30"/>
                <wp:cNvGraphicFramePr/>
                <a:graphic xmlns:a="http://schemas.openxmlformats.org/drawingml/2006/main">
                  <a:graphicData uri="http://schemas.microsoft.com/office/word/2010/wordprocessingGroup">
                    <wpg:wgp>
                      <wpg:cNvGrpSpPr/>
                      <wpg:grpSpPr>
                        <a:xfrm>
                          <a:off x="0" y="0"/>
                          <a:ext cx="5962650" cy="7772400"/>
                          <a:chOff x="0" y="0"/>
                          <a:chExt cx="5962650" cy="7543800"/>
                        </a:xfrm>
                      </wpg:grpSpPr>
                      <wps:wsp>
                        <wps:cNvPr id="1" name="Text Box 1"/>
                        <wps:cNvSpPr txBox="1"/>
                        <wps:spPr>
                          <a:xfrm>
                            <a:off x="19050" y="1143000"/>
                            <a:ext cx="2971800" cy="2514600"/>
                          </a:xfrm>
                          <a:prstGeom prst="rect">
                            <a:avLst/>
                          </a:prstGeom>
                          <a:solidFill>
                            <a:schemeClr val="lt1"/>
                          </a:solidFill>
                          <a:ln w="6350">
                            <a:noFill/>
                          </a:ln>
                        </wps:spPr>
                        <wps:txbx>
                          <w:txbxContent>
                            <w:p w14:paraId="68592C0D" w14:textId="77777777" w:rsidR="00927E41" w:rsidRDefault="00927E41" w:rsidP="00E079A1">
                              <w:r>
                                <w:rPr>
                                  <w:noProof/>
                                </w:rPr>
                                <w:drawing>
                                  <wp:inline distT="0" distB="0" distL="0" distR="0" wp14:anchorId="3FFBED21" wp14:editId="3EC4CEE0">
                                    <wp:extent cx="2782569" cy="225799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2569" cy="2257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990850" y="1143000"/>
                            <a:ext cx="2971800" cy="2514600"/>
                          </a:xfrm>
                          <a:prstGeom prst="rect">
                            <a:avLst/>
                          </a:prstGeom>
                          <a:solidFill>
                            <a:schemeClr val="lt1"/>
                          </a:solidFill>
                          <a:ln w="6350">
                            <a:noFill/>
                          </a:ln>
                        </wps:spPr>
                        <wps:txbx>
                          <w:txbxContent>
                            <w:p w14:paraId="1F413095" w14:textId="77777777" w:rsidR="00927E41" w:rsidRDefault="00927E41" w:rsidP="00E079A1">
                              <w:r>
                                <w:rPr>
                                  <w:noProof/>
                                </w:rPr>
                                <w:drawing>
                                  <wp:inline distT="0" distB="0" distL="0" distR="0" wp14:anchorId="22F1895D" wp14:editId="272F8855">
                                    <wp:extent cx="2781576" cy="22551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576" cy="2255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933450" y="3657600"/>
                            <a:ext cx="4000500" cy="2857500"/>
                          </a:xfrm>
                          <a:prstGeom prst="rect">
                            <a:avLst/>
                          </a:prstGeom>
                          <a:solidFill>
                            <a:schemeClr val="lt1"/>
                          </a:solidFill>
                          <a:ln w="6350">
                            <a:noFill/>
                          </a:ln>
                        </wps:spPr>
                        <wps:txbx>
                          <w:txbxContent>
                            <w:p w14:paraId="658DECA9" w14:textId="77777777" w:rsidR="00927E41" w:rsidRDefault="00927E41" w:rsidP="00E079A1">
                              <w:r>
                                <w:rPr>
                                  <w:noProof/>
                                </w:rPr>
                                <w:drawing>
                                  <wp:inline distT="0" distB="0" distL="0" distR="0" wp14:anchorId="10BCE9B0" wp14:editId="3A5DB3B2">
                                    <wp:extent cx="3456939" cy="264537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avonol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6939" cy="2645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591050" y="0"/>
                            <a:ext cx="1371600" cy="1143000"/>
                          </a:xfrm>
                          <a:prstGeom prst="rect">
                            <a:avLst/>
                          </a:prstGeom>
                          <a:solidFill>
                            <a:schemeClr val="lt1"/>
                          </a:solidFill>
                          <a:ln w="6350">
                            <a:noFill/>
                          </a:ln>
                        </wps:spPr>
                        <wps:txbx>
                          <w:txbxContent>
                            <w:p w14:paraId="37C37454" w14:textId="77777777" w:rsidR="00927E41" w:rsidRDefault="00927E41" w:rsidP="00E079A1">
                              <w:r>
                                <w:rPr>
                                  <w:noProof/>
                                </w:rPr>
                                <w:drawing>
                                  <wp:inline distT="0" distB="0" distL="0" distR="0" wp14:anchorId="60528AFD" wp14:editId="59AAE8E5">
                                    <wp:extent cx="1041081" cy="998213"/>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081" cy="998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6515100"/>
                            <a:ext cx="5943600" cy="1028700"/>
                          </a:xfrm>
                          <a:prstGeom prst="rect">
                            <a:avLst/>
                          </a:prstGeom>
                          <a:solidFill>
                            <a:schemeClr val="lt1"/>
                          </a:solidFill>
                          <a:ln w="6350">
                            <a:noFill/>
                          </a:ln>
                        </wps:spPr>
                        <wps:txbx>
                          <w:txbxContent>
                            <w:p w14:paraId="0CB582FE" w14:textId="77777777" w:rsidR="00927E41" w:rsidRPr="00567D42" w:rsidRDefault="00927E41" w:rsidP="00E079A1">
                              <w:pPr>
                                <w:spacing w:after="0" w:line="240" w:lineRule="auto"/>
                                <w:ind w:left="993" w:hanging="993"/>
                                <w:rPr>
                                  <w:rFonts w:ascii="Cambria" w:hAnsi="Cambria"/>
                                </w:rPr>
                              </w:pPr>
                              <w:r w:rsidRPr="00567D42">
                                <w:rPr>
                                  <w:rFonts w:ascii="Cambria" w:eastAsia="Calibri" w:hAnsi="Cambria" w:cs="Times New Roman"/>
                                  <w:b/>
                                  <w:szCs w:val="24"/>
                                  <w:lang w:eastAsia="en-US"/>
                                </w:rPr>
                                <w:t>Figure 1</w:t>
                              </w:r>
                              <w:r w:rsidRPr="00567D42">
                                <w:rPr>
                                  <w:rFonts w:ascii="Cambria" w:eastAsia="Calibri" w:hAnsi="Cambria" w:cs="Times New Roman"/>
                                  <w:szCs w:val="24"/>
                                  <w:lang w:eastAsia="en-US"/>
                                </w:rPr>
                                <w:t>: P</w:t>
                              </w:r>
                              <w:r w:rsidRPr="00567D42">
                                <w:rPr>
                                  <w:rFonts w:ascii="Cambria" w:hAnsi="Cambria"/>
                                </w:rPr>
                                <w:t xml:space="preserve">henolic acids (a), flavonols (b), and other nutraceutical compounds (c) retention of </w:t>
                              </w:r>
                              <w:r w:rsidRPr="004F79D5">
                                <w:rPr>
                                  <w:rFonts w:ascii="Cambria" w:hAnsi="Cambria"/>
                                </w:rPr>
                                <w:t>encapsulated</w:t>
                              </w:r>
                              <w:r w:rsidRPr="00567D42">
                                <w:rPr>
                                  <w:rFonts w:ascii="Cambria" w:hAnsi="Cambria"/>
                                </w:rPr>
                                <w:t xml:space="preserve"> freeze-dried mulberry leaf extract powder</w:t>
                              </w:r>
                              <w:r>
                                <w:rPr>
                                  <w:rFonts w:ascii="Cambria" w:hAnsi="Cambria"/>
                                </w:rPr>
                                <w:t>s</w:t>
                              </w:r>
                            </w:p>
                            <w:p w14:paraId="2A6F1009" w14:textId="77777777" w:rsidR="00927E41" w:rsidRPr="00567D42" w:rsidRDefault="00927E41" w:rsidP="00E079A1">
                              <w:pPr>
                                <w:spacing w:before="120" w:after="120" w:line="240" w:lineRule="auto"/>
                                <w:rPr>
                                  <w:rFonts w:ascii="Cambria" w:hAnsi="Cambria"/>
                                  <w:color w:val="231F20"/>
                                  <w:sz w:val="18"/>
                                  <w:szCs w:val="18"/>
                                </w:rPr>
                              </w:pPr>
                              <w:r w:rsidRPr="00567D42">
                                <w:rPr>
                                  <w:rFonts w:ascii="Cambria" w:hAnsi="Cambria"/>
                                  <w:color w:val="231F20"/>
                                  <w:sz w:val="18"/>
                                  <w:szCs w:val="18"/>
                                </w:rPr>
                                <w:t>CHA-chlorogenic acid, CA-caffeic acid, K3G-kaempferol-3-glucoside, K3M-kaempferol-3-(6-malonylglucoside), K3R-kaempferol-3-(6-rhamnosylglucoside), K7G- kaempferol-7-O-glucoside, Q3G-quercetin-3-O-glucoside, Q3M-quercetin-3-(6-malonylglucoside), Q3R-quercetin-3-rutinose, DNJ-1-deoxynojirimycin, GABA-gamma-aminobutyric acid, CMC- sodium carboxymethyl cellulose, and MD-maltodextrin</w:t>
                              </w:r>
                            </w:p>
                            <w:p w14:paraId="01C6E0DF" w14:textId="77777777" w:rsidR="00927E41" w:rsidRDefault="00927E41" w:rsidP="00E0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92A1D4" id="Group 30" o:spid="_x0000_s1026" style="position:absolute;left:0;text-align:left;margin-left:0;margin-top:0;width:469.5pt;height:612pt;z-index:251659264;mso-height-relative:margin" coordsize="59626,7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">
                <v:shapetype id="_x0000_t202" coordsize="21600,21600" o:spt="202" path="m,l,21600r21600,l21600,xe">
                  <v:stroke joinstyle="miter"/>
                  <v:path gradientshapeok="t" o:connecttype="rect"/>
                </v:shapetype>
                <v:shape id="Text Box 1" o:spid="_x0000_s1027" type="#_x0000_t202" style="position:absolute;left:190;top:11430;width:2971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68592C0D" w14:textId="77777777" w:rsidR="00927E41" w:rsidRDefault="00927E41" w:rsidP="00E079A1">
                        <w:r>
                          <w:rPr>
                            <w:noProof/>
                          </w:rPr>
                          <w:drawing>
                            <wp:inline distT="0" distB="0" distL="0" distR="0" wp14:anchorId="3FFBED21" wp14:editId="3EC4CEE0">
                              <wp:extent cx="2782569" cy="225799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2569" cy="2257995"/>
                                      </a:xfrm>
                                      <a:prstGeom prst="rect">
                                        <a:avLst/>
                                      </a:prstGeom>
                                    </pic:spPr>
                                  </pic:pic>
                                </a:graphicData>
                              </a:graphic>
                            </wp:inline>
                          </w:drawing>
                        </w:r>
                      </w:p>
                    </w:txbxContent>
                  </v:textbox>
                </v:shape>
                <v:shape id="Text Box 5" o:spid="_x0000_s1028" type="#_x0000_t202" style="position:absolute;left:29908;top:11430;width:2971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1F413095" w14:textId="77777777" w:rsidR="00927E41" w:rsidRDefault="00927E41" w:rsidP="00E079A1">
                        <w:r>
                          <w:rPr>
                            <w:noProof/>
                          </w:rPr>
                          <w:drawing>
                            <wp:inline distT="0" distB="0" distL="0" distR="0" wp14:anchorId="22F1895D" wp14:editId="272F8855">
                              <wp:extent cx="2781576" cy="22551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576" cy="2255189"/>
                                      </a:xfrm>
                                      <a:prstGeom prst="rect">
                                        <a:avLst/>
                                      </a:prstGeom>
                                    </pic:spPr>
                                  </pic:pic>
                                </a:graphicData>
                              </a:graphic>
                            </wp:inline>
                          </w:drawing>
                        </w:r>
                      </w:p>
                    </w:txbxContent>
                  </v:textbox>
                </v:shape>
                <v:shape id="Text Box 13" o:spid="_x0000_s1029" type="#_x0000_t202" style="position:absolute;left:9334;top:36576;width:40005;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658DECA9" w14:textId="77777777" w:rsidR="00927E41" w:rsidRDefault="00927E41" w:rsidP="00E079A1">
                        <w:r>
                          <w:rPr>
                            <w:noProof/>
                          </w:rPr>
                          <w:drawing>
                            <wp:inline distT="0" distB="0" distL="0" distR="0" wp14:anchorId="10BCE9B0" wp14:editId="3A5DB3B2">
                              <wp:extent cx="3456939" cy="264537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avonol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6939" cy="2645376"/>
                                      </a:xfrm>
                                      <a:prstGeom prst="rect">
                                        <a:avLst/>
                                      </a:prstGeom>
                                    </pic:spPr>
                                  </pic:pic>
                                </a:graphicData>
                              </a:graphic>
                            </wp:inline>
                          </w:drawing>
                        </w:r>
                      </w:p>
                    </w:txbxContent>
                  </v:textbox>
                </v:shape>
                <v:shape id="Text Box 18" o:spid="_x0000_s1030" type="#_x0000_t202" style="position:absolute;left:45910;width:1371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37C37454" w14:textId="77777777" w:rsidR="00927E41" w:rsidRDefault="00927E41" w:rsidP="00E079A1">
                        <w:r>
                          <w:rPr>
                            <w:noProof/>
                          </w:rPr>
                          <w:drawing>
                            <wp:inline distT="0" distB="0" distL="0" distR="0" wp14:anchorId="60528AFD" wp14:editId="59AAE8E5">
                              <wp:extent cx="1041081" cy="998213"/>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081" cy="998213"/>
                                      </a:xfrm>
                                      <a:prstGeom prst="rect">
                                        <a:avLst/>
                                      </a:prstGeom>
                                    </pic:spPr>
                                  </pic:pic>
                                </a:graphicData>
                              </a:graphic>
                            </wp:inline>
                          </w:drawing>
                        </w:r>
                      </w:p>
                    </w:txbxContent>
                  </v:textbox>
                </v:shape>
                <v:shape id="Text Box 21" o:spid="_x0000_s1031" type="#_x0000_t202" style="position:absolute;top:65151;width:5943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0CB582FE" w14:textId="77777777" w:rsidR="00927E41" w:rsidRPr="00567D42" w:rsidRDefault="00927E41" w:rsidP="00E079A1">
                        <w:pPr>
                          <w:spacing w:after="0" w:line="240" w:lineRule="auto"/>
                          <w:ind w:left="993" w:hanging="993"/>
                          <w:rPr>
                            <w:rFonts w:ascii="Cambria" w:hAnsi="Cambria"/>
                          </w:rPr>
                        </w:pPr>
                        <w:r w:rsidRPr="00567D42">
                          <w:rPr>
                            <w:rFonts w:ascii="Cambria" w:eastAsia="Calibri" w:hAnsi="Cambria" w:cs="Times New Roman"/>
                            <w:b/>
                            <w:szCs w:val="24"/>
                            <w:lang w:eastAsia="en-US"/>
                          </w:rPr>
                          <w:t>Figure 1</w:t>
                        </w:r>
                        <w:r w:rsidRPr="00567D42">
                          <w:rPr>
                            <w:rFonts w:ascii="Cambria" w:eastAsia="Calibri" w:hAnsi="Cambria" w:cs="Times New Roman"/>
                            <w:szCs w:val="24"/>
                            <w:lang w:eastAsia="en-US"/>
                          </w:rPr>
                          <w:t>: P</w:t>
                        </w:r>
                        <w:r w:rsidRPr="00567D42">
                          <w:rPr>
                            <w:rFonts w:ascii="Cambria" w:hAnsi="Cambria"/>
                          </w:rPr>
                          <w:t xml:space="preserve">henolic acids (a), flavonols (b), and other nutraceutical compounds (c) retention of </w:t>
                        </w:r>
                        <w:r w:rsidRPr="004F79D5">
                          <w:rPr>
                            <w:rFonts w:ascii="Cambria" w:hAnsi="Cambria"/>
                          </w:rPr>
                          <w:t>encapsulated</w:t>
                        </w:r>
                        <w:r w:rsidRPr="00567D42">
                          <w:rPr>
                            <w:rFonts w:ascii="Cambria" w:hAnsi="Cambria"/>
                          </w:rPr>
                          <w:t xml:space="preserve"> freeze-dried mulberry leaf extract powder</w:t>
                        </w:r>
                        <w:r>
                          <w:rPr>
                            <w:rFonts w:ascii="Cambria" w:hAnsi="Cambria"/>
                          </w:rPr>
                          <w:t>s</w:t>
                        </w:r>
                      </w:p>
                      <w:p w14:paraId="2A6F1009" w14:textId="77777777" w:rsidR="00927E41" w:rsidRPr="00567D42" w:rsidRDefault="00927E41" w:rsidP="00E079A1">
                        <w:pPr>
                          <w:spacing w:before="120" w:after="120" w:line="240" w:lineRule="auto"/>
                          <w:rPr>
                            <w:rFonts w:ascii="Cambria" w:hAnsi="Cambria"/>
                            <w:color w:val="231F20"/>
                            <w:sz w:val="18"/>
                            <w:szCs w:val="18"/>
                          </w:rPr>
                        </w:pPr>
                        <w:r w:rsidRPr="00567D42">
                          <w:rPr>
                            <w:rFonts w:ascii="Cambria" w:hAnsi="Cambria"/>
                            <w:color w:val="231F20"/>
                            <w:sz w:val="18"/>
                            <w:szCs w:val="18"/>
                          </w:rPr>
                          <w:t>CHA-chlorogenic acid, CA-caffeic acid, K3G-kaempferol-3-glucoside, K3M-kaempferol-3-(6-malonylglucoside), K3R-kaempferol-3-(6-rhamnosylglucoside), K7G- kaempferol-7-O-glucoside, Q3G-quercetin-3-O-glucoside, Q3M-quercetin-3-(6-malonylglucoside), Q3R-quercetin-3-rutinose, DNJ-1-deoxynojirimycin, GABA-gamma-aminobutyric acid, CMC- sodium carboxymethyl cellulose, and MD-maltodextrin</w:t>
                        </w:r>
                      </w:p>
                      <w:p w14:paraId="01C6E0DF" w14:textId="77777777" w:rsidR="00927E41" w:rsidRDefault="00927E41" w:rsidP="00E079A1"/>
                    </w:txbxContent>
                  </v:textbox>
                </v:shape>
              </v:group>
            </w:pict>
          </mc:Fallback>
        </mc:AlternateContent>
      </w:r>
    </w:p>
    <w:p w14:paraId="3A315A4F" w14:textId="5AAD451B" w:rsidR="00B85163" w:rsidRPr="00B37812" w:rsidRDefault="00B85163" w:rsidP="00A330CD">
      <w:pPr>
        <w:spacing w:after="0" w:line="360" w:lineRule="auto"/>
        <w:ind w:firstLine="720"/>
        <w:jc w:val="both"/>
        <w:rPr>
          <w:rFonts w:ascii="Times New Roman" w:hAnsi="Times New Roman" w:cs="Times New Roman"/>
          <w:bCs/>
          <w:iCs/>
          <w:sz w:val="24"/>
          <w:szCs w:val="24"/>
        </w:rPr>
      </w:pPr>
      <w:r w:rsidRPr="00B37812">
        <w:rPr>
          <w:rFonts w:ascii="Times New Roman" w:eastAsia="Calibri" w:hAnsi="Times New Roman" w:cs="Times New Roman"/>
          <w:bCs/>
          <w:color w:val="000000"/>
          <w:sz w:val="24"/>
          <w:szCs w:val="24"/>
          <w:lang w:eastAsia="en-US"/>
        </w:rPr>
        <w:t>Regarding the effect of addition rate of the encapsulating agent, the carrier concentration was found to have significant effect (</w:t>
      </w:r>
      <w:r w:rsidRPr="00B37812">
        <w:rPr>
          <w:rFonts w:ascii="Times New Roman" w:eastAsia="Calibri" w:hAnsi="Times New Roman" w:cs="Times New Roman"/>
          <w:bCs/>
          <w:i/>
          <w:color w:val="000000"/>
          <w:sz w:val="24"/>
          <w:szCs w:val="24"/>
          <w:lang w:eastAsia="en-US"/>
        </w:rPr>
        <w:t>p</w:t>
      </w:r>
      <w:r w:rsidRPr="00B37812">
        <w:rPr>
          <w:rFonts w:ascii="Times New Roman" w:eastAsia="Calibri" w:hAnsi="Times New Roman" w:cs="Times New Roman"/>
          <w:bCs/>
          <w:color w:val="000000"/>
          <w:sz w:val="24"/>
          <w:szCs w:val="24"/>
          <w:lang w:eastAsia="en-US"/>
        </w:rPr>
        <w:t xml:space="preserve"> &lt; 0.0001) on the nutraceutical content. In line with </w:t>
      </w:r>
      <w:hyperlink w:anchor="_ENREF_28" w:tooltip="Oberoi, 2015 #1385"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 AuthorYear="1"&gt;&lt;Author&gt;Oberoi&lt;/Author&gt;&lt;Year&gt;2015&lt;/Year&gt;&lt;RecNum&gt;1385&lt;/RecNum&gt;&lt;DisplayText&gt;Oberoi et al. &lt;style face="superscript"&gt;28&lt;/style&gt;&lt;/DisplayText&gt;&lt;record&gt;&lt;rec-number&gt;1385&lt;/rec-number&gt;&lt;foreign-keys&gt;&lt;key app="EN" db-id="5wdx0tztgpfe5yefsdpperx8srzetsx0pw9w" timestamp="1513497461"&gt;1385&lt;/key&gt;&lt;/foreign-keys&gt;&lt;ref-type name="Journal Article"&gt;17&lt;/ref-type&gt;&lt;contributors&gt;&lt;authors&gt;&lt;author&gt;Oberoi, Davinder Pal Singh&lt;/author&gt;&lt;author&gt;Sogi, Dalbir Singh&lt;/author&gt;&lt;/authors&gt;&lt;/contributors&gt;&lt;titles&gt;&lt;title&gt;Effect of drying methods and maltodextrin concentration on pigment content of watermelon juice powder&lt;/title&gt;&lt;secondary-title&gt;Journal of Food Engineering&lt;/secondary-title&gt;&lt;/titles&gt;&lt;periodical&gt;&lt;full-title&gt;Journal of Food Engineering&lt;/full-title&gt;&lt;abbr-1&gt;J. Food Eng.&lt;/abbr-1&gt;&lt;abbr-2&gt;J Food Eng&lt;/abbr-2&gt;&lt;/periodical&gt;&lt;pages&gt;172-178&lt;/pages&gt;&lt;volume&gt;165&lt;/volume&gt;&lt;dates&gt;&lt;year&gt;2015&lt;/year&gt;&lt;/dates&gt;&lt;isbn&gt;0260-8774&lt;/isbn&gt;&lt;urls&gt;&lt;/urls&gt;&lt;/record&gt;&lt;/Cite&gt;&lt;/EndNote&gt;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lang w:eastAsia="en-US"/>
          </w:rPr>
          <w:t xml:space="preserve">Oberoi et al. </w:t>
        </w:r>
        <w:r w:rsidR="00E124D1" w:rsidRPr="00B37812">
          <w:rPr>
            <w:rStyle w:val="Hyperlink"/>
            <w:rFonts w:ascii="Times New Roman" w:eastAsia="Calibri" w:hAnsi="Times New Roman" w:cs="Times New Roman"/>
            <w:bCs/>
            <w:noProof/>
            <w:sz w:val="24"/>
            <w:szCs w:val="24"/>
            <w:vertAlign w:val="superscript"/>
            <w:lang w:eastAsia="en-US"/>
          </w:rPr>
          <w:t>28</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increasing in carrier concentration resulted in a decrease in NR</w:t>
      </w:r>
      <w:r w:rsidRPr="00B37812">
        <w:rPr>
          <w:rFonts w:ascii="Times New Roman" w:eastAsia="Calibri" w:hAnsi="Times New Roman" w:cs="Times New Roman"/>
          <w:bCs/>
          <w:color w:val="00B0F0"/>
          <w:sz w:val="24"/>
          <w:szCs w:val="24"/>
          <w:lang w:eastAsia="en-US"/>
        </w:rPr>
        <w:t xml:space="preserve"> </w:t>
      </w:r>
      <w:r w:rsidRPr="00B37812">
        <w:rPr>
          <w:rFonts w:ascii="Times New Roman" w:eastAsia="Calibri" w:hAnsi="Times New Roman" w:cs="Times New Roman"/>
          <w:bCs/>
          <w:sz w:val="24"/>
          <w:szCs w:val="24"/>
          <w:lang w:eastAsia="en-US"/>
        </w:rPr>
        <w:t>(</w:t>
      </w:r>
      <w:r w:rsidRPr="00B37812">
        <w:rPr>
          <w:rFonts w:ascii="Times New Roman" w:eastAsia="Calibri" w:hAnsi="Times New Roman" w:cs="Times New Roman"/>
          <w:bCs/>
          <w:color w:val="00B0F0"/>
          <w:sz w:val="24"/>
          <w:szCs w:val="24"/>
          <w:lang w:eastAsia="en-US"/>
        </w:rPr>
        <w:t>Fig. 1</w:t>
      </w:r>
      <w:r w:rsidRPr="00B37812">
        <w:rPr>
          <w:rFonts w:ascii="Times New Roman" w:eastAsia="Calibri" w:hAnsi="Times New Roman" w:cs="Times New Roman"/>
          <w:bCs/>
          <w:sz w:val="24"/>
          <w:szCs w:val="24"/>
          <w:lang w:eastAsia="en-US"/>
        </w:rPr>
        <w:t xml:space="preserve">). This might have resulted from the dilution of the nutraceutical content, due to the addition rate of wall material as the amount </w:t>
      </w:r>
      <w:r w:rsidR="008C17AC" w:rsidRPr="00B37812">
        <w:rPr>
          <w:rFonts w:ascii="Times New Roman" w:eastAsia="Calibri" w:hAnsi="Times New Roman" w:cs="Times New Roman"/>
          <w:bCs/>
          <w:sz w:val="24"/>
          <w:szCs w:val="24"/>
          <w:lang w:eastAsia="en-US"/>
        </w:rPr>
        <w:t>of</w:t>
      </w:r>
      <w:r w:rsidRPr="00B37812">
        <w:rPr>
          <w:rFonts w:ascii="Times New Roman" w:eastAsia="Calibri" w:hAnsi="Times New Roman" w:cs="Times New Roman"/>
          <w:bCs/>
          <w:sz w:val="24"/>
          <w:szCs w:val="24"/>
          <w:lang w:eastAsia="en-US"/>
        </w:rPr>
        <w:t xml:space="preserve"> </w:t>
      </w:r>
      <w:r w:rsidR="008C17AC" w:rsidRPr="00B37812">
        <w:rPr>
          <w:rFonts w:ascii="Times New Roman" w:eastAsia="Calibri" w:hAnsi="Times New Roman" w:cs="Times New Roman"/>
          <w:bCs/>
          <w:sz w:val="24"/>
          <w:szCs w:val="24"/>
          <w:lang w:eastAsia="en-US"/>
        </w:rPr>
        <w:t>NE</w:t>
      </w:r>
      <w:r w:rsidR="003C490A"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sz w:val="24"/>
          <w:szCs w:val="24"/>
          <w:lang w:eastAsia="en-US"/>
        </w:rPr>
        <w:t xml:space="preserve">was kept constant. </w:t>
      </w:r>
    </w:p>
    <w:p w14:paraId="12625D12" w14:textId="1938B348"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hAnsi="Times New Roman" w:cs="Times New Roman"/>
          <w:sz w:val="24"/>
          <w:szCs w:val="24"/>
        </w:rPr>
        <w:t xml:space="preserve">Moreover, the two-way ANOVA analysis highlighted a significant interactive effect between the type of wall material and the carrier concentration </w:t>
      </w:r>
      <w:r w:rsidRPr="00B37812">
        <w:rPr>
          <w:rFonts w:ascii="Times New Roman" w:eastAsia="Calibri" w:hAnsi="Times New Roman" w:cs="Times New Roman"/>
          <w:bCs/>
          <w:color w:val="000000"/>
          <w:sz w:val="24"/>
          <w:szCs w:val="24"/>
          <w:lang w:eastAsia="en-US"/>
        </w:rPr>
        <w:t>(</w:t>
      </w:r>
      <w:r w:rsidRPr="00B37812">
        <w:rPr>
          <w:rFonts w:ascii="Times New Roman" w:eastAsia="Calibri" w:hAnsi="Times New Roman" w:cs="Times New Roman"/>
          <w:bCs/>
          <w:i/>
          <w:iCs/>
          <w:color w:val="000000"/>
          <w:sz w:val="24"/>
          <w:szCs w:val="24"/>
          <w:lang w:eastAsia="en-US"/>
        </w:rPr>
        <w:t>p</w:t>
      </w:r>
      <w:r w:rsidRPr="00B37812">
        <w:rPr>
          <w:rFonts w:ascii="Times New Roman" w:eastAsia="Calibri" w:hAnsi="Times New Roman" w:cs="Times New Roman"/>
          <w:bCs/>
          <w:iCs/>
          <w:color w:val="000000"/>
          <w:sz w:val="24"/>
          <w:szCs w:val="24"/>
          <w:lang w:eastAsia="en-US"/>
        </w:rPr>
        <w:t xml:space="preserve"> &lt; 0.0001 CHA and K3G; </w:t>
      </w:r>
      <w:r w:rsidRPr="00B37812">
        <w:rPr>
          <w:rFonts w:ascii="Times New Roman" w:eastAsia="Calibri" w:hAnsi="Times New Roman" w:cs="Times New Roman"/>
          <w:bCs/>
          <w:i/>
          <w:iCs/>
          <w:color w:val="000000"/>
          <w:sz w:val="24"/>
          <w:szCs w:val="24"/>
          <w:lang w:eastAsia="en-US"/>
        </w:rPr>
        <w:t>p</w:t>
      </w:r>
      <w:r w:rsidRPr="00B37812">
        <w:rPr>
          <w:rFonts w:ascii="Times New Roman" w:eastAsia="Calibri" w:hAnsi="Times New Roman" w:cs="Times New Roman"/>
          <w:bCs/>
          <w:iCs/>
          <w:color w:val="000000"/>
          <w:sz w:val="24"/>
          <w:szCs w:val="24"/>
          <w:lang w:eastAsia="en-US"/>
        </w:rPr>
        <w:t xml:space="preserve"> &lt; 0.001 CA, K3R, Q3R, and Q3M;</w:t>
      </w:r>
      <w:r w:rsidRPr="00B37812">
        <w:rPr>
          <w:rFonts w:ascii="Times New Roman" w:eastAsia="Calibri" w:hAnsi="Times New Roman" w:cs="Times New Roman"/>
          <w:bCs/>
          <w:i/>
          <w:iCs/>
          <w:color w:val="000000"/>
          <w:sz w:val="24"/>
          <w:szCs w:val="24"/>
          <w:lang w:eastAsia="en-US"/>
        </w:rPr>
        <w:t xml:space="preserve"> p</w:t>
      </w:r>
      <w:r w:rsidRPr="00B37812">
        <w:rPr>
          <w:rFonts w:ascii="Times New Roman" w:eastAsia="Calibri" w:hAnsi="Times New Roman" w:cs="Times New Roman"/>
          <w:bCs/>
          <w:iCs/>
          <w:color w:val="000000"/>
          <w:sz w:val="24"/>
          <w:szCs w:val="24"/>
          <w:lang w:eastAsia="en-US"/>
        </w:rPr>
        <w:t xml:space="preserve"> &lt; 0.05 K3M, K7G, and GABA</w:t>
      </w:r>
      <w:r w:rsidRPr="00B37812">
        <w:rPr>
          <w:rFonts w:ascii="Times New Roman" w:eastAsia="Calibri" w:hAnsi="Times New Roman" w:cs="Times New Roman"/>
          <w:bCs/>
          <w:color w:val="000000"/>
          <w:sz w:val="24"/>
          <w:szCs w:val="24"/>
          <w:lang w:eastAsia="en-US"/>
        </w:rPr>
        <w:t xml:space="preserve">) on </w:t>
      </w:r>
      <w:r w:rsidRPr="00B37812">
        <w:rPr>
          <w:rFonts w:ascii="Times New Roman" w:hAnsi="Times New Roman" w:cs="Times New Roman"/>
          <w:sz w:val="24"/>
          <w:szCs w:val="24"/>
        </w:rPr>
        <w:t xml:space="preserve">the NR. </w:t>
      </w:r>
      <w:r w:rsidRPr="00B37812">
        <w:rPr>
          <w:rFonts w:ascii="Times New Roman" w:hAnsi="Times New Roman" w:cs="Times New Roman"/>
          <w:bCs/>
          <w:sz w:val="24"/>
          <w:szCs w:val="24"/>
        </w:rPr>
        <w:t xml:space="preserve">This implies that significant quantities of the nutraceuticals remained at the surface of the capsules and </w:t>
      </w:r>
      <w:r w:rsidRPr="00B37812">
        <w:rPr>
          <w:rFonts w:ascii="Times New Roman" w:hAnsi="Times New Roman" w:cs="Times New Roman"/>
          <w:bCs/>
          <w:noProof/>
          <w:sz w:val="24"/>
          <w:szCs w:val="24"/>
        </w:rPr>
        <w:t>were</w:t>
      </w:r>
      <w:r w:rsidRPr="00B37812">
        <w:rPr>
          <w:rFonts w:ascii="Times New Roman" w:hAnsi="Times New Roman" w:cs="Times New Roman"/>
          <w:bCs/>
          <w:sz w:val="24"/>
          <w:szCs w:val="24"/>
        </w:rPr>
        <w:t xml:space="preserve"> probably degraded during the freeze drying. </w:t>
      </w:r>
      <w:r w:rsidRPr="00B37812">
        <w:rPr>
          <w:rFonts w:ascii="Times New Roman" w:eastAsia="Calibri" w:hAnsi="Times New Roman" w:cs="Times New Roman"/>
          <w:bCs/>
          <w:color w:val="000000"/>
          <w:sz w:val="24"/>
          <w:szCs w:val="24"/>
          <w:lang w:eastAsia="en-US"/>
        </w:rPr>
        <w:t xml:space="preserve">As stated by some researchers </w:t>
      </w:r>
      <w:r w:rsidRPr="00B37812">
        <w:rPr>
          <w:rFonts w:ascii="Times New Roman" w:eastAsia="Calibri" w:hAnsi="Times New Roman" w:cs="Times New Roman"/>
          <w:bCs/>
          <w:color w:val="000000"/>
          <w:sz w:val="24"/>
          <w:szCs w:val="24"/>
          <w:lang w:eastAsia="en-US"/>
        </w:rPr>
        <w:fldChar w:fldCharType="begin"/>
      </w:r>
      <w:r w:rsidR="00E124D1" w:rsidRPr="00B37812">
        <w:rPr>
          <w:rFonts w:ascii="Times New Roman" w:eastAsia="Calibri" w:hAnsi="Times New Roman" w:cs="Times New Roman"/>
          <w:bCs/>
          <w:color w:val="000000"/>
          <w:sz w:val="24"/>
          <w:szCs w:val="24"/>
          <w:lang w:eastAsia="en-US"/>
        </w:rPr>
        <w:instrText xml:space="preserve"> ADDIN EN.CITE &lt;EndNote&gt;&lt;Cite&gt;&lt;Author&gt;Garofulić&lt;/Author&gt;&lt;Year&gt;2017&lt;/Year&gt;&lt;RecNum&gt;1406&lt;/RecNum&gt;&lt;DisplayText&gt;&lt;style face="superscript"&gt;8, 15&lt;/style&gt;&lt;/DisplayText&gt;&lt;record&gt;&lt;rec-number&gt;1406&lt;/rec-number&gt;&lt;foreign-keys&gt;&lt;key app="EN" db-id="5wdx0tztgpfe5yefsdpperx8srzetsx0pw9w" timestamp="1515669203"&gt;1406&lt;/key&gt;&lt;/foreign-keys&gt;&lt;ref-type name="Journal Article"&gt;17&lt;/ref-type&gt;&lt;contributors&gt;&lt;authors&gt;&lt;author&gt;Garofulić, Ivona Elez&lt;/author&gt;&lt;author&gt;Zorić, Zoran&lt;/author&gt;&lt;author&gt;Pedisić, Sandra&lt;/author&gt;&lt;author&gt;Dragović-Uzelac, Verica&lt;/author&gt;&lt;/authors&gt;&lt;/contributors&gt;&lt;titles&gt;&lt;title&gt;Retention of polyphenols in encapsulated sour cherry juice in dependence of drying temperature and wall material&lt;/title&gt;&lt;secondary-title&gt;LWT-Food Science and Technology&lt;/secondary-title&gt;&lt;/titles&gt;&lt;pages&gt;110-117&lt;/pages&gt;&lt;volume&gt;83&lt;/volume&gt;&lt;dates&gt;&lt;year&gt;2017&lt;/year&gt;&lt;/dates&gt;&lt;isbn&gt;0023-6438&lt;/isbn&gt;&lt;urls&gt;&lt;/urls&gt;&lt;/record&gt;&lt;/Cite&gt;&lt;Cite&gt;&lt;Author&gt;Rajabi&lt;/Author&gt;&lt;Year&gt;2015&lt;/Year&gt;&lt;RecNum&gt;1258&lt;/RecNum&gt;&lt;record&gt;&lt;rec-number&gt;1258&lt;/rec-number&gt;&lt;foreign-keys&gt;&lt;key app="EN" db-id="5wdx0tztgpfe5yefsdpperx8srzetsx0pw9w" timestamp="1497344812"&gt;1258&lt;/key&gt;&lt;/foreign-keys&gt;&lt;ref-type name="Journal Article"&gt;17&lt;/ref-type&gt;&lt;contributors&gt;&lt;authors&gt;&lt;author&gt;Rajabi, Hamid&lt;/author&gt;&lt;author&gt;Ghorbani, Mohammad&lt;/author&gt;&lt;author&gt;Jafari, Seid Mahdi&lt;/author&gt;&lt;author&gt;Mahoonak, Alireza Sadeghi&lt;/author&gt;&lt;author&gt;Rajabzadeh, Ghadir&lt;/author&gt;&lt;/authors&gt;&lt;/contributors&gt;&lt;titles&gt;&lt;title&gt;Retention of saffron bioactive components by spray drying encapsulation using maltodextrin, gum Arabic and gelatin as wall materials&lt;/title&gt;&lt;secondary-title&gt;Food hydrocolloids&lt;/secondary-title&gt;&lt;/titles&gt;&lt;pages&gt;327-337&lt;/pages&gt;&lt;volume&gt;51&lt;/volume&gt;&lt;dates&gt;&lt;year&gt;2015&lt;/year&gt;&lt;/dates&gt;&lt;isbn&gt;0268-005X&lt;/isbn&gt;&lt;urls&gt;&lt;/urls&gt;&lt;/record&gt;&lt;/Cite&gt;&lt;/EndNote&gt;</w:instrText>
      </w:r>
      <w:r w:rsidRPr="00B37812">
        <w:rPr>
          <w:rFonts w:ascii="Times New Roman" w:eastAsia="Calibri" w:hAnsi="Times New Roman" w:cs="Times New Roman"/>
          <w:bCs/>
          <w:color w:val="000000"/>
          <w:sz w:val="24"/>
          <w:szCs w:val="24"/>
          <w:lang w:eastAsia="en-US"/>
        </w:rPr>
        <w:fldChar w:fldCharType="separate"/>
      </w:r>
      <w:hyperlink w:anchor="_ENREF_8" w:tooltip="Rajabi, 2015 #1258" w:history="1">
        <w:r w:rsidR="00E124D1" w:rsidRPr="00B37812">
          <w:rPr>
            <w:rStyle w:val="Hyperlink"/>
            <w:rFonts w:ascii="Times New Roman" w:eastAsia="Calibri" w:hAnsi="Times New Roman" w:cs="Times New Roman"/>
            <w:bCs/>
            <w:noProof/>
            <w:sz w:val="24"/>
            <w:szCs w:val="24"/>
            <w:vertAlign w:val="superscript"/>
            <w:lang w:eastAsia="en-US"/>
          </w:rPr>
          <w:t>8</w:t>
        </w:r>
      </w:hyperlink>
      <w:r w:rsidR="00E124D1" w:rsidRPr="00B37812">
        <w:rPr>
          <w:rFonts w:ascii="Times New Roman" w:eastAsia="Calibri" w:hAnsi="Times New Roman" w:cs="Times New Roman"/>
          <w:bCs/>
          <w:noProof/>
          <w:color w:val="000000"/>
          <w:sz w:val="24"/>
          <w:szCs w:val="24"/>
          <w:vertAlign w:val="superscript"/>
          <w:lang w:eastAsia="en-US"/>
        </w:rPr>
        <w:t xml:space="preserve">, </w:t>
      </w:r>
      <w:hyperlink w:anchor="_ENREF_15" w:tooltip="Garofulić, 2017 #1406" w:history="1">
        <w:r w:rsidR="00E124D1" w:rsidRPr="00B37812">
          <w:rPr>
            <w:rStyle w:val="Hyperlink"/>
            <w:rFonts w:ascii="Times New Roman" w:eastAsia="Calibri" w:hAnsi="Times New Roman" w:cs="Times New Roman"/>
            <w:bCs/>
            <w:noProof/>
            <w:sz w:val="24"/>
            <w:szCs w:val="24"/>
            <w:vertAlign w:val="superscript"/>
            <w:lang w:eastAsia="en-US"/>
          </w:rPr>
          <w:t>15</w:t>
        </w:r>
      </w:hyperlink>
      <w:r w:rsidRPr="00B37812">
        <w:rPr>
          <w:rFonts w:ascii="Times New Roman" w:eastAsia="Calibri" w:hAnsi="Times New Roman" w:cs="Times New Roman"/>
          <w:bCs/>
          <w:color w:val="000000"/>
          <w:sz w:val="24"/>
          <w:szCs w:val="24"/>
          <w:lang w:eastAsia="en-US"/>
        </w:rPr>
        <w:fldChar w:fldCharType="end"/>
      </w:r>
      <w:r w:rsidRPr="00B37812">
        <w:rPr>
          <w:rFonts w:ascii="Times New Roman" w:eastAsia="Calibri" w:hAnsi="Times New Roman" w:cs="Times New Roman"/>
          <w:bCs/>
          <w:color w:val="000000"/>
          <w:sz w:val="24"/>
          <w:szCs w:val="24"/>
          <w:lang w:eastAsia="en-US"/>
        </w:rPr>
        <w:t xml:space="preserve">, the interaction between </w:t>
      </w:r>
      <w:r w:rsidRPr="00B37812">
        <w:rPr>
          <w:rFonts w:ascii="Times New Roman" w:hAnsi="Times New Roman" w:cs="Times New Roman"/>
          <w:sz w:val="24"/>
          <w:szCs w:val="24"/>
        </w:rPr>
        <w:t xml:space="preserve">wall material and carrier concentration </w:t>
      </w:r>
      <w:r w:rsidRPr="00B37812">
        <w:rPr>
          <w:rFonts w:ascii="Times New Roman" w:eastAsia="Calibri" w:hAnsi="Times New Roman" w:cs="Times New Roman"/>
          <w:bCs/>
          <w:color w:val="000000"/>
          <w:sz w:val="24"/>
          <w:szCs w:val="24"/>
          <w:lang w:eastAsia="en-US"/>
        </w:rPr>
        <w:t xml:space="preserve">significantly influence the layer </w:t>
      </w:r>
      <w:r w:rsidRPr="00B37812">
        <w:rPr>
          <w:rFonts w:ascii="Times New Roman" w:eastAsia="Calibri" w:hAnsi="Times New Roman" w:cs="Times New Roman"/>
          <w:bCs/>
          <w:noProof/>
          <w:color w:val="000000"/>
          <w:sz w:val="24"/>
          <w:szCs w:val="24"/>
          <w:lang w:eastAsia="en-US"/>
        </w:rPr>
        <w:t>formation</w:t>
      </w:r>
      <w:r w:rsidRPr="00B37812">
        <w:rPr>
          <w:rFonts w:ascii="Times New Roman" w:eastAsia="Calibri" w:hAnsi="Times New Roman" w:cs="Times New Roman"/>
          <w:bCs/>
          <w:color w:val="000000"/>
          <w:sz w:val="24"/>
          <w:szCs w:val="24"/>
          <w:lang w:eastAsia="en-US"/>
        </w:rPr>
        <w:t xml:space="preserve"> around the particles during encapsulation. </w:t>
      </w:r>
    </w:p>
    <w:p w14:paraId="6299433E"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2CB59B35" w14:textId="434C2CCA"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 xml:space="preserve">3.1.2. Influence of carrier </w:t>
      </w:r>
      <w:r w:rsidR="00CA5863" w:rsidRPr="00B37812">
        <w:rPr>
          <w:rFonts w:ascii="Times New Roman" w:eastAsia="Calibri" w:hAnsi="Times New Roman" w:cs="Times New Roman"/>
          <w:b/>
          <w:bCs/>
          <w:color w:val="000000"/>
          <w:sz w:val="24"/>
          <w:szCs w:val="24"/>
          <w:lang w:eastAsia="en-US"/>
        </w:rPr>
        <w:t xml:space="preserve">materials </w:t>
      </w:r>
      <w:r w:rsidRPr="00B37812">
        <w:rPr>
          <w:rFonts w:ascii="Times New Roman" w:eastAsia="Calibri" w:hAnsi="Times New Roman" w:cs="Times New Roman"/>
          <w:b/>
          <w:bCs/>
          <w:color w:val="000000"/>
          <w:sz w:val="24"/>
          <w:szCs w:val="24"/>
          <w:lang w:eastAsia="en-US"/>
        </w:rPr>
        <w:t>on encapsulation retention</w:t>
      </w:r>
    </w:p>
    <w:p w14:paraId="4E10197E"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p>
    <w:p w14:paraId="5AAEDD6D" w14:textId="77777777"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eastAsia="Calibri" w:hAnsi="Times New Roman" w:cs="Times New Roman"/>
          <w:bCs/>
          <w:color w:val="000000"/>
          <w:sz w:val="24"/>
          <w:szCs w:val="24"/>
          <w:lang w:eastAsia="en-US"/>
        </w:rPr>
        <w:t>The encapsulation data (</w:t>
      </w:r>
      <w:r w:rsidRPr="00B37812">
        <w:rPr>
          <w:rFonts w:ascii="Times New Roman" w:eastAsia="Calibri" w:hAnsi="Times New Roman" w:cs="Times New Roman"/>
          <w:bCs/>
          <w:color w:val="00B0F0"/>
          <w:sz w:val="24"/>
          <w:szCs w:val="24"/>
          <w:lang w:eastAsia="en-US"/>
        </w:rPr>
        <w:t>Fig. 2</w:t>
      </w:r>
      <w:r w:rsidRPr="00B37812">
        <w:rPr>
          <w:rFonts w:ascii="Times New Roman" w:eastAsia="Calibri" w:hAnsi="Times New Roman" w:cs="Times New Roman"/>
          <w:bCs/>
          <w:color w:val="000000"/>
          <w:sz w:val="24"/>
          <w:szCs w:val="24"/>
          <w:lang w:eastAsia="en-US"/>
        </w:rPr>
        <w:t>) shows that the entrapment of nutraceuticals inside the matrix was significantly (</w:t>
      </w:r>
      <w:r w:rsidRPr="00B37812">
        <w:rPr>
          <w:rFonts w:ascii="Times New Roman" w:eastAsia="Calibri" w:hAnsi="Times New Roman" w:cs="Times New Roman"/>
          <w:bCs/>
          <w:i/>
          <w:color w:val="000000"/>
          <w:sz w:val="24"/>
          <w:szCs w:val="24"/>
          <w:lang w:eastAsia="en-US"/>
        </w:rPr>
        <w:t>p</w:t>
      </w:r>
      <w:r w:rsidRPr="00B37812">
        <w:rPr>
          <w:rFonts w:ascii="Times New Roman" w:eastAsia="Calibri" w:hAnsi="Times New Roman" w:cs="Times New Roman"/>
          <w:bCs/>
          <w:color w:val="000000"/>
          <w:sz w:val="24"/>
          <w:szCs w:val="24"/>
          <w:lang w:eastAsia="en-US"/>
        </w:rPr>
        <w:t xml:space="preserve"> &lt; 0.05) dependent on the type of encapsulating agent and carrier concentration.</w:t>
      </w:r>
    </w:p>
    <w:p w14:paraId="01717299" w14:textId="711717FD" w:rsidR="00B85163" w:rsidRPr="00B37812" w:rsidRDefault="00B85163" w:rsidP="00A330CD">
      <w:pPr>
        <w:spacing w:after="0" w:line="360" w:lineRule="auto"/>
        <w:ind w:firstLine="720"/>
        <w:jc w:val="both"/>
        <w:rPr>
          <w:rFonts w:ascii="Times New Roman" w:eastAsia="Calibri" w:hAnsi="Times New Roman" w:cs="Times New Roman"/>
          <w:bCs/>
          <w:color w:val="000000"/>
          <w:sz w:val="24"/>
          <w:szCs w:val="24"/>
          <w:lang w:eastAsia="en-US"/>
        </w:rPr>
      </w:pPr>
      <w:r w:rsidRPr="00B37812">
        <w:rPr>
          <w:rFonts w:ascii="Times New Roman" w:hAnsi="Times New Roman" w:cs="Times New Roman"/>
          <w:sz w:val="24"/>
          <w:szCs w:val="24"/>
        </w:rPr>
        <w:t xml:space="preserve">In term of the carrier type, MD provided a better capacity to encapsulate the phenolic acids </w:t>
      </w:r>
      <w:r w:rsidRPr="00B37812">
        <w:rPr>
          <w:rFonts w:ascii="Times New Roman" w:eastAsia="Calibri" w:hAnsi="Times New Roman" w:cs="Times New Roman"/>
          <w:bCs/>
          <w:color w:val="000000"/>
          <w:sz w:val="24"/>
          <w:szCs w:val="24"/>
          <w:lang w:eastAsia="en-US"/>
        </w:rPr>
        <w:t xml:space="preserve">(94.37 to 95.79% for CHA; 91.35 to 94.00% for CA) and DNJ (68.70 to 71.54%) </w:t>
      </w:r>
      <w:r w:rsidRPr="00B37812">
        <w:rPr>
          <w:rFonts w:ascii="Times New Roman" w:hAnsi="Times New Roman" w:cs="Times New Roman"/>
          <w:sz w:val="24"/>
          <w:szCs w:val="24"/>
        </w:rPr>
        <w:t xml:space="preserve">as compared to CMC which had a greater ability to entrap the flavonols </w:t>
      </w:r>
      <w:r w:rsidRPr="00B37812">
        <w:rPr>
          <w:rFonts w:ascii="Times New Roman" w:eastAsia="Calibri" w:hAnsi="Times New Roman" w:cs="Times New Roman"/>
          <w:bCs/>
          <w:color w:val="000000"/>
          <w:sz w:val="24"/>
          <w:szCs w:val="24"/>
          <w:lang w:eastAsia="en-US"/>
        </w:rPr>
        <w:t>(87.58 to 89.64% for K3M; 80.82 to 82.36% for K3R; 86.06 to 87.87% for K3G; 84.41 to 86.82% for K7G; 92.68 to 93.51% for Q3R; 94.45 to 95.99% for Q3M; 96.32 to 97.83% for Q3G) and GABA (</w:t>
      </w:r>
      <w:r w:rsidRPr="00B37812">
        <w:rPr>
          <w:rFonts w:ascii="Times New Roman" w:eastAsia="Calibri" w:hAnsi="Times New Roman" w:cs="Times New Roman"/>
          <w:bCs/>
          <w:sz w:val="24"/>
          <w:szCs w:val="24"/>
          <w:lang w:eastAsia="en-US"/>
        </w:rPr>
        <w:t xml:space="preserve">67.82 to 69.15%). As reported in the literature </w:t>
      </w:r>
      <w:r w:rsidRPr="00B37812">
        <w:rPr>
          <w:rFonts w:ascii="Times New Roman" w:eastAsia="Calibri" w:hAnsi="Times New Roman" w:cs="Times New Roman"/>
          <w:bCs/>
          <w:sz w:val="24"/>
          <w:szCs w:val="24"/>
          <w:lang w:eastAsia="en-US"/>
        </w:rPr>
        <w:fldChar w:fldCharType="begin">
          <w:fldData xml:space="preserve">PEVuZE5vdGU+PENpdGU+PEF1dGhvcj5SZXplbmRlPC9BdXRob3I+PFllYXI+MjAxODwvWWVhcj48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</w:fldData>
        </w:fldChar>
      </w:r>
      <w:r w:rsidR="00E124D1" w:rsidRPr="00B37812">
        <w:rPr>
          <w:rFonts w:ascii="Times New Roman" w:eastAsia="Calibri" w:hAnsi="Times New Roman" w:cs="Times New Roman"/>
          <w:bCs/>
          <w:sz w:val="24"/>
          <w:szCs w:val="24"/>
          <w:lang w:eastAsia="en-US"/>
        </w:rPr>
        <w:instrText xml:space="preserve"> ADDIN EN.CITE </w:instrText>
      </w:r>
      <w:r w:rsidR="00E124D1" w:rsidRPr="00B37812">
        <w:rPr>
          <w:rFonts w:ascii="Times New Roman" w:eastAsia="Calibri" w:hAnsi="Times New Roman" w:cs="Times New Roman"/>
          <w:bCs/>
          <w:sz w:val="24"/>
          <w:szCs w:val="24"/>
          <w:lang w:eastAsia="en-US"/>
        </w:rPr>
        <w:fldChar w:fldCharType="begin">
          <w:fldData xml:space="preserve">PEVuZE5vdGU+PENpdGU+PEF1dGhvcj5SZXplbmRlPC9BdXRob3I+PFllYXI+MjAxODwvWWVhcj48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</w:fldData>
        </w:fldChar>
      </w:r>
      <w:r w:rsidR="00E124D1" w:rsidRPr="00B37812">
        <w:rPr>
          <w:rFonts w:ascii="Times New Roman" w:eastAsia="Calibri" w:hAnsi="Times New Roman" w:cs="Times New Roman"/>
          <w:bCs/>
          <w:sz w:val="24"/>
          <w:szCs w:val="24"/>
          <w:lang w:eastAsia="en-US"/>
        </w:rPr>
        <w:instrText xml:space="preserve"> ADDIN EN.CITE.DATA </w:instrText>
      </w:r>
      <w:r w:rsidR="00E124D1" w:rsidRPr="00B37812">
        <w:rPr>
          <w:rFonts w:ascii="Times New Roman" w:eastAsia="Calibri" w:hAnsi="Times New Roman" w:cs="Times New Roman"/>
          <w:bCs/>
          <w:sz w:val="24"/>
          <w:szCs w:val="24"/>
          <w:lang w:eastAsia="en-US"/>
        </w:rPr>
      </w:r>
      <w:r w:rsidR="00E124D1" w:rsidRPr="00B37812">
        <w:rPr>
          <w:rFonts w:ascii="Times New Roman" w:eastAsia="Calibri" w:hAnsi="Times New Roman" w:cs="Times New Roman"/>
          <w:bCs/>
          <w:sz w:val="24"/>
          <w:szCs w:val="24"/>
          <w:lang w:eastAsia="en-US"/>
        </w:rPr>
        <w:fldChar w:fldCharType="end"/>
      </w:r>
      <w:r w:rsidRPr="00B37812">
        <w:rPr>
          <w:rFonts w:ascii="Times New Roman" w:eastAsia="Calibri" w:hAnsi="Times New Roman" w:cs="Times New Roman"/>
          <w:bCs/>
          <w:sz w:val="24"/>
          <w:szCs w:val="24"/>
          <w:lang w:eastAsia="en-US"/>
        </w:rPr>
      </w:r>
      <w:r w:rsidRPr="00B37812">
        <w:rPr>
          <w:rFonts w:ascii="Times New Roman" w:eastAsia="Calibri" w:hAnsi="Times New Roman" w:cs="Times New Roman"/>
          <w:bCs/>
          <w:sz w:val="24"/>
          <w:szCs w:val="24"/>
          <w:lang w:eastAsia="en-US"/>
        </w:rPr>
        <w:fldChar w:fldCharType="separate"/>
      </w:r>
      <w:hyperlink w:anchor="_ENREF_29" w:tooltip="Rezende, 2018 #1461" w:history="1">
        <w:r w:rsidR="00E124D1" w:rsidRPr="00B37812">
          <w:rPr>
            <w:rStyle w:val="Hyperlink"/>
            <w:rFonts w:ascii="Times New Roman" w:eastAsia="Calibri" w:hAnsi="Times New Roman" w:cs="Times New Roman"/>
            <w:bCs/>
            <w:noProof/>
            <w:sz w:val="24"/>
            <w:szCs w:val="24"/>
            <w:vertAlign w:val="superscript"/>
            <w:lang w:eastAsia="en-US"/>
          </w:rPr>
          <w:t>29</w:t>
        </w:r>
      </w:hyperlink>
      <w:r w:rsidR="00E124D1" w:rsidRPr="00B37812">
        <w:rPr>
          <w:rFonts w:ascii="Times New Roman" w:eastAsia="Calibri" w:hAnsi="Times New Roman" w:cs="Times New Roman"/>
          <w:bCs/>
          <w:noProof/>
          <w:sz w:val="24"/>
          <w:szCs w:val="24"/>
          <w:vertAlign w:val="superscript"/>
          <w:lang w:eastAsia="en-US"/>
        </w:rPr>
        <w:t xml:space="preserve">, </w:t>
      </w:r>
      <w:hyperlink w:anchor="_ENREF_30" w:tooltip="Da Rosa, 2014 #1453" w:history="1">
        <w:r w:rsidR="00E124D1" w:rsidRPr="00B37812">
          <w:rPr>
            <w:rStyle w:val="Hyperlink"/>
            <w:rFonts w:ascii="Times New Roman" w:eastAsia="Calibri" w:hAnsi="Times New Roman" w:cs="Times New Roman"/>
            <w:bCs/>
            <w:noProof/>
            <w:sz w:val="24"/>
            <w:szCs w:val="24"/>
            <w:vertAlign w:val="superscript"/>
            <w:lang w:eastAsia="en-US"/>
          </w:rPr>
          <w:t>30</w:t>
        </w:r>
      </w:hyperlink>
      <w:r w:rsidRPr="00B37812">
        <w:rPr>
          <w:rFonts w:ascii="Times New Roman" w:eastAsia="Calibri" w:hAnsi="Times New Roman" w:cs="Times New Roman"/>
          <w:bCs/>
          <w:sz w:val="24"/>
          <w:szCs w:val="24"/>
          <w:lang w:eastAsia="en-US"/>
        </w:rPr>
        <w:fldChar w:fldCharType="end"/>
      </w:r>
      <w:hyperlink w:anchor="_ENREF_31" w:tooltip="Da Rosa, 2014 #1453" w:history="1"/>
      <w:hyperlink w:anchor="_ENREF_32" w:tooltip="Kalogeropoulos, 2010 #1460" w:history="1"/>
      <w:r w:rsidRPr="00B37812">
        <w:rPr>
          <w:rFonts w:ascii="Times New Roman" w:eastAsia="Calibri" w:hAnsi="Times New Roman" w:cs="Times New Roman"/>
          <w:bCs/>
          <w:sz w:val="24"/>
          <w:szCs w:val="24"/>
          <w:lang w:eastAsia="en-US"/>
        </w:rPr>
        <w:t xml:space="preserve"> the EE of biocompounds depends on the class of biocompounds and the type of coating material. Hence, this dissimilarity in EE could be ascribed to the chemical morphology of each wall material</w:t>
      </w:r>
      <w:r w:rsidRPr="00B37812">
        <w:rPr>
          <w:rFonts w:ascii="Times New Roman" w:eastAsia="Calibri" w:hAnsi="Times New Roman" w:cs="Times New Roman"/>
          <w:bCs/>
          <w:color w:val="000000"/>
          <w:sz w:val="24"/>
          <w:szCs w:val="24"/>
          <w:lang w:eastAsia="en-US"/>
        </w:rPr>
        <w:t>. The presence of several hydrophilic groups and shorter chains of MD makes it more appropriate for the encapsulation of hydrophilic biocompounds</w:t>
      </w:r>
      <w:r w:rsidRPr="00B37812">
        <w:rPr>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color w:val="000000"/>
          <w:sz w:val="24"/>
          <w:szCs w:val="24"/>
          <w:lang w:eastAsia="en-US"/>
        </w:rPr>
        <w:t>(phenolic acids and DNJ) owing to the formation of the solid network</w:t>
      </w:r>
      <w:r w:rsidRPr="00B37812">
        <w:rPr>
          <w:rFonts w:ascii="Times New Roman" w:hAnsi="Times New Roman" w:cs="Times New Roman"/>
        </w:rPr>
        <w:t xml:space="preserve"> </w:t>
      </w:r>
      <w:r w:rsidRPr="00B37812">
        <w:rPr>
          <w:rFonts w:ascii="Times New Roman" w:eastAsia="Calibri" w:hAnsi="Times New Roman" w:cs="Times New Roman"/>
          <w:bCs/>
          <w:color w:val="000000"/>
          <w:sz w:val="24"/>
          <w:szCs w:val="24"/>
          <w:lang w:eastAsia="en-US"/>
        </w:rPr>
        <w:t xml:space="preserve">through electrostatic interaction </w:t>
      </w:r>
      <w:r w:rsidRPr="00B37812">
        <w:rPr>
          <w:rFonts w:ascii="Times New Roman" w:eastAsia="Calibri" w:hAnsi="Times New Roman" w:cs="Times New Roman"/>
          <w:bCs/>
          <w:sz w:val="24"/>
          <w:szCs w:val="24"/>
          <w:lang w:eastAsia="en-US"/>
        </w:rPr>
        <w:fldChar w:fldCharType="begin"/>
      </w:r>
      <w:r w:rsidR="00E124D1" w:rsidRPr="00B37812">
        <w:rPr>
          <w:rFonts w:ascii="Times New Roman" w:eastAsia="Calibri" w:hAnsi="Times New Roman" w:cs="Times New Roman"/>
          <w:bCs/>
          <w:sz w:val="24"/>
          <w:szCs w:val="24"/>
          <w:lang w:eastAsia="en-US"/>
        </w:rPr>
        <w:instrText xml:space="preserve"> ADDIN EN.CITE &lt;EndNote&gt;&lt;Cite&gt;&lt;Author&gt;Garofulić&lt;/Author&gt;&lt;Year&gt;2017&lt;/Year&gt;&lt;RecNum&gt;1406&lt;/RecNum&gt;&lt;DisplayText&gt;&lt;style face="superscript"&gt;15, 24&lt;/style&gt;&lt;/DisplayText&gt;&lt;record&gt;&lt;rec-number&gt;1406&lt;/rec-number&gt;&lt;foreign-keys&gt;&lt;key app="EN" db-id="5wdx0tztgpfe5yefsdpperx8srzetsx0pw9w" timestamp="1515669203"&gt;1406&lt;/key&gt;&lt;/foreign-keys&gt;&lt;ref-type name="Journal Article"&gt;17&lt;/ref-type&gt;&lt;contributors&gt;&lt;authors&gt;&lt;author&gt;Garofulić, Ivona Elez&lt;/author&gt;&lt;author&gt;Zorić, Zoran&lt;/author&gt;&lt;author&gt;Pedisić, Sandra&lt;/author&gt;&lt;author&gt;Dragović-Uzelac, Verica&lt;/author&gt;&lt;/authors&gt;&lt;/contributors&gt;&lt;titles&gt;&lt;title&gt;Retention of polyphenols in encapsulated sour cherry juice in dependence of drying temperature and wall material&lt;/title&gt;&lt;secondary-title&gt;LWT-Food Science and Technology&lt;/secondary-title&gt;&lt;/titles&gt;&lt;pages&gt;110-117&lt;/pages&gt;&lt;volume&gt;83&lt;/volume&gt;&lt;dates&gt;&lt;year&gt;2017&lt;/year&gt;&lt;/dates&gt;&lt;isbn&gt;0023-6438&lt;/isbn&gt;&lt;urls&gt;&lt;/urls&gt;&lt;/record&gt;&lt;/Cite&gt;&lt;Cite&gt;&lt;Author&gt;Laine&lt;/Author&gt;&lt;Year&gt;2008&lt;/Year&gt;&lt;RecNum&gt;1435&lt;/RecNum&gt;&lt;record&gt;&lt;rec-number&gt;1435&lt;/rec-number&gt;&lt;foreign-keys&gt;&lt;key app="EN" db-id="5wdx0tztgpfe5yefsdpperx8srzetsx0pw9w" timestamp="1518607072"&gt;1435&lt;/key&gt;&lt;/foreign-keys&gt;&lt;ref-type name="Journal Article"&gt;17&lt;/ref-type&gt;&lt;contributors&gt;&lt;authors&gt;&lt;author&gt;Laine, Pia&lt;/author&gt;&lt;author&gt;Kylli, Petri&lt;/author&gt;&lt;author&gt;Heinonen, Marina&lt;/author&gt;&lt;author&gt;Jouppila, Kirsi&lt;/author&gt;&lt;/authors&gt;&lt;/contributors&gt;&lt;titles&gt;&lt;title&gt;Storage stability of microencapsulated cloudberry (Rubus chamaemorus) phenolics&lt;/title&gt;&lt;secondary-title&gt;Journal of Agricultural and Food Chemistry&lt;/secondary-title&gt;&lt;/titles&gt;&lt;periodical&gt;&lt;full-title&gt;Journal of Agricultural and Food Chemistry&lt;/full-title&gt;&lt;abbr-1&gt;J. Agric. Food Chem.&lt;/abbr-1&gt;&lt;abbr-2&gt;J Agric Food Chem&lt;/abbr-2&gt;&lt;/periodical&gt;&lt;pages&gt;11251-11261&lt;/pages&gt;&lt;volume&gt;56&lt;/volume&gt;&lt;number&gt;23&lt;/number&gt;&lt;dates&gt;&lt;year&gt;2008&lt;/year&gt;&lt;/dates&gt;&lt;isbn&gt;0021-8561&lt;/isbn&gt;&lt;urls&gt;&lt;/urls&gt;&lt;/record&gt;&lt;/Cite&gt;&lt;/EndNote&gt;</w:instrText>
      </w:r>
      <w:r w:rsidRPr="00B37812">
        <w:rPr>
          <w:rFonts w:ascii="Times New Roman" w:eastAsia="Calibri" w:hAnsi="Times New Roman" w:cs="Times New Roman"/>
          <w:bCs/>
          <w:sz w:val="24"/>
          <w:szCs w:val="24"/>
          <w:lang w:eastAsia="en-US"/>
        </w:rPr>
        <w:fldChar w:fldCharType="separate"/>
      </w:r>
      <w:hyperlink w:anchor="_ENREF_15" w:tooltip="Garofulić, 2017 #1406" w:history="1">
        <w:r w:rsidR="00E124D1" w:rsidRPr="00B37812">
          <w:rPr>
            <w:rStyle w:val="Hyperlink"/>
            <w:rFonts w:ascii="Times New Roman" w:eastAsia="Calibri" w:hAnsi="Times New Roman" w:cs="Times New Roman"/>
            <w:bCs/>
            <w:noProof/>
            <w:sz w:val="24"/>
            <w:szCs w:val="24"/>
            <w:vertAlign w:val="superscript"/>
            <w:lang w:eastAsia="en-US"/>
          </w:rPr>
          <w:t>15</w:t>
        </w:r>
      </w:hyperlink>
      <w:r w:rsidR="00E124D1" w:rsidRPr="00B37812">
        <w:rPr>
          <w:rFonts w:ascii="Times New Roman" w:eastAsia="Calibri" w:hAnsi="Times New Roman" w:cs="Times New Roman"/>
          <w:bCs/>
          <w:noProof/>
          <w:sz w:val="24"/>
          <w:szCs w:val="24"/>
          <w:vertAlign w:val="superscript"/>
          <w:lang w:eastAsia="en-US"/>
        </w:rPr>
        <w:t xml:space="preserve">, </w:t>
      </w:r>
      <w:hyperlink w:anchor="_ENREF_24" w:tooltip="Laine, 2008 #1435" w:history="1">
        <w:r w:rsidR="00E124D1" w:rsidRPr="00B37812">
          <w:rPr>
            <w:rStyle w:val="Hyperlink"/>
            <w:rFonts w:ascii="Times New Roman" w:eastAsia="Calibri" w:hAnsi="Times New Roman" w:cs="Times New Roman"/>
            <w:bCs/>
            <w:noProof/>
            <w:sz w:val="24"/>
            <w:szCs w:val="24"/>
            <w:vertAlign w:val="superscript"/>
            <w:lang w:eastAsia="en-US"/>
          </w:rPr>
          <w:t>24</w:t>
        </w:r>
      </w:hyperlink>
      <w:r w:rsidRPr="00B37812">
        <w:rPr>
          <w:rFonts w:ascii="Times New Roman" w:eastAsia="Calibri" w:hAnsi="Times New Roman" w:cs="Times New Roman"/>
          <w:bCs/>
          <w:sz w:val="24"/>
          <w:szCs w:val="24"/>
          <w:lang w:eastAsia="en-US"/>
        </w:rPr>
        <w:fldChar w:fldCharType="end"/>
      </w:r>
      <w:r w:rsidRPr="00B37812">
        <w:rPr>
          <w:rStyle w:val="Hyperlink"/>
          <w:rFonts w:ascii="Times New Roman" w:eastAsia="Calibri" w:hAnsi="Times New Roman" w:cs="Times New Roman"/>
          <w:bCs/>
          <w:sz w:val="24"/>
          <w:szCs w:val="24"/>
          <w:lang w:eastAsia="en-US"/>
        </w:rPr>
        <w:t xml:space="preserve">. </w:t>
      </w:r>
      <w:r w:rsidRPr="00B37812">
        <w:rPr>
          <w:rFonts w:ascii="Times New Roman" w:eastAsia="Calibri" w:hAnsi="Times New Roman" w:cs="Times New Roman"/>
          <w:bCs/>
          <w:color w:val="000000"/>
          <w:sz w:val="24"/>
          <w:szCs w:val="24"/>
          <w:lang w:eastAsia="en-US"/>
        </w:rPr>
        <w:t xml:space="preserve">Besides, the affinity of CMC towards flavanols and GABA might be ascribed to the formation of hydrophobic interaction which might have resulted in an increase in their solubility due to the disruption of their crystal structure </w:t>
      </w:r>
      <w:hyperlink w:anchor="_ENREF_31" w:tooltip="Li, 2013 #1446"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&lt;EndNote&gt;&lt;Cite&gt;&lt;Author&gt;Li&lt;/Author&gt;&lt;Year&gt;2013&lt;/Year&gt;&lt;RecNum&gt;1446&lt;/RecNum&gt;&lt;DisplayText&gt;&lt;style face="superscript"&gt;31&lt;/style&gt;&lt;/DisplayText&gt;&lt;record&gt;&lt;rec-number&gt;1446&lt;/rec-number&gt;&lt;foreign-keys&gt;&lt;key app="EN" db-id="5wdx0tztgpfe5yefsdpperx8srzetsx0pw9w" timestamp="1519025204"&gt;1446&lt;/key&gt;&lt;/foreign-keys&gt;&lt;ref-type name="Journal Article"&gt;17&lt;/ref-type&gt;&lt;contributors&gt;&lt;authors&gt;&lt;author&gt;Li, Bin&lt;/author&gt;&lt;author&gt;Konecke, Stephanie&lt;/author&gt;&lt;author&gt;Harich, Kim&lt;/author&gt;&lt;author&gt;Wegiel, Lindsay&lt;/author&gt;&lt;author&gt;Taylor, Lynne S&lt;/author&gt;&lt;author&gt;Edgar, Kevin J&lt;/author&gt;&lt;/authors&gt;&lt;/contributors&gt;&lt;titles&gt;&lt;title&gt;Solid dispersion of quercetin in cellulose derivative matrices influences both solubility and stability&lt;/title&gt;&lt;secondary-title&gt;Carbohydrate polymers&lt;/secondary-title&gt;&lt;/titles&gt;&lt;periodical&gt;&lt;full-title&gt;Carbohydrate Polymers&lt;/full-title&gt;&lt;abbr-1&gt;Carbohydr. Polym.&lt;/abbr-1&gt;&lt;abbr-2&gt;Carbohydr Polym&lt;/abbr-2&gt;&lt;/periodical&gt;&lt;pages&gt;2033-2040&lt;/pages&gt;&lt;volume&gt;92&lt;/volume&gt;&lt;number&gt;2&lt;/number&gt;&lt;dates&gt;&lt;year&gt;2013&lt;/year&gt;&lt;/dates&gt;&lt;isbn&gt;0144-8617&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31</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 xml:space="preserve">. This behavior was more evident on the quercetin glycosides (91.68 to 97.83%) than kaempferol glycosides (80.92 to 89.64%) because of quercetin planar three-dimensional structure </w:t>
      </w:r>
      <w:hyperlink w:anchor="_ENREF_15" w:tooltip="Garofulić, 2017 #1406" w:history="1">
        <w:r w:rsidRPr="00B37812">
          <w:rPr>
            <w:rStyle w:val="Hyperlink"/>
            <w:rFonts w:ascii="Times New Roman" w:eastAsia="Calibri" w:hAnsi="Times New Roman" w:cs="Times New Roman"/>
            <w:bCs/>
            <w:sz w:val="24"/>
            <w:szCs w:val="24"/>
            <w:lang w:eastAsia="en-US"/>
          </w:rPr>
          <w:fldChar w:fldCharType="begin"/>
        </w:r>
        <w:r w:rsidR="00E124D1" w:rsidRPr="00B37812">
          <w:rPr>
            <w:rStyle w:val="Hyperlink"/>
            <w:rFonts w:ascii="Times New Roman" w:eastAsia="Calibri" w:hAnsi="Times New Roman" w:cs="Times New Roman"/>
            <w:bCs/>
            <w:sz w:val="24"/>
            <w:szCs w:val="24"/>
            <w:lang w:eastAsia="en-US"/>
          </w:rPr>
          <w:instrText xml:space="preserve"> ADDIN EN.CITE &lt;EndNote&gt;&lt;Cite&gt;&lt;Author&gt;Garofulić&lt;/Author&gt;&lt;Year&gt;2017&lt;/Year&gt;&lt;RecNum&gt;1406&lt;/RecNum&gt;&lt;DisplayText&gt;&lt;style face="superscript"&gt;15&lt;/style&gt;&lt;/DisplayText&gt;&lt;record&gt;&lt;rec-number&gt;1406&lt;/rec-number&gt;&lt;foreign-keys&gt;&lt;key app="EN" db-id="5wdx0tztgpfe5yefsdpperx8srzetsx0pw9w" timestamp="1515669203"&gt;1406&lt;/key&gt;&lt;/foreign-keys&gt;&lt;ref-type name="Journal Article"&gt;17&lt;/ref-type&gt;&lt;contributors&gt;&lt;authors&gt;&lt;author&gt;Garofulić, Ivona Elez&lt;/author&gt;&lt;author&gt;Zorić, Zoran&lt;/author&gt;&lt;author&gt;Pedisić, Sandra&lt;/author&gt;&lt;author&gt;Dragović-Uzelac, Verica&lt;/author&gt;&lt;/authors&gt;&lt;/contributors&gt;&lt;titles&gt;&lt;title&gt;Retention of polyphenols in encapsulated sour cherry juice in dependence of drying temperature and wall material&lt;/title&gt;&lt;secondary-title&gt;LWT-Food Science and Technology&lt;/secondary-title&gt;&lt;/titles&gt;&lt;pages&gt;110-117&lt;/pages&gt;&lt;volume&gt;83&lt;/volume&gt;&lt;dates&gt;&lt;year&gt;2017&lt;/year&gt;&lt;/dates&gt;&lt;isbn&gt;0023-6438&lt;/isbn&gt;&lt;urls&gt;&lt;/urls&gt;&lt;/record&gt;&lt;/Cite&gt;&lt;/EndNote&gt;</w:instrText>
        </w:r>
        <w:r w:rsidRPr="00B37812">
          <w:rPr>
            <w:rStyle w:val="Hyperlink"/>
            <w:rFonts w:ascii="Times New Roman" w:eastAsia="Calibri" w:hAnsi="Times New Roman" w:cs="Times New Roman"/>
            <w:bCs/>
            <w:sz w:val="24"/>
            <w:szCs w:val="24"/>
            <w:lang w:eastAsia="en-US"/>
          </w:rPr>
          <w:fldChar w:fldCharType="separate"/>
        </w:r>
        <w:r w:rsidR="00E124D1" w:rsidRPr="00B37812">
          <w:rPr>
            <w:rStyle w:val="Hyperlink"/>
            <w:rFonts w:ascii="Times New Roman" w:eastAsia="Calibri" w:hAnsi="Times New Roman" w:cs="Times New Roman"/>
            <w:bCs/>
            <w:noProof/>
            <w:sz w:val="24"/>
            <w:szCs w:val="24"/>
            <w:vertAlign w:val="superscript"/>
            <w:lang w:eastAsia="en-US"/>
          </w:rPr>
          <w:t>15</w:t>
        </w:r>
        <w:r w:rsidRPr="00B37812">
          <w:rPr>
            <w:rStyle w:val="Hyperlink"/>
            <w:rFonts w:ascii="Times New Roman" w:eastAsia="Calibri" w:hAnsi="Times New Roman" w:cs="Times New Roman"/>
            <w:bCs/>
            <w:sz w:val="24"/>
            <w:szCs w:val="24"/>
            <w:lang w:eastAsia="en-US"/>
          </w:rPr>
          <w:fldChar w:fldCharType="end"/>
        </w:r>
      </w:hyperlink>
      <w:r w:rsidRPr="00B37812">
        <w:rPr>
          <w:rFonts w:ascii="Times New Roman" w:eastAsia="Calibri" w:hAnsi="Times New Roman" w:cs="Times New Roman"/>
          <w:bCs/>
          <w:color w:val="000000"/>
          <w:sz w:val="24"/>
          <w:szCs w:val="24"/>
          <w:lang w:eastAsia="en-US"/>
        </w:rPr>
        <w:t>.</w:t>
      </w:r>
    </w:p>
    <w:p w14:paraId="6FEBC96B" w14:textId="5A3C3506" w:rsidR="00E079A1" w:rsidRPr="00B37812" w:rsidRDefault="00E079A1" w:rsidP="00A330CD">
      <w:pPr>
        <w:spacing w:after="0" w:line="360" w:lineRule="auto"/>
        <w:ind w:firstLine="720"/>
        <w:jc w:val="both"/>
        <w:rPr>
          <w:rFonts w:ascii="Times New Roman" w:hAnsi="Times New Roman" w:cs="Times New Roman"/>
          <w:sz w:val="24"/>
          <w:szCs w:val="24"/>
        </w:rPr>
      </w:pPr>
    </w:p>
    <w:p w14:paraId="52CB1087" w14:textId="023908DE" w:rsidR="00E079A1" w:rsidRPr="00B37812" w:rsidRDefault="00E079A1" w:rsidP="00A330CD">
      <w:pPr>
        <w:spacing w:after="0" w:line="360" w:lineRule="auto"/>
        <w:ind w:firstLine="720"/>
        <w:jc w:val="both"/>
        <w:rPr>
          <w:rFonts w:ascii="Times New Roman" w:hAnsi="Times New Roman" w:cs="Times New Roman"/>
          <w:sz w:val="24"/>
          <w:szCs w:val="24"/>
        </w:rPr>
        <w:sectPr w:rsidR="00E079A1" w:rsidRPr="00B37812" w:rsidSect="002C02A7">
          <w:pgSz w:w="12240" w:h="15840"/>
          <w:pgMar w:top="1440" w:right="1440" w:bottom="1440" w:left="1440" w:header="708" w:footer="708" w:gutter="0"/>
          <w:lnNumType w:countBy="1" w:restart="continuous"/>
          <w:cols w:space="708"/>
          <w:docGrid w:linePitch="360"/>
        </w:sectPr>
      </w:pPr>
      <w:r w:rsidRPr="00B37812">
        <w:rPr>
          <w:rFonts w:ascii="Times New Roman" w:eastAsia="Calibri" w:hAnsi="Times New Roman" w:cs="Times New Roman"/>
          <w:b/>
          <w:noProof/>
          <w:color w:val="000000"/>
          <w:sz w:val="24"/>
          <w:szCs w:val="24"/>
        </w:rPr>
        <mc:AlternateContent>
          <mc:Choice Requires="wpg">
            <w:drawing>
              <wp:anchor distT="0" distB="0" distL="114300" distR="114300" simplePos="0" relativeHeight="251661312" behindDoc="0" locked="0" layoutInCell="1" allowOverlap="1" wp14:anchorId="6115D52F" wp14:editId="1DA0502F">
                <wp:simplePos x="0" y="0"/>
                <wp:positionH relativeFrom="column">
                  <wp:posOffset>0</wp:posOffset>
                </wp:positionH>
                <wp:positionV relativeFrom="paragraph">
                  <wp:posOffset>-263525</wp:posOffset>
                </wp:positionV>
                <wp:extent cx="5962650" cy="76581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2650" cy="7658100"/>
                          <a:chOff x="0" y="0"/>
                          <a:chExt cx="5962650" cy="7658100"/>
                        </a:xfrm>
                      </wpg:grpSpPr>
                      <wps:wsp>
                        <wps:cNvPr id="33" name="Text Box 33"/>
                        <wps:cNvSpPr txBox="1"/>
                        <wps:spPr>
                          <a:xfrm>
                            <a:off x="19050" y="1143000"/>
                            <a:ext cx="2971800" cy="2514600"/>
                          </a:xfrm>
                          <a:prstGeom prst="rect">
                            <a:avLst/>
                          </a:prstGeom>
                          <a:solidFill>
                            <a:schemeClr val="lt1"/>
                          </a:solidFill>
                          <a:ln w="6350">
                            <a:noFill/>
                          </a:ln>
                        </wps:spPr>
                        <wps:txbx>
                          <w:txbxContent>
                            <w:p w14:paraId="44044116" w14:textId="77777777" w:rsidR="00927E41" w:rsidRDefault="00927E41" w:rsidP="00E079A1">
                              <w:r>
                                <w:rPr>
                                  <w:noProof/>
                                </w:rPr>
                                <w:drawing>
                                  <wp:inline distT="0" distB="0" distL="0" distR="0" wp14:anchorId="627CD8C9" wp14:editId="6A959186">
                                    <wp:extent cx="2762553" cy="223310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2553" cy="22331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990850" y="1143000"/>
                            <a:ext cx="2971800" cy="2514600"/>
                          </a:xfrm>
                          <a:prstGeom prst="rect">
                            <a:avLst/>
                          </a:prstGeom>
                          <a:solidFill>
                            <a:schemeClr val="lt1"/>
                          </a:solidFill>
                          <a:ln w="6350">
                            <a:noFill/>
                          </a:ln>
                        </wps:spPr>
                        <wps:txbx>
                          <w:txbxContent>
                            <w:p w14:paraId="06FCC136" w14:textId="77777777" w:rsidR="00927E41" w:rsidRDefault="00927E41" w:rsidP="00E079A1">
                              <w:r>
                                <w:rPr>
                                  <w:noProof/>
                                </w:rPr>
                                <w:drawing>
                                  <wp:inline distT="0" distB="0" distL="0" distR="0" wp14:anchorId="1E90E84E" wp14:editId="382CC331">
                                    <wp:extent cx="2781314" cy="22498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1314" cy="2249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933450" y="3657600"/>
                            <a:ext cx="4000500" cy="2857500"/>
                          </a:xfrm>
                          <a:prstGeom prst="rect">
                            <a:avLst/>
                          </a:prstGeom>
                          <a:solidFill>
                            <a:schemeClr val="lt1"/>
                          </a:solidFill>
                          <a:ln w="6350">
                            <a:noFill/>
                          </a:ln>
                        </wps:spPr>
                        <wps:txbx>
                          <w:txbxContent>
                            <w:p w14:paraId="2848F3E3" w14:textId="77777777" w:rsidR="00927E41" w:rsidRDefault="00927E41" w:rsidP="00E079A1">
                              <w:r>
                                <w:rPr>
                                  <w:noProof/>
                                </w:rPr>
                                <w:drawing>
                                  <wp:inline distT="0" distB="0" distL="0" distR="0" wp14:anchorId="36B8D5ED" wp14:editId="6BF3BEA2">
                                    <wp:extent cx="3456939" cy="264537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avonol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6939" cy="2645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591050" y="0"/>
                            <a:ext cx="1371600" cy="1143000"/>
                          </a:xfrm>
                          <a:prstGeom prst="rect">
                            <a:avLst/>
                          </a:prstGeom>
                          <a:solidFill>
                            <a:schemeClr val="lt1"/>
                          </a:solidFill>
                          <a:ln w="6350">
                            <a:noFill/>
                          </a:ln>
                        </wps:spPr>
                        <wps:txbx>
                          <w:txbxContent>
                            <w:p w14:paraId="00E54F61" w14:textId="77777777" w:rsidR="00927E41" w:rsidRDefault="00927E41" w:rsidP="00E079A1">
                              <w:r>
                                <w:rPr>
                                  <w:noProof/>
                                </w:rPr>
                                <w:drawing>
                                  <wp:inline distT="0" distB="0" distL="0" distR="0" wp14:anchorId="71BFF537" wp14:editId="6C2F427A">
                                    <wp:extent cx="1041081" cy="998213"/>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081" cy="998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0" y="6515100"/>
                            <a:ext cx="5943600" cy="1143000"/>
                          </a:xfrm>
                          <a:prstGeom prst="rect">
                            <a:avLst/>
                          </a:prstGeom>
                          <a:solidFill>
                            <a:schemeClr val="lt1"/>
                          </a:solidFill>
                          <a:ln w="6350">
                            <a:noFill/>
                          </a:ln>
                        </wps:spPr>
                        <wps:txbx>
                          <w:txbxContent>
                            <w:p w14:paraId="6C163A21" w14:textId="77777777" w:rsidR="00927E41" w:rsidRPr="00567D42" w:rsidRDefault="00927E41" w:rsidP="00E079A1">
                              <w:pPr>
                                <w:spacing w:after="0" w:line="240" w:lineRule="auto"/>
                                <w:ind w:left="993" w:hanging="993"/>
                                <w:rPr>
                                  <w:rFonts w:ascii="Cambria" w:hAnsi="Cambria"/>
                                </w:rPr>
                              </w:pPr>
                              <w:r w:rsidRPr="00567D42">
                                <w:rPr>
                                  <w:rFonts w:ascii="Cambria" w:eastAsia="Calibri" w:hAnsi="Cambria" w:cs="Times New Roman"/>
                                  <w:b/>
                                  <w:szCs w:val="24"/>
                                  <w:lang w:eastAsia="en-US"/>
                                </w:rPr>
                                <w:t>Figure 2</w:t>
                              </w:r>
                              <w:r w:rsidRPr="00567D42">
                                <w:rPr>
                                  <w:rFonts w:ascii="Cambria" w:eastAsia="Calibri" w:hAnsi="Cambria" w:cs="Times New Roman"/>
                                  <w:szCs w:val="24"/>
                                  <w:lang w:eastAsia="en-US"/>
                                </w:rPr>
                                <w:t>: P</w:t>
                              </w:r>
                              <w:r w:rsidRPr="00567D42">
                                <w:rPr>
                                  <w:rFonts w:ascii="Cambria" w:hAnsi="Cambria"/>
                                </w:rPr>
                                <w:t xml:space="preserve">henolic acids (a), flavonols (b), and other nutraceutical compounds (c) encapsulation efficiency of </w:t>
                              </w:r>
                              <w:r w:rsidRPr="004F79D5">
                                <w:rPr>
                                  <w:rFonts w:ascii="Cambria" w:hAnsi="Cambria"/>
                                </w:rPr>
                                <w:t>encapsulated</w:t>
                              </w:r>
                              <w:r w:rsidRPr="00567D42">
                                <w:rPr>
                                  <w:rFonts w:ascii="Cambria" w:hAnsi="Cambria"/>
                                </w:rPr>
                                <w:t xml:space="preserve"> freeze-dried mulberry leaf extract powder</w:t>
                              </w:r>
                              <w:r>
                                <w:rPr>
                                  <w:rFonts w:ascii="Cambria" w:hAnsi="Cambria"/>
                                </w:rPr>
                                <w:t>s</w:t>
                              </w:r>
                            </w:p>
                            <w:p w14:paraId="2BC0EEEA" w14:textId="77777777" w:rsidR="00927E41" w:rsidRPr="00567D42" w:rsidRDefault="00927E41" w:rsidP="00E079A1">
                              <w:pPr>
                                <w:spacing w:before="120" w:line="240" w:lineRule="auto"/>
                                <w:rPr>
                                  <w:rFonts w:ascii="Cambria" w:hAnsi="Cambria"/>
                                  <w:color w:val="231F20"/>
                                  <w:sz w:val="18"/>
                                  <w:szCs w:val="18"/>
                                </w:rPr>
                              </w:pPr>
                              <w:r w:rsidRPr="00567D42">
                                <w:rPr>
                                  <w:rFonts w:ascii="Cambria" w:hAnsi="Cambria"/>
                                  <w:color w:val="231F20"/>
                                  <w:sz w:val="18"/>
                                  <w:szCs w:val="18"/>
                                </w:rPr>
                                <w:t>CHA-chlorogenic acid, CA-caffeic acid, K3G-kaempferol-3-glucoside, K3M-kaempferol-3-(6-malonylglucoside), K3R-kaempferol-3-(6-rhamnosylglucoside), K7G- kaempferol-7-O-glucoside, Q3G-quercetin-3-O-glucoside, Q3M-quercetin-3-(6-malonylglucoside), Q3R-quercetin-3-rutinose, DNJ-1-deoxynojirimycin, GABA-gamma-aminobutyric acid, CMC- sodium carboxymethyl cellulose, and MD-maltodextrin</w:t>
                              </w:r>
                            </w:p>
                            <w:p w14:paraId="239A4247" w14:textId="77777777" w:rsidR="00927E41" w:rsidRDefault="00927E41" w:rsidP="00E0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15D52F" id="Group 31" o:spid="_x0000_s1032" style="position:absolute;left:0;text-align:left;margin-left:0;margin-top:-20.75pt;width:469.5pt;height:603pt;z-index:251661312;mso-height-relative:margin" coordsize="59626,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">
                <v:shape id="Text Box 33" o:spid="_x0000_s1033" type="#_x0000_t202" style="position:absolute;left:190;top:11430;width:2971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44044116" w14:textId="77777777" w:rsidR="00927E41" w:rsidRDefault="00927E41" w:rsidP="00E079A1">
                        <w:r>
                          <w:rPr>
                            <w:noProof/>
                          </w:rPr>
                          <w:drawing>
                            <wp:inline distT="0" distB="0" distL="0" distR="0" wp14:anchorId="627CD8C9" wp14:editId="6A959186">
                              <wp:extent cx="2762553" cy="223310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2553" cy="2233107"/>
                                      </a:xfrm>
                                      <a:prstGeom prst="rect">
                                        <a:avLst/>
                                      </a:prstGeom>
                                    </pic:spPr>
                                  </pic:pic>
                                </a:graphicData>
                              </a:graphic>
                            </wp:inline>
                          </w:drawing>
                        </w:r>
                      </w:p>
                    </w:txbxContent>
                  </v:textbox>
                </v:shape>
                <v:shape id="Text Box 34" o:spid="_x0000_s1034" type="#_x0000_t202" style="position:absolute;left:29908;top:11430;width:2971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06FCC136" w14:textId="77777777" w:rsidR="00927E41" w:rsidRDefault="00927E41" w:rsidP="00E079A1">
                        <w:r>
                          <w:rPr>
                            <w:noProof/>
                          </w:rPr>
                          <w:drawing>
                            <wp:inline distT="0" distB="0" distL="0" distR="0" wp14:anchorId="1E90E84E" wp14:editId="382CC331">
                              <wp:extent cx="2781314" cy="22498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1314" cy="2249873"/>
                                      </a:xfrm>
                                      <a:prstGeom prst="rect">
                                        <a:avLst/>
                                      </a:prstGeom>
                                    </pic:spPr>
                                  </pic:pic>
                                </a:graphicData>
                              </a:graphic>
                            </wp:inline>
                          </w:drawing>
                        </w:r>
                      </w:p>
                    </w:txbxContent>
                  </v:textbox>
                </v:shape>
                <v:shape id="Text Box 35" o:spid="_x0000_s1035" type="#_x0000_t202" style="position:absolute;left:9334;top:36576;width:40005;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2848F3E3" w14:textId="77777777" w:rsidR="00927E41" w:rsidRDefault="00927E41" w:rsidP="00E079A1">
                        <w:r>
                          <w:rPr>
                            <w:noProof/>
                          </w:rPr>
                          <w:drawing>
                            <wp:inline distT="0" distB="0" distL="0" distR="0" wp14:anchorId="36B8D5ED" wp14:editId="6BF3BEA2">
                              <wp:extent cx="3456939" cy="264537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avonol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6939" cy="2645376"/>
                                      </a:xfrm>
                                      <a:prstGeom prst="rect">
                                        <a:avLst/>
                                      </a:prstGeom>
                                    </pic:spPr>
                                  </pic:pic>
                                </a:graphicData>
                              </a:graphic>
                            </wp:inline>
                          </w:drawing>
                        </w:r>
                      </w:p>
                    </w:txbxContent>
                  </v:textbox>
                </v:shape>
                <v:shape id="Text Box 36" o:spid="_x0000_s1036" type="#_x0000_t202" style="position:absolute;left:45910;width:1371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00E54F61" w14:textId="77777777" w:rsidR="00927E41" w:rsidRDefault="00927E41" w:rsidP="00E079A1">
                        <w:r>
                          <w:rPr>
                            <w:noProof/>
                          </w:rPr>
                          <w:drawing>
                            <wp:inline distT="0" distB="0" distL="0" distR="0" wp14:anchorId="71BFF537" wp14:editId="6C2F427A">
                              <wp:extent cx="1041081" cy="998213"/>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081" cy="998213"/>
                                      </a:xfrm>
                                      <a:prstGeom prst="rect">
                                        <a:avLst/>
                                      </a:prstGeom>
                                    </pic:spPr>
                                  </pic:pic>
                                </a:graphicData>
                              </a:graphic>
                            </wp:inline>
                          </w:drawing>
                        </w:r>
                      </w:p>
                    </w:txbxContent>
                  </v:textbox>
                </v:shape>
                <v:shape id="Text Box 37" o:spid="_x0000_s1037" type="#_x0000_t202" style="position:absolute;top:65151;width:5943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6C163A21" w14:textId="77777777" w:rsidR="00927E41" w:rsidRPr="00567D42" w:rsidRDefault="00927E41" w:rsidP="00E079A1">
                        <w:pPr>
                          <w:spacing w:after="0" w:line="240" w:lineRule="auto"/>
                          <w:ind w:left="993" w:hanging="993"/>
                          <w:rPr>
                            <w:rFonts w:ascii="Cambria" w:hAnsi="Cambria"/>
                          </w:rPr>
                        </w:pPr>
                        <w:r w:rsidRPr="00567D42">
                          <w:rPr>
                            <w:rFonts w:ascii="Cambria" w:eastAsia="Calibri" w:hAnsi="Cambria" w:cs="Times New Roman"/>
                            <w:b/>
                            <w:szCs w:val="24"/>
                            <w:lang w:eastAsia="en-US"/>
                          </w:rPr>
                          <w:t>Figure 2</w:t>
                        </w:r>
                        <w:r w:rsidRPr="00567D42">
                          <w:rPr>
                            <w:rFonts w:ascii="Cambria" w:eastAsia="Calibri" w:hAnsi="Cambria" w:cs="Times New Roman"/>
                            <w:szCs w:val="24"/>
                            <w:lang w:eastAsia="en-US"/>
                          </w:rPr>
                          <w:t>: P</w:t>
                        </w:r>
                        <w:r w:rsidRPr="00567D42">
                          <w:rPr>
                            <w:rFonts w:ascii="Cambria" w:hAnsi="Cambria"/>
                          </w:rPr>
                          <w:t xml:space="preserve">henolic acids (a), flavonols (b), and other nutraceutical compounds (c) encapsulation efficiency of </w:t>
                        </w:r>
                        <w:r w:rsidRPr="004F79D5">
                          <w:rPr>
                            <w:rFonts w:ascii="Cambria" w:hAnsi="Cambria"/>
                          </w:rPr>
                          <w:t>encapsulated</w:t>
                        </w:r>
                        <w:r w:rsidRPr="00567D42">
                          <w:rPr>
                            <w:rFonts w:ascii="Cambria" w:hAnsi="Cambria"/>
                          </w:rPr>
                          <w:t xml:space="preserve"> freeze-dried mulberry leaf extract powder</w:t>
                        </w:r>
                        <w:r>
                          <w:rPr>
                            <w:rFonts w:ascii="Cambria" w:hAnsi="Cambria"/>
                          </w:rPr>
                          <w:t>s</w:t>
                        </w:r>
                      </w:p>
                      <w:p w14:paraId="2BC0EEEA" w14:textId="77777777" w:rsidR="00927E41" w:rsidRPr="00567D42" w:rsidRDefault="00927E41" w:rsidP="00E079A1">
                        <w:pPr>
                          <w:spacing w:before="120" w:line="240" w:lineRule="auto"/>
                          <w:rPr>
                            <w:rFonts w:ascii="Cambria" w:hAnsi="Cambria"/>
                            <w:color w:val="231F20"/>
                            <w:sz w:val="18"/>
                            <w:szCs w:val="18"/>
                          </w:rPr>
                        </w:pPr>
                        <w:r w:rsidRPr="00567D42">
                          <w:rPr>
                            <w:rFonts w:ascii="Cambria" w:hAnsi="Cambria"/>
                            <w:color w:val="231F20"/>
                            <w:sz w:val="18"/>
                            <w:szCs w:val="18"/>
                          </w:rPr>
                          <w:t>CHA-chlorogenic acid, CA-caffeic acid, K3G-kaempferol-3-glucoside, K3M-kaempferol-3-(6-malonylglucoside), K3R-kaempferol-3-(6-rhamnosylglucoside), K7G- kaempferol-7-O-glucoside, Q3G-quercetin-3-O-glucoside, Q3M-quercetin-3-(6-malonylglucoside), Q3R-quercetin-3-rutinose, DNJ-1-deoxynojirimycin, GABA-gamma-aminobutyric acid, CMC- sodium carboxymethyl cellulose, and MD-maltodextrin</w:t>
                        </w:r>
                      </w:p>
                      <w:p w14:paraId="239A4247" w14:textId="77777777" w:rsidR="00927E41" w:rsidRDefault="00927E41" w:rsidP="00E079A1"/>
                    </w:txbxContent>
                  </v:textbox>
                </v:shape>
              </v:group>
            </w:pict>
          </mc:Fallback>
        </mc:AlternateContent>
      </w:r>
    </w:p>
    <w:p w14:paraId="7845FC72" w14:textId="164854D9" w:rsidR="00B85163" w:rsidRPr="00B37812" w:rsidRDefault="00B85163" w:rsidP="00A330CD">
      <w:pPr>
        <w:spacing w:after="0" w:line="360" w:lineRule="auto"/>
        <w:ind w:firstLine="720"/>
        <w:jc w:val="both"/>
        <w:rPr>
          <w:rFonts w:ascii="Times New Roman" w:hAnsi="Times New Roman" w:cs="Times New Roman"/>
          <w:bCs/>
          <w:color w:val="FF0000"/>
        </w:rPr>
      </w:pPr>
      <w:r w:rsidRPr="00B37812">
        <w:rPr>
          <w:rFonts w:ascii="Times New Roman" w:hAnsi="Times New Roman" w:cs="Times New Roman"/>
          <w:sz w:val="24"/>
          <w:szCs w:val="24"/>
        </w:rPr>
        <w:t xml:space="preserve">Furthermore, the </w:t>
      </w:r>
      <w:r w:rsidR="00635B64" w:rsidRPr="00B37812">
        <w:rPr>
          <w:rFonts w:ascii="Times New Roman" w:eastAsia="Calibri" w:hAnsi="Times New Roman" w:cs="Times New Roman"/>
          <w:bCs/>
          <w:color w:val="000000"/>
          <w:sz w:val="24"/>
          <w:szCs w:val="24"/>
          <w:lang w:eastAsia="en-US"/>
        </w:rPr>
        <w:t xml:space="preserve">addition rate </w:t>
      </w:r>
      <w:r w:rsidRPr="00B37812">
        <w:rPr>
          <w:rFonts w:ascii="Times New Roman" w:hAnsi="Times New Roman" w:cs="Times New Roman"/>
          <w:sz w:val="24"/>
          <w:szCs w:val="24"/>
        </w:rPr>
        <w:t>of carriers (</w:t>
      </w:r>
      <w:r w:rsidRPr="00B37812">
        <w:rPr>
          <w:rFonts w:ascii="Times New Roman" w:hAnsi="Times New Roman" w:cs="Times New Roman"/>
          <w:i/>
          <w:iCs/>
          <w:sz w:val="24"/>
          <w:szCs w:val="24"/>
        </w:rPr>
        <w:t xml:space="preserve">p </w:t>
      </w:r>
      <w:r w:rsidRPr="00B37812">
        <w:rPr>
          <w:rFonts w:ascii="Times New Roman" w:hAnsi="Times New Roman" w:cs="Times New Roman"/>
          <w:sz w:val="24"/>
          <w:szCs w:val="24"/>
        </w:rPr>
        <w:t>&lt; 0.0001) and the interactive effect of the carrier concentration and the carrier type (</w:t>
      </w:r>
      <w:r w:rsidRPr="00B37812">
        <w:rPr>
          <w:rFonts w:ascii="Times New Roman" w:hAnsi="Times New Roman" w:cs="Times New Roman"/>
          <w:i/>
          <w:iCs/>
          <w:sz w:val="24"/>
          <w:szCs w:val="24"/>
        </w:rPr>
        <w:t xml:space="preserve">p </w:t>
      </w:r>
      <w:r w:rsidRPr="00B37812">
        <w:rPr>
          <w:rFonts w:ascii="Times New Roman" w:hAnsi="Times New Roman" w:cs="Times New Roman"/>
          <w:sz w:val="24"/>
          <w:szCs w:val="24"/>
        </w:rPr>
        <w:t xml:space="preserve">&lt; 0.0001 for CHA, CA, K3M, K3R, K3G, Q3M, Q3G, and GABA; </w:t>
      </w:r>
      <w:r w:rsidRPr="00B37812">
        <w:rPr>
          <w:rFonts w:ascii="Times New Roman" w:hAnsi="Times New Roman" w:cs="Times New Roman"/>
          <w:i/>
          <w:iCs/>
          <w:sz w:val="24"/>
          <w:szCs w:val="24"/>
        </w:rPr>
        <w:t xml:space="preserve">p </w:t>
      </w:r>
      <w:r w:rsidRPr="00B37812">
        <w:rPr>
          <w:rFonts w:ascii="Times New Roman" w:hAnsi="Times New Roman" w:cs="Times New Roman"/>
          <w:sz w:val="24"/>
          <w:szCs w:val="24"/>
        </w:rPr>
        <w:t xml:space="preserve">&lt; 0.001 for K7G and Q3R; </w:t>
      </w:r>
      <w:r w:rsidRPr="00B37812">
        <w:rPr>
          <w:rFonts w:ascii="Times New Roman" w:hAnsi="Times New Roman" w:cs="Times New Roman"/>
          <w:i/>
          <w:iCs/>
          <w:sz w:val="24"/>
          <w:szCs w:val="24"/>
        </w:rPr>
        <w:t xml:space="preserve">p </w:t>
      </w:r>
      <w:r w:rsidRPr="00B37812">
        <w:rPr>
          <w:rFonts w:ascii="Times New Roman" w:hAnsi="Times New Roman" w:cs="Times New Roman"/>
          <w:sz w:val="24"/>
          <w:szCs w:val="24"/>
        </w:rPr>
        <w:t xml:space="preserve">&lt; 0.05 for DNJ) significantly impact on the EE. According to </w:t>
      </w:r>
      <w:hyperlink w:anchor="_ENREF_12" w:tooltip="Peanparkdee, 2016 #1272"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 AuthorYear="1"&gt;&lt;Author&gt;Peanparkdee&lt;/Author&gt;&lt;Year&gt;2016&lt;/Year&gt;&lt;RecNum&gt;1272&lt;/RecNum&gt;&lt;DisplayText&gt;Peanparkdee et al. &lt;style face="superscript"&gt;12&lt;/style&gt;&lt;/DisplayText&gt;&lt;record&gt;&lt;rec-number&gt;1272&lt;/rec-number&gt;&lt;foreign-keys&gt;&lt;key app="EN" db-id="5wdx0tztgpfe5yefsdpperx8srzetsx0pw9w" timestamp="1497590324"&gt;1272&lt;/key&gt;&lt;/foreign-keys&gt;&lt;ref-type name="Journal Article"&gt;17&lt;/ref-type&gt;&lt;contributors&gt;&lt;authors&gt;&lt;author&gt;Peanparkdee, Methavee&lt;/author&gt;&lt;author&gt;Iwamoto, Satoshi&lt;/author&gt;&lt;author&gt;Borompichaichartkul, Chaleeda&lt;/author&gt;&lt;author&gt;Duangmal, Kiattisak&lt;/author&gt;&lt;author&gt;Yamauchi, Ryo&lt;/author&gt;&lt;/authors&gt;&lt;/contributors&gt;&lt;titles&gt;&lt;title&gt;Microencapsulation of bioactive compounds from mulberry (Morus alba L.) leaf extracts by protein–polysaccharide interactions&lt;/title&gt;&lt;secondary-title&gt;International Journal of Food Science &amp;amp; Technology&lt;/secondary-title&gt;&lt;/titles&gt;&lt;periodical&gt;&lt;full-title&gt;International Journal of Food Science &amp;amp; Technology&lt;/full-title&gt;&lt;abbr-1&gt;Int. J. Food Sci. Tech.&lt;/abbr-1&gt;&lt;abbr-2&gt;Int J Food Sci Tech&lt;/abbr-2&gt;&lt;/periodical&gt;&lt;pages&gt;649-655&lt;/pages&gt;&lt;volume&gt;51&lt;/volume&gt;&lt;number&gt;3&lt;/number&gt;&lt;keywords&gt;&lt;keyword&gt;Antioxidants&lt;/keyword&gt;&lt;keyword&gt;low methoxyl pectin&lt;/keyword&gt;&lt;keyword&gt;mulberry leaf&lt;/keyword&gt;&lt;keyword&gt;protein–polysaccharide interactions&lt;/keyword&gt;&lt;keyword&gt;soy protein isolates&lt;/keyword&gt;&lt;/keywords&gt;&lt;dates&gt;&lt;year&gt;2016&lt;/year&gt;&lt;/dates&gt;&lt;isbn&gt;1365-2621&lt;/isbn&gt;&lt;urls&gt;&lt;related-urls&gt;&lt;url&gt;http://dx.doi.org/10.1111/ijfs.13032&lt;/url&gt;&lt;/related-urls&gt;&lt;/urls&gt;&lt;electronic-resource-num&gt;10.1111/ijfs.13032&lt;/electronic-resource-num&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rPr>
          <w:t xml:space="preserve">Peanparkdee et al. </w:t>
        </w:r>
        <w:r w:rsidR="00E124D1" w:rsidRPr="00B37812">
          <w:rPr>
            <w:rStyle w:val="Hyperlink"/>
            <w:rFonts w:ascii="Times New Roman" w:hAnsi="Times New Roman" w:cs="Times New Roman"/>
            <w:noProof/>
            <w:sz w:val="24"/>
            <w:szCs w:val="24"/>
            <w:vertAlign w:val="superscript"/>
          </w:rPr>
          <w:t>12</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sz w:val="24"/>
          <w:szCs w:val="24"/>
        </w:rPr>
        <w:t>, an increase in carrier concentration results in an increase in the EE due to the addition of more functional groups (hydrophobic/hydrophilic) leading to more interactions (</w:t>
      </w:r>
      <w:r w:rsidRPr="00B37812">
        <w:rPr>
          <w:rFonts w:ascii="Times New Roman" w:hAnsi="Times New Roman" w:cs="Times New Roman"/>
          <w:bCs/>
          <w:sz w:val="24"/>
          <w:szCs w:val="24"/>
        </w:rPr>
        <w:t>electrostatic/</w:t>
      </w:r>
      <w:r w:rsidRPr="00B37812">
        <w:rPr>
          <w:rFonts w:ascii="Times New Roman" w:hAnsi="Times New Roman" w:cs="Times New Roman"/>
          <w:sz w:val="24"/>
          <w:szCs w:val="24"/>
        </w:rPr>
        <w:t xml:space="preserve">hydrogen bonding) between the polymer and active compounds. Furthermore, the water sublimation during freeze drying results in pore formation in the particles, thus resulting in a premature release of entrapped nutraceuticals hence their degradation </w:t>
      </w:r>
      <w:r w:rsidRPr="00B37812">
        <w:rPr>
          <w:rFonts w:ascii="Times New Roman" w:hAnsi="Times New Roman" w:cs="Times New Roman"/>
          <w:sz w:val="24"/>
          <w:szCs w:val="24"/>
        </w:rPr>
        <w:fldChar w:fldCharType="begin">
          <w:fldData xml:space="preserve">PEVuZE5vdGU+PENpdGU+PEF1dGhvcj5SZXplbmRlPC9BdXRob3I+PFllYXI+MjAxODwvWWVhcj48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==
</w:fldData>
        </w:fldChar>
      </w:r>
      <w:r w:rsidR="00E124D1" w:rsidRPr="00B37812">
        <w:rPr>
          <w:rFonts w:ascii="Times New Roman" w:hAnsi="Times New Roman" w:cs="Times New Roman"/>
          <w:sz w:val="24"/>
          <w:szCs w:val="24"/>
        </w:rPr>
        <w:instrText xml:space="preserve"> ADDIN EN.CITE </w:instrText>
      </w:r>
      <w:r w:rsidR="00E124D1" w:rsidRPr="00B37812">
        <w:rPr>
          <w:rFonts w:ascii="Times New Roman" w:hAnsi="Times New Roman" w:cs="Times New Roman"/>
          <w:sz w:val="24"/>
          <w:szCs w:val="24"/>
        </w:rPr>
        <w:fldChar w:fldCharType="begin">
          <w:fldData xml:space="preserve">PEVuZE5vdGU+PENpdGU+PEF1dGhvcj5SZXplbmRlPC9BdXRob3I+PFllYXI+MjAxODwvWWVhcj48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==
</w:fldData>
        </w:fldChar>
      </w:r>
      <w:r w:rsidR="00E124D1" w:rsidRPr="00B37812">
        <w:rPr>
          <w:rFonts w:ascii="Times New Roman" w:hAnsi="Times New Roman" w:cs="Times New Roman"/>
          <w:sz w:val="24"/>
          <w:szCs w:val="24"/>
        </w:rPr>
        <w:instrText xml:space="preserve"> ADDIN EN.CITE.DATA </w:instrText>
      </w:r>
      <w:r w:rsidR="00E124D1" w:rsidRPr="00B37812">
        <w:rPr>
          <w:rFonts w:ascii="Times New Roman" w:hAnsi="Times New Roman" w:cs="Times New Roman"/>
          <w:sz w:val="24"/>
          <w:szCs w:val="24"/>
        </w:rPr>
      </w:r>
      <w:r w:rsidR="00E124D1" w:rsidRPr="00B37812">
        <w:rPr>
          <w:rFonts w:ascii="Times New Roman" w:hAnsi="Times New Roman" w:cs="Times New Roman"/>
          <w:sz w:val="24"/>
          <w:szCs w:val="24"/>
        </w:rPr>
        <w:fldChar w:fldCharType="end"/>
      </w:r>
      <w:r w:rsidRPr="00B37812">
        <w:rPr>
          <w:rFonts w:ascii="Times New Roman" w:hAnsi="Times New Roman" w:cs="Times New Roman"/>
          <w:sz w:val="24"/>
          <w:szCs w:val="24"/>
        </w:rPr>
      </w:r>
      <w:r w:rsidRPr="00B37812">
        <w:rPr>
          <w:rFonts w:ascii="Times New Roman" w:hAnsi="Times New Roman" w:cs="Times New Roman"/>
          <w:sz w:val="24"/>
          <w:szCs w:val="24"/>
        </w:rPr>
        <w:fldChar w:fldCharType="separate"/>
      </w:r>
      <w:hyperlink w:anchor="_ENREF_22" w:tooltip="Kuck, 2016 #1367" w:history="1">
        <w:r w:rsidR="00E124D1" w:rsidRPr="00B37812">
          <w:rPr>
            <w:rStyle w:val="Hyperlink"/>
            <w:rFonts w:ascii="Times New Roman" w:hAnsi="Times New Roman" w:cs="Times New Roman"/>
            <w:noProof/>
            <w:sz w:val="24"/>
            <w:szCs w:val="24"/>
            <w:vertAlign w:val="superscript"/>
          </w:rPr>
          <w:t>22</w:t>
        </w:r>
      </w:hyperlink>
      <w:r w:rsidR="00E124D1" w:rsidRPr="00B37812">
        <w:rPr>
          <w:rFonts w:ascii="Times New Roman" w:hAnsi="Times New Roman" w:cs="Times New Roman"/>
          <w:noProof/>
          <w:sz w:val="24"/>
          <w:szCs w:val="24"/>
          <w:vertAlign w:val="superscript"/>
        </w:rPr>
        <w:t xml:space="preserve">, </w:t>
      </w:r>
      <w:hyperlink w:anchor="_ENREF_29" w:tooltip="Rezende, 2018 #1461" w:history="1">
        <w:r w:rsidR="00E124D1" w:rsidRPr="00B37812">
          <w:rPr>
            <w:rStyle w:val="Hyperlink"/>
            <w:rFonts w:ascii="Times New Roman" w:hAnsi="Times New Roman" w:cs="Times New Roman"/>
            <w:noProof/>
            <w:sz w:val="24"/>
            <w:szCs w:val="24"/>
            <w:vertAlign w:val="superscript"/>
          </w:rPr>
          <w:t>29</w:t>
        </w:r>
      </w:hyperlink>
      <w:r w:rsidRPr="00B37812">
        <w:rPr>
          <w:rFonts w:ascii="Times New Roman" w:hAnsi="Times New Roman" w:cs="Times New Roman"/>
          <w:sz w:val="24"/>
          <w:szCs w:val="24"/>
        </w:rPr>
        <w:fldChar w:fldCharType="end"/>
      </w:r>
      <w:r w:rsidRPr="00B37812">
        <w:rPr>
          <w:rFonts w:ascii="Times New Roman" w:hAnsi="Times New Roman" w:cs="Times New Roman"/>
          <w:sz w:val="24"/>
          <w:szCs w:val="24"/>
        </w:rPr>
        <w:t xml:space="preserve">. As reported by various researchers </w:t>
      </w:r>
      <w:r w:rsidRPr="00B37812">
        <w:rPr>
          <w:rFonts w:ascii="Times New Roman" w:eastAsia="Calibri" w:hAnsi="Times New Roman" w:cs="Times New Roman"/>
          <w:color w:val="000000"/>
          <w:sz w:val="24"/>
          <w:szCs w:val="24"/>
          <w:lang w:eastAsia="en-US"/>
        </w:rPr>
        <w:fldChar w:fldCharType="begin">
          <w:fldData xml:space="preserve">PEVuZE5vdGU+PENpdGU+PEF1dGhvcj5IYXJua2FybnN1amFyaXQ8L0F1dGhvcj48WWVhcj4yMDEy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</w:fldData>
        </w:fldChar>
      </w:r>
      <w:r w:rsidR="00E124D1" w:rsidRPr="00B37812">
        <w:rPr>
          <w:rFonts w:ascii="Times New Roman" w:eastAsia="Calibri" w:hAnsi="Times New Roman" w:cs="Times New Roman"/>
          <w:color w:val="000000"/>
          <w:sz w:val="24"/>
          <w:szCs w:val="24"/>
          <w:lang w:eastAsia="en-US"/>
        </w:rPr>
        <w:instrText xml:space="preserve"> ADDIN EN.CITE </w:instrText>
      </w:r>
      <w:r w:rsidR="00E124D1" w:rsidRPr="00B37812">
        <w:rPr>
          <w:rFonts w:ascii="Times New Roman" w:eastAsia="Calibri" w:hAnsi="Times New Roman" w:cs="Times New Roman"/>
          <w:color w:val="000000"/>
          <w:sz w:val="24"/>
          <w:szCs w:val="24"/>
          <w:lang w:eastAsia="en-US"/>
        </w:rPr>
        <w:fldChar w:fldCharType="begin">
          <w:fldData xml:space="preserve">PEVuZE5vdGU+PENpdGU+PEF1dGhvcj5IYXJua2FybnN1amFyaXQ8L0F1dGhvcj48WWVhcj4yMDEy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</w:fldData>
        </w:fldChar>
      </w:r>
      <w:r w:rsidR="00E124D1" w:rsidRPr="00B37812">
        <w:rPr>
          <w:rFonts w:ascii="Times New Roman" w:eastAsia="Calibri" w:hAnsi="Times New Roman" w:cs="Times New Roman"/>
          <w:color w:val="000000"/>
          <w:sz w:val="24"/>
          <w:szCs w:val="24"/>
          <w:lang w:eastAsia="en-US"/>
        </w:rPr>
        <w:instrText xml:space="preserve"> ADDIN EN.CITE.DATA </w:instrText>
      </w:r>
      <w:r w:rsidR="00E124D1" w:rsidRPr="00B37812">
        <w:rPr>
          <w:rFonts w:ascii="Times New Roman" w:eastAsia="Calibri" w:hAnsi="Times New Roman" w:cs="Times New Roman"/>
          <w:color w:val="000000"/>
          <w:sz w:val="24"/>
          <w:szCs w:val="24"/>
          <w:lang w:eastAsia="en-US"/>
        </w:rPr>
      </w:r>
      <w:r w:rsidR="00E124D1" w:rsidRPr="00B37812">
        <w:rPr>
          <w:rFonts w:ascii="Times New Roman" w:eastAsia="Calibri" w:hAnsi="Times New Roman" w:cs="Times New Roman"/>
          <w:color w:val="000000"/>
          <w:sz w:val="24"/>
          <w:szCs w:val="24"/>
          <w:lang w:eastAsia="en-US"/>
        </w:rPr>
        <w:fldChar w:fldCharType="end"/>
      </w:r>
      <w:r w:rsidRPr="00B37812">
        <w:rPr>
          <w:rFonts w:ascii="Times New Roman" w:eastAsia="Calibri" w:hAnsi="Times New Roman" w:cs="Times New Roman"/>
          <w:color w:val="000000"/>
          <w:sz w:val="24"/>
          <w:szCs w:val="24"/>
          <w:lang w:eastAsia="en-US"/>
        </w:rPr>
      </w:r>
      <w:r w:rsidRPr="00B37812">
        <w:rPr>
          <w:rFonts w:ascii="Times New Roman" w:eastAsia="Calibri" w:hAnsi="Times New Roman" w:cs="Times New Roman"/>
          <w:color w:val="000000"/>
          <w:sz w:val="24"/>
          <w:szCs w:val="24"/>
          <w:lang w:eastAsia="en-US"/>
        </w:rPr>
        <w:fldChar w:fldCharType="separate"/>
      </w:r>
      <w:hyperlink w:anchor="_ENREF_11" w:tooltip="Seerangurayar, 2017 #1374" w:history="1">
        <w:r w:rsidR="00E124D1" w:rsidRPr="00B37812">
          <w:rPr>
            <w:rStyle w:val="Hyperlink"/>
            <w:rFonts w:ascii="Times New Roman" w:eastAsia="Calibri" w:hAnsi="Times New Roman" w:cs="Times New Roman"/>
            <w:noProof/>
            <w:sz w:val="24"/>
            <w:szCs w:val="24"/>
            <w:vertAlign w:val="superscript"/>
            <w:lang w:eastAsia="en-US"/>
          </w:rPr>
          <w:t>11</w:t>
        </w:r>
      </w:hyperlink>
      <w:r w:rsidR="00E124D1" w:rsidRPr="00B37812">
        <w:rPr>
          <w:rFonts w:ascii="Times New Roman" w:eastAsia="Calibri" w:hAnsi="Times New Roman" w:cs="Times New Roman"/>
          <w:noProof/>
          <w:color w:val="000000"/>
          <w:sz w:val="24"/>
          <w:szCs w:val="24"/>
          <w:vertAlign w:val="superscript"/>
          <w:lang w:eastAsia="en-US"/>
        </w:rPr>
        <w:t xml:space="preserve">, </w:t>
      </w:r>
      <w:hyperlink w:anchor="_ENREF_32" w:tooltip="Harnkarnsujarit, 2012 #1373" w:history="1">
        <w:r w:rsidR="00E124D1" w:rsidRPr="00B37812">
          <w:rPr>
            <w:rStyle w:val="Hyperlink"/>
            <w:rFonts w:ascii="Times New Roman" w:eastAsia="Calibri" w:hAnsi="Times New Roman" w:cs="Times New Roman"/>
            <w:noProof/>
            <w:sz w:val="24"/>
            <w:szCs w:val="24"/>
            <w:vertAlign w:val="superscript"/>
            <w:lang w:eastAsia="en-US"/>
          </w:rPr>
          <w:t>32</w:t>
        </w:r>
      </w:hyperlink>
      <w:r w:rsidR="00E124D1" w:rsidRPr="00B37812">
        <w:rPr>
          <w:rFonts w:ascii="Times New Roman" w:eastAsia="Calibri" w:hAnsi="Times New Roman" w:cs="Times New Roman"/>
          <w:noProof/>
          <w:color w:val="000000"/>
          <w:sz w:val="24"/>
          <w:szCs w:val="24"/>
          <w:vertAlign w:val="superscript"/>
          <w:lang w:eastAsia="en-US"/>
        </w:rPr>
        <w:t xml:space="preserve">, </w:t>
      </w:r>
      <w:hyperlink w:anchor="_ENREF_33" w:tooltip="Ceballos, 2012 #1383" w:history="1">
        <w:r w:rsidR="00E124D1" w:rsidRPr="00B37812">
          <w:rPr>
            <w:rStyle w:val="Hyperlink"/>
            <w:rFonts w:ascii="Times New Roman" w:eastAsia="Calibri" w:hAnsi="Times New Roman" w:cs="Times New Roman"/>
            <w:noProof/>
            <w:sz w:val="24"/>
            <w:szCs w:val="24"/>
            <w:vertAlign w:val="superscript"/>
            <w:lang w:eastAsia="en-US"/>
          </w:rPr>
          <w:t>33</w:t>
        </w:r>
      </w:hyperlink>
      <w:r w:rsidRPr="00B37812">
        <w:rPr>
          <w:rFonts w:ascii="Times New Roman" w:eastAsia="Calibri" w:hAnsi="Times New Roman" w:cs="Times New Roman"/>
          <w:color w:val="000000"/>
          <w:sz w:val="24"/>
          <w:szCs w:val="24"/>
          <w:lang w:eastAsia="en-US"/>
        </w:rPr>
        <w:fldChar w:fldCharType="end"/>
      </w:r>
      <w:r w:rsidRPr="00B37812">
        <w:rPr>
          <w:rFonts w:ascii="Times New Roman" w:eastAsia="Calibri" w:hAnsi="Times New Roman" w:cs="Times New Roman"/>
          <w:color w:val="000000"/>
          <w:sz w:val="24"/>
          <w:szCs w:val="24"/>
          <w:lang w:eastAsia="en-US"/>
        </w:rPr>
        <w:t xml:space="preserve">, </w:t>
      </w:r>
      <w:r w:rsidRPr="00B37812">
        <w:rPr>
          <w:rFonts w:ascii="Times New Roman" w:hAnsi="Times New Roman" w:cs="Times New Roman"/>
          <w:sz w:val="24"/>
          <w:szCs w:val="24"/>
        </w:rPr>
        <w:t xml:space="preserve">the type of carrier affects the viscosity of the feed mixture, thus impacting on the freezing rate which is related to ice crystals formation. The larger the ice crystals, the bigger the pore diameters of the freeze-dried particles </w:t>
      </w:r>
      <w:hyperlink w:anchor="_ENREF_34" w:tooltip="Ramírez, 2015 #1462"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&lt;EndNote&gt;&lt;Cite&gt;&lt;Author&gt;Ramírez&lt;/Author&gt;&lt;Year&gt;2015&lt;/Year&gt;&lt;RecNum&gt;1462&lt;/RecNum&gt;&lt;DisplayText&gt;&lt;style face="superscript"&gt;34&lt;/style&gt;&lt;/DisplayText&gt;&lt;record&gt;&lt;rec-number&gt;1462&lt;/rec-number&gt;&lt;foreign-keys&gt;&lt;key app="EN" db-id="5wdx0tztgpfe5yefsdpperx8srzetsx0pw9w" timestamp="1519719388"&gt;1462&lt;/key&gt;&lt;/foreign-keys&gt;&lt;ref-type name="Journal Article"&gt;17&lt;/ref-type&gt;&lt;contributors&gt;&lt;authors&gt;&lt;author&gt;Ramírez, Mónica J&lt;/author&gt;&lt;author&gt;Giraldo, Gloria I&lt;/author&gt;&lt;author&gt;Orrego, Carlos E&lt;/author&gt;&lt;/authors&gt;&lt;/contributors&gt;&lt;titles&gt;&lt;title&gt;Modeling and stability of polyphenol in spray-dried and freeze-dried fruit encapsulates&lt;/title&gt;&lt;secondary-title&gt;Powder Technology&lt;/secondary-title&gt;&lt;/titles&gt;&lt;periodical&gt;&lt;full-title&gt;Powder Technology&lt;/full-title&gt;&lt;abbr-1&gt;Powder Technol.&lt;/abbr-1&gt;&lt;abbr-2&gt;Powder Technol&lt;/abbr-2&gt;&lt;/periodical&gt;&lt;pages&gt;89-96&lt;/pages&gt;&lt;volume&gt;277&lt;/volume&gt;&lt;dates&gt;&lt;year&gt;2015&lt;/year&gt;&lt;/dates&gt;&lt;isbn&gt;0032-5910&lt;/isbn&gt;&lt;urls&gt;&lt;/urls&gt;&lt;/record&gt;&lt;/Cite&gt;&lt;/EndNote&gt;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vertAlign w:val="superscript"/>
          </w:rPr>
          <w:t>34</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sz w:val="24"/>
          <w:szCs w:val="24"/>
        </w:rPr>
        <w:t xml:space="preserve">. Therefore, as portrayed in </w:t>
      </w:r>
      <w:r w:rsidRPr="00B37812">
        <w:rPr>
          <w:rFonts w:ascii="Times New Roman" w:hAnsi="Times New Roman" w:cs="Times New Roman"/>
          <w:color w:val="00B0F0"/>
          <w:sz w:val="24"/>
          <w:szCs w:val="24"/>
        </w:rPr>
        <w:t>Fig. 2</w:t>
      </w:r>
      <w:r w:rsidRPr="00B37812">
        <w:rPr>
          <w:rFonts w:ascii="Times New Roman" w:hAnsi="Times New Roman" w:cs="Times New Roman"/>
          <w:sz w:val="24"/>
          <w:szCs w:val="24"/>
        </w:rPr>
        <w:t>, an increase in MD concentration resulted in a higher EE of the nutraceutical compounds. On the contrary increasing the CMC concentration more than the threshold of 0.70% w/v led to a decrease in the EE of the biocompounds (</w:t>
      </w:r>
      <w:r w:rsidRPr="00B37812">
        <w:rPr>
          <w:rFonts w:ascii="Times New Roman" w:hAnsi="Times New Roman" w:cs="Times New Roman"/>
          <w:color w:val="00B0F0"/>
          <w:sz w:val="24"/>
          <w:szCs w:val="24"/>
        </w:rPr>
        <w:t>Fig. 2</w:t>
      </w:r>
      <w:r w:rsidRPr="00B37812">
        <w:rPr>
          <w:rFonts w:ascii="Times New Roman" w:hAnsi="Times New Roman" w:cs="Times New Roman"/>
          <w:sz w:val="24"/>
          <w:szCs w:val="24"/>
        </w:rPr>
        <w:t xml:space="preserve">). This </w:t>
      </w:r>
      <w:r w:rsidR="00857DF1" w:rsidRPr="00B37812">
        <w:rPr>
          <w:rFonts w:ascii="Times New Roman" w:hAnsi="Times New Roman" w:cs="Times New Roman"/>
          <w:sz w:val="24"/>
          <w:szCs w:val="24"/>
        </w:rPr>
        <w:t>behavior</w:t>
      </w:r>
      <w:r w:rsidRPr="00B37812">
        <w:rPr>
          <w:rFonts w:ascii="Times New Roman" w:hAnsi="Times New Roman" w:cs="Times New Roman"/>
          <w:sz w:val="24"/>
          <w:szCs w:val="24"/>
        </w:rPr>
        <w:t xml:space="preserve"> could be </w:t>
      </w:r>
      <w:r w:rsidR="00857DF1" w:rsidRPr="00B37812">
        <w:rPr>
          <w:rFonts w:ascii="Times New Roman" w:hAnsi="Times New Roman" w:cs="Times New Roman"/>
          <w:sz w:val="24"/>
          <w:szCs w:val="24"/>
        </w:rPr>
        <w:t>ascribed</w:t>
      </w:r>
      <w:r w:rsidRPr="00B37812">
        <w:rPr>
          <w:rFonts w:ascii="Times New Roman" w:hAnsi="Times New Roman" w:cs="Times New Roman"/>
          <w:sz w:val="24"/>
          <w:szCs w:val="24"/>
        </w:rPr>
        <w:t xml:space="preserve"> to the long-term aeration of the sample due to the high molar mass of CMC, which might have modified the viscosity of the feed mixture, thereby elongating the formation of ice crystals. Similar behavior has been reported by </w:t>
      </w:r>
      <w:hyperlink w:anchor="_ENREF_35" w:tooltip="Ogrodowska, 2017 #1448"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 AuthorYear="1"&gt;&lt;Author&gt;Ogrodowska&lt;/Author&gt;&lt;Year&gt;2017&lt;/Year&gt;&lt;RecNum&gt;1448&lt;/RecNum&gt;&lt;DisplayText&gt;Ogrodowska et al. &lt;style face="superscript"&gt;35&lt;/style&gt;&lt;/DisplayText&gt;&lt;record&gt;&lt;rec-number&gt;1448&lt;/rec-number&gt;&lt;foreign-keys&gt;&lt;key app="EN" db-id="5wdx0tztgpfe5yefsdpperx8srzetsx0pw9w" timestamp="1519123783"&gt;1448&lt;/key&gt;&lt;/foreign-keys&gt;&lt;ref-type name="Journal Article"&gt;17&lt;/ref-type&gt;&lt;contributors&gt;&lt;authors&gt;&lt;author&gt;Ogrodowska, Dorota&lt;/author&gt;&lt;author&gt;Tańska, Małgorzata&lt;/author&gt;&lt;author&gt;Brandt, Waldemar&lt;/author&gt;&lt;/authors&gt;&lt;/contributors&gt;&lt;titles&gt;&lt;title&gt;The Influence of Drying Process Conditions on the Physical Properties, Bioactive Compounds and Stability of Encapsulated Pumpkin Seed Oil&lt;/title&gt;&lt;secondary-title&gt;Food and Bioprocess Technology&lt;/secondary-title&gt;&lt;/titles&gt;&lt;pages&gt;1265-1280&lt;/pages&gt;&lt;volume&gt;10&lt;/volume&gt;&lt;number&gt;7&lt;/number&gt;&lt;dates&gt;&lt;year&gt;2017&lt;/year&gt;&lt;/dates&gt;&lt;isbn&gt;1935-5130&lt;/isbn&gt;&lt;urls&gt;&lt;/urls&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rPr>
          <w:t xml:space="preserve">Ogrodowska et al. </w:t>
        </w:r>
        <w:r w:rsidR="00E124D1" w:rsidRPr="00B37812">
          <w:rPr>
            <w:rStyle w:val="Hyperlink"/>
            <w:rFonts w:ascii="Times New Roman" w:hAnsi="Times New Roman" w:cs="Times New Roman"/>
            <w:noProof/>
            <w:sz w:val="24"/>
            <w:szCs w:val="24"/>
            <w:vertAlign w:val="superscript"/>
          </w:rPr>
          <w:t>35</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sz w:val="24"/>
          <w:szCs w:val="24"/>
        </w:rPr>
        <w:t>.</w:t>
      </w:r>
    </w:p>
    <w:p w14:paraId="2FF28958"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068BB197" w14:textId="57766204"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r w:rsidRPr="00B37812">
        <w:rPr>
          <w:rFonts w:ascii="Times New Roman" w:eastAsia="Calibri" w:hAnsi="Times New Roman" w:cs="Times New Roman"/>
          <w:b/>
          <w:bCs/>
          <w:color w:val="000000"/>
          <w:sz w:val="24"/>
          <w:szCs w:val="24"/>
          <w:lang w:eastAsia="en-US"/>
        </w:rPr>
        <w:t>3.1.3. Influence of carrier</w:t>
      </w:r>
      <w:r w:rsidR="00CA5863" w:rsidRPr="00B37812">
        <w:rPr>
          <w:rFonts w:ascii="Times New Roman" w:eastAsia="Calibri" w:hAnsi="Times New Roman" w:cs="Times New Roman"/>
          <w:b/>
          <w:bCs/>
          <w:color w:val="000000"/>
          <w:sz w:val="24"/>
          <w:szCs w:val="24"/>
          <w:lang w:eastAsia="en-US"/>
        </w:rPr>
        <w:t xml:space="preserve"> materials</w:t>
      </w:r>
      <w:r w:rsidRPr="00B37812">
        <w:rPr>
          <w:rFonts w:ascii="Times New Roman" w:eastAsia="Calibri" w:hAnsi="Times New Roman" w:cs="Times New Roman"/>
          <w:b/>
          <w:bCs/>
          <w:color w:val="000000"/>
          <w:sz w:val="24"/>
          <w:szCs w:val="24"/>
          <w:lang w:eastAsia="en-US"/>
        </w:rPr>
        <w:t xml:space="preserve"> on antioxidant properties</w:t>
      </w:r>
    </w:p>
    <w:p w14:paraId="38289F4F"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09746F0C" w14:textId="1F575ADB" w:rsidR="00B85163" w:rsidRPr="00B37812" w:rsidRDefault="00B85163" w:rsidP="00A330CD">
      <w:pPr>
        <w:spacing w:after="0" w:line="360" w:lineRule="auto"/>
        <w:ind w:firstLine="720"/>
        <w:jc w:val="both"/>
        <w:rPr>
          <w:rFonts w:ascii="Times New Roman" w:hAnsi="Times New Roman" w:cs="Times New Roman"/>
          <w:sz w:val="24"/>
          <w:szCs w:val="24"/>
        </w:rPr>
      </w:pPr>
      <w:r w:rsidRPr="00B37812">
        <w:rPr>
          <w:rFonts w:ascii="Times New Roman" w:hAnsi="Times New Roman" w:cs="Times New Roman"/>
          <w:sz w:val="24"/>
          <w:szCs w:val="24"/>
        </w:rPr>
        <w:t xml:space="preserve"> The antioxidant </w:t>
      </w:r>
      <w:r w:rsidRPr="00B37812">
        <w:rPr>
          <w:rFonts w:ascii="Times New Roman" w:hAnsi="Times New Roman" w:cs="Times New Roman"/>
          <w:sz w:val="24"/>
        </w:rPr>
        <w:t xml:space="preserve">activities (AA) of the ENP are shown in </w:t>
      </w:r>
      <w:r w:rsidRPr="00B37812">
        <w:rPr>
          <w:rFonts w:ascii="Times New Roman" w:hAnsi="Times New Roman" w:cs="Times New Roman"/>
          <w:color w:val="00B0F0"/>
          <w:sz w:val="24"/>
        </w:rPr>
        <w:t>Table 1</w:t>
      </w:r>
      <w:r w:rsidRPr="00B37812">
        <w:rPr>
          <w:rFonts w:ascii="Times New Roman" w:hAnsi="Times New Roman" w:cs="Times New Roman"/>
          <w:sz w:val="24"/>
        </w:rPr>
        <w:t>.</w:t>
      </w:r>
      <w:r w:rsidRPr="00B37812">
        <w:rPr>
          <w:rFonts w:ascii="Times New Roman" w:hAnsi="Times New Roman" w:cs="Times New Roman"/>
          <w:sz w:val="24"/>
          <w:szCs w:val="24"/>
        </w:rPr>
        <w:t xml:space="preserve"> The type of wall material </w:t>
      </w:r>
      <w:r w:rsidRPr="00B37812">
        <w:rPr>
          <w:rFonts w:ascii="Times New Roman" w:hAnsi="Times New Roman" w:cs="Times New Roman"/>
          <w:bCs/>
          <w:sz w:val="24"/>
          <w:szCs w:val="24"/>
        </w:rPr>
        <w:t>(</w:t>
      </w:r>
      <w:r w:rsidRPr="00B37812">
        <w:rPr>
          <w:rFonts w:ascii="Times New Roman" w:hAnsi="Times New Roman" w:cs="Times New Roman"/>
          <w:bCs/>
          <w:i/>
          <w:iCs/>
          <w:sz w:val="24"/>
          <w:szCs w:val="24"/>
        </w:rPr>
        <w:t xml:space="preserve">p &lt; </w:t>
      </w:r>
      <w:r w:rsidRPr="00B37812">
        <w:rPr>
          <w:rFonts w:ascii="Times New Roman" w:hAnsi="Times New Roman" w:cs="Times New Roman"/>
          <w:bCs/>
          <w:sz w:val="24"/>
          <w:szCs w:val="24"/>
        </w:rPr>
        <w:t>0.0001)</w:t>
      </w:r>
      <w:r w:rsidRPr="00B37812">
        <w:rPr>
          <w:rFonts w:ascii="Times New Roman" w:hAnsi="Times New Roman" w:cs="Times New Roman"/>
          <w:sz w:val="24"/>
          <w:szCs w:val="24"/>
        </w:rPr>
        <w:t xml:space="preserve">, the core to wall ratio </w:t>
      </w:r>
      <w:r w:rsidRPr="00B37812">
        <w:rPr>
          <w:rFonts w:ascii="Times New Roman" w:hAnsi="Times New Roman" w:cs="Times New Roman"/>
          <w:bCs/>
          <w:sz w:val="24"/>
          <w:szCs w:val="24"/>
        </w:rPr>
        <w:t>(</w:t>
      </w:r>
      <w:r w:rsidRPr="00B37812">
        <w:rPr>
          <w:rFonts w:ascii="Times New Roman" w:hAnsi="Times New Roman" w:cs="Times New Roman"/>
          <w:bCs/>
          <w:i/>
          <w:iCs/>
          <w:sz w:val="24"/>
          <w:szCs w:val="24"/>
        </w:rPr>
        <w:t xml:space="preserve">p &lt; </w:t>
      </w:r>
      <w:r w:rsidRPr="00B37812">
        <w:rPr>
          <w:rFonts w:ascii="Times New Roman" w:hAnsi="Times New Roman" w:cs="Times New Roman"/>
          <w:bCs/>
          <w:sz w:val="24"/>
          <w:szCs w:val="24"/>
        </w:rPr>
        <w:t xml:space="preserve">0.0001), </w:t>
      </w:r>
      <w:r w:rsidRPr="00B37812">
        <w:rPr>
          <w:rFonts w:ascii="Times New Roman" w:hAnsi="Times New Roman" w:cs="Times New Roman"/>
          <w:sz w:val="24"/>
        </w:rPr>
        <w:t xml:space="preserve">and their interaction </w:t>
      </w:r>
      <w:r w:rsidRPr="00B37812">
        <w:rPr>
          <w:rFonts w:ascii="Times New Roman" w:hAnsi="Times New Roman" w:cs="Times New Roman"/>
          <w:sz w:val="24"/>
          <w:szCs w:val="24"/>
        </w:rPr>
        <w:t xml:space="preserve">significantly </w:t>
      </w:r>
      <w:r w:rsidRPr="00B37812">
        <w:rPr>
          <w:rFonts w:ascii="Times New Roman" w:hAnsi="Times New Roman" w:cs="Times New Roman"/>
          <w:bCs/>
          <w:sz w:val="24"/>
          <w:szCs w:val="24"/>
        </w:rPr>
        <w:t>(</w:t>
      </w:r>
      <w:r w:rsidRPr="00B37812">
        <w:rPr>
          <w:rFonts w:ascii="Times New Roman" w:hAnsi="Times New Roman" w:cs="Times New Roman"/>
          <w:bCs/>
          <w:i/>
          <w:iCs/>
          <w:sz w:val="24"/>
          <w:szCs w:val="24"/>
        </w:rPr>
        <w:t xml:space="preserve">p &lt; </w:t>
      </w:r>
      <w:r w:rsidRPr="00B37812">
        <w:rPr>
          <w:rFonts w:ascii="Times New Roman" w:hAnsi="Times New Roman" w:cs="Times New Roman"/>
          <w:bCs/>
          <w:sz w:val="24"/>
          <w:szCs w:val="24"/>
        </w:rPr>
        <w:t xml:space="preserve">0.0001 for ABTS, DPPH and FRAP; </w:t>
      </w:r>
      <w:r w:rsidRPr="00B37812">
        <w:rPr>
          <w:rFonts w:ascii="Times New Roman" w:hAnsi="Times New Roman" w:cs="Times New Roman"/>
          <w:bCs/>
          <w:i/>
          <w:iCs/>
          <w:sz w:val="24"/>
          <w:szCs w:val="24"/>
        </w:rPr>
        <w:t xml:space="preserve">p &lt; </w:t>
      </w:r>
      <w:r w:rsidRPr="00B37812">
        <w:rPr>
          <w:rFonts w:ascii="Times New Roman" w:hAnsi="Times New Roman" w:cs="Times New Roman"/>
          <w:bCs/>
          <w:sz w:val="24"/>
          <w:szCs w:val="24"/>
        </w:rPr>
        <w:t xml:space="preserve">0.05 for CUPRAC) </w:t>
      </w:r>
      <w:r w:rsidRPr="00B37812">
        <w:rPr>
          <w:rFonts w:ascii="Times New Roman" w:hAnsi="Times New Roman" w:cs="Times New Roman"/>
          <w:sz w:val="24"/>
          <w:szCs w:val="24"/>
        </w:rPr>
        <w:t xml:space="preserve">altered the AA of the ENP. This might be attributed to the direct correlation between the retained nutraceuticals and AA as suggested by others authors </w:t>
      </w:r>
      <w:r w:rsidRPr="00B37812">
        <w:rPr>
          <w:rFonts w:ascii="Times New Roman" w:hAnsi="Times New Roman" w:cs="Times New Roman"/>
          <w:sz w:val="24"/>
          <w:szCs w:val="24"/>
        </w:rPr>
        <w:fldChar w:fldCharType="begin">
          <w:fldData xml:space="preserve">PEVuZE5vdGU+PENpdGU+PEF1dGhvcj5CYWxsZXN0ZXJvczwvQXV0aG9yPjxZZWFyPjIwMTc8L1ll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</w:fldData>
        </w:fldChar>
      </w:r>
      <w:r w:rsidR="00E124D1" w:rsidRPr="00B37812">
        <w:rPr>
          <w:rFonts w:ascii="Times New Roman" w:hAnsi="Times New Roman" w:cs="Times New Roman"/>
          <w:sz w:val="24"/>
          <w:szCs w:val="24"/>
        </w:rPr>
        <w:instrText xml:space="preserve"> ADDIN EN.CITE </w:instrText>
      </w:r>
      <w:r w:rsidR="00E124D1" w:rsidRPr="00B37812">
        <w:rPr>
          <w:rFonts w:ascii="Times New Roman" w:hAnsi="Times New Roman" w:cs="Times New Roman"/>
          <w:sz w:val="24"/>
          <w:szCs w:val="24"/>
        </w:rPr>
        <w:fldChar w:fldCharType="begin">
          <w:fldData xml:space="preserve">PEVuZE5vdGU+PENpdGU+PEF1dGhvcj5CYWxsZXN0ZXJvczwvQXV0aG9yPjxZZWFyPjIwMTc8L1ll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</w:fldData>
        </w:fldChar>
      </w:r>
      <w:r w:rsidR="00E124D1" w:rsidRPr="00B37812">
        <w:rPr>
          <w:rFonts w:ascii="Times New Roman" w:hAnsi="Times New Roman" w:cs="Times New Roman"/>
          <w:sz w:val="24"/>
          <w:szCs w:val="24"/>
        </w:rPr>
        <w:instrText xml:space="preserve"> ADDIN EN.CITE.DATA </w:instrText>
      </w:r>
      <w:r w:rsidR="00E124D1" w:rsidRPr="00B37812">
        <w:rPr>
          <w:rFonts w:ascii="Times New Roman" w:hAnsi="Times New Roman" w:cs="Times New Roman"/>
          <w:sz w:val="24"/>
          <w:szCs w:val="24"/>
        </w:rPr>
      </w:r>
      <w:r w:rsidR="00E124D1" w:rsidRPr="00B37812">
        <w:rPr>
          <w:rFonts w:ascii="Times New Roman" w:hAnsi="Times New Roman" w:cs="Times New Roman"/>
          <w:sz w:val="24"/>
          <w:szCs w:val="24"/>
        </w:rPr>
        <w:fldChar w:fldCharType="end"/>
      </w:r>
      <w:r w:rsidRPr="00B37812">
        <w:rPr>
          <w:rFonts w:ascii="Times New Roman" w:hAnsi="Times New Roman" w:cs="Times New Roman"/>
          <w:sz w:val="24"/>
          <w:szCs w:val="24"/>
        </w:rPr>
      </w:r>
      <w:r w:rsidRPr="00B37812">
        <w:rPr>
          <w:rFonts w:ascii="Times New Roman" w:hAnsi="Times New Roman" w:cs="Times New Roman"/>
          <w:sz w:val="24"/>
          <w:szCs w:val="24"/>
        </w:rPr>
        <w:fldChar w:fldCharType="separate"/>
      </w:r>
      <w:hyperlink w:anchor="_ENREF_21" w:tooltip="Ballesteros, 2017 #1454" w:history="1">
        <w:r w:rsidR="00E124D1" w:rsidRPr="00B37812">
          <w:rPr>
            <w:rStyle w:val="Hyperlink"/>
            <w:rFonts w:ascii="Times New Roman" w:hAnsi="Times New Roman" w:cs="Times New Roman"/>
            <w:noProof/>
            <w:sz w:val="24"/>
            <w:szCs w:val="24"/>
            <w:vertAlign w:val="superscript"/>
          </w:rPr>
          <w:t>21</w:t>
        </w:r>
      </w:hyperlink>
      <w:r w:rsidR="00E124D1" w:rsidRPr="00B37812">
        <w:rPr>
          <w:rFonts w:ascii="Times New Roman" w:hAnsi="Times New Roman" w:cs="Times New Roman"/>
          <w:noProof/>
          <w:sz w:val="24"/>
          <w:szCs w:val="24"/>
          <w:vertAlign w:val="superscript"/>
        </w:rPr>
        <w:t xml:space="preserve">, </w:t>
      </w:r>
      <w:hyperlink w:anchor="_ENREF_29" w:tooltip="Rezende, 2018 #1461" w:history="1">
        <w:r w:rsidR="00E124D1" w:rsidRPr="00B37812">
          <w:rPr>
            <w:rStyle w:val="Hyperlink"/>
            <w:rFonts w:ascii="Times New Roman" w:hAnsi="Times New Roman" w:cs="Times New Roman"/>
            <w:noProof/>
            <w:sz w:val="24"/>
            <w:szCs w:val="24"/>
            <w:vertAlign w:val="superscript"/>
          </w:rPr>
          <w:t>29</w:t>
        </w:r>
      </w:hyperlink>
      <w:r w:rsidRPr="00B37812">
        <w:rPr>
          <w:rFonts w:ascii="Times New Roman" w:hAnsi="Times New Roman" w:cs="Times New Roman"/>
          <w:sz w:val="24"/>
          <w:szCs w:val="24"/>
        </w:rPr>
        <w:fldChar w:fldCharType="end"/>
      </w:r>
      <w:hyperlink w:anchor="_ENREF_30" w:tooltip="Rezende, 2018 #1461" w:history="1"/>
      <w:r w:rsidRPr="00B37812">
        <w:rPr>
          <w:rFonts w:ascii="Times New Roman" w:hAnsi="Times New Roman" w:cs="Times New Roman"/>
          <w:sz w:val="24"/>
          <w:szCs w:val="24"/>
        </w:rPr>
        <w:t xml:space="preserve">. This assertion was buttressed by the strong significant correlation noted between the AA and </w:t>
      </w:r>
      <w:r w:rsidRPr="00B37812">
        <w:rPr>
          <w:rFonts w:ascii="Times New Roman" w:hAnsi="Times New Roman" w:cs="Times New Roman"/>
          <w:bCs/>
          <w:sz w:val="24"/>
        </w:rPr>
        <w:t xml:space="preserve">CHA (ABTS: r = 0.971 and DPPH: r =0.940); CA (ABTS: r = 0.990 and DPPH: r =0.964); K3M (CUPRAC: r = 0.990and FRAP: r = 0.981); K3R (CUPRAC: r = 0.987 and FRAP: r = 0.984); K3G (CUPRAC: r = 0.972 and FRAP: r = 0.894); K7G (CUPRAC: r = 0.990 and FRAP: r =0.947); Q3R (CUPRAC: r = 0.984 and FRAP: r =0.940); Q3M (CUPRAC: r = 0.967 and FRAP: r =0.964); Q3G (CUPRAC: r = 0.989 and FRAP: r =0.983); DNJ (ABTS: r = 0.991 and DPPH: r =0.992) and GABA (CUPRAC: r = 0.988 and FRAP: r =0.988). </w:t>
      </w:r>
      <w:r w:rsidRPr="00B37812">
        <w:rPr>
          <w:rFonts w:ascii="Times New Roman" w:eastAsia="Calibri" w:hAnsi="Times New Roman" w:cs="Times New Roman"/>
          <w:bCs/>
          <w:color w:val="000000"/>
          <w:sz w:val="24"/>
          <w:szCs w:val="24"/>
          <w:lang w:eastAsia="en-US"/>
        </w:rPr>
        <w:t xml:space="preserve">Similar correlations have been reported for freeze-dried powder </w:t>
      </w:r>
      <w:r w:rsidRPr="00B37812">
        <w:rPr>
          <w:rFonts w:ascii="Times New Roman" w:eastAsia="Calibri" w:hAnsi="Times New Roman" w:cs="Times New Roman"/>
          <w:bCs/>
          <w:color w:val="000000"/>
          <w:sz w:val="24"/>
          <w:szCs w:val="24"/>
          <w:lang w:eastAsia="en-US"/>
        </w:rPr>
        <w:fldChar w:fldCharType="begin">
          <w:fldData xml:space="preserve">PEVuZE5vdGU+PENpdGU+PEF1dGhvcj5EYSBSb3NhPC9BdXRob3I+PFllYXI+MjAxNDwvWWVhcj48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</w:fldData>
        </w:fldChar>
      </w:r>
      <w:r w:rsidR="00E124D1" w:rsidRPr="00B37812">
        <w:rPr>
          <w:rFonts w:ascii="Times New Roman" w:eastAsia="Calibri" w:hAnsi="Times New Roman" w:cs="Times New Roman"/>
          <w:bCs/>
          <w:color w:val="000000"/>
          <w:sz w:val="24"/>
          <w:szCs w:val="24"/>
          <w:lang w:eastAsia="en-US"/>
        </w:rPr>
        <w:instrText xml:space="preserve"> ADDIN EN.CITE </w:instrText>
      </w:r>
      <w:r w:rsidR="00E124D1" w:rsidRPr="00B37812">
        <w:rPr>
          <w:rFonts w:ascii="Times New Roman" w:eastAsia="Calibri" w:hAnsi="Times New Roman" w:cs="Times New Roman"/>
          <w:bCs/>
          <w:color w:val="000000"/>
          <w:sz w:val="24"/>
          <w:szCs w:val="24"/>
          <w:lang w:eastAsia="en-US"/>
        </w:rPr>
        <w:fldChar w:fldCharType="begin">
          <w:fldData xml:space="preserve">PEVuZE5vdGU+PENpdGU+PEF1dGhvcj5EYSBSb3NhPC9BdXRob3I+PFllYXI+MjAxNDwvWWVhcj48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</w:fldData>
        </w:fldChar>
      </w:r>
      <w:r w:rsidR="00E124D1" w:rsidRPr="00B37812">
        <w:rPr>
          <w:rFonts w:ascii="Times New Roman" w:eastAsia="Calibri" w:hAnsi="Times New Roman" w:cs="Times New Roman"/>
          <w:bCs/>
          <w:color w:val="000000"/>
          <w:sz w:val="24"/>
          <w:szCs w:val="24"/>
          <w:lang w:eastAsia="en-US"/>
        </w:rPr>
        <w:instrText xml:space="preserve"> ADDIN EN.CITE.DATA </w:instrText>
      </w:r>
      <w:r w:rsidR="00E124D1" w:rsidRPr="00B37812">
        <w:rPr>
          <w:rFonts w:ascii="Times New Roman" w:eastAsia="Calibri" w:hAnsi="Times New Roman" w:cs="Times New Roman"/>
          <w:bCs/>
          <w:color w:val="000000"/>
          <w:sz w:val="24"/>
          <w:szCs w:val="24"/>
          <w:lang w:eastAsia="en-US"/>
        </w:rPr>
      </w:r>
      <w:r w:rsidR="00E124D1" w:rsidRPr="00B37812">
        <w:rPr>
          <w:rFonts w:ascii="Times New Roman" w:eastAsia="Calibri" w:hAnsi="Times New Roman" w:cs="Times New Roman"/>
          <w:bCs/>
          <w:color w:val="000000"/>
          <w:sz w:val="24"/>
          <w:szCs w:val="24"/>
          <w:lang w:eastAsia="en-US"/>
        </w:rPr>
        <w:fldChar w:fldCharType="end"/>
      </w:r>
      <w:r w:rsidRPr="00B37812">
        <w:rPr>
          <w:rFonts w:ascii="Times New Roman" w:eastAsia="Calibri" w:hAnsi="Times New Roman" w:cs="Times New Roman"/>
          <w:bCs/>
          <w:color w:val="000000"/>
          <w:sz w:val="24"/>
          <w:szCs w:val="24"/>
          <w:lang w:eastAsia="en-US"/>
        </w:rPr>
      </w:r>
      <w:r w:rsidRPr="00B37812">
        <w:rPr>
          <w:rFonts w:ascii="Times New Roman" w:eastAsia="Calibri" w:hAnsi="Times New Roman" w:cs="Times New Roman"/>
          <w:bCs/>
          <w:color w:val="000000"/>
          <w:sz w:val="24"/>
          <w:szCs w:val="24"/>
          <w:lang w:eastAsia="en-US"/>
        </w:rPr>
        <w:fldChar w:fldCharType="separate"/>
      </w:r>
      <w:hyperlink w:anchor="_ENREF_29" w:tooltip="Rezende, 2018 #1461" w:history="1">
        <w:r w:rsidR="00E124D1" w:rsidRPr="00B37812">
          <w:rPr>
            <w:rStyle w:val="Hyperlink"/>
            <w:rFonts w:ascii="Times New Roman" w:eastAsia="Calibri" w:hAnsi="Times New Roman" w:cs="Times New Roman"/>
            <w:bCs/>
            <w:noProof/>
            <w:sz w:val="24"/>
            <w:szCs w:val="24"/>
            <w:vertAlign w:val="superscript"/>
            <w:lang w:eastAsia="en-US"/>
          </w:rPr>
          <w:t>29</w:t>
        </w:r>
      </w:hyperlink>
      <w:r w:rsidR="00E124D1" w:rsidRPr="00B37812">
        <w:rPr>
          <w:rFonts w:ascii="Times New Roman" w:eastAsia="Calibri" w:hAnsi="Times New Roman" w:cs="Times New Roman"/>
          <w:bCs/>
          <w:noProof/>
          <w:color w:val="000000"/>
          <w:sz w:val="24"/>
          <w:szCs w:val="24"/>
          <w:vertAlign w:val="superscript"/>
          <w:lang w:eastAsia="en-US"/>
        </w:rPr>
        <w:t xml:space="preserve">, </w:t>
      </w:r>
      <w:hyperlink w:anchor="_ENREF_30" w:tooltip="Da Rosa, 2014 #1453" w:history="1">
        <w:r w:rsidR="00E124D1" w:rsidRPr="00B37812">
          <w:rPr>
            <w:rStyle w:val="Hyperlink"/>
            <w:rFonts w:ascii="Times New Roman" w:eastAsia="Calibri" w:hAnsi="Times New Roman" w:cs="Times New Roman"/>
            <w:bCs/>
            <w:noProof/>
            <w:sz w:val="24"/>
            <w:szCs w:val="24"/>
            <w:vertAlign w:val="superscript"/>
            <w:lang w:eastAsia="en-US"/>
          </w:rPr>
          <w:t>30</w:t>
        </w:r>
      </w:hyperlink>
      <w:r w:rsidRPr="00B37812">
        <w:rPr>
          <w:rFonts w:ascii="Times New Roman" w:eastAsia="Calibri" w:hAnsi="Times New Roman" w:cs="Times New Roman"/>
          <w:bCs/>
          <w:color w:val="000000"/>
          <w:sz w:val="24"/>
          <w:szCs w:val="24"/>
          <w:lang w:eastAsia="en-US"/>
        </w:rPr>
        <w:fldChar w:fldCharType="end"/>
      </w:r>
      <w:r w:rsidRPr="00B37812">
        <w:rPr>
          <w:rFonts w:ascii="Times New Roman" w:eastAsia="Calibri" w:hAnsi="Times New Roman" w:cs="Times New Roman"/>
          <w:bCs/>
          <w:color w:val="000000"/>
          <w:sz w:val="24"/>
          <w:szCs w:val="24"/>
          <w:lang w:eastAsia="en-US"/>
        </w:rPr>
        <w:t>.</w:t>
      </w:r>
    </w:p>
    <w:p w14:paraId="52D4CE90" w14:textId="77777777" w:rsidR="00B85163" w:rsidRPr="00B37812" w:rsidRDefault="00B85163" w:rsidP="00A330CD">
      <w:pPr>
        <w:spacing w:after="0" w:line="360" w:lineRule="auto"/>
        <w:ind w:firstLine="720"/>
        <w:jc w:val="both"/>
        <w:rPr>
          <w:rFonts w:ascii="Times New Roman" w:hAnsi="Times New Roman" w:cs="Times New Roman"/>
          <w:sz w:val="24"/>
          <w:szCs w:val="24"/>
        </w:rPr>
      </w:pPr>
    </w:p>
    <w:p w14:paraId="490554C9" w14:textId="77777777" w:rsidR="00B85163" w:rsidRPr="00B37812" w:rsidRDefault="00B85163" w:rsidP="00A330CD">
      <w:pPr>
        <w:spacing w:after="0" w:line="360" w:lineRule="auto"/>
        <w:jc w:val="both"/>
        <w:rPr>
          <w:rFonts w:ascii="Times New Roman" w:eastAsia="Calibri" w:hAnsi="Times New Roman" w:cs="Times New Roman"/>
          <w:b/>
          <w:bCs/>
          <w:color w:val="000000"/>
          <w:sz w:val="24"/>
          <w:szCs w:val="24"/>
          <w:lang w:eastAsia="en-US"/>
        </w:rPr>
      </w:pPr>
      <w:r w:rsidRPr="00B37812">
        <w:rPr>
          <w:rFonts w:ascii="Times New Roman" w:eastAsia="Calibri" w:hAnsi="Times New Roman" w:cs="Times New Roman"/>
          <w:b/>
          <w:bCs/>
          <w:color w:val="000000"/>
          <w:sz w:val="24"/>
          <w:szCs w:val="24"/>
          <w:lang w:eastAsia="en-US"/>
        </w:rPr>
        <w:t>3.2. Influence of carrier materials on physical properties</w:t>
      </w:r>
    </w:p>
    <w:p w14:paraId="6C928121" w14:textId="77777777" w:rsidR="00B85163" w:rsidRPr="00B37812" w:rsidRDefault="00B85163" w:rsidP="00A330CD">
      <w:pPr>
        <w:spacing w:after="0" w:line="360" w:lineRule="auto"/>
        <w:jc w:val="both"/>
        <w:rPr>
          <w:rFonts w:ascii="Times New Roman" w:eastAsia="Calibri" w:hAnsi="Times New Roman" w:cs="Times New Roman"/>
          <w:b/>
          <w:sz w:val="24"/>
          <w:szCs w:val="24"/>
          <w:lang w:eastAsia="en-US"/>
        </w:rPr>
      </w:pPr>
    </w:p>
    <w:p w14:paraId="4B70AE39" w14:textId="35712AA7" w:rsidR="00B85163" w:rsidRPr="00B37812" w:rsidRDefault="00CA5863" w:rsidP="00A330CD">
      <w:pPr>
        <w:spacing w:after="0" w:line="360" w:lineRule="auto"/>
        <w:jc w:val="both"/>
        <w:rPr>
          <w:rFonts w:ascii="Times New Roman" w:eastAsia="Calibri" w:hAnsi="Times New Roman" w:cs="Times New Roman"/>
          <w:b/>
          <w:sz w:val="24"/>
          <w:szCs w:val="24"/>
          <w:lang w:eastAsia="en-US"/>
        </w:rPr>
      </w:pPr>
      <w:r w:rsidRPr="00B37812">
        <w:rPr>
          <w:rFonts w:ascii="Times New Roman" w:eastAsia="Calibri" w:hAnsi="Times New Roman" w:cs="Times New Roman"/>
          <w:b/>
          <w:sz w:val="24"/>
          <w:szCs w:val="24"/>
          <w:lang w:eastAsia="en-US"/>
        </w:rPr>
        <w:t xml:space="preserve">3.2.1. Effect of carrier </w:t>
      </w:r>
      <w:r w:rsidRPr="00B37812">
        <w:rPr>
          <w:rFonts w:ascii="Times New Roman" w:eastAsia="Calibri" w:hAnsi="Times New Roman" w:cs="Times New Roman"/>
          <w:b/>
          <w:bCs/>
          <w:color w:val="000000"/>
          <w:sz w:val="24"/>
          <w:szCs w:val="24"/>
          <w:lang w:eastAsia="en-US"/>
        </w:rPr>
        <w:t>materials</w:t>
      </w:r>
      <w:r w:rsidR="00B85163" w:rsidRPr="00B37812">
        <w:rPr>
          <w:rFonts w:ascii="Times New Roman" w:eastAsia="Calibri" w:hAnsi="Times New Roman" w:cs="Times New Roman"/>
          <w:b/>
          <w:sz w:val="24"/>
          <w:szCs w:val="24"/>
          <w:lang w:eastAsia="en-US"/>
        </w:rPr>
        <w:t xml:space="preserve"> on particle properties</w:t>
      </w:r>
    </w:p>
    <w:p w14:paraId="3CD89574" w14:textId="77777777" w:rsidR="00B85163" w:rsidRPr="00B37812" w:rsidRDefault="00B85163" w:rsidP="00A330CD">
      <w:pPr>
        <w:spacing w:after="0" w:line="360" w:lineRule="auto"/>
        <w:jc w:val="both"/>
        <w:rPr>
          <w:rFonts w:ascii="Times New Roman" w:eastAsia="Calibri" w:hAnsi="Times New Roman" w:cs="Times New Roman"/>
          <w:b/>
          <w:sz w:val="24"/>
          <w:szCs w:val="24"/>
          <w:lang w:eastAsia="en-US"/>
        </w:rPr>
      </w:pPr>
    </w:p>
    <w:p w14:paraId="5BEA4753" w14:textId="66587D85" w:rsidR="00B85163" w:rsidRPr="00B37812" w:rsidRDefault="00B85163" w:rsidP="00A330CD">
      <w:pPr>
        <w:spacing w:after="0" w:line="360" w:lineRule="auto"/>
        <w:ind w:firstLine="720"/>
        <w:jc w:val="both"/>
        <w:rPr>
          <w:rFonts w:ascii="Times New Roman" w:eastAsia="Calibri" w:hAnsi="Times New Roman" w:cs="Times New Roman"/>
          <w:sz w:val="24"/>
          <w:szCs w:val="24"/>
        </w:rPr>
      </w:pPr>
      <w:r w:rsidRPr="00B37812">
        <w:rPr>
          <w:rFonts w:ascii="Times New Roman" w:eastAsia="Calibri" w:hAnsi="Times New Roman" w:cs="Times New Roman"/>
          <w:sz w:val="24"/>
          <w:szCs w:val="24"/>
          <w:lang w:eastAsia="en-US"/>
        </w:rPr>
        <w:t xml:space="preserve">According to </w:t>
      </w:r>
      <w:hyperlink w:anchor="_ENREF_22" w:tooltip="Kuck, 2016 #1367"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AuthorYear="1"&gt;&lt;Author&gt;Kuck&lt;/Author&gt;&lt;Year&gt;2016&lt;/Year&gt;&lt;RecNum&gt;1367&lt;/RecNum&gt;&lt;DisplayText&gt;Kuck et al. &lt;style face="superscript"&gt;22&lt;/style&gt;&lt;/DisplayText&gt;&lt;record&gt;&lt;rec-number&gt;1367&lt;/rec-number&gt;&lt;foreign-keys&gt;&lt;key app="EN" db-id="5wdx0tztgpfe5yefsdpperx8srzetsx0pw9w" timestamp="1513072413"&gt;1367&lt;/key&gt;&lt;/foreign-keys&gt;&lt;ref-type name="Journal Article"&gt;17&lt;/ref-type&gt;&lt;contributors&gt;&lt;authors&gt;&lt;author&gt;Kuck, Luiza Siede&lt;/author&gt;&lt;author&gt;Noreña, Caciano Pelayo Zapata&lt;/author&gt;&lt;/authors&gt;&lt;/contributors&gt;&lt;titles&gt;&lt;title&gt;Microencapsulation of grape (Vitis labrusca var. Bordo) skin phenolic extract using gum Arabic, polydextrose, and partially hydrolyzed guar gum as encapsulating agents&lt;/title&gt;&lt;secondary-title&gt;Food chemistry&lt;/secondary-title&gt;&lt;/titles&gt;&lt;periodical&gt;&lt;full-title&gt;Food Chemistry&lt;/full-title&gt;&lt;abbr-1&gt;Food Chem.&lt;/abbr-1&gt;&lt;abbr-2&gt;Food Chem&lt;/abbr-2&gt;&lt;/periodical&gt;&lt;pages&gt;569-576&lt;/pages&gt;&lt;volume&gt;194&lt;/volume&gt;&lt;dates&gt;&lt;year&gt;2016&lt;/year&gt;&lt;/dates&gt;&lt;isbn&gt;0308-8146&lt;/isbn&gt;&lt;urls&gt;&lt;/urls&gt;&lt;/record&gt;&lt;/Cite&gt;&lt;/EndNote&gt;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Kuck et al. </w:t>
        </w:r>
        <w:r w:rsidR="00E124D1" w:rsidRPr="00B37812">
          <w:rPr>
            <w:rStyle w:val="Hyperlink"/>
            <w:rFonts w:ascii="Times New Roman" w:eastAsia="Calibri" w:hAnsi="Times New Roman" w:cs="Times New Roman"/>
            <w:noProof/>
            <w:sz w:val="24"/>
            <w:szCs w:val="24"/>
            <w:vertAlign w:val="superscript"/>
            <w:lang w:eastAsia="en-US"/>
          </w:rPr>
          <w:t>22</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PS of encapsulated powder</w:t>
      </w:r>
      <w:r w:rsidR="006C2B85" w:rsidRPr="00B37812">
        <w:rPr>
          <w:rFonts w:ascii="Times New Roman" w:eastAsia="Calibri" w:hAnsi="Times New Roman" w:cs="Times New Roman"/>
          <w:sz w:val="24"/>
          <w:szCs w:val="24"/>
          <w:lang w:eastAsia="en-US"/>
        </w:rPr>
        <w:t>s</w:t>
      </w:r>
      <w:r w:rsidRPr="00B37812">
        <w:rPr>
          <w:rFonts w:ascii="Times New Roman" w:eastAsia="Calibri" w:hAnsi="Times New Roman" w:cs="Times New Roman"/>
          <w:sz w:val="24"/>
          <w:szCs w:val="24"/>
          <w:lang w:eastAsia="en-US"/>
        </w:rPr>
        <w:t xml:space="preserve"> depends on the concentration and the type of wall material. In agreement with this, the type of carrier agent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and </w:t>
      </w:r>
      <w:r w:rsidR="0046071F" w:rsidRPr="00B37812">
        <w:rPr>
          <w:rFonts w:ascii="Times New Roman" w:eastAsia="Calibri" w:hAnsi="Times New Roman" w:cs="Times New Roman"/>
          <w:sz w:val="24"/>
          <w:szCs w:val="24"/>
          <w:lang w:eastAsia="en-US"/>
        </w:rPr>
        <w:t xml:space="preserve">the </w:t>
      </w:r>
      <w:r w:rsidR="00552F24" w:rsidRPr="00B37812">
        <w:rPr>
          <w:rFonts w:ascii="Times New Roman" w:eastAsia="Calibri" w:hAnsi="Times New Roman" w:cs="Times New Roman"/>
          <w:bCs/>
          <w:color w:val="000000"/>
          <w:sz w:val="24"/>
          <w:szCs w:val="24"/>
          <w:lang w:eastAsia="en-US"/>
        </w:rPr>
        <w:t xml:space="preserve">addition rate of carrier </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significantly impacted on the PS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As depicted in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3</w:t>
      </w:r>
      <w:r w:rsidRPr="00B37812">
        <w:rPr>
          <w:rFonts w:ascii="Times New Roman" w:eastAsia="Calibri" w:hAnsi="Times New Roman" w:cs="Times New Roman"/>
          <w:color w:val="00B0F0"/>
          <w:sz w:val="24"/>
          <w:szCs w:val="24"/>
          <w:lang w:eastAsia="en-US"/>
        </w:rPr>
        <w:t>a</w:t>
      </w:r>
      <w:r w:rsidRPr="00B37812">
        <w:rPr>
          <w:rFonts w:ascii="Times New Roman" w:eastAsia="Calibri" w:hAnsi="Times New Roman" w:cs="Times New Roman"/>
          <w:sz w:val="24"/>
          <w:szCs w:val="24"/>
          <w:lang w:eastAsia="en-US"/>
        </w:rPr>
        <w:t xml:space="preserve">, increase in carrier concentration led to larger particle size. This could be as a result of the enhancement of the aggregation of the particles resulting from the formation of bridges between molecules due to the increase in total solid content </w:t>
      </w:r>
      <w:r w:rsidRPr="00B37812">
        <w:rPr>
          <w:rFonts w:ascii="Times New Roman" w:eastAsia="Calibri" w:hAnsi="Times New Roman" w:cs="Times New Roman"/>
          <w:sz w:val="24"/>
          <w:szCs w:val="24"/>
          <w:lang w:eastAsia="en-US"/>
        </w:rPr>
        <w:fldChar w:fldCharType="begin">
          <w:fldData xml:space="preserve">PEVuZE5vdGU+PENpdGU+PEF1dGhvcj5LdWNrPC9BdXRob3I+PFllYXI+MjAxNjwvWWVhcj48UmVj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</w:fldData>
        </w:fldChar>
      </w:r>
      <w:r w:rsidR="00E124D1" w:rsidRPr="00B37812">
        <w:rPr>
          <w:rFonts w:ascii="Times New Roman" w:eastAsia="Calibri" w:hAnsi="Times New Roman" w:cs="Times New Roman"/>
          <w:sz w:val="24"/>
          <w:szCs w:val="24"/>
          <w:lang w:eastAsia="en-US"/>
        </w:rPr>
        <w:instrText xml:space="preserve"> ADDIN EN.CITE </w:instrText>
      </w:r>
      <w:r w:rsidR="00E124D1" w:rsidRPr="00B37812">
        <w:rPr>
          <w:rFonts w:ascii="Times New Roman" w:eastAsia="Calibri" w:hAnsi="Times New Roman" w:cs="Times New Roman"/>
          <w:sz w:val="24"/>
          <w:szCs w:val="24"/>
          <w:lang w:eastAsia="en-US"/>
        </w:rPr>
        <w:fldChar w:fldCharType="begin">
          <w:fldData xml:space="preserve">PEVuZE5vdGU+PENpdGU+PEF1dGhvcj5LdWNrPC9BdXRob3I+PFllYXI+MjAxNjwvWWVhcj48UmVj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</w:fldData>
        </w:fldChar>
      </w:r>
      <w:r w:rsidR="00E124D1" w:rsidRPr="00B37812">
        <w:rPr>
          <w:rFonts w:ascii="Times New Roman" w:eastAsia="Calibri" w:hAnsi="Times New Roman" w:cs="Times New Roman"/>
          <w:sz w:val="24"/>
          <w:szCs w:val="24"/>
          <w:lang w:eastAsia="en-US"/>
        </w:rPr>
        <w:instrText xml:space="preserve"> ADDIN EN.CITE.DATA </w:instrText>
      </w:r>
      <w:r w:rsidR="00E124D1" w:rsidRPr="00B37812">
        <w:rPr>
          <w:rFonts w:ascii="Times New Roman" w:eastAsia="Calibri" w:hAnsi="Times New Roman" w:cs="Times New Roman"/>
          <w:sz w:val="24"/>
          <w:szCs w:val="24"/>
          <w:lang w:eastAsia="en-US"/>
        </w:rPr>
      </w:r>
      <w:r w:rsidR="00E124D1"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r>
      <w:r w:rsidRPr="00B37812">
        <w:rPr>
          <w:rFonts w:ascii="Times New Roman" w:eastAsia="Calibri" w:hAnsi="Times New Roman" w:cs="Times New Roman"/>
          <w:sz w:val="24"/>
          <w:szCs w:val="24"/>
          <w:lang w:eastAsia="en-US"/>
        </w:rPr>
        <w:fldChar w:fldCharType="separate"/>
      </w:r>
      <w:hyperlink w:anchor="_ENREF_11" w:tooltip="Seerangurayar, 2017 #1374" w:history="1">
        <w:r w:rsidR="00E124D1" w:rsidRPr="00B37812">
          <w:rPr>
            <w:rStyle w:val="Hyperlink"/>
            <w:rFonts w:ascii="Times New Roman" w:eastAsia="Calibri" w:hAnsi="Times New Roman" w:cs="Times New Roman"/>
            <w:noProof/>
            <w:sz w:val="24"/>
            <w:szCs w:val="24"/>
            <w:vertAlign w:val="superscript"/>
            <w:lang w:eastAsia="en-US"/>
          </w:rPr>
          <w:t>11</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17" w:tooltip="Akbas, 2017 #1313" w:history="1">
        <w:r w:rsidR="00E124D1" w:rsidRPr="00B37812">
          <w:rPr>
            <w:rStyle w:val="Hyperlink"/>
            <w:rFonts w:ascii="Times New Roman" w:eastAsia="Calibri" w:hAnsi="Times New Roman" w:cs="Times New Roman"/>
            <w:noProof/>
            <w:sz w:val="24"/>
            <w:szCs w:val="24"/>
            <w:vertAlign w:val="superscript"/>
            <w:lang w:eastAsia="en-US"/>
          </w:rPr>
          <w:t>17</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22" w:tooltip="Kuck, 2016 #1367" w:history="1">
        <w:r w:rsidR="00E124D1" w:rsidRPr="00B37812">
          <w:rPr>
            <w:rStyle w:val="Hyperlink"/>
            <w:rFonts w:ascii="Times New Roman" w:eastAsia="Calibri" w:hAnsi="Times New Roman" w:cs="Times New Roman"/>
            <w:noProof/>
            <w:sz w:val="24"/>
            <w:szCs w:val="24"/>
            <w:vertAlign w:val="superscript"/>
            <w:lang w:eastAsia="en-US"/>
          </w:rPr>
          <w:t>22</w:t>
        </w:r>
      </w:hyperlink>
      <w:r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t>. T</w:t>
      </w:r>
      <w:r w:rsidRPr="00B37812">
        <w:rPr>
          <w:rFonts w:ascii="Times New Roman" w:eastAsia="Calibri" w:hAnsi="Times New Roman" w:cs="Times New Roman"/>
          <w:sz w:val="24"/>
          <w:szCs w:val="24"/>
        </w:rPr>
        <w:t>he effect of the carrier type on PS may be attributed to</w:t>
      </w:r>
      <w:r w:rsidRPr="00B37812">
        <w:rPr>
          <w:rFonts w:ascii="Times New Roman" w:eastAsia="Calibri" w:hAnsi="Times New Roman" w:cs="Times New Roman"/>
          <w:color w:val="000000"/>
          <w:sz w:val="24"/>
          <w:szCs w:val="24"/>
          <w:lang w:eastAsia="en-US"/>
        </w:rPr>
        <w:t xml:space="preserve"> their molecular weights which could have altered the freezing point, thereby impacting on the ice cryst</w:t>
      </w:r>
      <w:r w:rsidRPr="00B37812">
        <w:rPr>
          <w:rFonts w:ascii="Times New Roman" w:eastAsia="Calibri" w:hAnsi="Times New Roman" w:cs="Times New Roman"/>
          <w:sz w:val="24"/>
          <w:szCs w:val="24"/>
          <w:lang w:eastAsia="en-US"/>
        </w:rPr>
        <w:t xml:space="preserve">al size and </w:t>
      </w:r>
      <w:r w:rsidRPr="00B37812">
        <w:rPr>
          <w:rFonts w:ascii="Times New Roman" w:eastAsia="Calibri" w:hAnsi="Times New Roman" w:cs="Times New Roman"/>
          <w:color w:val="000000"/>
          <w:sz w:val="24"/>
          <w:szCs w:val="24"/>
          <w:lang w:eastAsia="en-US"/>
        </w:rPr>
        <w:t xml:space="preserve">sublimation rate hence the difference in the PS </w:t>
      </w:r>
      <w:r w:rsidRPr="00B37812">
        <w:rPr>
          <w:rFonts w:ascii="Times New Roman" w:eastAsia="Calibri" w:hAnsi="Times New Roman" w:cs="Times New Roman"/>
          <w:color w:val="000000"/>
          <w:sz w:val="24"/>
          <w:szCs w:val="24"/>
          <w:lang w:eastAsia="en-US"/>
        </w:rPr>
        <w:fldChar w:fldCharType="begin">
          <w:fldData xml:space="preserve">PEVuZE5vdGU+PENpdGU+PEF1dGhvcj5IYXJua2FybnN1amFyaXQ8L0F1dGhvcj48WWVhcj4yMDEy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</w:fldData>
        </w:fldChar>
      </w:r>
      <w:r w:rsidR="00E124D1" w:rsidRPr="00B37812">
        <w:rPr>
          <w:rFonts w:ascii="Times New Roman" w:eastAsia="Calibri" w:hAnsi="Times New Roman" w:cs="Times New Roman"/>
          <w:color w:val="000000"/>
          <w:sz w:val="24"/>
          <w:szCs w:val="24"/>
          <w:lang w:eastAsia="en-US"/>
        </w:rPr>
        <w:instrText xml:space="preserve"> ADDIN EN.CITE </w:instrText>
      </w:r>
      <w:r w:rsidR="00E124D1" w:rsidRPr="00B37812">
        <w:rPr>
          <w:rFonts w:ascii="Times New Roman" w:eastAsia="Calibri" w:hAnsi="Times New Roman" w:cs="Times New Roman"/>
          <w:color w:val="000000"/>
          <w:sz w:val="24"/>
          <w:szCs w:val="24"/>
          <w:lang w:eastAsia="en-US"/>
        </w:rPr>
        <w:fldChar w:fldCharType="begin">
          <w:fldData xml:space="preserve">PEVuZE5vdGU+PENpdGU+PEF1dGhvcj5IYXJua2FybnN1amFyaXQ8L0F1dGhvcj48WWVhcj4yMDEy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</w:fldData>
        </w:fldChar>
      </w:r>
      <w:r w:rsidR="00E124D1" w:rsidRPr="00B37812">
        <w:rPr>
          <w:rFonts w:ascii="Times New Roman" w:eastAsia="Calibri" w:hAnsi="Times New Roman" w:cs="Times New Roman"/>
          <w:color w:val="000000"/>
          <w:sz w:val="24"/>
          <w:szCs w:val="24"/>
          <w:lang w:eastAsia="en-US"/>
        </w:rPr>
        <w:instrText xml:space="preserve"> ADDIN EN.CITE.DATA </w:instrText>
      </w:r>
      <w:r w:rsidR="00E124D1" w:rsidRPr="00B37812">
        <w:rPr>
          <w:rFonts w:ascii="Times New Roman" w:eastAsia="Calibri" w:hAnsi="Times New Roman" w:cs="Times New Roman"/>
          <w:color w:val="000000"/>
          <w:sz w:val="24"/>
          <w:szCs w:val="24"/>
          <w:lang w:eastAsia="en-US"/>
        </w:rPr>
      </w:r>
      <w:r w:rsidR="00E124D1" w:rsidRPr="00B37812">
        <w:rPr>
          <w:rFonts w:ascii="Times New Roman" w:eastAsia="Calibri" w:hAnsi="Times New Roman" w:cs="Times New Roman"/>
          <w:color w:val="000000"/>
          <w:sz w:val="24"/>
          <w:szCs w:val="24"/>
          <w:lang w:eastAsia="en-US"/>
        </w:rPr>
        <w:fldChar w:fldCharType="end"/>
      </w:r>
      <w:r w:rsidRPr="00B37812">
        <w:rPr>
          <w:rFonts w:ascii="Times New Roman" w:eastAsia="Calibri" w:hAnsi="Times New Roman" w:cs="Times New Roman"/>
          <w:color w:val="000000"/>
          <w:sz w:val="24"/>
          <w:szCs w:val="24"/>
          <w:lang w:eastAsia="en-US"/>
        </w:rPr>
      </w:r>
      <w:r w:rsidRPr="00B37812">
        <w:rPr>
          <w:rFonts w:ascii="Times New Roman" w:eastAsia="Calibri" w:hAnsi="Times New Roman" w:cs="Times New Roman"/>
          <w:color w:val="000000"/>
          <w:sz w:val="24"/>
          <w:szCs w:val="24"/>
          <w:lang w:eastAsia="en-US"/>
        </w:rPr>
        <w:fldChar w:fldCharType="separate"/>
      </w:r>
      <w:hyperlink w:anchor="_ENREF_11" w:tooltip="Seerangurayar, 2017 #1374" w:history="1">
        <w:r w:rsidR="00E124D1" w:rsidRPr="00B37812">
          <w:rPr>
            <w:rStyle w:val="Hyperlink"/>
            <w:rFonts w:ascii="Times New Roman" w:eastAsia="Calibri" w:hAnsi="Times New Roman" w:cs="Times New Roman"/>
            <w:noProof/>
            <w:sz w:val="24"/>
            <w:szCs w:val="24"/>
            <w:vertAlign w:val="superscript"/>
            <w:lang w:eastAsia="en-US"/>
          </w:rPr>
          <w:t>11</w:t>
        </w:r>
      </w:hyperlink>
      <w:r w:rsidR="00E124D1" w:rsidRPr="00B37812">
        <w:rPr>
          <w:rFonts w:ascii="Times New Roman" w:eastAsia="Calibri" w:hAnsi="Times New Roman" w:cs="Times New Roman"/>
          <w:noProof/>
          <w:color w:val="000000"/>
          <w:sz w:val="24"/>
          <w:szCs w:val="24"/>
          <w:vertAlign w:val="superscript"/>
          <w:lang w:eastAsia="en-US"/>
        </w:rPr>
        <w:t xml:space="preserve">, </w:t>
      </w:r>
      <w:hyperlink w:anchor="_ENREF_32" w:tooltip="Harnkarnsujarit, 2012 #1373" w:history="1">
        <w:r w:rsidR="00E124D1" w:rsidRPr="00B37812">
          <w:rPr>
            <w:rStyle w:val="Hyperlink"/>
            <w:rFonts w:ascii="Times New Roman" w:eastAsia="Calibri" w:hAnsi="Times New Roman" w:cs="Times New Roman"/>
            <w:noProof/>
            <w:sz w:val="24"/>
            <w:szCs w:val="24"/>
            <w:vertAlign w:val="superscript"/>
            <w:lang w:eastAsia="en-US"/>
          </w:rPr>
          <w:t>32</w:t>
        </w:r>
      </w:hyperlink>
      <w:r w:rsidR="00E124D1" w:rsidRPr="00B37812">
        <w:rPr>
          <w:rFonts w:ascii="Times New Roman" w:eastAsia="Calibri" w:hAnsi="Times New Roman" w:cs="Times New Roman"/>
          <w:noProof/>
          <w:color w:val="000000"/>
          <w:sz w:val="24"/>
          <w:szCs w:val="24"/>
          <w:vertAlign w:val="superscript"/>
          <w:lang w:eastAsia="en-US"/>
        </w:rPr>
        <w:t xml:space="preserve">, </w:t>
      </w:r>
      <w:hyperlink w:anchor="_ENREF_33" w:tooltip="Ceballos, 2012 #1383" w:history="1">
        <w:r w:rsidR="00E124D1" w:rsidRPr="00B37812">
          <w:rPr>
            <w:rStyle w:val="Hyperlink"/>
            <w:rFonts w:ascii="Times New Roman" w:eastAsia="Calibri" w:hAnsi="Times New Roman" w:cs="Times New Roman"/>
            <w:noProof/>
            <w:sz w:val="24"/>
            <w:szCs w:val="24"/>
            <w:vertAlign w:val="superscript"/>
            <w:lang w:eastAsia="en-US"/>
          </w:rPr>
          <w:t>33</w:t>
        </w:r>
      </w:hyperlink>
      <w:r w:rsidRPr="00B37812">
        <w:rPr>
          <w:rFonts w:ascii="Times New Roman" w:eastAsia="Calibri" w:hAnsi="Times New Roman" w:cs="Times New Roman"/>
          <w:color w:val="000000"/>
          <w:sz w:val="24"/>
          <w:szCs w:val="24"/>
          <w:lang w:eastAsia="en-US"/>
        </w:rPr>
        <w:fldChar w:fldCharType="end"/>
      </w:r>
      <w:r w:rsidRPr="00B37812">
        <w:rPr>
          <w:rFonts w:ascii="Times New Roman" w:eastAsia="Calibri" w:hAnsi="Times New Roman" w:cs="Times New Roman"/>
          <w:color w:val="000000"/>
          <w:sz w:val="24"/>
          <w:szCs w:val="24"/>
          <w:lang w:eastAsia="en-US"/>
        </w:rPr>
        <w:t>.</w:t>
      </w:r>
    </w:p>
    <w:p w14:paraId="45BF203B" w14:textId="00FC97C5" w:rsidR="00B85163" w:rsidRPr="00B37812" w:rsidRDefault="00B85163" w:rsidP="00A330CD">
      <w:pPr>
        <w:spacing w:after="0" w:line="360" w:lineRule="auto"/>
        <w:ind w:firstLine="720"/>
        <w:jc w:val="both"/>
        <w:rPr>
          <w:rFonts w:ascii="Times New Roman" w:eastAsia="Calibri" w:hAnsi="Times New Roman" w:cs="Times New Roman"/>
          <w:sz w:val="24"/>
          <w:szCs w:val="24"/>
        </w:rPr>
      </w:pPr>
      <w:r w:rsidRPr="00B37812">
        <w:rPr>
          <w:rFonts w:ascii="Times New Roman" w:eastAsia="Calibri" w:hAnsi="Times New Roman" w:cs="Times New Roman"/>
          <w:sz w:val="24"/>
          <w:szCs w:val="24"/>
        </w:rPr>
        <w:t xml:space="preserve">The PD has been reported to be related to the viscosity and occluded air density </w:t>
      </w:r>
      <w:hyperlink w:anchor="_ENREF_36" w:tooltip="Selomulya, 2013 #1378"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&lt;EndNote&gt;&lt;Cite&gt;&lt;Author&gt;Selomulya&lt;/Author&gt;&lt;Year&gt;2013&lt;/Year&gt;&lt;RecNum&gt;1378&lt;/RecNum&gt;&lt;DisplayText&gt;&lt;style face="superscript"&gt;36&lt;/style&gt;&lt;/DisplayText&gt;&lt;record&gt;&lt;rec-number&gt;1378&lt;/rec-number&gt;&lt;foreign-keys&gt;&lt;key app="EN" db-id="5wdx0tztgpfe5yefsdpperx8srzetsx0pw9w" timestamp="1513242320"&gt;1378&lt;/key&gt;&lt;/foreign-keys&gt;&lt;ref-type name="Book Section"&gt;5&lt;/ref-type&gt;&lt;contributors&gt;&lt;authors&gt;&lt;author&gt;Selomulya, C.&lt;/author&gt;&lt;author&gt;Fang, Y.&lt;/author&gt;&lt;/authors&gt;&lt;/contributors&gt;&lt;titles&gt;&lt;title&gt;15 - Food powder rehydration&lt;/title&gt;&lt;secondary-title&gt;Handbook of Food Powders&lt;/secondary-title&gt;&lt;/titles&gt;&lt;pages&gt;379-408&lt;/pages&gt;&lt;keywords&gt;&lt;keyword&gt;food powder&lt;/keyword&gt;&lt;keyword&gt;dispersibility&lt;/keyword&gt;&lt;keyword&gt;wetting&lt;/keyword&gt;&lt;keyword&gt;solubility&lt;/keyword&gt;&lt;keyword&gt;reconstitution&lt;/keyword&gt;&lt;/keywords&gt;&lt;dates&gt;&lt;year&gt;2013&lt;/year&gt;&lt;/dates&gt;&lt;pub-location&gt;Philadelphia&lt;/pub-location&gt;&lt;publisher&gt;Woodhead Publishing&lt;/publisher&gt;&lt;isbn&gt;978-0-85709-513-8&lt;/isbn&gt;&lt;urls&gt;&lt;related-urls&gt;&lt;url&gt;https://www.sciencedirect.com/science/article/pii/B9780857095138500157&lt;/url&gt;&lt;/related-urls&gt;&lt;/urls&gt;&lt;electronic-resource-num&gt;https://doi.org/10.1533/9780857098672.2.379&lt;/electronic-resource-num&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36</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rPr>
        <w:t xml:space="preserve">. Therefore, the significant effect of the carrier type </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w:t>
      </w:r>
      <w:r w:rsidRPr="00B37812">
        <w:rPr>
          <w:rFonts w:ascii="Times New Roman" w:eastAsia="Calibri" w:hAnsi="Times New Roman" w:cs="Times New Roman"/>
          <w:sz w:val="24"/>
          <w:szCs w:val="24"/>
        </w:rPr>
        <w:t xml:space="preserve">on PD </w:t>
      </w:r>
      <w:r w:rsidRPr="00B37812">
        <w:rPr>
          <w:rFonts w:ascii="Times New Roman" w:eastAsia="Calibri" w:hAnsi="Times New Roman" w:cs="Times New Roman"/>
          <w:sz w:val="24"/>
          <w:szCs w:val="24"/>
          <w:lang w:eastAsia="en-US"/>
        </w:rPr>
        <w:t xml:space="preserve">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w:t>
      </w:r>
      <w:r w:rsidRPr="00B37812">
        <w:rPr>
          <w:rFonts w:ascii="Times New Roman" w:eastAsia="Calibri" w:hAnsi="Times New Roman" w:cs="Times New Roman"/>
          <w:sz w:val="24"/>
          <w:szCs w:val="24"/>
        </w:rPr>
        <w:t xml:space="preserve">could be attributed to the </w:t>
      </w:r>
      <w:r w:rsidRPr="00B37812">
        <w:rPr>
          <w:rFonts w:ascii="Times New Roman" w:eastAsia="Calibri" w:hAnsi="Times New Roman" w:cs="Times New Roman"/>
          <w:color w:val="000000"/>
          <w:sz w:val="24"/>
          <w:szCs w:val="24"/>
          <w:lang w:eastAsia="en-US"/>
        </w:rPr>
        <w:t xml:space="preserve">differences in molar mass, that might have modified the viscosity of the feed mixture </w:t>
      </w:r>
      <w:hyperlink w:anchor="_ENREF_37" w:tooltip="Samborska, 2015 #1398"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&lt;EndNote&gt;&lt;Cite&gt;&lt;Author&gt;Samborska&lt;/Author&gt;&lt;Year&gt;2015&lt;/Year&gt;&lt;RecNum&gt;1398&lt;/RecNum&gt;&lt;DisplayText&gt;&lt;style face="superscript"&gt;37&lt;/style&gt;&lt;/DisplayText&gt;&lt;record&gt;&lt;rec-number&gt;1398&lt;/rec-number&gt;&lt;foreign-keys&gt;&lt;key app="EN" db-id="5wdx0tztgpfe5yefsdpperx8srzetsx0pw9w" timestamp="1514879773"&gt;1398&lt;/key&gt;&lt;/foreign-keys&gt;&lt;ref-type name="Journal Article"&gt;17&lt;/ref-type&gt;&lt;contributors&gt;&lt;authors&gt;&lt;author&gt;Samborska, Katarzyna&lt;/author&gt;&lt;author&gt;Gajek, Paulina&lt;/author&gt;&lt;author&gt;Kamińska-Dwórznicka, Anna&lt;/author&gt;&lt;/authors&gt;&lt;/contributors&gt;&lt;titles&gt;&lt;title&gt;Spray drying of honey: the effect of drying agents on powder properties&lt;/title&gt;&lt;secondary-title&gt;Polish Journal of Food and Nutrition Sciences&lt;/secondary-title&gt;&lt;/titles&gt;&lt;pages&gt;109-118&lt;/pages&gt;&lt;volume&gt;65&lt;/volume&gt;&lt;number&gt;2&lt;/number&gt;&lt;dates&gt;&lt;year&gt;2015&lt;/year&gt;&lt;/dates&gt;&lt;isbn&gt;2083-6007&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37</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color w:val="000000"/>
          <w:sz w:val="24"/>
          <w:szCs w:val="24"/>
          <w:lang w:eastAsia="en-US"/>
        </w:rPr>
        <w:t xml:space="preserve">. </w:t>
      </w:r>
      <w:r w:rsidRPr="00B37812">
        <w:rPr>
          <w:rFonts w:ascii="Times New Roman" w:eastAsia="Calibri" w:hAnsi="Times New Roman" w:cs="Times New Roman"/>
          <w:sz w:val="24"/>
          <w:szCs w:val="24"/>
        </w:rPr>
        <w:t xml:space="preserve">In this study, the PD was significantly influenced </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by the addition rate of the carrier. In line with </w:t>
      </w:r>
      <w:hyperlink w:anchor="_ENREF_11" w:tooltip="Seerangurayar, 2017 #1374"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AuthorYear="1"&gt;&lt;Author&gt;Seerangurayar&lt;/Author&gt;&lt;Year&gt;2017&lt;/Year&gt;&lt;RecNum&gt;1374&lt;/RecNum&gt;&lt;DisplayText&gt;Seerangurayar et al. &lt;style face="superscript"&gt;11&lt;/style&gt;&lt;/DisplayText&gt;&lt;record&gt;&lt;rec-number&gt;1374&lt;/rec-number&gt;&lt;foreign-keys&gt;&lt;key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Seerangurayar et al. </w:t>
        </w:r>
        <w:r w:rsidR="00E124D1" w:rsidRPr="00B37812">
          <w:rPr>
            <w:rStyle w:val="Hyperlink"/>
            <w:rFonts w:ascii="Times New Roman" w:eastAsia="Calibri" w:hAnsi="Times New Roman" w:cs="Times New Roman"/>
            <w:noProof/>
            <w:sz w:val="24"/>
            <w:szCs w:val="24"/>
            <w:vertAlign w:val="superscript"/>
            <w:lang w:eastAsia="en-US"/>
          </w:rPr>
          <w:t>11</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increasing the concentration of the wall material resulted in lower PD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3</w:t>
      </w:r>
      <w:r w:rsidRPr="00B37812">
        <w:rPr>
          <w:rFonts w:ascii="Times New Roman" w:eastAsia="Calibri" w:hAnsi="Times New Roman" w:cs="Times New Roman"/>
          <w:color w:val="00B0F0"/>
          <w:sz w:val="24"/>
          <w:szCs w:val="24"/>
          <w:lang w:eastAsia="en-US"/>
        </w:rPr>
        <w:t>a</w:t>
      </w:r>
      <w:r w:rsidRPr="00B37812">
        <w:rPr>
          <w:rFonts w:ascii="Times New Roman" w:eastAsia="Calibri" w:hAnsi="Times New Roman" w:cs="Times New Roman"/>
          <w:sz w:val="24"/>
          <w:szCs w:val="24"/>
          <w:lang w:eastAsia="en-US"/>
        </w:rPr>
        <w:t xml:space="preserve">). This might have resulted from the </w:t>
      </w:r>
      <w:r w:rsidRPr="00B37812">
        <w:rPr>
          <w:rFonts w:ascii="Times New Roman" w:eastAsia="Calibri" w:hAnsi="Times New Roman" w:cs="Times New Roman"/>
          <w:color w:val="000000"/>
          <w:sz w:val="24"/>
          <w:szCs w:val="24"/>
          <w:lang w:eastAsia="en-US"/>
        </w:rPr>
        <w:t xml:space="preserve">increment in </w:t>
      </w:r>
      <w:r w:rsidRPr="00B37812">
        <w:rPr>
          <w:rFonts w:ascii="Times New Roman" w:eastAsia="Calibri" w:hAnsi="Times New Roman" w:cs="Times New Roman"/>
          <w:sz w:val="24"/>
          <w:szCs w:val="24"/>
        </w:rPr>
        <w:t>occluded air in the particle,</w:t>
      </w:r>
      <w:r w:rsidRPr="00B37812">
        <w:rPr>
          <w:rFonts w:ascii="Times New Roman" w:eastAsia="Calibri" w:hAnsi="Times New Roman" w:cs="Times New Roman"/>
          <w:sz w:val="24"/>
          <w:szCs w:val="24"/>
          <w:lang w:eastAsia="en-US"/>
        </w:rPr>
        <w:t xml:space="preserve"> due to the increase in feed viscosity which </w:t>
      </w:r>
      <w:r w:rsidR="0046071F" w:rsidRPr="00B37812">
        <w:rPr>
          <w:rFonts w:ascii="Times New Roman" w:eastAsia="Calibri" w:hAnsi="Times New Roman" w:cs="Times New Roman"/>
          <w:sz w:val="24"/>
          <w:szCs w:val="24"/>
          <w:lang w:eastAsia="en-US"/>
        </w:rPr>
        <w:t>could</w:t>
      </w:r>
      <w:r w:rsidRPr="00B37812">
        <w:rPr>
          <w:rFonts w:ascii="Times New Roman" w:eastAsia="Calibri" w:hAnsi="Times New Roman" w:cs="Times New Roman"/>
          <w:sz w:val="24"/>
          <w:szCs w:val="24"/>
          <w:lang w:eastAsia="en-US"/>
        </w:rPr>
        <w:t xml:space="preserve"> have resulted in particulate inflation-ballooning </w:t>
      </w:r>
      <w:r w:rsidRPr="00B37812">
        <w:rPr>
          <w:rFonts w:ascii="Times New Roman" w:eastAsia="Calibri" w:hAnsi="Times New Roman" w:cs="Times New Roman"/>
          <w:sz w:val="24"/>
          <w:szCs w:val="24"/>
          <w:lang w:eastAsia="en-US"/>
        </w:rPr>
        <w:fldChar w:fldCharType="begin"/>
      </w:r>
      <w:r w:rsidR="00E124D1" w:rsidRPr="00B37812">
        <w:rPr>
          <w:rFonts w:ascii="Times New Roman" w:eastAsia="Calibri" w:hAnsi="Times New Roman" w:cs="Times New Roman"/>
          <w:sz w:val="24"/>
          <w:szCs w:val="24"/>
          <w:lang w:eastAsia="en-US"/>
        </w:rPr>
        <w:instrText xml:space="preserve"> ADDIN EN.CITE &lt;EndNote&gt;&lt;Cite&gt;&lt;Author&gt;Bhusari&lt;/Author&gt;&lt;Year&gt;2014&lt;/Year&gt;&lt;RecNum&gt;1329&lt;/RecNum&gt;&lt;DisplayText&gt;&lt;style face="superscript"&gt;38, 39&lt;/style&gt;&lt;/DisplayText&gt;&lt;record&gt;&lt;rec-number&gt;1329&lt;/rec-number&gt;&lt;foreign-keys&gt;&lt;key app="EN" db-id="5wdx0tztgpfe5yefsdpperx8srzetsx0pw9w" timestamp="1510212457"&gt;1329&lt;/key&gt;&lt;/foreign-keys&gt;&lt;ref-type name="Journal Article"&gt;17&lt;/ref-type&gt;&lt;contributors&gt;&lt;authors&gt;&lt;author&gt;Bhusari, SN&lt;/author&gt;&lt;author&gt;Muzaffar, Khalid&lt;/author&gt;&lt;author&gt;Kumar, Pradyuman&lt;/author&gt;&lt;/authors&gt;&lt;/contributors&gt;&lt;titles&gt;&lt;title&gt;Effect of carrier agents on physical and microstructural properties of spray dried tamarind pulp powder&lt;/title&gt;&lt;secondary-title&gt;Powder technology&lt;/secondary-title&gt;&lt;/titles&gt;&lt;periodical&gt;&lt;full-title&gt;Powder Technology&lt;/full-title&gt;&lt;abbr-1&gt;Powder Technol.&lt;/abbr-1&gt;&lt;abbr-2&gt;Powder Technol&lt;/abbr-2&gt;&lt;/periodical&gt;&lt;pages&gt;354-364&lt;/pages&gt;&lt;volume&gt;266&lt;/volume&gt;&lt;dates&gt;&lt;year&gt;2014&lt;/year&gt;&lt;/dates&gt;&lt;isbn&gt;0032-5910&lt;/isbn&gt;&lt;urls&gt;&lt;/urls&gt;&lt;/record&gt;&lt;/Cite&gt;&lt;Cite&gt;&lt;Author&gt;Goula&lt;/Author&gt;&lt;Year&gt;2008&lt;/Year&gt;&lt;RecNum&gt;1358&lt;/RecNum&gt;&lt;record&gt;&lt;rec-number&gt;1358&lt;/rec-number&gt;&lt;foreign-keys&gt;&lt;key app="EN" db-id="5wdx0tztgpfe5yefsdpperx8srzetsx0pw9w" timestamp="1511745088"&gt;1358&lt;/key&gt;&lt;/foreign-keys&gt;&lt;ref-type name="Journal Article"&gt;17&lt;/ref-type&gt;&lt;contributors&gt;&lt;authors&gt;&lt;author&gt;Goula, Athanasia M&lt;/author&gt;&lt;author&gt;Adamopoulos, Konstantinos G&lt;/author&gt;&lt;/authors&gt;&lt;/contributors&gt;&lt;titles&gt;&lt;title&gt;Effect of maltodextrin addition during spray drying of tomato pulp in dehumidified air: II. Powder properties&lt;/title&gt;&lt;secondary-title&gt;Drying Technology&lt;/secondary-title&gt;&lt;/titles&gt;&lt;periodical&gt;&lt;full-title&gt;Drying Technology&lt;/full-title&gt;&lt;abbr-1&gt;Drying Technol.&lt;/abbr-1&gt;&lt;abbr-2&gt;Drying Technol&lt;/abbr-2&gt;&lt;/periodical&gt;&lt;pages&gt;726-737&lt;/pages&gt;&lt;volume&gt;26&lt;/volume&gt;&lt;number&gt;6&lt;/number&gt;&lt;dates&gt;&lt;year&gt;2008&lt;/year&gt;&lt;/dates&gt;&lt;isbn&gt;0737-3937&lt;/isbn&gt;&lt;urls&gt;&lt;/urls&gt;&lt;/record&gt;&lt;/Cite&gt;&lt;/EndNote&gt;</w:instrText>
      </w:r>
      <w:r w:rsidRPr="00B37812">
        <w:rPr>
          <w:rFonts w:ascii="Times New Roman" w:eastAsia="Calibri" w:hAnsi="Times New Roman" w:cs="Times New Roman"/>
          <w:sz w:val="24"/>
          <w:szCs w:val="24"/>
          <w:lang w:eastAsia="en-US"/>
        </w:rPr>
        <w:fldChar w:fldCharType="separate"/>
      </w:r>
      <w:hyperlink w:anchor="_ENREF_38" w:tooltip="Bhusari, 2014 #1329" w:history="1">
        <w:r w:rsidR="00E124D1" w:rsidRPr="00B37812">
          <w:rPr>
            <w:rStyle w:val="Hyperlink"/>
            <w:rFonts w:ascii="Times New Roman" w:eastAsia="Calibri" w:hAnsi="Times New Roman" w:cs="Times New Roman"/>
            <w:noProof/>
            <w:sz w:val="24"/>
            <w:szCs w:val="24"/>
            <w:vertAlign w:val="superscript"/>
            <w:lang w:eastAsia="en-US"/>
          </w:rPr>
          <w:t>38</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39" w:tooltip="Goula, 2008 #1358" w:history="1">
        <w:r w:rsidR="00E124D1" w:rsidRPr="00B37812">
          <w:rPr>
            <w:rStyle w:val="Hyperlink"/>
            <w:rFonts w:ascii="Times New Roman" w:eastAsia="Calibri" w:hAnsi="Times New Roman" w:cs="Times New Roman"/>
            <w:noProof/>
            <w:sz w:val="24"/>
            <w:szCs w:val="24"/>
            <w:vertAlign w:val="superscript"/>
            <w:lang w:eastAsia="en-US"/>
          </w:rPr>
          <w:t>39</w:t>
        </w:r>
      </w:hyperlink>
      <w:r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t xml:space="preserve">. This statement was </w:t>
      </w:r>
      <w:r w:rsidRPr="00B37812">
        <w:rPr>
          <w:rFonts w:ascii="Times New Roman" w:eastAsia="Calibri" w:hAnsi="Times New Roman" w:cs="Times New Roman"/>
          <w:sz w:val="24"/>
          <w:szCs w:val="24"/>
        </w:rPr>
        <w:t xml:space="preserve">buttressed by the significant positive correlation between PS and PD (r = 0.868). </w:t>
      </w:r>
    </w:p>
    <w:p w14:paraId="5044528C" w14:textId="77777777" w:rsidR="00B85163" w:rsidRPr="00B37812" w:rsidRDefault="00B85163" w:rsidP="00A330CD">
      <w:pPr>
        <w:spacing w:after="0" w:line="360" w:lineRule="auto"/>
        <w:ind w:firstLine="720"/>
        <w:jc w:val="both"/>
        <w:rPr>
          <w:rFonts w:ascii="Times New Roman" w:eastAsia="Calibri" w:hAnsi="Times New Roman" w:cs="Times New Roman"/>
          <w:sz w:val="24"/>
          <w:szCs w:val="24"/>
        </w:rPr>
      </w:pPr>
    </w:p>
    <w:p w14:paraId="681F99E7" w14:textId="62ADE65E" w:rsidR="00B85163" w:rsidRPr="00B37812" w:rsidRDefault="00B85163" w:rsidP="00A330CD">
      <w:pPr>
        <w:spacing w:after="0" w:line="360" w:lineRule="auto"/>
        <w:jc w:val="both"/>
        <w:rPr>
          <w:rFonts w:ascii="Times New Roman" w:eastAsia="Calibri" w:hAnsi="Times New Roman" w:cs="Times New Roman"/>
          <w:b/>
          <w:sz w:val="24"/>
          <w:szCs w:val="24"/>
          <w:lang w:eastAsia="en-US"/>
        </w:rPr>
      </w:pPr>
      <w:r w:rsidRPr="00B37812">
        <w:rPr>
          <w:rFonts w:ascii="Times New Roman" w:eastAsia="Calibri" w:hAnsi="Times New Roman" w:cs="Times New Roman"/>
          <w:b/>
          <w:sz w:val="24"/>
          <w:szCs w:val="24"/>
          <w:lang w:eastAsia="en-US"/>
        </w:rPr>
        <w:t>3.2.2. Effect of carrier</w:t>
      </w:r>
      <w:r w:rsidR="00CA5863" w:rsidRPr="00B37812">
        <w:rPr>
          <w:rFonts w:ascii="Times New Roman" w:eastAsia="Calibri" w:hAnsi="Times New Roman" w:cs="Times New Roman"/>
          <w:b/>
          <w:sz w:val="24"/>
          <w:szCs w:val="24"/>
          <w:lang w:eastAsia="en-US"/>
        </w:rPr>
        <w:t xml:space="preserve"> </w:t>
      </w:r>
      <w:r w:rsidR="00CA5863" w:rsidRPr="00B37812">
        <w:rPr>
          <w:rFonts w:ascii="Times New Roman" w:eastAsia="Calibri" w:hAnsi="Times New Roman" w:cs="Times New Roman"/>
          <w:b/>
          <w:bCs/>
          <w:color w:val="000000"/>
          <w:sz w:val="24"/>
          <w:szCs w:val="24"/>
          <w:lang w:eastAsia="en-US"/>
        </w:rPr>
        <w:t>materials</w:t>
      </w:r>
      <w:r w:rsidRPr="00B37812">
        <w:rPr>
          <w:rFonts w:ascii="Times New Roman" w:eastAsia="Calibri" w:hAnsi="Times New Roman" w:cs="Times New Roman"/>
          <w:b/>
          <w:sz w:val="24"/>
          <w:szCs w:val="24"/>
          <w:lang w:eastAsia="en-US"/>
        </w:rPr>
        <w:t xml:space="preserve"> on packing properties</w:t>
      </w:r>
    </w:p>
    <w:p w14:paraId="1F6012FA" w14:textId="77777777" w:rsidR="00B85163" w:rsidRPr="00B37812" w:rsidRDefault="00B85163" w:rsidP="00A330CD">
      <w:pPr>
        <w:spacing w:after="0" w:line="360" w:lineRule="auto"/>
        <w:jc w:val="both"/>
        <w:rPr>
          <w:rFonts w:ascii="Times New Roman" w:eastAsia="Calibri" w:hAnsi="Times New Roman" w:cs="Times New Roman"/>
          <w:b/>
          <w:sz w:val="24"/>
          <w:szCs w:val="24"/>
          <w:lang w:eastAsia="en-US"/>
        </w:rPr>
      </w:pPr>
    </w:p>
    <w:p w14:paraId="43C4D56A" w14:textId="4C4346EB"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The type of encapsulating agent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addition rate of the carrier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and their interaction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0.001 for BD;</w:t>
      </w:r>
      <w:r w:rsidRPr="00B37812">
        <w:rPr>
          <w:rFonts w:ascii="Times New Roman" w:eastAsia="Calibri" w:hAnsi="Times New Roman" w:cs="Times New Roman"/>
          <w:i/>
          <w:sz w:val="24"/>
          <w:szCs w:val="24"/>
          <w:lang w:eastAsia="en-US"/>
        </w:rPr>
        <w:t xml:space="preserve"> p </w:t>
      </w:r>
      <w:r w:rsidRPr="00B37812">
        <w:rPr>
          <w:rFonts w:ascii="Times New Roman" w:eastAsia="Calibri" w:hAnsi="Times New Roman" w:cs="Times New Roman"/>
          <w:sz w:val="24"/>
          <w:szCs w:val="24"/>
          <w:lang w:eastAsia="en-US"/>
        </w:rPr>
        <w:t xml:space="preserve">&lt; 0.0001 for TD) showed significant effect on the BD and the TD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According to </w:t>
      </w:r>
      <w:hyperlink w:anchor="_ENREF_40" w:tooltip="Celli, 2016 #1469"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AuthorYear="1"&gt;&lt;Author&gt;Celli&lt;/Author&gt;&lt;Year&gt;2016&lt;/Year&gt;&lt;RecNum&gt;1469&lt;/RecNum&gt;&lt;DisplayText&gt;Celli et al. &lt;style face="superscript"&gt;40&lt;/style&gt;&lt;/DisplayText&gt;&lt;record&gt;&lt;rec-number&gt;1469&lt;/rec-number&gt;&lt;foreign-keys&gt;&lt;key app="EN" db-id="5wdx0tztgpfe5yefsdpperx8srzetsx0pw9w" timestamp="1521941414"&gt;1469&lt;/key&gt;&lt;/foreign-keys&gt;&lt;ref-type name="Journal Article"&gt;17&lt;/ref-type&gt;&lt;contributors&gt;&lt;authors&gt;&lt;author&gt;Celli, Giovana Bonat&lt;/author&gt;&lt;author&gt;Dibazar, Rojin&lt;/author&gt;&lt;author&gt;Ghanem, Amyl&lt;/author&gt;&lt;author&gt;Brooks, Marianne Su-Ling&lt;/author&gt;&lt;/authors&gt;&lt;/contributors&gt;&lt;titles&gt;&lt;title&gt;Degradation kinetics of anthocyanins in freeze-dried microencapsulates from lowbush blueberries (Vaccinium angustifolium Aiton) and prediction of shelf-life&lt;/title&gt;&lt;secondary-title&gt;Drying technology&lt;/secondary-title&gt;&lt;/titles&gt;&lt;periodical&gt;&lt;full-title&gt;Drying Technology&lt;/full-title&gt;&lt;abbr-1&gt;Drying Technol.&lt;/abbr-1&gt;&lt;abbr-2&gt;Drying Technol&lt;/abbr-2&gt;&lt;/periodical&gt;&lt;pages&gt;1175-1184&lt;/pages&gt;&lt;volume&gt;34&lt;/volume&gt;&lt;number&gt;10&lt;/number&gt;&lt;dates&gt;&lt;year&gt;2016&lt;/year&gt;&lt;/dates&gt;&lt;isbn&gt;0737-3937&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Celli et al. </w:t>
        </w:r>
        <w:r w:rsidR="00E124D1" w:rsidRPr="00B37812">
          <w:rPr>
            <w:rStyle w:val="Hyperlink"/>
            <w:rFonts w:ascii="Times New Roman" w:eastAsia="Calibri" w:hAnsi="Times New Roman" w:cs="Times New Roman"/>
            <w:noProof/>
            <w:sz w:val="24"/>
            <w:szCs w:val="24"/>
            <w:vertAlign w:val="superscript"/>
            <w:lang w:eastAsia="en-US"/>
          </w:rPr>
          <w:t>40</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the </w:t>
      </w:r>
      <w:r w:rsidRPr="00B37812">
        <w:rPr>
          <w:rFonts w:ascii="Times New Roman" w:eastAsia="Calibri" w:hAnsi="Times New Roman" w:cs="Times New Roman"/>
          <w:sz w:val="24"/>
          <w:szCs w:val="24"/>
        </w:rPr>
        <w:t>effect of encapsulating agents on BD may be ascribed to</w:t>
      </w:r>
      <w:r w:rsidRPr="00B37812">
        <w:rPr>
          <w:rFonts w:ascii="Times New Roman" w:eastAsia="Calibri" w:hAnsi="Times New Roman" w:cs="Times New Roman"/>
          <w:color w:val="000000"/>
          <w:sz w:val="24"/>
          <w:szCs w:val="24"/>
          <w:lang w:eastAsia="en-US"/>
        </w:rPr>
        <w:t xml:space="preserve"> their impact on </w:t>
      </w:r>
      <w:r w:rsidRPr="00B37812">
        <w:rPr>
          <w:rFonts w:ascii="Times New Roman" w:eastAsia="Calibri" w:hAnsi="Times New Roman" w:cs="Times New Roman"/>
          <w:sz w:val="24"/>
          <w:szCs w:val="24"/>
          <w:lang w:eastAsia="en-US"/>
        </w:rPr>
        <w:t xml:space="preserve">the crystals formation during lyophilization. As illustrated in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3</w:t>
      </w:r>
      <w:r w:rsidRPr="00B37812">
        <w:rPr>
          <w:rFonts w:ascii="Times New Roman" w:eastAsia="Calibri" w:hAnsi="Times New Roman" w:cs="Times New Roman"/>
          <w:color w:val="00B0F0"/>
          <w:sz w:val="24"/>
          <w:szCs w:val="24"/>
          <w:lang w:eastAsia="en-US"/>
        </w:rPr>
        <w:t>b</w:t>
      </w:r>
      <w:r w:rsidRPr="00B37812">
        <w:rPr>
          <w:rFonts w:ascii="Times New Roman" w:eastAsia="Calibri" w:hAnsi="Times New Roman" w:cs="Times New Roman"/>
          <w:sz w:val="24"/>
          <w:szCs w:val="24"/>
          <w:lang w:eastAsia="en-US"/>
        </w:rPr>
        <w:t xml:space="preserve">, the BD and the TD increased by increasing the proportion of encapsulating agents. </w:t>
      </w:r>
      <w:hyperlink w:anchor="_ENREF_41" w:tooltip="Caliskan, 2016 #1339"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AuthorYear="1"&gt;&lt;Author&gt;Caliskan&lt;/Author&gt;&lt;Year&gt;2016&lt;/Year&gt;&lt;RecNum&gt;1339&lt;/RecNum&gt;&lt;DisplayText&gt;Caliskan et al. &lt;style face="superscript"&gt;41&lt;/style&gt;&lt;/DisplayText&gt;&lt;record&gt;&lt;rec-number&gt;1339&lt;/rec-number&gt;&lt;foreign-keys&gt;&lt;key app="EN" db-id="5wdx0tztgpfe5yefsdpperx8srzetsx0pw9w" timestamp="1511167524"&gt;1339&lt;/key&gt;&lt;/foreign-keys&gt;&lt;ref-type name="Journal Article"&gt;17&lt;/ref-type&gt;&lt;contributors&gt;&lt;authors&gt;&lt;author&gt;Caliskan, Gulsah&lt;/author&gt;&lt;author&gt;Dirim, S Nur&lt;/author&gt;&lt;/authors&gt;&lt;/contributors&gt;&lt;titles&gt;&lt;title&gt;The effect of different drying processes and the amounts of maltodextrin addition on the powder properties of sumac extract powders&lt;/title&gt;&lt;secondary-title&gt;Powder Technology&lt;/secondary-title&gt;&lt;/titles&gt;&lt;periodical&gt;&lt;full-title&gt;Powder Technology&lt;/full-title&gt;&lt;abbr-1&gt;Powder Technol.&lt;/abbr-1&gt;&lt;abbr-2&gt;Powder Technol&lt;/abbr-2&gt;&lt;/periodical&gt;&lt;pages&gt;308-314&lt;/pages&gt;&lt;volume&gt;287&lt;/volume&gt;&lt;dates&gt;&lt;year&gt;2016&lt;/year&gt;&lt;/dates&gt;&lt;isbn&gt;0032-5910&lt;/isbn&gt;&lt;urls&gt;&lt;/urls&gt;&lt;/record&gt;&lt;/Cite&gt;&lt;/EndNote&gt;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Caliskan et al. </w:t>
        </w:r>
        <w:r w:rsidR="00E124D1" w:rsidRPr="00B37812">
          <w:rPr>
            <w:rStyle w:val="Hyperlink"/>
            <w:rFonts w:ascii="Times New Roman" w:eastAsia="Calibri" w:hAnsi="Times New Roman" w:cs="Times New Roman"/>
            <w:noProof/>
            <w:sz w:val="24"/>
            <w:szCs w:val="24"/>
            <w:vertAlign w:val="superscript"/>
            <w:lang w:eastAsia="en-US"/>
          </w:rPr>
          <w:t>41</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reported that the residual MC of freeze dry powder influences the BD, as particulates with higher MC might lead to incomplete dry agglomerate with bigger particles, thus resulting in a lower BD.</w:t>
      </w:r>
      <w:r w:rsidRPr="00B37812">
        <w:rPr>
          <w:rStyle w:val="Hyperlink"/>
          <w:rFonts w:ascii="Times New Roman" w:hAnsi="Times New Roman" w:cs="Times New Roman"/>
          <w:sz w:val="24"/>
          <w:szCs w:val="24"/>
        </w:rPr>
        <w:t xml:space="preserve"> </w:t>
      </w:r>
      <w:r w:rsidRPr="00B37812">
        <w:rPr>
          <w:rStyle w:val="fontstyle01"/>
          <w:rFonts w:ascii="Times New Roman" w:hAnsi="Times New Roman" w:cs="Times New Roman"/>
          <w:sz w:val="24"/>
          <w:szCs w:val="24"/>
        </w:rPr>
        <w:t xml:space="preserve">Furthermore, the </w:t>
      </w:r>
      <w:r w:rsidRPr="00B37812">
        <w:rPr>
          <w:rFonts w:ascii="Times New Roman" w:eastAsia="Calibri" w:hAnsi="Times New Roman" w:cs="Times New Roman"/>
          <w:color w:val="000000"/>
          <w:sz w:val="24"/>
          <w:szCs w:val="24"/>
          <w:lang w:eastAsia="en-US"/>
        </w:rPr>
        <w:t xml:space="preserve">increase </w:t>
      </w:r>
      <w:r w:rsidRPr="00B37812">
        <w:rPr>
          <w:rFonts w:ascii="Times New Roman" w:eastAsia="Calibri" w:hAnsi="Times New Roman" w:cs="Times New Roman"/>
          <w:sz w:val="24"/>
          <w:szCs w:val="24"/>
        </w:rPr>
        <w:t xml:space="preserve">in TD with an </w:t>
      </w:r>
      <w:r w:rsidRPr="00B37812">
        <w:rPr>
          <w:rFonts w:ascii="Times New Roman" w:eastAsia="Calibri" w:hAnsi="Times New Roman" w:cs="Times New Roman"/>
          <w:noProof/>
          <w:sz w:val="24"/>
          <w:szCs w:val="24"/>
        </w:rPr>
        <w:t>increase</w:t>
      </w:r>
      <w:r w:rsidRPr="00B37812">
        <w:rPr>
          <w:rFonts w:ascii="Times New Roman" w:eastAsia="Calibri" w:hAnsi="Times New Roman" w:cs="Times New Roman"/>
          <w:sz w:val="24"/>
          <w:szCs w:val="24"/>
        </w:rPr>
        <w:t xml:space="preserve"> in carrier concentration may be accredited to size enlargement of powder particles, as smaller particles could easily occupy inter-particle voids during tapping </w:t>
      </w:r>
      <w:hyperlink w:anchor="_ENREF_11" w:tooltip="Seerangurayar, 2017 #1374" w:history="1">
        <w:r w:rsidRPr="00B37812">
          <w:rPr>
            <w:rStyle w:val="Hyperlink"/>
            <w:rFonts w:ascii="Times New Roman" w:eastAsia="Calibri" w:hAnsi="Times New Roman" w:cs="Times New Roman"/>
            <w:sz w:val="24"/>
            <w:szCs w:val="24"/>
          </w:rPr>
          <w:fldChar w:fldCharType="begin"/>
        </w:r>
        <w:r w:rsidR="00E124D1" w:rsidRPr="00B37812">
          <w:rPr>
            <w:rStyle w:val="Hyperlink"/>
            <w:rFonts w:ascii="Times New Roman" w:eastAsia="Calibri" w:hAnsi="Times New Roman" w:cs="Times New Roman"/>
            <w:sz w:val="24"/>
            <w:szCs w:val="24"/>
          </w:rPr>
          <w:instrText xml:space="preserve"> ADDIN EN.CITE &lt;EndNote&gt;&lt;Cite&gt;&lt;Author&gt;Seerangurayar&lt;/Author&gt;&lt;Year&gt;2017&lt;/Year&gt;&lt;RecNum&gt;1374&lt;/RecNum&gt;&lt;DisplayText&gt;&lt;style face="superscript"&gt;11&lt;/style&gt;&lt;/DisplayText&gt;&lt;record&gt;&lt;rec-number&gt;1374&lt;/rec-number&gt;&lt;foreign-keys&gt;&lt;key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Style w:val="Hyperlink"/>
            <w:rFonts w:ascii="Times New Roman" w:eastAsia="Calibri" w:hAnsi="Times New Roman" w:cs="Times New Roman"/>
            <w:sz w:val="24"/>
            <w:szCs w:val="24"/>
          </w:rPr>
          <w:fldChar w:fldCharType="separate"/>
        </w:r>
        <w:r w:rsidR="00E124D1" w:rsidRPr="00B37812">
          <w:rPr>
            <w:rStyle w:val="Hyperlink"/>
            <w:rFonts w:ascii="Times New Roman" w:eastAsia="Calibri" w:hAnsi="Times New Roman" w:cs="Times New Roman"/>
            <w:noProof/>
            <w:sz w:val="24"/>
            <w:szCs w:val="24"/>
            <w:vertAlign w:val="superscript"/>
          </w:rPr>
          <w:t>11</w:t>
        </w:r>
        <w:r w:rsidRPr="00B37812">
          <w:rPr>
            <w:rStyle w:val="Hyperlink"/>
            <w:rFonts w:ascii="Times New Roman" w:eastAsia="Calibri" w:hAnsi="Times New Roman" w:cs="Times New Roman"/>
            <w:sz w:val="24"/>
            <w:szCs w:val="24"/>
          </w:rPr>
          <w:fldChar w:fldCharType="end"/>
        </w:r>
      </w:hyperlink>
      <w:r w:rsidRPr="00B37812">
        <w:rPr>
          <w:rFonts w:ascii="Times New Roman" w:eastAsia="Calibri" w:hAnsi="Times New Roman" w:cs="Times New Roman"/>
          <w:sz w:val="24"/>
          <w:szCs w:val="24"/>
        </w:rPr>
        <w:t xml:space="preserve">. These assertions </w:t>
      </w:r>
      <w:r w:rsidRPr="00B37812">
        <w:rPr>
          <w:rFonts w:ascii="Times New Roman" w:eastAsia="Calibri" w:hAnsi="Times New Roman" w:cs="Times New Roman"/>
          <w:color w:val="000000"/>
          <w:sz w:val="24"/>
          <w:szCs w:val="24"/>
          <w:lang w:eastAsia="en-US"/>
        </w:rPr>
        <w:t xml:space="preserve">were buttressed by the significant negative correlations found </w:t>
      </w:r>
      <w:r w:rsidRPr="00B37812">
        <w:rPr>
          <w:rFonts w:ascii="Times New Roman" w:eastAsia="Calibri" w:hAnsi="Times New Roman" w:cs="Times New Roman"/>
          <w:sz w:val="24"/>
          <w:szCs w:val="24"/>
        </w:rPr>
        <w:t>between</w:t>
      </w:r>
      <w:r w:rsidRPr="00B37812">
        <w:rPr>
          <w:rFonts w:ascii="Times New Roman" w:eastAsia="Calibri" w:hAnsi="Times New Roman" w:cs="Times New Roman"/>
          <w:color w:val="000000"/>
          <w:sz w:val="24"/>
          <w:szCs w:val="24"/>
          <w:lang w:eastAsia="en-US"/>
        </w:rPr>
        <w:t xml:space="preserve"> </w:t>
      </w:r>
      <w:r w:rsidRPr="00B37812">
        <w:rPr>
          <w:rStyle w:val="fontstyle01"/>
          <w:rFonts w:ascii="Times New Roman" w:hAnsi="Times New Roman" w:cs="Times New Roman"/>
          <w:sz w:val="24"/>
          <w:szCs w:val="24"/>
        </w:rPr>
        <w:t>MC and BD (r = -0.989)</w:t>
      </w:r>
      <w:r w:rsidRPr="00B37812">
        <w:rPr>
          <w:rFonts w:ascii="Times New Roman" w:eastAsia="Calibri" w:hAnsi="Times New Roman" w:cs="Times New Roman"/>
          <w:color w:val="000000"/>
          <w:sz w:val="24"/>
          <w:szCs w:val="24"/>
          <w:lang w:eastAsia="en-US"/>
        </w:rPr>
        <w:t xml:space="preserve"> as well as PS and TD </w:t>
      </w:r>
      <w:r w:rsidRPr="00B37812">
        <w:rPr>
          <w:rFonts w:ascii="Times New Roman" w:eastAsia="Calibri" w:hAnsi="Times New Roman" w:cs="Times New Roman"/>
          <w:sz w:val="24"/>
          <w:szCs w:val="24"/>
          <w:lang w:eastAsia="en-US"/>
        </w:rPr>
        <w:t>(r = -0.853).</w:t>
      </w:r>
      <w:r w:rsidRPr="00B37812">
        <w:rPr>
          <w:rStyle w:val="fontstyle01"/>
          <w:rFonts w:ascii="Times New Roman" w:hAnsi="Times New Roman" w:cs="Times New Roman"/>
          <w:sz w:val="24"/>
          <w:szCs w:val="24"/>
        </w:rPr>
        <w:t xml:space="preserve"> </w:t>
      </w:r>
    </w:p>
    <w:p w14:paraId="713C201E" w14:textId="7E064DB8"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The wall materials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w:t>
      </w:r>
      <w:r w:rsidR="00AD78D2" w:rsidRPr="00B37812">
        <w:rPr>
          <w:rFonts w:ascii="Times New Roman" w:eastAsia="Calibri" w:hAnsi="Times New Roman" w:cs="Times New Roman"/>
          <w:sz w:val="24"/>
          <w:szCs w:val="24"/>
          <w:lang w:eastAsia="en-US"/>
        </w:rPr>
        <w:t xml:space="preserve">carrier concentration </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and their interactive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effects were found to significantly impact on the HR and the CI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In line with earlier reports </w:t>
      </w:r>
      <w:r w:rsidRPr="00B37812">
        <w:rPr>
          <w:rFonts w:ascii="Times New Roman" w:eastAsia="Calibri" w:hAnsi="Times New Roman" w:cs="Times New Roman"/>
          <w:sz w:val="24"/>
          <w:szCs w:val="24"/>
          <w:lang w:eastAsia="en-US"/>
        </w:rPr>
        <w:fldChar w:fldCharType="begin"/>
      </w:r>
      <w:r w:rsidR="00E124D1" w:rsidRPr="00B37812">
        <w:rPr>
          <w:rFonts w:ascii="Times New Roman" w:eastAsia="Calibri" w:hAnsi="Times New Roman" w:cs="Times New Roman"/>
          <w:sz w:val="24"/>
          <w:szCs w:val="24"/>
          <w:lang w:eastAsia="en-US"/>
        </w:rPr>
        <w:instrText xml:space="preserve"> ADDIN EN.CITE &lt;EndNote&gt;&lt;Cite&gt;&lt;Author&gt;Seerangurayar&lt;/Author&gt;&lt;Year&gt;2017&lt;/Year&gt;&lt;RecNum&gt;1374&lt;/RecNum&gt;&lt;DisplayText&gt;&lt;style face="superscript"&gt;11, 41&lt;/style&gt;&lt;/DisplayText&gt;&lt;record&gt;&lt;rec-number&gt;1374&lt;/rec-number&gt;&lt;foreign-keys&gt;&lt;key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Cite&gt;&lt;Author&gt;Caliskan&lt;/Author&gt;&lt;Year&gt;2016&lt;/Year&gt;&lt;RecNum&gt;1339&lt;/RecNum&gt;&lt;record&gt;&lt;rec-number&gt;1339&lt;/rec-number&gt;&lt;foreign-keys&gt;&lt;key app="EN" db-id="5wdx0tztgpfe5yefsdpperx8srzetsx0pw9w" timestamp="1511167524"&gt;1339&lt;/key&gt;&lt;/foreign-keys&gt;&lt;ref-type name="Journal Article"&gt;17&lt;/ref-type&gt;&lt;contributors&gt;&lt;authors&gt;&lt;author&gt;Caliskan, Gulsah&lt;/author&gt;&lt;author&gt;Dirim, S Nur&lt;/author&gt;&lt;/authors&gt;&lt;/contributors&gt;&lt;titles&gt;&lt;title&gt;The effect of different drying processes and the amounts of maltodextrin addition on the powder properties of sumac extract powders&lt;/title&gt;&lt;secondary-title&gt;Powder Technology&lt;/secondary-title&gt;&lt;/titles&gt;&lt;periodical&gt;&lt;full-title&gt;Powder Technology&lt;/full-title&gt;&lt;abbr-1&gt;Powder Technol.&lt;/abbr-1&gt;&lt;abbr-2&gt;Powder Technol&lt;/abbr-2&gt;&lt;/periodical&gt;&lt;pages&gt;308-314&lt;/pages&gt;&lt;volume&gt;287&lt;/volume&gt;&lt;dates&gt;&lt;year&gt;2016&lt;/year&gt;&lt;/dates&gt;&lt;isbn&gt;0032-5910&lt;/isbn&gt;&lt;urls&gt;&lt;/urls&gt;&lt;/record&gt;&lt;/Cite&gt;&lt;/EndNote&gt;</w:instrText>
      </w:r>
      <w:r w:rsidRPr="00B37812">
        <w:rPr>
          <w:rFonts w:ascii="Times New Roman" w:eastAsia="Calibri" w:hAnsi="Times New Roman" w:cs="Times New Roman"/>
          <w:sz w:val="24"/>
          <w:szCs w:val="24"/>
          <w:lang w:eastAsia="en-US"/>
        </w:rPr>
        <w:fldChar w:fldCharType="separate"/>
      </w:r>
      <w:hyperlink w:anchor="_ENREF_11" w:tooltip="Seerangurayar, 2017 #1374" w:history="1">
        <w:r w:rsidR="00E124D1" w:rsidRPr="00B37812">
          <w:rPr>
            <w:rStyle w:val="Hyperlink"/>
            <w:rFonts w:ascii="Times New Roman" w:eastAsia="Calibri" w:hAnsi="Times New Roman" w:cs="Times New Roman"/>
            <w:noProof/>
            <w:sz w:val="24"/>
            <w:szCs w:val="24"/>
            <w:vertAlign w:val="superscript"/>
            <w:lang w:eastAsia="en-US"/>
          </w:rPr>
          <w:t>11</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41" w:tooltip="Caliskan, 2016 #1339" w:history="1">
        <w:r w:rsidR="00E124D1" w:rsidRPr="00B37812">
          <w:rPr>
            <w:rStyle w:val="Hyperlink"/>
            <w:rFonts w:ascii="Times New Roman" w:eastAsia="Calibri" w:hAnsi="Times New Roman" w:cs="Times New Roman"/>
            <w:noProof/>
            <w:sz w:val="24"/>
            <w:szCs w:val="24"/>
            <w:vertAlign w:val="superscript"/>
            <w:lang w:eastAsia="en-US"/>
          </w:rPr>
          <w:t>41</w:t>
        </w:r>
      </w:hyperlink>
      <w:r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t>, the HR and the CI decreased with increasing addition rate of wall material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3</w:t>
      </w:r>
      <w:r w:rsidRPr="00B37812">
        <w:rPr>
          <w:rFonts w:ascii="Times New Roman" w:eastAsia="Calibri" w:hAnsi="Times New Roman" w:cs="Times New Roman"/>
          <w:color w:val="00B0F0"/>
          <w:sz w:val="24"/>
          <w:szCs w:val="24"/>
          <w:lang w:eastAsia="en-US"/>
        </w:rPr>
        <w:t xml:space="preserve">b </w:t>
      </w:r>
      <w:r w:rsidRPr="00B37812">
        <w:rPr>
          <w:rFonts w:ascii="Times New Roman" w:eastAsia="Calibri" w:hAnsi="Times New Roman" w:cs="Times New Roman"/>
          <w:bCs/>
          <w:color w:val="00B0F0"/>
          <w:sz w:val="24"/>
          <w:szCs w:val="24"/>
          <w:lang w:eastAsia="en-US"/>
        </w:rPr>
        <w:t>&amp; c</w:t>
      </w:r>
      <w:r w:rsidRPr="00B37812">
        <w:rPr>
          <w:rFonts w:ascii="Times New Roman" w:eastAsia="Calibri" w:hAnsi="Times New Roman" w:cs="Times New Roman"/>
          <w:sz w:val="24"/>
          <w:szCs w:val="24"/>
          <w:lang w:eastAsia="en-US"/>
        </w:rPr>
        <w:t xml:space="preserve">). Based on the classification of powder flowability expressed as CI (very bad: &gt;45%, bad: 35-45%, passable: 20-35%, good: 15-20%, and excellent: &lt;15%) and </w:t>
      </w:r>
      <w:r w:rsidRPr="00B37812">
        <w:rPr>
          <w:rFonts w:ascii="Times New Roman" w:hAnsi="Times New Roman" w:cs="Times New Roman"/>
          <w:color w:val="000000"/>
          <w:sz w:val="24"/>
          <w:szCs w:val="24"/>
        </w:rPr>
        <w:t xml:space="preserve">powder cohesiveness </w:t>
      </w:r>
      <w:r w:rsidRPr="00B37812">
        <w:rPr>
          <w:rFonts w:ascii="Times New Roman" w:eastAsia="Calibri" w:hAnsi="Times New Roman" w:cs="Times New Roman"/>
          <w:sz w:val="24"/>
          <w:szCs w:val="24"/>
          <w:lang w:eastAsia="en-US"/>
        </w:rPr>
        <w:t xml:space="preserve">expressed as </w:t>
      </w:r>
      <w:r w:rsidRPr="00B37812">
        <w:rPr>
          <w:rFonts w:ascii="Times New Roman" w:hAnsi="Times New Roman" w:cs="Times New Roman"/>
          <w:color w:val="000000"/>
          <w:sz w:val="24"/>
          <w:szCs w:val="24"/>
        </w:rPr>
        <w:t xml:space="preserve">HR (high: </w:t>
      </w:r>
      <w:r w:rsidRPr="00B37812">
        <w:rPr>
          <w:rFonts w:ascii="Times New Roman" w:eastAsia="Calibri" w:hAnsi="Times New Roman" w:cs="Times New Roman"/>
          <w:sz w:val="24"/>
          <w:szCs w:val="24"/>
          <w:lang w:eastAsia="en-US"/>
        </w:rPr>
        <w:t xml:space="preserve">&gt;1.4, intermediated: 1.2-1.4, and low: &lt;1.2) </w:t>
      </w:r>
      <w:r w:rsidRPr="00B37812">
        <w:rPr>
          <w:rFonts w:ascii="Times New Roman" w:eastAsia="Calibri" w:hAnsi="Times New Roman" w:cs="Times New Roman"/>
          <w:sz w:val="24"/>
          <w:szCs w:val="24"/>
          <w:lang w:eastAsia="en-US"/>
        </w:rPr>
        <w:fldChar w:fldCharType="begin"/>
      </w:r>
      <w:r w:rsidR="00E124D1" w:rsidRPr="00B37812">
        <w:rPr>
          <w:rFonts w:ascii="Times New Roman" w:eastAsia="Calibri" w:hAnsi="Times New Roman" w:cs="Times New Roman"/>
          <w:sz w:val="24"/>
          <w:szCs w:val="24"/>
          <w:lang w:eastAsia="en-US"/>
        </w:rPr>
        <w:instrText xml:space="preserve"> ADDIN EN.CITE &lt;EndNote&gt;&lt;Cite&gt;&lt;Author&gt;Seerangurayar&lt;/Author&gt;&lt;Year&gt;2017&lt;/Year&gt;&lt;RecNum&gt;1374&lt;/RecNum&gt;&lt;DisplayText&gt;&lt;style face="superscript"&gt;11, 41&lt;/style&gt;&lt;/DisplayText&gt;&lt;record&gt;&lt;rec-number&gt;1374&lt;/rec-number&gt;&lt;foreign-keys&gt;&lt;key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Cite&gt;&lt;Author&gt;Caliskan&lt;/Author&gt;&lt;Year&gt;2016&lt;/Year&gt;&lt;RecNum&gt;1339&lt;/RecNum&gt;&lt;record&gt;&lt;rec-number&gt;1339&lt;/rec-number&gt;&lt;foreign-keys&gt;&lt;key app="EN" db-id="5wdx0tztgpfe5yefsdpperx8srzetsx0pw9w" timestamp="1511167524"&gt;1339&lt;/key&gt;&lt;/foreign-keys&gt;&lt;ref-type name="Journal Article"&gt;17&lt;/ref-type&gt;&lt;contributors&gt;&lt;authors&gt;&lt;author&gt;Caliskan, Gulsah&lt;/author&gt;&lt;author&gt;Dirim, S Nur&lt;/author&gt;&lt;/authors&gt;&lt;/contributors&gt;&lt;titles&gt;&lt;title&gt;The effect of different drying processes and the amounts of maltodextrin addition on the powder properties of sumac extract powders&lt;/title&gt;&lt;secondary-title&gt;Powder Technology&lt;/secondary-title&gt;&lt;/titles&gt;&lt;periodical&gt;&lt;full-title&gt;Powder Technology&lt;/full-title&gt;&lt;abbr-1&gt;Powder Technol.&lt;/abbr-1&gt;&lt;abbr-2&gt;Powder Technol&lt;/abbr-2&gt;&lt;/periodical&gt;&lt;pages&gt;308-314&lt;/pages&gt;&lt;volume&gt;287&lt;/volume&gt;&lt;dates&gt;&lt;year&gt;2016&lt;/year&gt;&lt;/dates&gt;&lt;isbn&gt;0032-5910&lt;/isbn&gt;&lt;urls&gt;&lt;/urls&gt;&lt;/record&gt;&lt;/Cite&gt;&lt;/EndNote&gt;</w:instrText>
      </w:r>
      <w:r w:rsidRPr="00B37812">
        <w:rPr>
          <w:rFonts w:ascii="Times New Roman" w:eastAsia="Calibri" w:hAnsi="Times New Roman" w:cs="Times New Roman"/>
          <w:sz w:val="24"/>
          <w:szCs w:val="24"/>
          <w:lang w:eastAsia="en-US"/>
        </w:rPr>
        <w:fldChar w:fldCharType="separate"/>
      </w:r>
      <w:hyperlink w:anchor="_ENREF_11" w:tooltip="Seerangurayar, 2017 #1374" w:history="1">
        <w:r w:rsidR="00E124D1" w:rsidRPr="00B37812">
          <w:rPr>
            <w:rStyle w:val="Hyperlink"/>
            <w:rFonts w:ascii="Times New Roman" w:eastAsia="Calibri" w:hAnsi="Times New Roman" w:cs="Times New Roman"/>
            <w:noProof/>
            <w:sz w:val="24"/>
            <w:szCs w:val="24"/>
            <w:vertAlign w:val="superscript"/>
            <w:lang w:eastAsia="en-US"/>
          </w:rPr>
          <w:t>11</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41" w:tooltip="Caliskan, 2016 #1339" w:history="1">
        <w:r w:rsidR="00E124D1" w:rsidRPr="00B37812">
          <w:rPr>
            <w:rStyle w:val="Hyperlink"/>
            <w:rFonts w:ascii="Times New Roman" w:eastAsia="Calibri" w:hAnsi="Times New Roman" w:cs="Times New Roman"/>
            <w:noProof/>
            <w:sz w:val="24"/>
            <w:szCs w:val="24"/>
            <w:vertAlign w:val="superscript"/>
            <w:lang w:eastAsia="en-US"/>
          </w:rPr>
          <w:t>41</w:t>
        </w:r>
      </w:hyperlink>
      <w:r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t xml:space="preserve">, the </w:t>
      </w:r>
      <w:r w:rsidRPr="00B37812">
        <w:rPr>
          <w:rFonts w:ascii="Times New Roman" w:eastAsia="Calibri" w:hAnsi="Times New Roman" w:cs="Times New Roman"/>
          <w:bCs/>
          <w:sz w:val="24"/>
          <w:szCs w:val="24"/>
          <w:lang w:eastAsia="en-US"/>
        </w:rPr>
        <w:t xml:space="preserve">ENP </w:t>
      </w:r>
      <w:r w:rsidRPr="00B37812">
        <w:rPr>
          <w:rFonts w:ascii="Times New Roman" w:eastAsia="Calibri" w:hAnsi="Times New Roman" w:cs="Times New Roman"/>
          <w:sz w:val="24"/>
          <w:szCs w:val="24"/>
          <w:lang w:eastAsia="en-US"/>
        </w:rPr>
        <w:t xml:space="preserve"> were found to be highly cohesive with fair flowability. According to </w:t>
      </w:r>
      <w:hyperlink w:anchor="_ENREF_41" w:tooltip="Caliskan, 2016 #1339"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AuthorYear="1"&gt;&lt;Author&gt;Caliskan&lt;/Author&gt;&lt;Year&gt;2016&lt;/Year&gt;&lt;RecNum&gt;1339&lt;/RecNum&gt;&lt;DisplayText&gt;Caliskan et al. &lt;style face="superscript"&gt;41&lt;/style&gt;&lt;/DisplayText&gt;&lt;record&gt;&lt;rec-number&gt;1339&lt;/rec-number&gt;&lt;foreign-keys&gt;&lt;key app="EN" db-id="5wdx0tztgpfe5yefsdpperx8srzetsx0pw9w" timestamp="1511167524"&gt;1339&lt;/key&gt;&lt;/foreign-keys&gt;&lt;ref-type name="Journal Article"&gt;17&lt;/ref-type&gt;&lt;contributors&gt;&lt;authors&gt;&lt;author&gt;Caliskan, Gulsah&lt;/author&gt;&lt;author&gt;Dirim, S Nur&lt;/author&gt;&lt;/authors&gt;&lt;/contributors&gt;&lt;titles&gt;&lt;title&gt;The effect of different drying processes and the amounts of maltodextrin addition on the powder properties of sumac extract powders&lt;/title&gt;&lt;secondary-title&gt;Powder Technology&lt;/secondary-title&gt;&lt;/titles&gt;&lt;periodical&gt;&lt;full-title&gt;Powder Technology&lt;/full-title&gt;&lt;abbr-1&gt;Powder Technol.&lt;/abbr-1&gt;&lt;abbr-2&gt;Powder Technol&lt;/abbr-2&gt;&lt;/periodical&gt;&lt;pages&gt;308-314&lt;/pages&gt;&lt;volume&gt;287&lt;/volume&gt;&lt;dates&gt;&lt;year&gt;2016&lt;/year&gt;&lt;/dates&gt;&lt;isbn&gt;0032-5910&lt;/isbn&gt;&lt;urls&gt;&lt;/urls&gt;&lt;/record&gt;&lt;/Cite&gt;&lt;/EndNote&gt;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Caliskan et al. </w:t>
        </w:r>
        <w:r w:rsidR="00E124D1" w:rsidRPr="00B37812">
          <w:rPr>
            <w:rStyle w:val="Hyperlink"/>
            <w:rFonts w:ascii="Times New Roman" w:eastAsia="Calibri" w:hAnsi="Times New Roman" w:cs="Times New Roman"/>
            <w:noProof/>
            <w:sz w:val="24"/>
            <w:szCs w:val="24"/>
            <w:vertAlign w:val="superscript"/>
            <w:lang w:eastAsia="en-US"/>
          </w:rPr>
          <w:t>41</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the increase in flowability properties of lyophilized powder could be ascribed to the impact of the encapsulating agents on the MC. Moreover, the increase in PS which is </w:t>
      </w:r>
      <w:r w:rsidRPr="00B37812">
        <w:rPr>
          <w:rFonts w:ascii="Times New Roman" w:hAnsi="Times New Roman" w:cs="Times New Roman"/>
          <w:color w:val="000000"/>
          <w:sz w:val="24"/>
          <w:szCs w:val="24"/>
        </w:rPr>
        <w:t xml:space="preserve">related to molar masses </w:t>
      </w:r>
      <w:r w:rsidRPr="00B37812">
        <w:rPr>
          <w:rFonts w:ascii="Times New Roman" w:eastAsia="Calibri" w:hAnsi="Times New Roman" w:cs="Times New Roman"/>
          <w:sz w:val="24"/>
          <w:szCs w:val="24"/>
        </w:rPr>
        <w:t>of carrier</w:t>
      </w:r>
      <w:r w:rsidRPr="00B37812">
        <w:rPr>
          <w:rFonts w:ascii="Times New Roman" w:hAnsi="Times New Roman" w:cs="Times New Roman"/>
          <w:color w:val="000000"/>
          <w:sz w:val="24"/>
          <w:szCs w:val="24"/>
        </w:rPr>
        <w:t xml:space="preserve"> tends to reduce the cohesion due to the reduction of particle surface area per unit mass, thus inducing lower surface area for inter-particle interactions and bonding, thereby lessening HR and resulting in an upsurge in CI </w:t>
      </w:r>
      <w:hyperlink w:anchor="_ENREF_38" w:tooltip="Bhusari, 2014 #1329"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&lt;EndNote&gt;&lt;Cite&gt;&lt;Author&gt;Bhusari&lt;/Author&gt;&lt;Year&gt;2014&lt;/Year&gt;&lt;RecNum&gt;1329&lt;/RecNum&gt;&lt;DisplayText&gt;&lt;style face="superscript"&gt;38&lt;/style&gt;&lt;/DisplayText&gt;&lt;record&gt;&lt;rec-number&gt;1329&lt;/rec-number&gt;&lt;foreign-keys&gt;&lt;key app="EN" db-id="5wdx0tztgpfe5yefsdpperx8srzetsx0pw9w" timestamp="1510212457"&gt;1329&lt;/key&gt;&lt;/foreign-keys&gt;&lt;ref-type name="Journal Article"&gt;17&lt;/ref-type&gt;&lt;contributors&gt;&lt;authors&gt;&lt;author&gt;Bhusari, SN&lt;/author&gt;&lt;author&gt;Muzaffar, Khalid&lt;/author&gt;&lt;author&gt;Kumar, Pradyuman&lt;/author&gt;&lt;/authors&gt;&lt;/contributors&gt;&lt;titles&gt;&lt;title&gt;Effect of carrier agents on physical and microstructural properties of spray dried tamarind pulp powder&lt;/title&gt;&lt;secondary-title&gt;Powder technology&lt;/secondary-title&gt;&lt;/titles&gt;&lt;periodical&gt;&lt;full-title&gt;Powder Technology&lt;/full-title&gt;&lt;abbr-1&gt;Powder Technol.&lt;/abbr-1&gt;&lt;abbr-2&gt;Powder Technol&lt;/abbr-2&gt;&lt;/periodical&gt;&lt;pages&gt;354-364&lt;/pages&gt;&lt;volume&gt;266&lt;/volume&gt;&lt;dates&gt;&lt;year&gt;2014&lt;/year&gt;&lt;/dates&gt;&lt;isbn&gt;0032-5910&lt;/isbn&gt;&lt;urls&gt;&lt;/urls&gt;&lt;/record&gt;&lt;/Cite&gt;&lt;/EndNote&gt;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vertAlign w:val="superscript"/>
          </w:rPr>
          <w:t>38</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color w:val="000000"/>
          <w:sz w:val="24"/>
          <w:szCs w:val="24"/>
        </w:rPr>
        <w:t xml:space="preserve">. </w:t>
      </w:r>
      <w:r w:rsidRPr="00B37812">
        <w:rPr>
          <w:rFonts w:ascii="Times New Roman" w:eastAsia="Calibri" w:hAnsi="Times New Roman" w:cs="Times New Roman"/>
          <w:sz w:val="24"/>
          <w:szCs w:val="24"/>
          <w:lang w:eastAsia="en-US"/>
        </w:rPr>
        <w:t xml:space="preserve">These statements were supported by the significant positive correlation </w:t>
      </w:r>
      <w:r w:rsidRPr="00B37812">
        <w:rPr>
          <w:rFonts w:ascii="Times New Roman" w:eastAsia="Calibri" w:hAnsi="Times New Roman" w:cs="Times New Roman"/>
          <w:sz w:val="24"/>
          <w:szCs w:val="24"/>
        </w:rPr>
        <w:t>between</w:t>
      </w:r>
      <w:r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sz w:val="24"/>
          <w:szCs w:val="24"/>
        </w:rPr>
        <w:t>MC (r = 0.975; 0.972) and PS (r = 0.834; 0.833) with HR and CI, respectively.</w:t>
      </w:r>
    </w:p>
    <w:p w14:paraId="2AA90C38" w14:textId="0A43129C" w:rsidR="00B85163" w:rsidRPr="00B37812" w:rsidRDefault="00B85163" w:rsidP="00A330CD">
      <w:pPr>
        <w:spacing w:after="0" w:line="360" w:lineRule="auto"/>
        <w:ind w:firstLine="720"/>
        <w:jc w:val="both"/>
        <w:rPr>
          <w:rFonts w:ascii="Times New Roman" w:eastAsia="Calibri" w:hAnsi="Times New Roman" w:cs="Times New Roman"/>
          <w:color w:val="000000"/>
          <w:sz w:val="24"/>
          <w:szCs w:val="24"/>
          <w:lang w:eastAsia="en-US"/>
        </w:rPr>
      </w:pPr>
      <w:r w:rsidRPr="00B37812">
        <w:rPr>
          <w:rFonts w:ascii="Times New Roman" w:eastAsia="Calibri" w:hAnsi="Times New Roman" w:cs="Times New Roman"/>
          <w:sz w:val="24"/>
          <w:szCs w:val="24"/>
          <w:lang w:eastAsia="en-US"/>
        </w:rPr>
        <w:t>The type of wall material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w:t>
      </w:r>
      <w:r w:rsidR="00AD78D2" w:rsidRPr="00B37812">
        <w:rPr>
          <w:rFonts w:ascii="Times New Roman" w:eastAsia="Calibri" w:hAnsi="Times New Roman" w:cs="Times New Roman"/>
          <w:sz w:val="24"/>
          <w:szCs w:val="24"/>
          <w:lang w:eastAsia="en-US"/>
        </w:rPr>
        <w:t xml:space="preserve">addition rate of the carrier </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and their interaction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0.05) significantly impacted on the PO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w:t>
      </w:r>
      <w:r w:rsidRPr="00B37812">
        <w:rPr>
          <w:rFonts w:ascii="Times New Roman" w:hAnsi="Times New Roman" w:cs="Times New Roman"/>
          <w:color w:val="000000"/>
          <w:sz w:val="24"/>
          <w:szCs w:val="24"/>
        </w:rPr>
        <w:t xml:space="preserve">PO is associated with BD because it assesses the fraction of total volume which is occupied by air </w:t>
      </w:r>
      <w:r w:rsidRPr="00B37812">
        <w:rPr>
          <w:rFonts w:ascii="Times New Roman" w:hAnsi="Times New Roman" w:cs="Times New Roman"/>
          <w:color w:val="000000"/>
          <w:sz w:val="24"/>
          <w:szCs w:val="24"/>
        </w:rPr>
        <w:fldChar w:fldCharType="begin">
          <w:fldData xml:space="preserve">PEVuZE5vdGU+PENpdGU+PEF1dGhvcj5TZWVyYW5ndXJheWFyPC9BdXRob3I+PFllYXI+MjAxNzwv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=
</w:fldData>
        </w:fldChar>
      </w:r>
      <w:r w:rsidR="00E124D1" w:rsidRPr="00B37812">
        <w:rPr>
          <w:rFonts w:ascii="Times New Roman" w:hAnsi="Times New Roman" w:cs="Times New Roman"/>
          <w:color w:val="000000"/>
          <w:sz w:val="24"/>
          <w:szCs w:val="24"/>
        </w:rPr>
        <w:instrText xml:space="preserve"> ADDIN EN.CITE </w:instrText>
      </w:r>
      <w:r w:rsidR="00E124D1" w:rsidRPr="00B37812">
        <w:rPr>
          <w:rFonts w:ascii="Times New Roman" w:hAnsi="Times New Roman" w:cs="Times New Roman"/>
          <w:color w:val="000000"/>
          <w:sz w:val="24"/>
          <w:szCs w:val="24"/>
        </w:rPr>
        <w:fldChar w:fldCharType="begin">
          <w:fldData xml:space="preserve">PEVuZE5vdGU+PENpdGU+PEF1dGhvcj5TZWVyYW5ndXJheWFyPC9BdXRob3I+PFllYXI+MjAxNzwv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=
</w:fldData>
        </w:fldChar>
      </w:r>
      <w:r w:rsidR="00E124D1" w:rsidRPr="00B37812">
        <w:rPr>
          <w:rFonts w:ascii="Times New Roman" w:hAnsi="Times New Roman" w:cs="Times New Roman"/>
          <w:color w:val="000000"/>
          <w:sz w:val="24"/>
          <w:szCs w:val="24"/>
        </w:rPr>
        <w:instrText xml:space="preserve"> ADDIN EN.CITE.DATA </w:instrText>
      </w:r>
      <w:r w:rsidR="00E124D1" w:rsidRPr="00B37812">
        <w:rPr>
          <w:rFonts w:ascii="Times New Roman" w:hAnsi="Times New Roman" w:cs="Times New Roman"/>
          <w:color w:val="000000"/>
          <w:sz w:val="24"/>
          <w:szCs w:val="24"/>
        </w:rPr>
      </w:r>
      <w:r w:rsidR="00E124D1" w:rsidRPr="00B37812">
        <w:rPr>
          <w:rFonts w:ascii="Times New Roman" w:hAnsi="Times New Roman" w:cs="Times New Roman"/>
          <w:color w:val="000000"/>
          <w:sz w:val="24"/>
          <w:szCs w:val="24"/>
        </w:rPr>
        <w:fldChar w:fldCharType="end"/>
      </w:r>
      <w:r w:rsidRPr="00B37812">
        <w:rPr>
          <w:rFonts w:ascii="Times New Roman" w:hAnsi="Times New Roman" w:cs="Times New Roman"/>
          <w:color w:val="000000"/>
          <w:sz w:val="24"/>
          <w:szCs w:val="24"/>
        </w:rPr>
      </w:r>
      <w:r w:rsidRPr="00B37812">
        <w:rPr>
          <w:rFonts w:ascii="Times New Roman" w:hAnsi="Times New Roman" w:cs="Times New Roman"/>
          <w:color w:val="000000"/>
          <w:sz w:val="24"/>
          <w:szCs w:val="24"/>
        </w:rPr>
        <w:fldChar w:fldCharType="separate"/>
      </w:r>
      <w:hyperlink w:anchor="_ENREF_11" w:tooltip="Seerangurayar, 2017 #1374" w:history="1">
        <w:r w:rsidR="00E124D1" w:rsidRPr="00B37812">
          <w:rPr>
            <w:rStyle w:val="Hyperlink"/>
            <w:rFonts w:ascii="Times New Roman" w:hAnsi="Times New Roman" w:cs="Times New Roman"/>
            <w:noProof/>
            <w:sz w:val="24"/>
            <w:szCs w:val="24"/>
            <w:vertAlign w:val="superscript"/>
          </w:rPr>
          <w:t>11</w:t>
        </w:r>
      </w:hyperlink>
      <w:r w:rsidR="00E124D1" w:rsidRPr="00B37812">
        <w:rPr>
          <w:rFonts w:ascii="Times New Roman" w:hAnsi="Times New Roman" w:cs="Times New Roman"/>
          <w:noProof/>
          <w:color w:val="000000"/>
          <w:sz w:val="24"/>
          <w:szCs w:val="24"/>
          <w:vertAlign w:val="superscript"/>
        </w:rPr>
        <w:t xml:space="preserve">, </w:t>
      </w:r>
      <w:hyperlink w:anchor="_ENREF_42" w:tooltip="Ferrari, 2012 #1379" w:history="1">
        <w:r w:rsidR="00E124D1" w:rsidRPr="00B37812">
          <w:rPr>
            <w:rStyle w:val="Hyperlink"/>
            <w:rFonts w:ascii="Times New Roman" w:hAnsi="Times New Roman" w:cs="Times New Roman"/>
            <w:noProof/>
            <w:sz w:val="24"/>
            <w:szCs w:val="24"/>
            <w:vertAlign w:val="superscript"/>
          </w:rPr>
          <w:t>42</w:t>
        </w:r>
      </w:hyperlink>
      <w:r w:rsidRPr="00B37812">
        <w:rPr>
          <w:rFonts w:ascii="Times New Roman" w:hAnsi="Times New Roman" w:cs="Times New Roman"/>
          <w:color w:val="000000"/>
          <w:sz w:val="24"/>
          <w:szCs w:val="24"/>
        </w:rPr>
        <w:fldChar w:fldCharType="end"/>
      </w:r>
      <w:r w:rsidRPr="00B37812">
        <w:rPr>
          <w:rFonts w:ascii="Times New Roman" w:hAnsi="Times New Roman" w:cs="Times New Roman"/>
          <w:color w:val="000000"/>
          <w:sz w:val="24"/>
          <w:szCs w:val="24"/>
        </w:rPr>
        <w:t xml:space="preserve">. According, to </w:t>
      </w:r>
      <w:hyperlink w:anchor="_ENREF_11" w:tooltip="Seerangurayar, 2017 #1374"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 AuthorYear="1"&gt;&lt;Author&gt;Seerangurayar&lt;/Author&gt;&lt;Year&gt;2017&lt;/Year&gt;&lt;RecNum&gt;1374&lt;/RecNum&gt;&lt;DisplayText&gt;Seerangurayar et al. &lt;style face="superscript"&gt;11&lt;/style&gt;&lt;/DisplayText&gt;&lt;record&gt;&lt;rec-number&gt;1374&lt;/rec-number&gt;&lt;foreign-keys&gt;&lt;key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rPr>
          <w:t xml:space="preserve">Seerangurayar et al. </w:t>
        </w:r>
        <w:r w:rsidR="00E124D1" w:rsidRPr="00B37812">
          <w:rPr>
            <w:rStyle w:val="Hyperlink"/>
            <w:rFonts w:ascii="Times New Roman" w:hAnsi="Times New Roman" w:cs="Times New Roman"/>
            <w:noProof/>
            <w:sz w:val="24"/>
            <w:szCs w:val="24"/>
            <w:vertAlign w:val="superscript"/>
          </w:rPr>
          <w:t>11</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color w:val="000000"/>
          <w:sz w:val="24"/>
          <w:szCs w:val="24"/>
        </w:rPr>
        <w:t xml:space="preserve">, an opposite relationship between PO and BD indicates that the amount of air incorporates into the feed mixture promoted air accumulation within the dried particles, thereby making them more porous </w:t>
      </w:r>
      <w:hyperlink w:anchor="_ENREF_11" w:tooltip="Seerangurayar, 2017 #1374"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&lt;EndNote&gt;&lt;Cite&gt;&lt;Author&gt;Seerangurayar&lt;/Author&gt;&lt;Year&gt;2017&lt;/Year&gt;&lt;RecNum&gt;1374&lt;/RecNum&gt;&lt;DisplayText&gt;&lt;style face="superscript"&gt;11&lt;/style&gt;&lt;/DisplayText&gt;&lt;record&gt;&lt;rec-number&gt;1374&lt;/rec-number&gt;&lt;foreign-keys&gt;&lt;key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vertAlign w:val="superscript"/>
          </w:rPr>
          <w:t>11</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color w:val="000000"/>
          <w:sz w:val="24"/>
          <w:szCs w:val="24"/>
        </w:rPr>
        <w:t xml:space="preserve">. Therefore, the effect of the carrier </w:t>
      </w:r>
      <w:r w:rsidRPr="00B37812">
        <w:rPr>
          <w:rFonts w:ascii="Times New Roman" w:hAnsi="Times New Roman" w:cs="Times New Roman"/>
          <w:noProof/>
          <w:color w:val="000000"/>
          <w:sz w:val="24"/>
          <w:szCs w:val="24"/>
        </w:rPr>
        <w:t>type</w:t>
      </w:r>
      <w:r w:rsidRPr="00B37812">
        <w:rPr>
          <w:rFonts w:ascii="Times New Roman" w:hAnsi="Times New Roman" w:cs="Times New Roman"/>
          <w:color w:val="000000"/>
          <w:sz w:val="24"/>
          <w:szCs w:val="24"/>
        </w:rPr>
        <w:t xml:space="preserve"> on the PO may be credited to their skin-forming </w:t>
      </w:r>
      <w:r w:rsidRPr="00B37812">
        <w:rPr>
          <w:rFonts w:ascii="Times New Roman" w:hAnsi="Times New Roman" w:cs="Times New Roman"/>
          <w:sz w:val="24"/>
          <w:szCs w:val="24"/>
        </w:rPr>
        <w:t xml:space="preserve">abilities. This statement was supported by the significant negative correlation </w:t>
      </w:r>
      <w:r w:rsidRPr="00B37812">
        <w:rPr>
          <w:rFonts w:ascii="Times New Roman" w:eastAsia="Calibri" w:hAnsi="Times New Roman" w:cs="Times New Roman"/>
          <w:sz w:val="24"/>
          <w:szCs w:val="24"/>
        </w:rPr>
        <w:t>between</w:t>
      </w:r>
      <w:r w:rsidRPr="00B37812">
        <w:rPr>
          <w:rFonts w:ascii="Times New Roman" w:hAnsi="Times New Roman" w:cs="Times New Roman"/>
          <w:sz w:val="24"/>
          <w:szCs w:val="24"/>
        </w:rPr>
        <w:t xml:space="preserve"> PO and BD (r = -0.994). Moreover, as mentioned above the ice crystal size related to the type of carrier has been reported to be associated with the PO </w:t>
      </w:r>
      <w:hyperlink w:anchor="_ENREF_40" w:tooltip="Celli, 2016 #1469"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&lt;EndNote&gt;&lt;Cite&gt;&lt;Author&gt;Celli&lt;/Author&gt;&lt;Year&gt;2016&lt;/Year&gt;&lt;RecNum&gt;1469&lt;/RecNum&gt;&lt;DisplayText&gt;&lt;style face="superscript"&gt;40&lt;/style&gt;&lt;/DisplayText&gt;&lt;record&gt;&lt;rec-number&gt;1469&lt;/rec-number&gt;&lt;foreign-keys&gt;&lt;key app="EN" db-id="5wdx0tztgpfe5yefsdpperx8srzetsx0pw9w" timestamp="1521941414"&gt;1469&lt;/key&gt;&lt;/foreign-keys&gt;&lt;ref-type name="Journal Article"&gt;17&lt;/ref-type&gt;&lt;contributors&gt;&lt;authors&gt;&lt;author&gt;Celli, Giovana Bonat&lt;/author&gt;&lt;author&gt;Dibazar, Rojin&lt;/author&gt;&lt;author&gt;Ghanem, Amyl&lt;/author&gt;&lt;author&gt;Brooks, Marianne Su-Ling&lt;/author&gt;&lt;/authors&gt;&lt;/contributors&gt;&lt;titles&gt;&lt;title&gt;Degradation kinetics of anthocyanins in freeze-dried microencapsulates from lowbush blueberries (Vaccinium angustifolium Aiton) and prediction of shelf-life&lt;/title&gt;&lt;secondary-title&gt;Drying technology&lt;/secondary-title&gt;&lt;/titles&gt;&lt;periodical&gt;&lt;full-title&gt;Drying Technology&lt;/full-title&gt;&lt;abbr-1&gt;Drying Technol.&lt;/abbr-1&gt;&lt;abbr-2&gt;Drying Technol&lt;/abbr-2&gt;&lt;/periodical&gt;&lt;pages&gt;1175-1184&lt;/pages&gt;&lt;volume&gt;34&lt;/volume&gt;&lt;number&gt;10&lt;/number&gt;&lt;dates&gt;&lt;year&gt;2016&lt;/year&gt;&lt;/dates&gt;&lt;isbn&gt;0737-3937&lt;/isbn&gt;&lt;urls&gt;&lt;/urls&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vertAlign w:val="superscript"/>
          </w:rPr>
          <w:t>40</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sz w:val="24"/>
          <w:szCs w:val="24"/>
        </w:rPr>
        <w:t xml:space="preserve">. Hence, as shown in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3</w:t>
      </w:r>
      <w:r w:rsidRPr="00B37812">
        <w:rPr>
          <w:rFonts w:ascii="Times New Roman" w:eastAsia="Calibri" w:hAnsi="Times New Roman" w:cs="Times New Roman"/>
          <w:color w:val="00B0F0"/>
          <w:sz w:val="24"/>
          <w:szCs w:val="24"/>
          <w:lang w:eastAsia="en-US"/>
        </w:rPr>
        <w:t>c</w:t>
      </w:r>
      <w:r w:rsidRPr="00B37812">
        <w:rPr>
          <w:rFonts w:ascii="Times New Roman" w:eastAsia="Calibri" w:hAnsi="Times New Roman" w:cs="Times New Roman"/>
          <w:i/>
          <w:sz w:val="24"/>
          <w:szCs w:val="24"/>
          <w:lang w:eastAsia="en-US"/>
        </w:rPr>
        <w:t>,</w:t>
      </w:r>
      <w:r w:rsidRPr="00B37812">
        <w:rPr>
          <w:rFonts w:ascii="Times New Roman" w:eastAsia="Calibri" w:hAnsi="Times New Roman" w:cs="Times New Roman"/>
          <w:sz w:val="24"/>
          <w:szCs w:val="24"/>
          <w:lang w:eastAsia="en-US"/>
        </w:rPr>
        <w:t xml:space="preserve"> increasing carrier concentration led in a decrease in PO</w:t>
      </w:r>
      <w:r w:rsidRPr="00B37812">
        <w:rPr>
          <w:rFonts w:ascii="Times New Roman" w:eastAsia="Calibri" w:hAnsi="Times New Roman" w:cs="Times New Roman"/>
          <w:sz w:val="24"/>
          <w:szCs w:val="24"/>
        </w:rPr>
        <w:t xml:space="preserve">. According to </w:t>
      </w:r>
      <w:hyperlink w:anchor="_ENREF_11" w:tooltip="Seerangurayar, 2017 #1374"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 AuthorYear="1"&gt;&lt;Author&gt;Seerangurayar&lt;/Author&gt;&lt;Year&gt;2017&lt;/Year&gt;&lt;RecNum&gt;1374&lt;/RecNum&gt;&lt;DisplayText&gt;Seerangurayar et al. &lt;style face="superscript"&gt;11&lt;/style&gt;&lt;/DisplayText&gt;&lt;record&gt;&lt;rec-number&gt;1374&lt;/rec-number&gt;&lt;foreign-keys&gt;&lt;key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rPr>
          <w:t xml:space="preserve">Seerangurayar et al. </w:t>
        </w:r>
        <w:r w:rsidR="00E124D1" w:rsidRPr="00B37812">
          <w:rPr>
            <w:rStyle w:val="Hyperlink"/>
            <w:rFonts w:ascii="Times New Roman" w:hAnsi="Times New Roman" w:cs="Times New Roman"/>
            <w:noProof/>
            <w:sz w:val="24"/>
            <w:szCs w:val="24"/>
            <w:vertAlign w:val="superscript"/>
          </w:rPr>
          <w:t>11</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sz w:val="24"/>
          <w:szCs w:val="24"/>
        </w:rPr>
        <w:t xml:space="preserve">, </w:t>
      </w:r>
      <w:r w:rsidRPr="00B37812">
        <w:rPr>
          <w:rFonts w:ascii="Times New Roman" w:eastAsia="Calibri" w:hAnsi="Times New Roman" w:cs="Times New Roman"/>
          <w:sz w:val="24"/>
          <w:szCs w:val="24"/>
          <w:lang w:eastAsia="en-US"/>
        </w:rPr>
        <w:t>high level of the carrier can cause substantially size enlargement and heavier particles, whereof filling the void spaces between agglomerate</w:t>
      </w:r>
      <w:r w:rsidRPr="00B37812">
        <w:rPr>
          <w:rFonts w:ascii="Times New Roman" w:eastAsia="Calibri" w:hAnsi="Times New Roman" w:cs="Times New Roman"/>
          <w:sz w:val="24"/>
          <w:szCs w:val="24"/>
        </w:rPr>
        <w:t xml:space="preserve">. </w:t>
      </w:r>
    </w:p>
    <w:p w14:paraId="63E87FDF" w14:textId="11F5438D" w:rsidR="00E079A1" w:rsidRPr="00B37812" w:rsidRDefault="00E079A1" w:rsidP="00A330CD">
      <w:pPr>
        <w:spacing w:after="0" w:line="360" w:lineRule="auto"/>
        <w:ind w:firstLine="720"/>
        <w:jc w:val="both"/>
        <w:rPr>
          <w:rFonts w:ascii="Times New Roman" w:hAnsi="Times New Roman" w:cs="Times New Roman"/>
          <w:color w:val="000000"/>
          <w:sz w:val="24"/>
          <w:szCs w:val="24"/>
        </w:rPr>
      </w:pPr>
    </w:p>
    <w:p w14:paraId="092D455D" w14:textId="5CA02BF6" w:rsidR="00E079A1" w:rsidRPr="00B37812" w:rsidRDefault="00E079A1" w:rsidP="00A330CD">
      <w:pPr>
        <w:spacing w:after="0" w:line="360" w:lineRule="auto"/>
        <w:ind w:firstLine="720"/>
        <w:jc w:val="both"/>
        <w:rPr>
          <w:rFonts w:ascii="Times New Roman" w:hAnsi="Times New Roman" w:cs="Times New Roman"/>
          <w:color w:val="000000"/>
          <w:sz w:val="24"/>
          <w:szCs w:val="24"/>
        </w:rPr>
        <w:sectPr w:rsidR="00E079A1" w:rsidRPr="00B37812" w:rsidSect="002C02A7">
          <w:pgSz w:w="12240" w:h="15840"/>
          <w:pgMar w:top="1440" w:right="1440" w:bottom="1440" w:left="1440" w:header="708" w:footer="708" w:gutter="0"/>
          <w:lnNumType w:countBy="1" w:restart="continuous"/>
          <w:cols w:space="708"/>
          <w:docGrid w:linePitch="360"/>
        </w:sectPr>
      </w:pPr>
      <w:r w:rsidRPr="00B37812">
        <w:rPr>
          <w:rFonts w:ascii="Times New Roman" w:eastAsia="Calibri" w:hAnsi="Times New Roman" w:cs="Times New Roman"/>
          <w:b/>
          <w:noProof/>
          <w:color w:val="000000"/>
          <w:sz w:val="24"/>
          <w:szCs w:val="24"/>
        </w:rPr>
        <mc:AlternateContent>
          <mc:Choice Requires="wpg">
            <w:drawing>
              <wp:anchor distT="0" distB="0" distL="114300" distR="114300" simplePos="0" relativeHeight="251663360" behindDoc="0" locked="0" layoutInCell="1" allowOverlap="1" wp14:anchorId="07C36738" wp14:editId="6E5B8391">
                <wp:simplePos x="0" y="0"/>
                <wp:positionH relativeFrom="column">
                  <wp:posOffset>0</wp:posOffset>
                </wp:positionH>
                <wp:positionV relativeFrom="paragraph">
                  <wp:posOffset>-263525</wp:posOffset>
                </wp:positionV>
                <wp:extent cx="5943600" cy="7432098"/>
                <wp:effectExtent l="0" t="0" r="0" b="0"/>
                <wp:wrapNone/>
                <wp:docPr id="47" name="Group 47"/>
                <wp:cNvGraphicFramePr/>
                <a:graphic xmlns:a="http://schemas.openxmlformats.org/drawingml/2006/main">
                  <a:graphicData uri="http://schemas.microsoft.com/office/word/2010/wordprocessingGroup">
                    <wpg:wgp>
                      <wpg:cNvGrpSpPr/>
                      <wpg:grpSpPr>
                        <a:xfrm>
                          <a:off x="0" y="0"/>
                          <a:ext cx="5943600" cy="7432098"/>
                          <a:chOff x="0" y="0"/>
                          <a:chExt cx="5943600" cy="7432098"/>
                        </a:xfrm>
                      </wpg:grpSpPr>
                      <wps:wsp>
                        <wps:cNvPr id="3" name="Text Box 3"/>
                        <wps:cNvSpPr txBox="1"/>
                        <wps:spPr>
                          <a:xfrm>
                            <a:off x="0" y="1181100"/>
                            <a:ext cx="2971800" cy="2590800"/>
                          </a:xfrm>
                          <a:prstGeom prst="rect">
                            <a:avLst/>
                          </a:prstGeom>
                          <a:solidFill>
                            <a:schemeClr val="lt1"/>
                          </a:solidFill>
                          <a:ln w="6350">
                            <a:noFill/>
                          </a:ln>
                        </wps:spPr>
                        <wps:txbx>
                          <w:txbxContent>
                            <w:p w14:paraId="0C99BA7F" w14:textId="77777777" w:rsidR="00927E41" w:rsidRDefault="00927E41" w:rsidP="00E079A1">
                              <w:r>
                                <w:rPr>
                                  <w:noProof/>
                                </w:rPr>
                                <w:drawing>
                                  <wp:inline distT="0" distB="0" distL="0" distR="0" wp14:anchorId="543E9409" wp14:editId="7FC1F41C">
                                    <wp:extent cx="2707257" cy="225799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7257" cy="2257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971800" y="1181100"/>
                            <a:ext cx="2971800" cy="2590800"/>
                          </a:xfrm>
                          <a:prstGeom prst="rect">
                            <a:avLst/>
                          </a:prstGeom>
                          <a:solidFill>
                            <a:schemeClr val="lt1"/>
                          </a:solidFill>
                          <a:ln w="6350">
                            <a:noFill/>
                          </a:ln>
                        </wps:spPr>
                        <wps:txbx>
                          <w:txbxContent>
                            <w:p w14:paraId="4EBECF7B" w14:textId="77777777" w:rsidR="00927E41" w:rsidRDefault="00927E41" w:rsidP="00E079A1">
                              <w:r>
                                <w:rPr>
                                  <w:noProof/>
                                </w:rPr>
                                <w:drawing>
                                  <wp:inline distT="0" distB="0" distL="0" distR="0" wp14:anchorId="3E44902E" wp14:editId="675C02B6">
                                    <wp:extent cx="2716814" cy="225518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6814" cy="2255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572000" y="0"/>
                            <a:ext cx="1371600" cy="1177636"/>
                          </a:xfrm>
                          <a:prstGeom prst="rect">
                            <a:avLst/>
                          </a:prstGeom>
                          <a:solidFill>
                            <a:schemeClr val="lt1"/>
                          </a:solidFill>
                          <a:ln w="6350">
                            <a:noFill/>
                          </a:ln>
                        </wps:spPr>
                        <wps:txbx>
                          <w:txbxContent>
                            <w:p w14:paraId="4FE0DD54" w14:textId="77777777" w:rsidR="00927E41" w:rsidRDefault="00927E41" w:rsidP="00E079A1">
                              <w:r>
                                <w:rPr>
                                  <w:noProof/>
                                </w:rPr>
                                <w:drawing>
                                  <wp:inline distT="0" distB="0" distL="0" distR="0" wp14:anchorId="57752C51" wp14:editId="4531FE83">
                                    <wp:extent cx="1041081" cy="99821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081" cy="998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6372225"/>
                            <a:ext cx="5943600" cy="1059873"/>
                          </a:xfrm>
                          <a:prstGeom prst="rect">
                            <a:avLst/>
                          </a:prstGeom>
                          <a:solidFill>
                            <a:schemeClr val="lt1"/>
                          </a:solidFill>
                          <a:ln w="6350">
                            <a:noFill/>
                          </a:ln>
                        </wps:spPr>
                        <wps:txbx>
                          <w:txbxContent>
                            <w:p w14:paraId="29FDB9CA" w14:textId="77777777" w:rsidR="00927E41" w:rsidRPr="00DA3C81" w:rsidRDefault="00927E41" w:rsidP="00E079A1">
                              <w:pPr>
                                <w:spacing w:after="0" w:line="240" w:lineRule="auto"/>
                                <w:ind w:left="993" w:hanging="993"/>
                                <w:rPr>
                                  <w:rFonts w:ascii="Cambria" w:hAnsi="Cambria"/>
                                  <w:szCs w:val="24"/>
                                </w:rPr>
                              </w:pPr>
                              <w:r w:rsidRPr="00DA3C81">
                                <w:rPr>
                                  <w:rFonts w:ascii="Cambria" w:hAnsi="Cambria"/>
                                  <w:b/>
                                </w:rPr>
                                <w:t>Figure 3:</w:t>
                              </w:r>
                              <w:r w:rsidRPr="00DA3C81">
                                <w:rPr>
                                  <w:rFonts w:ascii="Cambria" w:hAnsi="Cambria"/>
                                </w:rPr>
                                <w:t xml:space="preserve"> Effect of carriers on particle, packing and reconstitution properties of </w:t>
                              </w:r>
                              <w:r>
                                <w:rPr>
                                  <w:rFonts w:ascii="Cambria" w:hAnsi="Cambria"/>
                                </w:rPr>
                                <w:t xml:space="preserve">encapsulated </w:t>
                              </w:r>
                              <w:r w:rsidRPr="00DA3C81">
                                <w:rPr>
                                  <w:rFonts w:ascii="Cambria" w:hAnsi="Cambria"/>
                                </w:rPr>
                                <w:t xml:space="preserve">freeze-dried </w:t>
                              </w:r>
                              <w:r w:rsidRPr="00DA3C81">
                                <w:rPr>
                                  <w:rFonts w:ascii="Cambria" w:hAnsi="Cambria"/>
                                  <w:szCs w:val="24"/>
                                </w:rPr>
                                <w:t>mulberry leaf extract powder</w:t>
                              </w:r>
                              <w:r>
                                <w:rPr>
                                  <w:rFonts w:ascii="Cambria" w:hAnsi="Cambria"/>
                                  <w:szCs w:val="24"/>
                                </w:rPr>
                                <w:t>s</w:t>
                              </w:r>
                            </w:p>
                            <w:p w14:paraId="05CD37D4" w14:textId="77777777" w:rsidR="00927E41" w:rsidRPr="00DA3C81" w:rsidRDefault="00927E41" w:rsidP="00E079A1">
                              <w:pPr>
                                <w:spacing w:before="120" w:line="240" w:lineRule="auto"/>
                                <w:rPr>
                                  <w:rFonts w:ascii="Cambria" w:hAnsi="Cambria"/>
                                </w:rPr>
                              </w:pPr>
                              <w:r w:rsidRPr="00DA3C81">
                                <w:rPr>
                                  <w:rFonts w:ascii="Cambria" w:hAnsi="Cambria"/>
                                  <w:sz w:val="18"/>
                                  <w:szCs w:val="18"/>
                                </w:rPr>
                                <w:t>PS-</w:t>
                              </w:r>
                              <w:r w:rsidRPr="004F79D5">
                                <w:rPr>
                                  <w:rFonts w:ascii="Cambria" w:hAnsi="Cambria"/>
                                  <w:sz w:val="18"/>
                                  <w:szCs w:val="18"/>
                                </w:rPr>
                                <w:t xml:space="preserve">particle size, PD-particle density, BD-bulk density, TD-tapped density, HR-Hausner ratio, CI-Carr index, PO-porosity, WSI-water solubility index, WET-wettability, CMC-sodium </w:t>
                              </w:r>
                              <w:r w:rsidRPr="004F79D5">
                                <w:rPr>
                                  <w:rFonts w:ascii="Cambria" w:hAnsi="Cambria"/>
                                  <w:bCs/>
                                  <w:sz w:val="18"/>
                                  <w:szCs w:val="18"/>
                                </w:rPr>
                                <w:t>carboxymethyl cellulose</w:t>
                              </w:r>
                              <w:r>
                                <w:rPr>
                                  <w:rFonts w:ascii="Cambria" w:hAnsi="Cambria"/>
                                  <w:sz w:val="18"/>
                                  <w:szCs w:val="18"/>
                                </w:rPr>
                                <w:t>, and MD-maltodextrin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3781425"/>
                            <a:ext cx="2971800" cy="2590800"/>
                          </a:xfrm>
                          <a:prstGeom prst="rect">
                            <a:avLst/>
                          </a:prstGeom>
                          <a:solidFill>
                            <a:schemeClr val="lt1"/>
                          </a:solidFill>
                          <a:ln w="6350">
                            <a:noFill/>
                          </a:ln>
                        </wps:spPr>
                        <wps:txbx>
                          <w:txbxContent>
                            <w:p w14:paraId="2C81FE11" w14:textId="77777777" w:rsidR="00927E41" w:rsidRDefault="00927E41" w:rsidP="00E079A1">
                              <w:r>
                                <w:rPr>
                                  <w:noProof/>
                                </w:rPr>
                                <w:drawing>
                                  <wp:inline distT="0" distB="0" distL="0" distR="0" wp14:anchorId="255A2763" wp14:editId="0EA5BC3D">
                                    <wp:extent cx="2734472" cy="2257995"/>
                                    <wp:effectExtent l="0" t="0" r="889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4472" cy="2257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971800" y="3781425"/>
                            <a:ext cx="2971800" cy="2590800"/>
                          </a:xfrm>
                          <a:prstGeom prst="rect">
                            <a:avLst/>
                          </a:prstGeom>
                          <a:solidFill>
                            <a:schemeClr val="lt1"/>
                          </a:solidFill>
                          <a:ln w="6350">
                            <a:noFill/>
                          </a:ln>
                        </wps:spPr>
                        <wps:txbx>
                          <w:txbxContent>
                            <w:p w14:paraId="07331747" w14:textId="77777777" w:rsidR="00927E41" w:rsidRDefault="00927E41" w:rsidP="00E079A1">
                              <w:r>
                                <w:rPr>
                                  <w:noProof/>
                                </w:rPr>
                                <w:drawing>
                                  <wp:inline distT="0" distB="0" distL="0" distR="0" wp14:anchorId="70859EE4" wp14:editId="512D9454">
                                    <wp:extent cx="2724843" cy="22551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4843" cy="2255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C36738" id="Group 47" o:spid="_x0000_s1038" style="position:absolute;left:0;text-align:left;margin-left:0;margin-top:-20.75pt;width:468pt;height:585.2pt;z-index:251663360" coordsize="59436,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">
                <v:shape id="Text Box 3" o:spid="_x0000_s1039" type="#_x0000_t202" style="position:absolute;top:11811;width:2971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0C99BA7F" w14:textId="77777777" w:rsidR="00927E41" w:rsidRDefault="00927E41" w:rsidP="00E079A1">
                        <w:r>
                          <w:rPr>
                            <w:noProof/>
                          </w:rPr>
                          <w:drawing>
                            <wp:inline distT="0" distB="0" distL="0" distR="0" wp14:anchorId="543E9409" wp14:editId="7FC1F41C">
                              <wp:extent cx="2707257" cy="225799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7257" cy="2257995"/>
                                      </a:xfrm>
                                      <a:prstGeom prst="rect">
                                        <a:avLst/>
                                      </a:prstGeom>
                                    </pic:spPr>
                                  </pic:pic>
                                </a:graphicData>
                              </a:graphic>
                            </wp:inline>
                          </w:drawing>
                        </w:r>
                      </w:p>
                    </w:txbxContent>
                  </v:textbox>
                </v:shape>
                <v:shape id="Text Box 4" o:spid="_x0000_s1040" type="#_x0000_t202" style="position:absolute;left:29718;top:11811;width:2971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4EBECF7B" w14:textId="77777777" w:rsidR="00927E41" w:rsidRDefault="00927E41" w:rsidP="00E079A1">
                        <w:r>
                          <w:rPr>
                            <w:noProof/>
                          </w:rPr>
                          <w:drawing>
                            <wp:inline distT="0" distB="0" distL="0" distR="0" wp14:anchorId="3E44902E" wp14:editId="675C02B6">
                              <wp:extent cx="2716814" cy="225518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6814" cy="2255189"/>
                                      </a:xfrm>
                                      <a:prstGeom prst="rect">
                                        <a:avLst/>
                                      </a:prstGeom>
                                    </pic:spPr>
                                  </pic:pic>
                                </a:graphicData>
                              </a:graphic>
                            </wp:inline>
                          </w:drawing>
                        </w:r>
                      </w:p>
                    </w:txbxContent>
                  </v:textbox>
                </v:shape>
                <v:shape id="Text Box 7" o:spid="_x0000_s1041" type="#_x0000_t202" style="position:absolute;left:45720;width:13716;height:1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4FE0DD54" w14:textId="77777777" w:rsidR="00927E41" w:rsidRDefault="00927E41" w:rsidP="00E079A1">
                        <w:r>
                          <w:rPr>
                            <w:noProof/>
                          </w:rPr>
                          <w:drawing>
                            <wp:inline distT="0" distB="0" distL="0" distR="0" wp14:anchorId="57752C51" wp14:editId="4531FE83">
                              <wp:extent cx="1041081" cy="99821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081" cy="998213"/>
                                      </a:xfrm>
                                      <a:prstGeom prst="rect">
                                        <a:avLst/>
                                      </a:prstGeom>
                                    </pic:spPr>
                                  </pic:pic>
                                </a:graphicData>
                              </a:graphic>
                            </wp:inline>
                          </w:drawing>
                        </w:r>
                      </w:p>
                    </w:txbxContent>
                  </v:textbox>
                </v:shape>
                <v:shape id="Text Box 8" o:spid="_x0000_s1042" type="#_x0000_t202" style="position:absolute;top:63722;width:59436;height:10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29FDB9CA" w14:textId="77777777" w:rsidR="00927E41" w:rsidRPr="00DA3C81" w:rsidRDefault="00927E41" w:rsidP="00E079A1">
                        <w:pPr>
                          <w:spacing w:after="0" w:line="240" w:lineRule="auto"/>
                          <w:ind w:left="993" w:hanging="993"/>
                          <w:rPr>
                            <w:rFonts w:ascii="Cambria" w:hAnsi="Cambria"/>
                            <w:szCs w:val="24"/>
                          </w:rPr>
                        </w:pPr>
                        <w:r w:rsidRPr="00DA3C81">
                          <w:rPr>
                            <w:rFonts w:ascii="Cambria" w:hAnsi="Cambria"/>
                            <w:b/>
                          </w:rPr>
                          <w:t>Figure 3:</w:t>
                        </w:r>
                        <w:r w:rsidRPr="00DA3C81">
                          <w:rPr>
                            <w:rFonts w:ascii="Cambria" w:hAnsi="Cambria"/>
                          </w:rPr>
                          <w:t xml:space="preserve"> Effect of carriers on particle, packing and reconstitution properties of </w:t>
                        </w:r>
                        <w:r>
                          <w:rPr>
                            <w:rFonts w:ascii="Cambria" w:hAnsi="Cambria"/>
                          </w:rPr>
                          <w:t xml:space="preserve">encapsulated </w:t>
                        </w:r>
                        <w:r w:rsidRPr="00DA3C81">
                          <w:rPr>
                            <w:rFonts w:ascii="Cambria" w:hAnsi="Cambria"/>
                          </w:rPr>
                          <w:t xml:space="preserve">freeze-dried </w:t>
                        </w:r>
                        <w:r w:rsidRPr="00DA3C81">
                          <w:rPr>
                            <w:rFonts w:ascii="Cambria" w:hAnsi="Cambria"/>
                            <w:szCs w:val="24"/>
                          </w:rPr>
                          <w:t>mulberry leaf extract powder</w:t>
                        </w:r>
                        <w:r>
                          <w:rPr>
                            <w:rFonts w:ascii="Cambria" w:hAnsi="Cambria"/>
                            <w:szCs w:val="24"/>
                          </w:rPr>
                          <w:t>s</w:t>
                        </w:r>
                      </w:p>
                      <w:p w14:paraId="05CD37D4" w14:textId="77777777" w:rsidR="00927E41" w:rsidRPr="00DA3C81" w:rsidRDefault="00927E41" w:rsidP="00E079A1">
                        <w:pPr>
                          <w:spacing w:before="120" w:line="240" w:lineRule="auto"/>
                          <w:rPr>
                            <w:rFonts w:ascii="Cambria" w:hAnsi="Cambria"/>
                          </w:rPr>
                        </w:pPr>
                        <w:r w:rsidRPr="00DA3C81">
                          <w:rPr>
                            <w:rFonts w:ascii="Cambria" w:hAnsi="Cambria"/>
                            <w:sz w:val="18"/>
                            <w:szCs w:val="18"/>
                          </w:rPr>
                          <w:t>PS-</w:t>
                        </w:r>
                        <w:r w:rsidRPr="004F79D5">
                          <w:rPr>
                            <w:rFonts w:ascii="Cambria" w:hAnsi="Cambria"/>
                            <w:sz w:val="18"/>
                            <w:szCs w:val="18"/>
                          </w:rPr>
                          <w:t xml:space="preserve">particle size, PD-particle density, BD-bulk density, TD-tapped density, HR-Hausner ratio, CI-Carr index, PO-porosity, WSI-water solubility index, WET-wettability, CMC-sodium </w:t>
                        </w:r>
                        <w:r w:rsidRPr="004F79D5">
                          <w:rPr>
                            <w:rFonts w:ascii="Cambria" w:hAnsi="Cambria"/>
                            <w:bCs/>
                            <w:sz w:val="18"/>
                            <w:szCs w:val="18"/>
                          </w:rPr>
                          <w:t>carboxymethyl cellulose</w:t>
                        </w:r>
                        <w:r>
                          <w:rPr>
                            <w:rFonts w:ascii="Cambria" w:hAnsi="Cambria"/>
                            <w:sz w:val="18"/>
                            <w:szCs w:val="18"/>
                          </w:rPr>
                          <w:t>, and MD-maltodextrin</w:t>
                        </w:r>
                      </w:p>
                    </w:txbxContent>
                  </v:textbox>
                </v:shape>
                <v:shape id="Text Box 32" o:spid="_x0000_s1043" type="#_x0000_t202" style="position:absolute;top:37814;width:2971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2C81FE11" w14:textId="77777777" w:rsidR="00927E41" w:rsidRDefault="00927E41" w:rsidP="00E079A1">
                        <w:r>
                          <w:rPr>
                            <w:noProof/>
                          </w:rPr>
                          <w:drawing>
                            <wp:inline distT="0" distB="0" distL="0" distR="0" wp14:anchorId="255A2763" wp14:editId="0EA5BC3D">
                              <wp:extent cx="2734472" cy="2257995"/>
                              <wp:effectExtent l="0" t="0" r="889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4472" cy="2257995"/>
                                      </a:xfrm>
                                      <a:prstGeom prst="rect">
                                        <a:avLst/>
                                      </a:prstGeom>
                                    </pic:spPr>
                                  </pic:pic>
                                </a:graphicData>
                              </a:graphic>
                            </wp:inline>
                          </w:drawing>
                        </w:r>
                      </w:p>
                    </w:txbxContent>
                  </v:textbox>
                </v:shape>
                <v:shape id="Text Box 42" o:spid="_x0000_s1044" type="#_x0000_t202" style="position:absolute;left:29718;top:37814;width:2971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07331747" w14:textId="77777777" w:rsidR="00927E41" w:rsidRDefault="00927E41" w:rsidP="00E079A1">
                        <w:r>
                          <w:rPr>
                            <w:noProof/>
                          </w:rPr>
                          <w:drawing>
                            <wp:inline distT="0" distB="0" distL="0" distR="0" wp14:anchorId="70859EE4" wp14:editId="512D9454">
                              <wp:extent cx="2724843" cy="22551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4843" cy="2255189"/>
                                      </a:xfrm>
                                      <a:prstGeom prst="rect">
                                        <a:avLst/>
                                      </a:prstGeom>
                                    </pic:spPr>
                                  </pic:pic>
                                </a:graphicData>
                              </a:graphic>
                            </wp:inline>
                          </w:drawing>
                        </w:r>
                      </w:p>
                    </w:txbxContent>
                  </v:textbox>
                </v:shape>
              </v:group>
            </w:pict>
          </mc:Fallback>
        </mc:AlternateContent>
      </w:r>
    </w:p>
    <w:p w14:paraId="59ACCDB6" w14:textId="6853CDCA" w:rsidR="00B85163" w:rsidRPr="00B37812" w:rsidRDefault="00B85163" w:rsidP="00A330CD">
      <w:pPr>
        <w:spacing w:after="0" w:line="360" w:lineRule="auto"/>
        <w:jc w:val="both"/>
        <w:rPr>
          <w:rFonts w:ascii="Times New Roman" w:eastAsia="Calibri" w:hAnsi="Times New Roman" w:cs="Times New Roman"/>
          <w:b/>
          <w:sz w:val="24"/>
          <w:szCs w:val="24"/>
          <w:lang w:eastAsia="en-US"/>
        </w:rPr>
      </w:pPr>
      <w:r w:rsidRPr="00B37812">
        <w:rPr>
          <w:rFonts w:ascii="Times New Roman" w:eastAsia="Calibri" w:hAnsi="Times New Roman" w:cs="Times New Roman"/>
          <w:b/>
          <w:sz w:val="24"/>
          <w:szCs w:val="24"/>
          <w:lang w:eastAsia="en-US"/>
        </w:rPr>
        <w:t>3.2.3. Effect of carrier</w:t>
      </w:r>
      <w:r w:rsidR="00CA5863" w:rsidRPr="00B37812">
        <w:rPr>
          <w:rFonts w:ascii="Times New Roman" w:eastAsia="Calibri" w:hAnsi="Times New Roman" w:cs="Times New Roman"/>
          <w:b/>
          <w:sz w:val="24"/>
          <w:szCs w:val="24"/>
          <w:lang w:eastAsia="en-US"/>
        </w:rPr>
        <w:t xml:space="preserve"> </w:t>
      </w:r>
      <w:r w:rsidR="00CA5863" w:rsidRPr="00B37812">
        <w:rPr>
          <w:rFonts w:ascii="Times New Roman" w:eastAsia="Calibri" w:hAnsi="Times New Roman" w:cs="Times New Roman"/>
          <w:b/>
          <w:bCs/>
          <w:color w:val="000000"/>
          <w:sz w:val="24"/>
          <w:szCs w:val="24"/>
          <w:lang w:eastAsia="en-US"/>
        </w:rPr>
        <w:t>materials</w:t>
      </w:r>
      <w:r w:rsidRPr="00B37812">
        <w:rPr>
          <w:rFonts w:ascii="Times New Roman" w:eastAsia="Calibri" w:hAnsi="Times New Roman" w:cs="Times New Roman"/>
          <w:b/>
          <w:sz w:val="24"/>
          <w:szCs w:val="24"/>
          <w:lang w:eastAsia="en-US"/>
        </w:rPr>
        <w:t xml:space="preserve"> on reconstitution properties</w:t>
      </w:r>
    </w:p>
    <w:p w14:paraId="555C9DE7" w14:textId="77777777"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p>
    <w:p w14:paraId="5D227824" w14:textId="15060F84"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The encapsulating materials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proportion of the carriers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and their interaction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0.05) significantly alter the WSI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According to </w:t>
      </w:r>
      <w:hyperlink w:anchor="_ENREF_22" w:tooltip="Kuck, 2016 #1367"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AuthorYear="1"&gt;&lt;Author&gt;Kuck&lt;/Author&gt;&lt;Year&gt;2016&lt;/Year&gt;&lt;RecNum&gt;1367&lt;/RecNum&gt;&lt;DisplayText&gt;Kuck et al. &lt;style face="superscript"&gt;22&lt;/style&gt;&lt;/DisplayText&gt;&lt;record&gt;&lt;rec-number&gt;1367&lt;/rec-number&gt;&lt;foreign-keys&gt;&lt;key app="EN" db-id="5wdx0tztgpfe5yefsdpperx8srzetsx0pw9w" timestamp="1513072413"&gt;1367&lt;/key&gt;&lt;/foreign-keys&gt;&lt;ref-type name="Journal Article"&gt;17&lt;/ref-type&gt;&lt;contributors&gt;&lt;authors&gt;&lt;author&gt;Kuck, Luiza Siede&lt;/author&gt;&lt;author&gt;Noreña, Caciano Pelayo Zapata&lt;/author&gt;&lt;/authors&gt;&lt;/contributors&gt;&lt;titles&gt;&lt;title&gt;Microencapsulation of grape (Vitis labrusca var. Bordo) skin phenolic extract using gum Arabic, polydextrose, and partially hydrolyzed guar gum as encapsulating agents&lt;/title&gt;&lt;secondary-title&gt;Food chemistry&lt;/secondary-title&gt;&lt;/titles&gt;&lt;periodical&gt;&lt;full-title&gt;Food Chemistry&lt;/full-title&gt;&lt;abbr-1&gt;Food Chem.&lt;/abbr-1&gt;&lt;abbr-2&gt;Food Chem&lt;/abbr-2&gt;&lt;/periodical&gt;&lt;pages&gt;569-576&lt;/pages&gt;&lt;volume&gt;194&lt;/volume&gt;&lt;dates&gt;&lt;year&gt;2016&lt;/year&gt;&lt;/dates&gt;&lt;isbn&gt;0308-8146&lt;/isbn&gt;&lt;urls&gt;&lt;/urls&gt;&lt;/record&gt;&lt;/Cite&gt;&lt;/EndNote&gt;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Kuck et al. </w:t>
        </w:r>
        <w:r w:rsidR="00E124D1" w:rsidRPr="00B37812">
          <w:rPr>
            <w:rStyle w:val="Hyperlink"/>
            <w:rFonts w:ascii="Times New Roman" w:eastAsia="Calibri" w:hAnsi="Times New Roman" w:cs="Times New Roman"/>
            <w:noProof/>
            <w:sz w:val="24"/>
            <w:szCs w:val="24"/>
            <w:vertAlign w:val="superscript"/>
            <w:lang w:eastAsia="en-US"/>
          </w:rPr>
          <w:t>22</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high WSI is related to small PS owing to the large surface area available for moisturizing. Indeed, MC has been reported to be among the main factors that impacted on powder solubility, thus a lower MC resulting to higher WSI </w:t>
      </w:r>
      <w:hyperlink w:anchor="_ENREF_39" w:tooltip="Goula, 2008 #1358"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&lt;EndNote&gt;&lt;Cite&gt;&lt;Author&gt;Goula&lt;/Author&gt;&lt;Year&gt;2008&lt;/Year&gt;&lt;RecNum&gt;1358&lt;/RecNum&gt;&lt;DisplayText&gt;&lt;style face="superscript"&gt;39&lt;/style&gt;&lt;/DisplayText&gt;&lt;record&gt;&lt;rec-number&gt;1358&lt;/rec-number&gt;&lt;foreign-keys&gt;&lt;key app="EN" db-id="5wdx0tztgpfe5yefsdpperx8srzetsx0pw9w" timestamp="1511745088"&gt;1358&lt;/key&gt;&lt;/foreign-keys&gt;&lt;ref-type name="Journal Article"&gt;17&lt;/ref-type&gt;&lt;contributors&gt;&lt;authors&gt;&lt;author&gt;Goula, Athanasia M&lt;/author&gt;&lt;author&gt;Adamopoulos, Konstantinos G&lt;/author&gt;&lt;/authors&gt;&lt;/contributors&gt;&lt;titles&gt;&lt;title&gt;Effect of maltodextrin addition during spray drying of tomato pulp in dehumidified air: II. Powder properties&lt;/title&gt;&lt;secondary-title&gt;Drying Technology&lt;/secondary-title&gt;&lt;/titles&gt;&lt;periodical&gt;&lt;full-title&gt;Drying Technology&lt;/full-title&gt;&lt;abbr-1&gt;Drying Technol.&lt;/abbr-1&gt;&lt;abbr-2&gt;Drying Technol&lt;/abbr-2&gt;&lt;/periodical&gt;&lt;pages&gt;726-737&lt;/pages&gt;&lt;volume&gt;26&lt;/volume&gt;&lt;number&gt;6&lt;/number&gt;&lt;dates&gt;&lt;year&gt;2008&lt;/year&gt;&lt;/dates&gt;&lt;isbn&gt;0737-3937&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39</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Therefore, the increase in WSI with an increase in the carrier concentration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3</w:t>
      </w:r>
      <w:r w:rsidRPr="00B37812">
        <w:rPr>
          <w:rFonts w:ascii="Times New Roman" w:eastAsia="Calibri" w:hAnsi="Times New Roman" w:cs="Times New Roman"/>
          <w:color w:val="00B0F0"/>
          <w:sz w:val="24"/>
          <w:szCs w:val="24"/>
          <w:lang w:eastAsia="en-US"/>
        </w:rPr>
        <w:t>d</w:t>
      </w:r>
      <w:r w:rsidRPr="00B37812">
        <w:rPr>
          <w:rFonts w:ascii="Times New Roman" w:eastAsia="Calibri" w:hAnsi="Times New Roman" w:cs="Times New Roman"/>
          <w:sz w:val="24"/>
          <w:szCs w:val="24"/>
          <w:lang w:eastAsia="en-US"/>
        </w:rPr>
        <w:t xml:space="preserve">) may be ascribed to the effect of the addition rate of the encapsulating agent on PS and MC of the </w:t>
      </w:r>
      <w:r w:rsidR="004D559D" w:rsidRPr="00B37812">
        <w:rPr>
          <w:rFonts w:ascii="Times New Roman" w:eastAsia="Calibri" w:hAnsi="Times New Roman" w:cs="Times New Roman"/>
          <w:bCs/>
          <w:sz w:val="24"/>
          <w:szCs w:val="24"/>
          <w:lang w:eastAsia="en-US"/>
        </w:rPr>
        <w:t>ENP</w:t>
      </w:r>
      <w:r w:rsidRPr="00B37812">
        <w:rPr>
          <w:rFonts w:ascii="Times New Roman" w:eastAsia="Calibri" w:hAnsi="Times New Roman" w:cs="Times New Roman"/>
          <w:sz w:val="24"/>
          <w:szCs w:val="24"/>
          <w:lang w:eastAsia="en-US"/>
        </w:rPr>
        <w:t xml:space="preserve">. This was supported by the negative significant correlations </w:t>
      </w:r>
      <w:r w:rsidRPr="00B37812">
        <w:rPr>
          <w:rFonts w:ascii="Times New Roman" w:eastAsia="Calibri" w:hAnsi="Times New Roman" w:cs="Times New Roman"/>
          <w:sz w:val="24"/>
          <w:szCs w:val="24"/>
        </w:rPr>
        <w:t>between</w:t>
      </w:r>
      <w:r w:rsidRPr="00B37812">
        <w:rPr>
          <w:rFonts w:ascii="Times New Roman" w:eastAsia="Calibri" w:hAnsi="Times New Roman" w:cs="Times New Roman"/>
          <w:sz w:val="24"/>
          <w:szCs w:val="24"/>
          <w:lang w:eastAsia="en-US"/>
        </w:rPr>
        <w:t xml:space="preserve"> WSI and PS </w:t>
      </w:r>
      <w:r w:rsidRPr="00B37812">
        <w:rPr>
          <w:rFonts w:ascii="Times New Roman" w:hAnsi="Times New Roman" w:cs="Times New Roman"/>
          <w:color w:val="000000"/>
          <w:sz w:val="24"/>
          <w:szCs w:val="24"/>
        </w:rPr>
        <w:t>(r = -0.820)</w:t>
      </w:r>
      <w:r w:rsidRPr="00B37812">
        <w:rPr>
          <w:rFonts w:ascii="Times New Roman" w:eastAsia="Calibri" w:hAnsi="Times New Roman" w:cs="Times New Roman"/>
          <w:sz w:val="24"/>
          <w:szCs w:val="24"/>
          <w:lang w:eastAsia="en-US"/>
        </w:rPr>
        <w:t xml:space="preserve"> as well as MC </w:t>
      </w:r>
      <w:r w:rsidRPr="00B37812">
        <w:rPr>
          <w:rFonts w:ascii="Times New Roman" w:hAnsi="Times New Roman" w:cs="Times New Roman"/>
          <w:color w:val="000000"/>
          <w:sz w:val="24"/>
          <w:szCs w:val="24"/>
        </w:rPr>
        <w:t>(r = -0.998)</w:t>
      </w:r>
      <w:r w:rsidRPr="00B37812">
        <w:rPr>
          <w:rFonts w:ascii="Times New Roman" w:eastAsia="Calibri" w:hAnsi="Times New Roman" w:cs="Times New Roman"/>
          <w:sz w:val="24"/>
          <w:szCs w:val="24"/>
          <w:lang w:eastAsia="en-US"/>
        </w:rPr>
        <w:t xml:space="preserve">. Besides, the WSI of plant extract powder in aqueous phase depends on the structure of the wall material </w:t>
      </w:r>
      <w:hyperlink w:anchor="_ENREF_41" w:tooltip="Caliskan, 2016 #1339"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&lt;EndNote&gt;&lt;Cite&gt;&lt;Author&gt;Caliskan&lt;/Author&gt;&lt;Year&gt;2016&lt;/Year&gt;&lt;RecNum&gt;1339&lt;/RecNum&gt;&lt;DisplayText&gt;&lt;style face="superscript"&gt;41&lt;/style&gt;&lt;/DisplayText&gt;&lt;record&gt;&lt;rec-number&gt;1339&lt;/rec-number&gt;&lt;foreign-keys&gt;&lt;key app="EN" db-id="5wdx0tztgpfe5yefsdpperx8srzetsx0pw9w" timestamp="1511167524"&gt;1339&lt;/key&gt;&lt;/foreign-keys&gt;&lt;ref-type name="Journal Article"&gt;17&lt;/ref-type&gt;&lt;contributors&gt;&lt;authors&gt;&lt;author&gt;Caliskan, Gulsah&lt;/author&gt;&lt;author&gt;Dirim, S Nur&lt;/author&gt;&lt;/authors&gt;&lt;/contributors&gt;&lt;titles&gt;&lt;title&gt;The effect of different drying processes and the amounts of maltodextrin addition on the powder properties of sumac extract powders&lt;/title&gt;&lt;secondary-title&gt;Powder Technology&lt;/secondary-title&gt;&lt;/titles&gt;&lt;periodical&gt;&lt;full-title&gt;Powder Technology&lt;/full-title&gt;&lt;abbr-1&gt;Powder Technol.&lt;/abbr-1&gt;&lt;abbr-2&gt;Powder Technol&lt;/abbr-2&gt;&lt;/periodical&gt;&lt;pages&gt;308-314&lt;/pages&gt;&lt;volume&gt;287&lt;/volume&gt;&lt;dates&gt;&lt;year&gt;2016&lt;/year&gt;&lt;/dates&gt;&lt;isbn&gt;0032-5910&lt;/isbn&gt;&lt;urls&gt;&lt;/urls&gt;&lt;/record&gt;&lt;/Cite&gt;&lt;Cite AuthorYear="1"&gt;&lt;Author&gt;Caliskan&lt;/Author&gt;&lt;Year&gt;2016&lt;/Year&gt;&lt;RecNum&gt;1339&lt;/RecNum&gt;&lt;record&gt;&lt;rec-number&gt;1339&lt;/rec-number&gt;&lt;foreign-keys&gt;&lt;key app="EN" db-id="5wdx0tztgpfe5yefsdpperx8srzetsx0pw9w" timestamp="1511167524"&gt;1339&lt;/key&gt;&lt;/foreign-keys&gt;&lt;ref-type name="Journal Article"&gt;17&lt;/ref-type&gt;&lt;contributors&gt;&lt;authors&gt;&lt;author&gt;Caliskan, Gulsah&lt;/author&gt;&lt;author&gt;Dirim, S Nur&lt;/author&gt;&lt;/authors&gt;&lt;/contributors&gt;&lt;titles&gt;&lt;title&gt;The effect of different drying processes and the amounts of maltodextrin addition on the powder properties of sumac extract powders&lt;/title&gt;&lt;secondary-title&gt;Powder Technology&lt;/secondary-title&gt;&lt;/titles&gt;&lt;periodical&gt;&lt;full-title&gt;Powder Technology&lt;/full-title&gt;&lt;abbr-1&gt;Powder Technol.&lt;/abbr-1&gt;&lt;abbr-2&gt;Powder Technol&lt;/abbr-2&gt;&lt;/periodical&gt;&lt;pages&gt;308-314&lt;/pages&gt;&lt;volume&gt;287&lt;/volume&gt;&lt;dates&gt;&lt;year&gt;2016&lt;/year&gt;&lt;/dates&gt;&lt;isbn&gt;0032-5910&lt;/isbn&gt;&lt;urls&gt;&lt;/urls&gt;&lt;/record&gt;&lt;/Cite&gt;&lt;/EndNote&gt;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41</w:t>
        </w:r>
        <w:r w:rsidRPr="00B37812">
          <w:rPr>
            <w:rStyle w:val="Hyperlink"/>
            <w:rFonts w:ascii="Times New Roman" w:eastAsia="Calibri" w:hAnsi="Times New Roman" w:cs="Times New Roman"/>
            <w:sz w:val="24"/>
            <w:szCs w:val="24"/>
            <w:lang w:eastAsia="en-US"/>
          </w:rPr>
          <w:fldChar w:fldCharType="end"/>
        </w:r>
      </w:hyperlink>
      <w:hyperlink w:anchor="_ENREF_23" w:tooltip="Caliskan, 2016 #1339" w:history="1"/>
      <w:r w:rsidRPr="00B37812">
        <w:rPr>
          <w:rFonts w:ascii="Times New Roman" w:eastAsia="Calibri" w:hAnsi="Times New Roman" w:cs="Times New Roman"/>
          <w:sz w:val="24"/>
          <w:szCs w:val="24"/>
          <w:lang w:eastAsia="en-US"/>
        </w:rPr>
        <w:t>. Therefore,</w:t>
      </w:r>
      <w:r w:rsidR="00001E5F" w:rsidRPr="00B37812">
        <w:rPr>
          <w:rFonts w:ascii="Times New Roman" w:eastAsia="Calibri" w:hAnsi="Times New Roman" w:cs="Times New Roman"/>
          <w:sz w:val="24"/>
          <w:szCs w:val="24"/>
          <w:lang w:eastAsia="en-US"/>
        </w:rPr>
        <w:t xml:space="preserve"> as depicted in </w:t>
      </w:r>
      <w:r w:rsidRPr="00B37812">
        <w:rPr>
          <w:rFonts w:ascii="Times New Roman" w:eastAsia="Calibri" w:hAnsi="Times New Roman" w:cs="Times New Roman"/>
          <w:sz w:val="24"/>
          <w:szCs w:val="24"/>
          <w:lang w:eastAsia="en-US"/>
        </w:rPr>
        <w:t xml:space="preserve"> </w:t>
      </w:r>
      <w:r w:rsidR="00001E5F" w:rsidRPr="00B37812">
        <w:rPr>
          <w:rFonts w:ascii="Times New Roman" w:eastAsia="Calibri" w:hAnsi="Times New Roman" w:cs="Times New Roman"/>
          <w:color w:val="00B0F0"/>
          <w:sz w:val="24"/>
          <w:szCs w:val="24"/>
          <w:lang w:eastAsia="en-US"/>
        </w:rPr>
        <w:t>Fig. 3d</w:t>
      </w:r>
      <w:r w:rsidR="00001E5F"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sz w:val="24"/>
          <w:szCs w:val="24"/>
          <w:lang w:eastAsia="en-US"/>
        </w:rPr>
        <w:t xml:space="preserve">the effect of the carrier </w:t>
      </w:r>
      <w:r w:rsidRPr="00B37812">
        <w:rPr>
          <w:rFonts w:ascii="Times New Roman" w:eastAsia="Calibri" w:hAnsi="Times New Roman" w:cs="Times New Roman"/>
          <w:noProof/>
          <w:sz w:val="24"/>
          <w:szCs w:val="24"/>
          <w:lang w:eastAsia="en-US"/>
        </w:rPr>
        <w:t>type</w:t>
      </w:r>
      <w:r w:rsidRPr="00B37812">
        <w:rPr>
          <w:rFonts w:ascii="Times New Roman" w:eastAsia="Calibri" w:hAnsi="Times New Roman" w:cs="Times New Roman"/>
          <w:sz w:val="24"/>
          <w:szCs w:val="24"/>
          <w:lang w:eastAsia="en-US"/>
        </w:rPr>
        <w:t xml:space="preserve"> on the WSI may be due to their inherent aqueous solubility and their ability to withstand hydrophobic/hydrophilic conditions </w:t>
      </w:r>
      <w:hyperlink w:anchor="_ENREF_43" w:tooltip="Murali, 2015 #1402"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&lt;EndNote&gt;&lt;Cite&gt;&lt;Author&gt;Murali&lt;/Author&gt;&lt;Year&gt;2015&lt;/Year&gt;&lt;RecNum&gt;1402&lt;/RecNum&gt;&lt;DisplayText&gt;&lt;style face="superscript"&gt;43&lt;/style&gt;&lt;/DisplayText&gt;&lt;record&gt;&lt;rec-number&gt;1402&lt;/rec-number&gt;&lt;foreign-keys&gt;&lt;key app="EN" db-id="5wdx0tztgpfe5yefsdpperx8srzetsx0pw9w" timestamp="1515224408"&gt;1402&lt;/key&gt;&lt;/foreign-keys&gt;&lt;ref-type name="Journal Article"&gt;17&lt;/ref-type&gt;&lt;contributors&gt;&lt;authors&gt;&lt;author&gt;S Murali&lt;/author&gt;&lt;author&gt;Abhijit Kar&lt;/author&gt;&lt;author&gt;Debabandya Mohapatra&lt;/author&gt;&lt;author&gt;Pritam Kalia&lt;/author&gt;&lt;/authors&gt;&lt;/contributors&gt;&lt;titles&gt;&lt;title&gt;Encapsulation of black carrot juice using spray and freeze drying&lt;/title&gt;&lt;secondary-title&gt;Food Science and Technology International&lt;/secondary-title&gt;&lt;/titles&gt;&lt;periodical&gt;&lt;full-title&gt;Food Science and Technology International&lt;/full-title&gt;&lt;abbr-1&gt;Food Sci. Technol. Int.&lt;/abbr-1&gt;&lt;abbr-2&gt;Food Sci Technol Int&lt;/abbr-2&gt;&lt;/periodical&gt;&lt;pages&gt;604-612&lt;/pages&gt;&lt;volume&gt;21&lt;/volume&gt;&lt;number&gt;8&lt;/number&gt;&lt;keywords&gt;&lt;keyword&gt;Encapsulation efficiency,scanning electron microscope,anthocyanins,antioxidant activity,water solubility index&lt;/keyword&gt;&lt;/keywords&gt;&lt;dates&gt;&lt;year&gt;2015&lt;/year&gt;&lt;/dates&gt;&lt;accession-num&gt;25367889&lt;/accession-num&gt;&lt;urls&gt;&lt;related-urls&gt;&lt;url&gt;http://journals.sagepub.com/doi/abs/10.1177/1082013214557843&lt;/url&gt;&lt;/related-urls&gt;&lt;/urls&gt;&lt;electronic-resource-num&gt;10.1177/1082013214557843&lt;/electronic-resource-num&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43</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Moreover, increase in molar mass reduces the diffusivity, hence materials with low diffusivity usually have low solubility </w:t>
      </w:r>
      <w:hyperlink w:anchor="_ENREF_44" w:tooltip="Shi, 2013 #1382"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&lt;EndNote&gt;&lt;Cite&gt;&lt;Author&gt;Shi&lt;/Author&gt;&lt;Year&gt;2013&lt;/Year&gt;&lt;RecNum&gt;1382&lt;/RecNum&gt;&lt;DisplayText&gt;&lt;style face="superscript"&gt;44&lt;/style&gt;&lt;/DisplayText&gt;&lt;record&gt;&lt;rec-number&gt;1382&lt;/rec-number&gt;&lt;foreign-keys&gt;&lt;key app="EN" db-id="5wdx0tztgpfe5yefsdpperx8srzetsx0pw9w" timestamp="1513418742"&gt;1382&lt;/key&gt;&lt;/foreign-keys&gt;&lt;ref-type name="Journal Article"&gt;17&lt;/ref-type&gt;&lt;contributors&gt;&lt;authors&gt;&lt;author&gt;Shi, Qilong&lt;/author&gt;&lt;author&gt;Fang, Zhongxiang&lt;/author&gt;&lt;author&gt;Bhandari, Bhesh&lt;/author&gt;&lt;/authors&gt;&lt;/contributors&gt;&lt;titles&gt;&lt;title&gt;Effect of addition of whey protein isolate on spray-drying behavior of honey with maltodextrin as a carrier material&lt;/title&gt;&lt;secondary-title&gt;Drying Technology&lt;/secondary-title&gt;&lt;/titles&gt;&lt;periodical&gt;&lt;full-title&gt;Drying Technology&lt;/full-title&gt;&lt;abbr-1&gt;Drying Technol.&lt;/abbr-1&gt;&lt;abbr-2&gt;Drying Technol&lt;/abbr-2&gt;&lt;/periodical&gt;&lt;pages&gt;1681-1692&lt;/pages&gt;&lt;volume&gt;31&lt;/volume&gt;&lt;number&gt;13-14&lt;/number&gt;&lt;dates&gt;&lt;year&gt;2013&lt;/year&gt;&lt;/dates&gt;&lt;isbn&gt;0737-3937&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44</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w:t>
      </w:r>
    </w:p>
    <w:p w14:paraId="0E67D306" w14:textId="4B0C84B0"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 xml:space="preserve">Large particles form wide pores, high porousness, and small contact angles between the penetrating solvent and powder surface, which swift wetting by boosting solvent penetration into agglomerate </w:t>
      </w:r>
      <w:r w:rsidRPr="00B37812">
        <w:rPr>
          <w:rFonts w:ascii="Times New Roman" w:eastAsia="Calibri" w:hAnsi="Times New Roman" w:cs="Times New Roman"/>
          <w:sz w:val="24"/>
          <w:szCs w:val="24"/>
          <w:lang w:eastAsia="en-US"/>
        </w:rPr>
        <w:fldChar w:fldCharType="begin">
          <w:fldData xml:space="preserve">PEVuZE5vdGU+PENpdGU+PEF1dGhvcj5GZXJyYXJpPC9BdXRob3I+PFllYXI+MjAxMjwvWWVhcj48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</w:fldData>
        </w:fldChar>
      </w:r>
      <w:r w:rsidR="00E124D1" w:rsidRPr="00B37812">
        <w:rPr>
          <w:rFonts w:ascii="Times New Roman" w:eastAsia="Calibri" w:hAnsi="Times New Roman" w:cs="Times New Roman"/>
          <w:sz w:val="24"/>
          <w:szCs w:val="24"/>
          <w:lang w:eastAsia="en-US"/>
        </w:rPr>
        <w:instrText xml:space="preserve"> ADDIN EN.CITE </w:instrText>
      </w:r>
      <w:r w:rsidR="00E124D1" w:rsidRPr="00B37812">
        <w:rPr>
          <w:rFonts w:ascii="Times New Roman" w:eastAsia="Calibri" w:hAnsi="Times New Roman" w:cs="Times New Roman"/>
          <w:sz w:val="24"/>
          <w:szCs w:val="24"/>
          <w:lang w:eastAsia="en-US"/>
        </w:rPr>
        <w:fldChar w:fldCharType="begin">
          <w:fldData xml:space="preserve">PEVuZE5vdGU+PENpdGU+PEF1dGhvcj5GZXJyYXJpPC9BdXRob3I+PFllYXI+MjAxMjwvWWVhcj48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</w:fldData>
        </w:fldChar>
      </w:r>
      <w:r w:rsidR="00E124D1" w:rsidRPr="00B37812">
        <w:rPr>
          <w:rFonts w:ascii="Times New Roman" w:eastAsia="Calibri" w:hAnsi="Times New Roman" w:cs="Times New Roman"/>
          <w:sz w:val="24"/>
          <w:szCs w:val="24"/>
          <w:lang w:eastAsia="en-US"/>
        </w:rPr>
        <w:instrText xml:space="preserve"> ADDIN EN.CITE.DATA </w:instrText>
      </w:r>
      <w:r w:rsidR="00E124D1" w:rsidRPr="00B37812">
        <w:rPr>
          <w:rFonts w:ascii="Times New Roman" w:eastAsia="Calibri" w:hAnsi="Times New Roman" w:cs="Times New Roman"/>
          <w:sz w:val="24"/>
          <w:szCs w:val="24"/>
          <w:lang w:eastAsia="en-US"/>
        </w:rPr>
      </w:r>
      <w:r w:rsidR="00E124D1"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r>
      <w:r w:rsidRPr="00B37812">
        <w:rPr>
          <w:rFonts w:ascii="Times New Roman" w:eastAsia="Calibri" w:hAnsi="Times New Roman" w:cs="Times New Roman"/>
          <w:sz w:val="24"/>
          <w:szCs w:val="24"/>
          <w:lang w:eastAsia="en-US"/>
        </w:rPr>
        <w:fldChar w:fldCharType="separate"/>
      </w:r>
      <w:hyperlink w:anchor="_ENREF_42" w:tooltip="Ferrari, 2012 #1379" w:history="1">
        <w:r w:rsidR="00E124D1" w:rsidRPr="00B37812">
          <w:rPr>
            <w:rStyle w:val="Hyperlink"/>
            <w:rFonts w:ascii="Times New Roman" w:eastAsia="Calibri" w:hAnsi="Times New Roman" w:cs="Times New Roman"/>
            <w:noProof/>
            <w:sz w:val="24"/>
            <w:szCs w:val="24"/>
            <w:vertAlign w:val="superscript"/>
            <w:lang w:eastAsia="en-US"/>
          </w:rPr>
          <w:t>42</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45" w:tooltip="Seerangurayar, 2017 #1391" w:history="1">
        <w:r w:rsidR="00E124D1" w:rsidRPr="00B37812">
          <w:rPr>
            <w:rStyle w:val="Hyperlink"/>
            <w:rFonts w:ascii="Times New Roman" w:eastAsia="Calibri" w:hAnsi="Times New Roman" w:cs="Times New Roman"/>
            <w:noProof/>
            <w:sz w:val="24"/>
            <w:szCs w:val="24"/>
            <w:vertAlign w:val="superscript"/>
            <w:lang w:eastAsia="en-US"/>
          </w:rPr>
          <w:t>45</w:t>
        </w:r>
      </w:hyperlink>
      <w:r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t xml:space="preserve">. </w:t>
      </w:r>
      <w:hyperlink w:anchor="_ENREF_36" w:tooltip="Selomulya, 2013 #1378"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AuthorYear="1"&gt;&lt;Author&gt;Selomulya&lt;/Author&gt;&lt;Year&gt;2013&lt;/Year&gt;&lt;RecNum&gt;1378&lt;/RecNum&gt;&lt;DisplayText&gt;Selomulya et al. &lt;style face="superscript"&gt;36&lt;/style&gt;&lt;/DisplayText&gt;&lt;record&gt;&lt;rec-number&gt;1378&lt;/rec-number&gt;&lt;foreign-keys&gt;&lt;key app="EN" db-id="5wdx0tztgpfe5yefsdpperx8srzetsx0pw9w" timestamp="1513242320"&gt;1378&lt;/key&gt;&lt;/foreign-keys&gt;&lt;ref-type name="Book Section"&gt;5&lt;/ref-type&gt;&lt;contributors&gt;&lt;authors&gt;&lt;author&gt;Selomulya, C.&lt;/author&gt;&lt;author&gt;Fang, Y.&lt;/author&gt;&lt;/authors&gt;&lt;/contributors&gt;&lt;titles&gt;&lt;title&gt;15 - Food powder rehydration&lt;/title&gt;&lt;secondary-title&gt;Handbook of Food Powders&lt;/secondary-title&gt;&lt;/titles&gt;&lt;pages&gt;379-408&lt;/pages&gt;&lt;keywords&gt;&lt;keyword&gt;food powder&lt;/keyword&gt;&lt;keyword&gt;dispersibility&lt;/keyword&gt;&lt;keyword&gt;wetting&lt;/keyword&gt;&lt;keyword&gt;solubility&lt;/keyword&gt;&lt;keyword&gt;reconstitution&lt;/keyword&gt;&lt;/keywords&gt;&lt;dates&gt;&lt;year&gt;2013&lt;/year&gt;&lt;/dates&gt;&lt;pub-location&gt;Philadelphia&lt;/pub-location&gt;&lt;publisher&gt;Woodhead Publishing&lt;/publisher&gt;&lt;isbn&gt;978-0-85709-513-8&lt;/isbn&gt;&lt;urls&gt;&lt;related-urls&gt;&lt;url&gt;https://www.sciencedirect.com/science/article/pii/B9780857095138500157&lt;/url&gt;&lt;/related-urls&gt;&lt;/urls&gt;&lt;electronic-resource-num&gt;https://doi.org/10.1533/9780857098672.2.379&lt;/electronic-resource-num&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Selomulya et al. </w:t>
        </w:r>
        <w:r w:rsidR="00E124D1" w:rsidRPr="00B37812">
          <w:rPr>
            <w:rStyle w:val="Hyperlink"/>
            <w:rFonts w:ascii="Times New Roman" w:eastAsia="Calibri" w:hAnsi="Times New Roman" w:cs="Times New Roman"/>
            <w:noProof/>
            <w:sz w:val="24"/>
            <w:szCs w:val="24"/>
            <w:vertAlign w:val="superscript"/>
            <w:lang w:eastAsia="en-US"/>
          </w:rPr>
          <w:t>36</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color w:val="000000"/>
          <w:sz w:val="24"/>
          <w:szCs w:val="24"/>
          <w:lang w:eastAsia="en-US"/>
        </w:rPr>
        <w:t xml:space="preserve"> </w:t>
      </w:r>
      <w:r w:rsidRPr="00B37812">
        <w:rPr>
          <w:rFonts w:ascii="Times New Roman" w:eastAsia="Calibri" w:hAnsi="Times New Roman" w:cs="Times New Roman"/>
          <w:sz w:val="24"/>
          <w:szCs w:val="24"/>
          <w:lang w:eastAsia="en-US"/>
        </w:rPr>
        <w:t>reported that granulation positively impacted on WET. Therefore, the reduction in PD that occurs at a high concentration of the carrier led to the reduction of powder compactness, which accelerated the infiltration of the solvent in the agglomerate, thus causing an increase in WET</w:t>
      </w:r>
      <w:r w:rsidRPr="00B37812">
        <w:rPr>
          <w:rFonts w:ascii="Times New Roman" w:eastAsia="Calibri" w:hAnsi="Times New Roman" w:cs="Times New Roman"/>
          <w:color w:val="000000"/>
          <w:sz w:val="24"/>
          <w:szCs w:val="24"/>
          <w:lang w:eastAsia="en-US"/>
        </w:rPr>
        <w:t xml:space="preserve"> </w:t>
      </w:r>
      <w:hyperlink w:anchor="_ENREF_46" w:tooltip="Fernandes, 2017 #1343"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&lt;EndNote&gt;&lt;Cite&gt;&lt;Author&gt;Fernandes&lt;/Author&gt;&lt;Year&gt;2017&lt;/Year&gt;&lt;RecNum&gt;1343&lt;/RecNum&gt;&lt;DisplayText&gt;&lt;style face="superscript"&gt;46&lt;/style&gt;&lt;/DisplayText&gt;&lt;record&gt;&lt;rec-number&gt;1343&lt;/rec-number&gt;&lt;foreign-keys&gt;&lt;key app="EN" db-id="5wdx0tztgpfe5yefsdpperx8srzetsx0pw9w" timestamp="1511232161"&gt;1343&lt;/key&gt;&lt;/foreign-keys&gt;&lt;ref-type name="Journal Article"&gt;17&lt;/ref-type&gt;&lt;contributors&gt;&lt;authors&gt;&lt;author&gt;Fernandes, Regiane Victória de Barros&lt;/author&gt;&lt;author&gt;Botrel, Diego Alvarenga&lt;/author&gt;&lt;author&gt;Silva, Eric Keven&lt;/author&gt;&lt;author&gt;Pereira, Cristina Guimarães&lt;/author&gt;&lt;author&gt;Carmo, Eloá Lourenço do&lt;/author&gt;&lt;author&gt;Dessimoni, Anelise Lima de Abreu&lt;/author&gt;&lt;author&gt;Borges, Soraia Vilela&lt;/author&gt;&lt;/authors&gt;&lt;/contributors&gt;&lt;titles&gt;&lt;title&gt;Microencapsulated ginger oil properties: Influence of operating parameters&lt;/title&gt;&lt;secondary-title&gt;Drying Technology&lt;/secondary-title&gt;&lt;/titles&gt;&lt;periodical&gt;&lt;full-title&gt;Drying Technology&lt;/full-title&gt;&lt;abbr-1&gt;Drying Technol.&lt;/abbr-1&gt;&lt;abbr-2&gt;Drying Technol&lt;/abbr-2&gt;&lt;/periodical&gt;&lt;pages&gt;1098-1107&lt;/pages&gt;&lt;volume&gt;35&lt;/volume&gt;&lt;number&gt;9&lt;/number&gt;&lt;dates&gt;&lt;year&gt;2017&lt;/year&gt;&lt;/dates&gt;&lt;isbn&gt;0737-3937&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46</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color w:val="000000"/>
          <w:sz w:val="24"/>
          <w:szCs w:val="24"/>
          <w:lang w:eastAsia="en-US"/>
        </w:rPr>
        <w:t xml:space="preserve">. Furthermore, caking which habitually happens in powders with high MC may contribute to WET because it eases the passage of water through the pores </w:t>
      </w:r>
      <w:hyperlink w:anchor="_ENREF_47" w:tooltip="Fernandes, 2014 #1362"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&lt;EndNote&gt;&lt;Cite&gt;&lt;Author&gt;Fernandes&lt;/Author&gt;&lt;Year&gt;2014&lt;/Year&gt;&lt;RecNum&gt;1362&lt;/RecNum&gt;&lt;DisplayText&gt;&lt;style face="superscript"&gt;47&lt;/style&gt;&lt;/DisplayText&gt;&lt;record&gt;&lt;rec-number&gt;1362&lt;/rec-number&gt;&lt;foreign-keys&gt;&lt;key app="EN" db-id="5wdx0tztgpfe5yefsdpperx8srzetsx0pw9w" timestamp="1511762853"&gt;1362&lt;/key&gt;&lt;/foreign-keys&gt;&lt;ref-type name="Journal Article"&gt;17&lt;/ref-type&gt;&lt;contributors&gt;&lt;authors&gt;&lt;author&gt;Fernandes, Regiane Victória de Barros&lt;/author&gt;&lt;author&gt;Borges, Soraia Vilela&lt;/author&gt;&lt;author&gt;Botrel, Diego Alvarenga&lt;/author&gt;&lt;author&gt;Oliveira, Cassiano Rodrigues de&lt;/author&gt;&lt;/authors&gt;&lt;/contributors&gt;&lt;titles&gt;&lt;title&gt;Physical and chemical properties of encapsulated rosemary essential oil by spray drying using whey protein–inulin blends as carriers&lt;/title&gt;&lt;secondary-title&gt;International journal of food science &amp;amp; technology&lt;/secondary-title&gt;&lt;/titles&gt;&lt;periodical&gt;&lt;full-title&gt;International Journal of Food Science &amp;amp; Technology&lt;/full-title&gt;&lt;abbr-1&gt;Int. J. Food Sci. Tech.&lt;/abbr-1&gt;&lt;abbr-2&gt;Int J Food Sci Tech&lt;/abbr-2&gt;&lt;/periodical&gt;&lt;pages&gt;1522-1529&lt;/pages&gt;&lt;volume&gt;49&lt;/volume&gt;&lt;number&gt;6&lt;/number&gt;&lt;dates&gt;&lt;year&gt;2014&lt;/year&gt;&lt;/dates&gt;&lt;isbn&gt;1365-2621&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47</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color w:val="000000"/>
          <w:sz w:val="24"/>
          <w:szCs w:val="24"/>
          <w:lang w:eastAsia="en-US"/>
        </w:rPr>
        <w:t xml:space="preserve">. </w:t>
      </w:r>
      <w:r w:rsidRPr="00B37812">
        <w:rPr>
          <w:rFonts w:ascii="Times New Roman" w:eastAsia="Calibri" w:hAnsi="Times New Roman" w:cs="Times New Roman"/>
          <w:sz w:val="24"/>
          <w:szCs w:val="24"/>
          <w:lang w:eastAsia="en-US"/>
        </w:rPr>
        <w:t>Hence, the significant effect of the type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and addition </w:t>
      </w:r>
      <w:r w:rsidR="004E366E" w:rsidRPr="00B37812">
        <w:rPr>
          <w:rFonts w:ascii="Times New Roman" w:eastAsia="Calibri" w:hAnsi="Times New Roman" w:cs="Times New Roman"/>
          <w:sz w:val="24"/>
          <w:szCs w:val="24"/>
          <w:lang w:eastAsia="en-US"/>
        </w:rPr>
        <w:t>rate</w:t>
      </w:r>
      <w:r w:rsidRPr="00B37812">
        <w:rPr>
          <w:rFonts w:ascii="Times New Roman" w:eastAsia="Calibri" w:hAnsi="Times New Roman" w:cs="Times New Roman"/>
          <w:sz w:val="24"/>
          <w:szCs w:val="24"/>
          <w:lang w:eastAsia="en-US"/>
        </w:rPr>
        <w:t xml:space="preserve"> of the wall material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on WET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ENP</w:t>
      </w:r>
      <w:r w:rsidR="00F23340"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sz w:val="24"/>
          <w:szCs w:val="24"/>
          <w:lang w:eastAsia="en-US"/>
        </w:rPr>
        <w:t xml:space="preserve">could be attributed to their effect on PS, PO, PD, and MC of the </w:t>
      </w:r>
      <w:r w:rsidRPr="00B37812">
        <w:rPr>
          <w:rFonts w:ascii="Times New Roman" w:eastAsia="Calibri" w:hAnsi="Times New Roman" w:cs="Times New Roman"/>
          <w:bCs/>
          <w:sz w:val="24"/>
          <w:szCs w:val="24"/>
          <w:lang w:eastAsia="en-US"/>
        </w:rPr>
        <w:t>ENP</w:t>
      </w:r>
      <w:r w:rsidRPr="00B37812">
        <w:rPr>
          <w:rFonts w:ascii="Times New Roman" w:eastAsia="Calibri" w:hAnsi="Times New Roman" w:cs="Times New Roman"/>
          <w:sz w:val="24"/>
          <w:szCs w:val="24"/>
          <w:lang w:eastAsia="en-US"/>
        </w:rPr>
        <w:t xml:space="preserve">. This was supported by the negative significant correlations </w:t>
      </w:r>
      <w:r w:rsidRPr="00B37812">
        <w:rPr>
          <w:rFonts w:ascii="Times New Roman" w:eastAsia="Calibri" w:hAnsi="Times New Roman" w:cs="Times New Roman"/>
          <w:sz w:val="24"/>
          <w:szCs w:val="24"/>
        </w:rPr>
        <w:t>between</w:t>
      </w:r>
      <w:r w:rsidRPr="00B37812">
        <w:rPr>
          <w:rFonts w:ascii="Times New Roman" w:eastAsia="Calibri" w:hAnsi="Times New Roman" w:cs="Times New Roman"/>
          <w:sz w:val="24"/>
          <w:szCs w:val="24"/>
          <w:lang w:eastAsia="en-US"/>
        </w:rPr>
        <w:t xml:space="preserve"> WET and PS </w:t>
      </w:r>
      <w:r w:rsidRPr="00B37812">
        <w:rPr>
          <w:rFonts w:ascii="Times New Roman" w:hAnsi="Times New Roman" w:cs="Times New Roman"/>
          <w:color w:val="000000"/>
          <w:sz w:val="24"/>
          <w:szCs w:val="24"/>
        </w:rPr>
        <w:t>(r = -0.899)</w:t>
      </w:r>
      <w:r w:rsidRPr="00B37812">
        <w:rPr>
          <w:rFonts w:ascii="Times New Roman" w:eastAsia="Calibri" w:hAnsi="Times New Roman" w:cs="Times New Roman"/>
          <w:sz w:val="24"/>
          <w:szCs w:val="24"/>
          <w:lang w:eastAsia="en-US"/>
        </w:rPr>
        <w:t xml:space="preserve">, PO </w:t>
      </w:r>
      <w:r w:rsidRPr="00B37812">
        <w:rPr>
          <w:rFonts w:ascii="Times New Roman" w:hAnsi="Times New Roman" w:cs="Times New Roman"/>
          <w:color w:val="000000"/>
          <w:sz w:val="24"/>
          <w:szCs w:val="24"/>
        </w:rPr>
        <w:t xml:space="preserve">(r = -0.996), </w:t>
      </w:r>
      <w:r w:rsidRPr="00B37812">
        <w:rPr>
          <w:rFonts w:ascii="Times New Roman" w:eastAsia="Calibri" w:hAnsi="Times New Roman" w:cs="Times New Roman"/>
          <w:sz w:val="24"/>
          <w:szCs w:val="24"/>
          <w:lang w:eastAsia="en-US"/>
        </w:rPr>
        <w:t xml:space="preserve">PD </w:t>
      </w:r>
      <w:r w:rsidRPr="00B37812">
        <w:rPr>
          <w:rFonts w:ascii="Times New Roman" w:hAnsi="Times New Roman" w:cs="Times New Roman"/>
          <w:color w:val="000000"/>
          <w:sz w:val="24"/>
          <w:szCs w:val="24"/>
        </w:rPr>
        <w:t>(r = -0.995), as well as MC (r = -0.973)</w:t>
      </w:r>
      <w:r w:rsidRPr="00B37812">
        <w:rPr>
          <w:rFonts w:ascii="Times New Roman" w:eastAsia="Calibri" w:hAnsi="Times New Roman" w:cs="Times New Roman"/>
          <w:sz w:val="24"/>
          <w:szCs w:val="24"/>
          <w:lang w:eastAsia="en-US"/>
        </w:rPr>
        <w:t xml:space="preserve">. In line with </w:t>
      </w:r>
      <w:hyperlink w:anchor="_ENREF_41" w:tooltip="Caliskan, 2016 #1339"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AuthorYear="1"&gt;&lt;Author&gt;Caliskan&lt;/Author&gt;&lt;Year&gt;2016&lt;/Year&gt;&lt;RecNum&gt;1339&lt;/RecNum&gt;&lt;DisplayText&gt;Caliskan et al. &lt;style face="superscript"&gt;41&lt;/style&gt;&lt;/DisplayText&gt;&lt;record&gt;&lt;rec-number&gt;1339&lt;/rec-number&gt;&lt;foreign-keys&gt;&lt;key app="EN" db-id="5wdx0tztgpfe5yefsdpperx8srzetsx0pw9w" timestamp="1511167524"&gt;1339&lt;/key&gt;&lt;/foreign-keys&gt;&lt;ref-type name="Journal Article"&gt;17&lt;/ref-type&gt;&lt;contributors&gt;&lt;authors&gt;&lt;author&gt;Caliskan, Gulsah&lt;/author&gt;&lt;author&gt;Dirim, S Nur&lt;/author&gt;&lt;/authors&gt;&lt;/contributors&gt;&lt;titles&gt;&lt;title&gt;The effect of different drying processes and the amounts of maltodextrin addition on the powder properties of sumac extract powders&lt;/title&gt;&lt;secondary-title&gt;Powder Technology&lt;/secondary-title&gt;&lt;/titles&gt;&lt;periodical&gt;&lt;full-title&gt;Powder Technology&lt;/full-title&gt;&lt;abbr-1&gt;Powder Technol.&lt;/abbr-1&gt;&lt;abbr-2&gt;Powder Technol&lt;/abbr-2&gt;&lt;/periodical&gt;&lt;pages&gt;308-314&lt;/pages&gt;&lt;volume&gt;287&lt;/volume&gt;&lt;dates&gt;&lt;year&gt;2016&lt;/year&gt;&lt;/dates&gt;&lt;isbn&gt;0032-5910&lt;/isbn&gt;&lt;urls&gt;&lt;/urls&gt;&lt;/record&gt;&lt;/Cite&gt;&lt;/EndNote&gt;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Caliskan et al. </w:t>
        </w:r>
        <w:r w:rsidR="00E124D1" w:rsidRPr="00B37812">
          <w:rPr>
            <w:rStyle w:val="Hyperlink"/>
            <w:rFonts w:ascii="Times New Roman" w:eastAsia="Calibri" w:hAnsi="Times New Roman" w:cs="Times New Roman"/>
            <w:noProof/>
            <w:sz w:val="24"/>
            <w:szCs w:val="24"/>
            <w:vertAlign w:val="superscript"/>
            <w:lang w:eastAsia="en-US"/>
          </w:rPr>
          <w:t>41</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increasing in the </w:t>
      </w:r>
      <w:r w:rsidR="00C829AF" w:rsidRPr="00B37812">
        <w:rPr>
          <w:rFonts w:ascii="Times New Roman" w:eastAsia="Calibri" w:hAnsi="Times New Roman" w:cs="Times New Roman"/>
          <w:sz w:val="24"/>
          <w:szCs w:val="24"/>
          <w:lang w:eastAsia="en-US"/>
        </w:rPr>
        <w:t>carrier</w:t>
      </w:r>
      <w:r w:rsidRPr="00B37812">
        <w:rPr>
          <w:rFonts w:ascii="Times New Roman" w:eastAsia="Calibri" w:hAnsi="Times New Roman" w:cs="Times New Roman"/>
          <w:sz w:val="24"/>
          <w:szCs w:val="24"/>
          <w:lang w:eastAsia="en-US"/>
        </w:rPr>
        <w:t xml:space="preserve"> concentration resulted in an increment in WET of the </w:t>
      </w:r>
      <w:r w:rsidRPr="00B37812">
        <w:rPr>
          <w:rFonts w:ascii="Times New Roman" w:eastAsia="Calibri" w:hAnsi="Times New Roman" w:cs="Times New Roman"/>
          <w:bCs/>
          <w:sz w:val="24"/>
          <w:szCs w:val="24"/>
          <w:lang w:eastAsia="en-US"/>
        </w:rPr>
        <w:t xml:space="preserve">ENP </w:t>
      </w:r>
      <w:r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3</w:t>
      </w:r>
      <w:r w:rsidRPr="00B37812">
        <w:rPr>
          <w:rFonts w:ascii="Times New Roman" w:eastAsia="Calibri" w:hAnsi="Times New Roman" w:cs="Times New Roman"/>
          <w:color w:val="00B0F0"/>
          <w:sz w:val="24"/>
          <w:szCs w:val="24"/>
          <w:lang w:eastAsia="en-US"/>
        </w:rPr>
        <w:t>d</w:t>
      </w:r>
      <w:r w:rsidRPr="00B37812">
        <w:rPr>
          <w:rFonts w:ascii="Times New Roman" w:eastAsia="Calibri" w:hAnsi="Times New Roman" w:cs="Times New Roman"/>
          <w:sz w:val="24"/>
          <w:szCs w:val="24"/>
          <w:lang w:eastAsia="en-US"/>
        </w:rPr>
        <w:t>).</w:t>
      </w:r>
    </w:p>
    <w:p w14:paraId="40174DC5" w14:textId="77777777"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p>
    <w:p w14:paraId="590F4812" w14:textId="60CCA83A" w:rsidR="00B85163" w:rsidRPr="00B37812" w:rsidRDefault="00CA5863" w:rsidP="00A330CD">
      <w:pPr>
        <w:spacing w:after="0" w:line="360" w:lineRule="auto"/>
        <w:jc w:val="both"/>
        <w:rPr>
          <w:rFonts w:ascii="Times New Roman" w:eastAsia="Calibri" w:hAnsi="Times New Roman" w:cs="Times New Roman"/>
          <w:b/>
          <w:sz w:val="24"/>
          <w:szCs w:val="24"/>
          <w:lang w:eastAsia="en-US"/>
        </w:rPr>
      </w:pPr>
      <w:r w:rsidRPr="00B37812">
        <w:rPr>
          <w:rFonts w:ascii="Times New Roman" w:eastAsia="Calibri" w:hAnsi="Times New Roman" w:cs="Times New Roman"/>
          <w:b/>
          <w:sz w:val="24"/>
          <w:szCs w:val="24"/>
          <w:lang w:eastAsia="en-US"/>
        </w:rPr>
        <w:t xml:space="preserve">3.2.4. Effect of carrier </w:t>
      </w:r>
      <w:r w:rsidRPr="00B37812">
        <w:rPr>
          <w:rFonts w:ascii="Times New Roman" w:eastAsia="Calibri" w:hAnsi="Times New Roman" w:cs="Times New Roman"/>
          <w:b/>
          <w:bCs/>
          <w:color w:val="000000"/>
          <w:sz w:val="24"/>
          <w:szCs w:val="24"/>
          <w:lang w:eastAsia="en-US"/>
        </w:rPr>
        <w:t>materials</w:t>
      </w:r>
      <w:r w:rsidR="00B85163" w:rsidRPr="00B37812">
        <w:rPr>
          <w:rFonts w:ascii="Times New Roman" w:eastAsia="Calibri" w:hAnsi="Times New Roman" w:cs="Times New Roman"/>
          <w:b/>
          <w:sz w:val="24"/>
          <w:szCs w:val="24"/>
          <w:lang w:eastAsia="en-US"/>
        </w:rPr>
        <w:t xml:space="preserve"> on shelf-life properties</w:t>
      </w:r>
    </w:p>
    <w:p w14:paraId="3A4CBBA6"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2CC7925E" w14:textId="5D55BA28"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The encapsulating agents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w:t>
      </w:r>
      <w:r w:rsidR="0012008D" w:rsidRPr="00B37812">
        <w:rPr>
          <w:rFonts w:ascii="Times New Roman" w:eastAsia="Calibri" w:hAnsi="Times New Roman" w:cs="Times New Roman"/>
          <w:sz w:val="24"/>
          <w:szCs w:val="24"/>
          <w:lang w:eastAsia="en-US"/>
        </w:rPr>
        <w:t xml:space="preserve">addition rate </w:t>
      </w:r>
      <w:r w:rsidRPr="00B37812">
        <w:rPr>
          <w:rFonts w:ascii="Times New Roman" w:eastAsia="Calibri" w:hAnsi="Times New Roman" w:cs="Times New Roman"/>
          <w:sz w:val="24"/>
          <w:szCs w:val="24"/>
          <w:lang w:eastAsia="en-US"/>
        </w:rPr>
        <w:t>of wall material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and their interaction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0.05) had a significant effect on the MC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A similar observation has been earlier reported </w:t>
      </w:r>
      <w:r w:rsidRPr="00B37812">
        <w:rPr>
          <w:rFonts w:ascii="Times New Roman" w:eastAsia="Calibri" w:hAnsi="Times New Roman" w:cs="Times New Roman"/>
          <w:sz w:val="24"/>
          <w:szCs w:val="24"/>
          <w:lang w:eastAsia="en-US"/>
        </w:rPr>
        <w:fldChar w:fldCharType="begin"/>
      </w:r>
      <w:r w:rsidR="00E124D1" w:rsidRPr="00B37812">
        <w:rPr>
          <w:rFonts w:ascii="Times New Roman" w:eastAsia="Calibri" w:hAnsi="Times New Roman" w:cs="Times New Roman"/>
          <w:sz w:val="24"/>
          <w:szCs w:val="24"/>
          <w:lang w:eastAsia="en-US"/>
        </w:rPr>
        <w:instrText xml:space="preserve"> ADDIN EN.CITE &lt;EndNote&gt;&lt;Cite&gt;&lt;Author&gt;Saikia&lt;/Author&gt;&lt;Year&gt;2015&lt;/Year&gt;&lt;RecNum&gt;1384&lt;/RecNum&gt;&lt;DisplayText&gt;&lt;style face="superscript"&gt;11, 48&lt;/style&gt;&lt;/DisplayText&gt;&lt;record&gt;&lt;rec-number&gt;1384&lt;/rec-number&gt;&lt;foreign-keys&gt;&lt;key app="EN" db-id="5wdx0tztgpfe5yefsdpperx8srzetsx0pw9w" timestamp="1513496989"&gt;1384&lt;/key&gt;&lt;/foreign-keys&gt;&lt;ref-type name="Journal Article"&gt;17&lt;/ref-type&gt;&lt;contributors&gt;&lt;authors&gt;&lt;author&gt;Saikia, Sangeeta&lt;/author&gt;&lt;author&gt;Mahnot, Nikhil Kumar&lt;/author&gt;&lt;author&gt;Mahanta, Charu Lata&lt;/author&gt;&lt;/authors&gt;&lt;/contributors&gt;&lt;titles&gt;&lt;title&gt;Optimisation of phenolic extraction from Averrhoa carambola pomace by response surface methodology and its microencapsulation by spray and freeze drying&lt;/title&gt;&lt;secondary-title&gt;Food chemistry&lt;/secondary-title&gt;&lt;/titles&gt;&lt;periodical&gt;&lt;full-title&gt;Food Chemistry&lt;/full-title&gt;&lt;abbr-1&gt;Food Chem.&lt;/abbr-1&gt;&lt;abbr-2&gt;Food Chem&lt;/abbr-2&gt;&lt;/periodical&gt;&lt;pages&gt;144-152&lt;/pages&gt;&lt;volume&gt;171&lt;/volume&gt;&lt;dates&gt;&lt;year&gt;2015&lt;/year&gt;&lt;/dates&gt;&lt;isbn&gt;0308-8146&lt;/isbn&gt;&lt;urls&gt;&lt;/urls&gt;&lt;/record&gt;&lt;/Cite&gt;&lt;Cite&gt;&lt;Author&gt;Seerangurayar&lt;/Author&gt;&lt;Year&gt;2017&lt;/Year&gt;&lt;RecNum&gt;1374&lt;/RecNum&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Fonts w:ascii="Times New Roman" w:eastAsia="Calibri" w:hAnsi="Times New Roman" w:cs="Times New Roman"/>
          <w:sz w:val="24"/>
          <w:szCs w:val="24"/>
          <w:lang w:eastAsia="en-US"/>
        </w:rPr>
        <w:fldChar w:fldCharType="separate"/>
      </w:r>
      <w:hyperlink w:anchor="_ENREF_11" w:tooltip="Seerangurayar, 2017 #1374" w:history="1">
        <w:r w:rsidR="00E124D1" w:rsidRPr="00B37812">
          <w:rPr>
            <w:rStyle w:val="Hyperlink"/>
            <w:rFonts w:ascii="Times New Roman" w:eastAsia="Calibri" w:hAnsi="Times New Roman" w:cs="Times New Roman"/>
            <w:noProof/>
            <w:sz w:val="24"/>
            <w:szCs w:val="24"/>
            <w:vertAlign w:val="superscript"/>
            <w:lang w:eastAsia="en-US"/>
          </w:rPr>
          <w:t>11</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48" w:tooltip="Saikia, 2015 #1384" w:history="1">
        <w:r w:rsidR="00E124D1" w:rsidRPr="00B37812">
          <w:rPr>
            <w:rStyle w:val="Hyperlink"/>
            <w:rFonts w:ascii="Times New Roman" w:eastAsia="Calibri" w:hAnsi="Times New Roman" w:cs="Times New Roman"/>
            <w:noProof/>
            <w:sz w:val="24"/>
            <w:szCs w:val="24"/>
            <w:vertAlign w:val="superscript"/>
            <w:lang w:eastAsia="en-US"/>
          </w:rPr>
          <w:t>48</w:t>
        </w:r>
      </w:hyperlink>
      <w:r w:rsidRPr="00B37812">
        <w:rPr>
          <w:rFonts w:ascii="Times New Roman" w:eastAsia="Calibri" w:hAnsi="Times New Roman" w:cs="Times New Roman"/>
          <w:sz w:val="24"/>
          <w:szCs w:val="24"/>
          <w:lang w:eastAsia="en-US"/>
        </w:rPr>
        <w:fldChar w:fldCharType="end"/>
      </w:r>
      <w:hyperlink w:anchor="_ENREF_8" w:tooltip="Seerangurayar, 2017 #1374" w:history="1"/>
      <w:r w:rsidRPr="00B37812">
        <w:rPr>
          <w:rFonts w:ascii="Times New Roman" w:eastAsia="Calibri" w:hAnsi="Times New Roman" w:cs="Times New Roman"/>
          <w:sz w:val="24"/>
          <w:szCs w:val="24"/>
          <w:lang w:eastAsia="en-US"/>
        </w:rPr>
        <w:t>. An increase in the addition rate of wall material resulted in a lessening in MC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4</w:t>
      </w:r>
      <w:r w:rsidRPr="00B37812">
        <w:rPr>
          <w:rFonts w:ascii="Times New Roman" w:eastAsia="Calibri" w:hAnsi="Times New Roman" w:cs="Times New Roman"/>
          <w:color w:val="00B0F0"/>
          <w:sz w:val="24"/>
          <w:szCs w:val="24"/>
          <w:lang w:eastAsia="en-US"/>
        </w:rPr>
        <w:t>a</w:t>
      </w:r>
      <w:r w:rsidRPr="00B37812">
        <w:rPr>
          <w:rFonts w:ascii="Times New Roman" w:eastAsia="Calibri" w:hAnsi="Times New Roman" w:cs="Times New Roman"/>
          <w:sz w:val="24"/>
          <w:szCs w:val="24"/>
          <w:lang w:eastAsia="en-US"/>
        </w:rPr>
        <w:t xml:space="preserve">). This could be ascribed to the higher level of carrier concentration, which led to an increment in total solids of the feed mixture, thereby decreasing the amount of free water available for sublimation </w:t>
      </w:r>
      <w:hyperlink w:anchor="_ENREF_38" w:tooltip="Bhusari, 2014 #1329"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&lt;EndNote&gt;&lt;Cite&gt;&lt;Author&gt;Bhusari&lt;/Author&gt;&lt;Year&gt;2014&lt;/Year&gt;&lt;RecNum&gt;1329&lt;/RecNum&gt;&lt;DisplayText&gt;&lt;style face="superscript"&gt;38&lt;/style&gt;&lt;/DisplayText&gt;&lt;record&gt;&lt;rec-number&gt;1329&lt;/rec-number&gt;&lt;foreign-keys&gt;&lt;key app="EN" db-id="5wdx0tztgpfe5yefsdpperx8srzetsx0pw9w" timestamp="1510212457"&gt;1329&lt;/key&gt;&lt;/foreign-keys&gt;&lt;ref-type name="Journal Article"&gt;17&lt;/ref-type&gt;&lt;contributors&gt;&lt;authors&gt;&lt;author&gt;Bhusari, SN&lt;/author&gt;&lt;author&gt;Muzaffar, Khalid&lt;/author&gt;&lt;author&gt;Kumar, Pradyuman&lt;/author&gt;&lt;/authors&gt;&lt;/contributors&gt;&lt;titles&gt;&lt;title&gt;Effect of carrier agents on physical and microstructural properties of spray dried tamarind pulp powder&lt;/title&gt;&lt;secondary-title&gt;Powder technology&lt;/secondary-title&gt;&lt;/titles&gt;&lt;periodical&gt;&lt;full-title&gt;Powder Technology&lt;/full-title&gt;&lt;abbr-1&gt;Powder Technol.&lt;/abbr-1&gt;&lt;abbr-2&gt;Powder Technol&lt;/abbr-2&gt;&lt;/periodical&gt;&lt;pages&gt;354-364&lt;/pages&gt;&lt;volume&gt;266&lt;/volume&gt;&lt;dates&gt;&lt;year&gt;2014&lt;/year&gt;&lt;/dates&gt;&lt;isbn&gt;0032-5910&lt;/isbn&gt;&lt;urls&gt;&lt;/urls&gt;&lt;/record&gt;&lt;/Cite&gt;&lt;/EndNote&gt;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38</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This finding is consistent with earlier reports on freeze dry powders </w:t>
      </w:r>
      <w:r w:rsidRPr="00B37812">
        <w:rPr>
          <w:rFonts w:ascii="Times New Roman" w:eastAsia="Calibri" w:hAnsi="Times New Roman" w:cs="Times New Roman"/>
          <w:sz w:val="24"/>
          <w:szCs w:val="24"/>
          <w:lang w:eastAsia="en-US"/>
        </w:rPr>
        <w:fldChar w:fldCharType="begin">
          <w:fldData xml:space="preserve">PEVuZE5vdGU+PENpdGU+PEF1dGhvcj5TYWlraWE8L0F1dGhvcj48WWVhcj4yMDE1PC9ZZWFyPjxS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</w:fldData>
        </w:fldChar>
      </w:r>
      <w:r w:rsidR="00E124D1" w:rsidRPr="00B37812">
        <w:rPr>
          <w:rFonts w:ascii="Times New Roman" w:eastAsia="Calibri" w:hAnsi="Times New Roman" w:cs="Times New Roman"/>
          <w:sz w:val="24"/>
          <w:szCs w:val="24"/>
          <w:lang w:eastAsia="en-US"/>
        </w:rPr>
        <w:instrText xml:space="preserve"> ADDIN EN.CITE </w:instrText>
      </w:r>
      <w:r w:rsidR="00E124D1" w:rsidRPr="00B37812">
        <w:rPr>
          <w:rFonts w:ascii="Times New Roman" w:eastAsia="Calibri" w:hAnsi="Times New Roman" w:cs="Times New Roman"/>
          <w:sz w:val="24"/>
          <w:szCs w:val="24"/>
          <w:lang w:eastAsia="en-US"/>
        </w:rPr>
        <w:fldChar w:fldCharType="begin">
          <w:fldData xml:space="preserve">PEVuZE5vdGU+PENpdGU+PEF1dGhvcj5TYWlraWE8L0F1dGhvcj48WWVhcj4yMDE1PC9ZZWFyPjxS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</w:fldData>
        </w:fldChar>
      </w:r>
      <w:r w:rsidR="00E124D1" w:rsidRPr="00B37812">
        <w:rPr>
          <w:rFonts w:ascii="Times New Roman" w:eastAsia="Calibri" w:hAnsi="Times New Roman" w:cs="Times New Roman"/>
          <w:sz w:val="24"/>
          <w:szCs w:val="24"/>
          <w:lang w:eastAsia="en-US"/>
        </w:rPr>
        <w:instrText xml:space="preserve"> ADDIN EN.CITE.DATA </w:instrText>
      </w:r>
      <w:r w:rsidR="00E124D1" w:rsidRPr="00B37812">
        <w:rPr>
          <w:rFonts w:ascii="Times New Roman" w:eastAsia="Calibri" w:hAnsi="Times New Roman" w:cs="Times New Roman"/>
          <w:sz w:val="24"/>
          <w:szCs w:val="24"/>
          <w:lang w:eastAsia="en-US"/>
        </w:rPr>
      </w:r>
      <w:r w:rsidR="00E124D1"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r>
      <w:r w:rsidRPr="00B37812">
        <w:rPr>
          <w:rFonts w:ascii="Times New Roman" w:eastAsia="Calibri" w:hAnsi="Times New Roman" w:cs="Times New Roman"/>
          <w:sz w:val="24"/>
          <w:szCs w:val="24"/>
          <w:lang w:eastAsia="en-US"/>
        </w:rPr>
        <w:fldChar w:fldCharType="separate"/>
      </w:r>
      <w:hyperlink w:anchor="_ENREF_11" w:tooltip="Seerangurayar, 2017 #1374" w:history="1">
        <w:r w:rsidR="00E124D1" w:rsidRPr="00B37812">
          <w:rPr>
            <w:rStyle w:val="Hyperlink"/>
            <w:rFonts w:ascii="Times New Roman" w:eastAsia="Calibri" w:hAnsi="Times New Roman" w:cs="Times New Roman"/>
            <w:noProof/>
            <w:sz w:val="24"/>
            <w:szCs w:val="24"/>
            <w:vertAlign w:val="superscript"/>
            <w:lang w:eastAsia="en-US"/>
          </w:rPr>
          <w:t>11</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28" w:tooltip="Oberoi, 2015 #1385" w:history="1">
        <w:r w:rsidR="00E124D1" w:rsidRPr="00B37812">
          <w:rPr>
            <w:rStyle w:val="Hyperlink"/>
            <w:rFonts w:ascii="Times New Roman" w:eastAsia="Calibri" w:hAnsi="Times New Roman" w:cs="Times New Roman"/>
            <w:noProof/>
            <w:sz w:val="24"/>
            <w:szCs w:val="24"/>
            <w:vertAlign w:val="superscript"/>
            <w:lang w:eastAsia="en-US"/>
          </w:rPr>
          <w:t>28</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48" w:tooltip="Saikia, 2015 #1384" w:history="1">
        <w:r w:rsidR="00E124D1" w:rsidRPr="00B37812">
          <w:rPr>
            <w:rStyle w:val="Hyperlink"/>
            <w:rFonts w:ascii="Times New Roman" w:eastAsia="Calibri" w:hAnsi="Times New Roman" w:cs="Times New Roman"/>
            <w:noProof/>
            <w:sz w:val="24"/>
            <w:szCs w:val="24"/>
            <w:vertAlign w:val="superscript"/>
            <w:lang w:eastAsia="en-US"/>
          </w:rPr>
          <w:t>48</w:t>
        </w:r>
      </w:hyperlink>
      <w:r w:rsidRPr="00B37812">
        <w:rPr>
          <w:rFonts w:ascii="Times New Roman" w:eastAsia="Calibri" w:hAnsi="Times New Roman" w:cs="Times New Roman"/>
          <w:sz w:val="24"/>
          <w:szCs w:val="24"/>
          <w:lang w:eastAsia="en-US"/>
        </w:rPr>
        <w:fldChar w:fldCharType="end"/>
      </w:r>
      <w:hyperlink w:anchor="_ENREF_8" w:tooltip="Seerangurayar, 2017 #1374" w:history="1"/>
      <w:r w:rsidRPr="00B37812">
        <w:rPr>
          <w:rFonts w:ascii="Times New Roman" w:eastAsia="Calibri" w:hAnsi="Times New Roman" w:cs="Times New Roman"/>
          <w:sz w:val="24"/>
          <w:szCs w:val="24"/>
          <w:lang w:eastAsia="en-US"/>
        </w:rPr>
        <w:t>.</w:t>
      </w:r>
    </w:p>
    <w:p w14:paraId="7F46E96D" w14:textId="4BD06D95"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 xml:space="preserve">The HG of freeze dry powder has been reported to be related to PS. The smaller the PS, the larger the surface area exposed to the ambient air, thus leading to more water absorption </w:t>
      </w:r>
      <w:hyperlink w:anchor="_ENREF_22" w:tooltip="Kuck, 2016 #1367"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&lt;EndNote&gt;&lt;Cite&gt;&lt;Author&gt;Kuck&lt;/Author&gt;&lt;Year&gt;2016&lt;/Year&gt;&lt;RecNum&gt;1367&lt;/RecNum&gt;&lt;DisplayText&gt;&lt;style face="superscript"&gt;22&lt;/style&gt;&lt;/DisplayText&gt;&lt;record&gt;&lt;rec-number&gt;1367&lt;/rec-number&gt;&lt;foreign-keys&gt;&lt;key app="EN" db-id="5wdx0tztgpfe5yefsdpperx8srzetsx0pw9w" timestamp="1513072413"&gt;1367&lt;/key&gt;&lt;/foreign-keys&gt;&lt;ref-type name="Journal Article"&gt;17&lt;/ref-type&gt;&lt;contributors&gt;&lt;authors&gt;&lt;author&gt;Kuck, Luiza Siede&lt;/author&gt;&lt;author&gt;Noreña, Caciano Pelayo Zapata&lt;/author&gt;&lt;/authors&gt;&lt;/contributors&gt;&lt;titles&gt;&lt;title&gt;Microencapsulation of grape (Vitis labrusca var. Bordo) skin phenolic extract using gum Arabic, polydextrose, and partially hydrolyzed guar gum as encapsulating agents&lt;/title&gt;&lt;secondary-title&gt;Food chemistry&lt;/secondary-title&gt;&lt;/titles&gt;&lt;periodical&gt;&lt;full-title&gt;Food Chemistry&lt;/full-title&gt;&lt;abbr-1&gt;Food Chem.&lt;/abbr-1&gt;&lt;abbr-2&gt;Food Chem&lt;/abbr-2&gt;&lt;/periodical&gt;&lt;pages&gt;569-576&lt;/pages&gt;&lt;volume&gt;194&lt;/volume&gt;&lt;dates&gt;&lt;year&gt;2016&lt;/year&gt;&lt;/dates&gt;&lt;isbn&gt;0308-8146&lt;/isbn&gt;&lt;urls&gt;&lt;/urls&gt;&lt;/record&gt;&lt;/Cite&gt;&lt;/EndNote&gt;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22</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Furthermore, carrier materials have been proved to be less hygroscopic due to their high GT </w:t>
      </w:r>
      <w:hyperlink w:anchor="_ENREF_45" w:tooltip="Seerangurayar, 2017 #1391"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&lt;EndNote&gt;&lt;Cite&gt;&lt;Author&gt;Seerangurayar&lt;/Author&gt;&lt;Year&gt;2017&lt;/Year&gt;&lt;RecNum&gt;1391&lt;/RecNum&gt;&lt;DisplayText&gt;&lt;style face="superscript"&gt;45&lt;/style&gt;&lt;/DisplayText&gt;&lt;record&gt;&lt;rec-number&gt;1391&lt;/rec-number&gt;&lt;foreign-keys&gt;&lt;key app="EN" db-id="5wdx0tztgpfe5yefsdpperx8srzetsx0pw9w" timestamp="1513663698"&gt;1391&lt;/key&gt;&lt;/foreign-keys&gt;&lt;ref-type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physicochemical properties of foam-mat freeze-dried date powder&lt;/title&gt;&lt;secondary-title&gt;Drying Technology&lt;/secondary-title&gt;&lt;/titles&gt;&lt;periodical&gt;&lt;full-title&gt;Drying Technology&lt;/full-title&gt;&lt;abbr-1&gt;Drying Technol.&lt;/abbr-1&gt;&lt;abbr-2&gt;Drying Technol&lt;/abbr-2&gt;&lt;/periodical&gt;&lt;pages&gt;1-12&lt;/pages&gt;&lt;dates&gt;&lt;year&gt;2017&lt;/year&gt;&lt;/dates&gt;&lt;isbn&gt;0737-3937&lt;/isbn&gt;&lt;urls&gt;&lt;/urls&gt;&lt;/record&gt;&lt;/Cite&gt;&lt;/EndNote&gt;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45</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Moreover, reduction in HG is linked to the carrier’s molecular weight </w:t>
      </w:r>
      <w:r w:rsidRPr="00B37812">
        <w:rPr>
          <w:rFonts w:ascii="Times New Roman" w:eastAsia="Calibri" w:hAnsi="Times New Roman" w:cs="Times New Roman"/>
          <w:sz w:val="24"/>
          <w:szCs w:val="24"/>
          <w:lang w:eastAsia="en-US"/>
        </w:rPr>
        <w:fldChar w:fldCharType="begin"/>
      </w:r>
      <w:r w:rsidR="00E124D1" w:rsidRPr="00B37812">
        <w:rPr>
          <w:rFonts w:ascii="Times New Roman" w:eastAsia="Calibri" w:hAnsi="Times New Roman" w:cs="Times New Roman"/>
          <w:sz w:val="24"/>
          <w:szCs w:val="24"/>
          <w:lang w:eastAsia="en-US"/>
        </w:rPr>
        <w:instrText xml:space="preserve"> ADDIN EN.CITE &lt;EndNote&gt;&lt;Cite&gt;&lt;Author&gt;Bhusari&lt;/Author&gt;&lt;Year&gt;2014&lt;/Year&gt;&lt;RecNum&gt;1329&lt;/RecNum&gt;&lt;DisplayText&gt;&lt;style face="superscript"&gt;11, 38&lt;/style&gt;&lt;/DisplayText&gt;&lt;record&gt;&lt;rec-number&gt;1329&lt;/rec-number&gt;&lt;foreign-keys&gt;&lt;key app="EN" db-id="5wdx0tztgpfe5yefsdpperx8srzetsx0pw9w" timestamp="1510212457"&gt;1329&lt;/key&gt;&lt;/foreign-keys&gt;&lt;ref-type name="Journal Article"&gt;17&lt;/ref-type&gt;&lt;contributors&gt;&lt;authors&gt;&lt;author&gt;Bhusari, SN&lt;/author&gt;&lt;author&gt;Muzaffar, Khalid&lt;/author&gt;&lt;author&gt;Kumar, Pradyuman&lt;/author&gt;&lt;/authors&gt;&lt;/contributors&gt;&lt;titles&gt;&lt;title&gt;Effect of carrier agents on physical and microstructural properties of spray dried tamarind pulp powder&lt;/title&gt;&lt;secondary-title&gt;Powder technology&lt;/secondary-title&gt;&lt;/titles&gt;&lt;periodical&gt;&lt;full-title&gt;Powder Technology&lt;/full-title&gt;&lt;abbr-1&gt;Powder Technol.&lt;/abbr-1&gt;&lt;abbr-2&gt;Powder Technol&lt;/abbr-2&gt;&lt;/periodical&gt;&lt;pages&gt;354-364&lt;/pages&gt;&lt;volume&gt;266&lt;/volume&gt;&lt;dates&gt;&lt;year&gt;2014&lt;/year&gt;&lt;/dates&gt;&lt;isbn&gt;0032-5910&lt;/isbn&gt;&lt;urls&gt;&lt;/urls&gt;&lt;/record&gt;&lt;/Cite&gt;&lt;Cite&gt;&lt;Author&gt;Seerangurayar&lt;/Author&gt;&lt;Year&gt;2017&lt;/Year&gt;&lt;RecNum&gt;1374&lt;/RecNum&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Fonts w:ascii="Times New Roman" w:eastAsia="Calibri" w:hAnsi="Times New Roman" w:cs="Times New Roman"/>
          <w:sz w:val="24"/>
          <w:szCs w:val="24"/>
          <w:lang w:eastAsia="en-US"/>
        </w:rPr>
        <w:fldChar w:fldCharType="separate"/>
      </w:r>
      <w:hyperlink w:anchor="_ENREF_11" w:tooltip="Seerangurayar, 2017 #1374" w:history="1">
        <w:r w:rsidR="00E124D1" w:rsidRPr="00B37812">
          <w:rPr>
            <w:rStyle w:val="Hyperlink"/>
            <w:rFonts w:ascii="Times New Roman" w:eastAsia="Calibri" w:hAnsi="Times New Roman" w:cs="Times New Roman"/>
            <w:noProof/>
            <w:sz w:val="24"/>
            <w:szCs w:val="24"/>
            <w:vertAlign w:val="superscript"/>
            <w:lang w:eastAsia="en-US"/>
          </w:rPr>
          <w:t>11</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38" w:tooltip="Bhusari, 2014 #1329" w:history="1">
        <w:r w:rsidR="00E124D1" w:rsidRPr="00B37812">
          <w:rPr>
            <w:rStyle w:val="Hyperlink"/>
            <w:rFonts w:ascii="Times New Roman" w:eastAsia="Calibri" w:hAnsi="Times New Roman" w:cs="Times New Roman"/>
            <w:noProof/>
            <w:sz w:val="24"/>
            <w:szCs w:val="24"/>
            <w:vertAlign w:val="superscript"/>
            <w:lang w:eastAsia="en-US"/>
          </w:rPr>
          <w:t>38</w:t>
        </w:r>
      </w:hyperlink>
      <w:r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t>. Hence, the significant effect of the type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the addition rate of wall material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and their interaction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on the HG may be related to their effect on PS and GT of the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This was supported by the negative significant correlations </w:t>
      </w:r>
      <w:r w:rsidRPr="00B37812">
        <w:rPr>
          <w:rFonts w:ascii="Times New Roman" w:eastAsia="Calibri" w:hAnsi="Times New Roman" w:cs="Times New Roman"/>
          <w:sz w:val="24"/>
          <w:szCs w:val="24"/>
        </w:rPr>
        <w:t>between</w:t>
      </w:r>
      <w:r w:rsidRPr="00B37812">
        <w:rPr>
          <w:rFonts w:ascii="Times New Roman" w:eastAsia="Calibri" w:hAnsi="Times New Roman" w:cs="Times New Roman"/>
          <w:sz w:val="24"/>
          <w:szCs w:val="24"/>
          <w:lang w:eastAsia="en-US"/>
        </w:rPr>
        <w:t xml:space="preserve"> HG and PS </w:t>
      </w:r>
      <w:r w:rsidRPr="00B37812">
        <w:rPr>
          <w:rFonts w:ascii="Times New Roman" w:hAnsi="Times New Roman" w:cs="Times New Roman"/>
          <w:color w:val="000000"/>
          <w:sz w:val="24"/>
          <w:szCs w:val="24"/>
        </w:rPr>
        <w:t>(r = -0.939)</w:t>
      </w:r>
      <w:r w:rsidRPr="00B37812">
        <w:rPr>
          <w:rFonts w:ascii="Times New Roman" w:eastAsia="Calibri" w:hAnsi="Times New Roman" w:cs="Times New Roman"/>
          <w:sz w:val="24"/>
          <w:szCs w:val="24"/>
          <w:lang w:eastAsia="en-US"/>
        </w:rPr>
        <w:t xml:space="preserve"> as well as GT </w:t>
      </w:r>
      <w:r w:rsidRPr="00B37812">
        <w:rPr>
          <w:rFonts w:ascii="Times New Roman" w:hAnsi="Times New Roman" w:cs="Times New Roman"/>
          <w:color w:val="000000"/>
          <w:sz w:val="24"/>
          <w:szCs w:val="24"/>
        </w:rPr>
        <w:t>(r = -0.997)</w:t>
      </w:r>
      <w:r w:rsidRPr="00B37812">
        <w:rPr>
          <w:rFonts w:ascii="Times New Roman" w:eastAsia="Calibri" w:hAnsi="Times New Roman" w:cs="Times New Roman"/>
          <w:sz w:val="24"/>
          <w:szCs w:val="24"/>
          <w:lang w:eastAsia="en-US"/>
        </w:rPr>
        <w:t xml:space="preserve">. Further, in accordance with others authors </w:t>
      </w:r>
      <w:r w:rsidRPr="00B37812">
        <w:rPr>
          <w:rFonts w:ascii="Times New Roman" w:eastAsia="Calibri" w:hAnsi="Times New Roman" w:cs="Times New Roman"/>
          <w:sz w:val="24"/>
          <w:szCs w:val="24"/>
          <w:lang w:eastAsia="en-US"/>
        </w:rPr>
        <w:fldChar w:fldCharType="begin"/>
      </w:r>
      <w:r w:rsidR="00E124D1" w:rsidRPr="00B37812">
        <w:rPr>
          <w:rFonts w:ascii="Times New Roman" w:eastAsia="Calibri" w:hAnsi="Times New Roman" w:cs="Times New Roman"/>
          <w:sz w:val="24"/>
          <w:szCs w:val="24"/>
          <w:lang w:eastAsia="en-US"/>
        </w:rPr>
        <w:instrText xml:space="preserve"> ADDIN EN.CITE &lt;EndNote&gt;&lt;Cite&gt;&lt;Author&gt;Seerangurayar&lt;/Author&gt;&lt;Year&gt;2017&lt;/Year&gt;&lt;RecNum&gt;1391&lt;/RecNum&gt;&lt;DisplayText&gt;&lt;style face="superscript"&gt;38, 45&lt;/style&gt;&lt;/DisplayText&gt;&lt;record&gt;&lt;rec-number&gt;1391&lt;/rec-number&gt;&lt;foreign-keys&gt;&lt;key app="EN" db-id="5wdx0tztgpfe5yefsdpperx8srzetsx0pw9w" timestamp="1513663698"&gt;1391&lt;/key&gt;&lt;/foreign-keys&gt;&lt;ref-type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physicochemical properties of foam-mat freeze-dried date powder&lt;/title&gt;&lt;secondary-title&gt;Drying Technology&lt;/secondary-title&gt;&lt;/titles&gt;&lt;periodical&gt;&lt;full-title&gt;Drying Technology&lt;/full-title&gt;&lt;abbr-1&gt;Drying Technol.&lt;/abbr-1&gt;&lt;abbr-2&gt;Drying Technol&lt;/abbr-2&gt;&lt;/periodical&gt;&lt;pages&gt;1-12&lt;/pages&gt;&lt;dates&gt;&lt;year&gt;2017&lt;/year&gt;&lt;/dates&gt;&lt;isbn&gt;0737-3937&lt;/isbn&gt;&lt;urls&gt;&lt;/urls&gt;&lt;/record&gt;&lt;/Cite&gt;&lt;Cite&gt;&lt;Author&gt;Bhusari&lt;/Author&gt;&lt;Year&gt;2014&lt;/Year&gt;&lt;RecNum&gt;1329&lt;/RecNum&gt;&lt;record&gt;&lt;rec-number&gt;1329&lt;/rec-number&gt;&lt;foreign-keys&gt;&lt;key app="EN" db-id="5wdx0tztgpfe5yefsdpperx8srzetsx0pw9w" timestamp="1510212457"&gt;1329&lt;/key&gt;&lt;/foreign-keys&gt;&lt;ref-type name="Journal Article"&gt;17&lt;/ref-type&gt;&lt;contributors&gt;&lt;authors&gt;&lt;author&gt;Bhusari, SN&lt;/author&gt;&lt;author&gt;Muzaffar, Khalid&lt;/author&gt;&lt;author&gt;Kumar, Pradyuman&lt;/author&gt;&lt;/authors&gt;&lt;/contributors&gt;&lt;titles&gt;&lt;title&gt;Effect of carrier agents on physical and microstructural properties of spray dried tamarind pulp powder&lt;/title&gt;&lt;secondary-title&gt;Powder technology&lt;/secondary-title&gt;&lt;/titles&gt;&lt;periodical&gt;&lt;full-title&gt;Powder Technology&lt;/full-title&gt;&lt;abbr-1&gt;Powder Technol.&lt;/abbr-1&gt;&lt;abbr-2&gt;Powder Technol&lt;/abbr-2&gt;&lt;/periodical&gt;&lt;pages&gt;354-364&lt;/pages&gt;&lt;volume&gt;266&lt;/volume&gt;&lt;dates&gt;&lt;year&gt;2014&lt;/year&gt;&lt;/dates&gt;&lt;isbn&gt;0032-5910&lt;/isbn&gt;&lt;urls&gt;&lt;/urls&gt;&lt;/record&gt;&lt;/Cite&gt;&lt;/EndNote&gt;</w:instrText>
      </w:r>
      <w:r w:rsidRPr="00B37812">
        <w:rPr>
          <w:rFonts w:ascii="Times New Roman" w:eastAsia="Calibri" w:hAnsi="Times New Roman" w:cs="Times New Roman"/>
          <w:sz w:val="24"/>
          <w:szCs w:val="24"/>
          <w:lang w:eastAsia="en-US"/>
        </w:rPr>
        <w:fldChar w:fldCharType="separate"/>
      </w:r>
      <w:hyperlink w:anchor="_ENREF_38" w:tooltip="Bhusari, 2014 #1329" w:history="1">
        <w:r w:rsidR="00E124D1" w:rsidRPr="00B37812">
          <w:rPr>
            <w:rStyle w:val="Hyperlink"/>
            <w:rFonts w:ascii="Times New Roman" w:eastAsia="Calibri" w:hAnsi="Times New Roman" w:cs="Times New Roman"/>
            <w:noProof/>
            <w:sz w:val="24"/>
            <w:szCs w:val="24"/>
            <w:vertAlign w:val="superscript"/>
            <w:lang w:eastAsia="en-US"/>
          </w:rPr>
          <w:t>38</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45" w:tooltip="Seerangurayar, 2017 #1391" w:history="1">
        <w:r w:rsidR="00E124D1" w:rsidRPr="00B37812">
          <w:rPr>
            <w:rStyle w:val="Hyperlink"/>
            <w:rFonts w:ascii="Times New Roman" w:eastAsia="Calibri" w:hAnsi="Times New Roman" w:cs="Times New Roman"/>
            <w:noProof/>
            <w:sz w:val="24"/>
            <w:szCs w:val="24"/>
            <w:vertAlign w:val="superscript"/>
            <w:lang w:eastAsia="en-US"/>
          </w:rPr>
          <w:t>45</w:t>
        </w:r>
      </w:hyperlink>
      <w:r w:rsidRPr="00B37812">
        <w:rPr>
          <w:rFonts w:ascii="Times New Roman" w:eastAsia="Calibri" w:hAnsi="Times New Roman" w:cs="Times New Roman"/>
          <w:sz w:val="24"/>
          <w:szCs w:val="24"/>
          <w:lang w:eastAsia="en-US"/>
        </w:rPr>
        <w:fldChar w:fldCharType="end"/>
      </w:r>
      <w:hyperlink w:anchor="_ENREF_18" w:tooltip="Bhusari, 2014 #1329" w:history="1"/>
      <w:r w:rsidRPr="00B37812">
        <w:rPr>
          <w:rFonts w:ascii="Times New Roman" w:eastAsia="Calibri" w:hAnsi="Times New Roman" w:cs="Times New Roman"/>
          <w:sz w:val="24"/>
          <w:szCs w:val="24"/>
          <w:lang w:eastAsia="en-US"/>
        </w:rPr>
        <w:t>, a decrease in HG was observed with an increase in carrier concentration and the type of encapsulated agent used (</w:t>
      </w:r>
      <w:r w:rsidR="004D559D"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004D559D" w:rsidRPr="00B37812">
        <w:rPr>
          <w:rFonts w:ascii="Times New Roman" w:eastAsia="Calibri" w:hAnsi="Times New Roman" w:cs="Times New Roman"/>
          <w:color w:val="00B0F0"/>
          <w:sz w:val="24"/>
          <w:szCs w:val="24"/>
          <w:lang w:eastAsia="en-US"/>
        </w:rPr>
        <w:t xml:space="preserve"> 4</w:t>
      </w:r>
      <w:r w:rsidRPr="00B37812">
        <w:rPr>
          <w:rFonts w:ascii="Times New Roman" w:eastAsia="Calibri" w:hAnsi="Times New Roman" w:cs="Times New Roman"/>
          <w:color w:val="00B0F0"/>
          <w:sz w:val="24"/>
          <w:szCs w:val="24"/>
          <w:lang w:eastAsia="en-US"/>
        </w:rPr>
        <w:t>b</w:t>
      </w:r>
      <w:r w:rsidRPr="00B37812">
        <w:rPr>
          <w:rFonts w:ascii="Times New Roman" w:eastAsia="Calibri" w:hAnsi="Times New Roman" w:cs="Times New Roman"/>
          <w:sz w:val="24"/>
          <w:szCs w:val="24"/>
          <w:lang w:eastAsia="en-US"/>
        </w:rPr>
        <w:t>).</w:t>
      </w:r>
    </w:p>
    <w:p w14:paraId="5E75ED29" w14:textId="2657D04A" w:rsidR="00B85163" w:rsidRPr="00B37812" w:rsidRDefault="00B85163" w:rsidP="00A330CD">
      <w:pPr>
        <w:tabs>
          <w:tab w:val="left" w:pos="1995"/>
        </w:tabs>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The type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and addition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of carrier significantly alter the GT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 xml:space="preserve">ENP. </w:t>
      </w:r>
      <w:r w:rsidRPr="00B37812">
        <w:rPr>
          <w:rFonts w:ascii="Times New Roman" w:eastAsia="Calibri" w:hAnsi="Times New Roman" w:cs="Times New Roman"/>
          <w:color w:val="000000"/>
          <w:sz w:val="24"/>
          <w:szCs w:val="24"/>
          <w:lang w:eastAsia="en-US"/>
        </w:rPr>
        <w:t xml:space="preserve">According to </w:t>
      </w:r>
      <w:hyperlink w:anchor="_ENREF_22" w:tooltip="Kuck, 2016 #1367"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AuthorYear="1"&gt;&lt;Author&gt;Kuck&lt;/Author&gt;&lt;Year&gt;2016&lt;/Year&gt;&lt;RecNum&gt;1367&lt;/RecNum&gt;&lt;DisplayText&gt;Kuck et al. &lt;style face="superscript"&gt;22&lt;/style&gt;&lt;/DisplayText&gt;&lt;record&gt;&lt;rec-number&gt;1367&lt;/rec-number&gt;&lt;foreign-keys&gt;&lt;key app="EN" db-id="5wdx0tztgpfe5yefsdpperx8srzetsx0pw9w" timestamp="1513072413"&gt;1367&lt;/key&gt;&lt;/foreign-keys&gt;&lt;ref-type name="Journal Article"&gt;17&lt;/ref-type&gt;&lt;contributors&gt;&lt;authors&gt;&lt;author&gt;Kuck, Luiza Siede&lt;/author&gt;&lt;author&gt;Noreña, Caciano Pelayo Zapata&lt;/author&gt;&lt;/authors&gt;&lt;/contributors&gt;&lt;titles&gt;&lt;title&gt;Microencapsulation of grape (Vitis labrusca var. Bordo) skin phenolic extract using gum Arabic, polydextrose, and partially hydrolyzed guar gum as encapsulating agents&lt;/title&gt;&lt;secondary-title&gt;Food chemistry&lt;/secondary-title&gt;&lt;/titles&gt;&lt;periodical&gt;&lt;full-title&gt;Food Chemistry&lt;/full-title&gt;&lt;abbr-1&gt;Food Chem.&lt;/abbr-1&gt;&lt;abbr-2&gt;Food Chem&lt;/abbr-2&gt;&lt;/periodical&gt;&lt;pages&gt;569-576&lt;/pages&gt;&lt;volume&gt;194&lt;/volume&gt;&lt;dates&gt;&lt;year&gt;2016&lt;/year&gt;&lt;/dates&gt;&lt;isbn&gt;0308-8146&lt;/isbn&gt;&lt;urls&gt;&lt;/urls&gt;&lt;/record&gt;&lt;/Cite&gt;&lt;/EndNote&gt;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Kuck et al. </w:t>
        </w:r>
        <w:r w:rsidR="00E124D1" w:rsidRPr="00B37812">
          <w:rPr>
            <w:rStyle w:val="Hyperlink"/>
            <w:rFonts w:ascii="Times New Roman" w:eastAsia="Calibri" w:hAnsi="Times New Roman" w:cs="Times New Roman"/>
            <w:noProof/>
            <w:sz w:val="24"/>
            <w:szCs w:val="24"/>
            <w:vertAlign w:val="superscript"/>
            <w:lang w:eastAsia="en-US"/>
          </w:rPr>
          <w:t>22</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color w:val="000000"/>
          <w:sz w:val="24"/>
          <w:szCs w:val="24"/>
          <w:lang w:eastAsia="en-US"/>
        </w:rPr>
        <w:t xml:space="preserve">, GT is affected by the molecular weight of encapsulating agent. Consequently, the addition rate of the carrier led to an increase in the GT </w:t>
      </w:r>
      <w:hyperlink w:anchor="_ENREF_49" w:tooltip="Kurozawa, 2009 #1390"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&lt;EndNote&gt;&lt;Cite&gt;&lt;Author&gt;Kurozawa&lt;/Author&gt;&lt;Year&gt;2009&lt;/Year&gt;&lt;RecNum&gt;1390&lt;/RecNum&gt;&lt;DisplayText&gt;&lt;style face="superscript"&gt;49&lt;/style&gt;&lt;/DisplayText&gt;&lt;record&gt;&lt;rec-number&gt;1390&lt;/rec-number&gt;&lt;foreign-keys&gt;&lt;key app="EN" db-id="5wdx0tztgpfe5yefsdpperx8srzetsx0pw9w" timestamp="1513651345"&gt;1390&lt;/key&gt;&lt;/foreign-keys&gt;&lt;ref-type name="Journal Article"&gt;17&lt;/ref-type&gt;&lt;contributors&gt;&lt;authors&gt;&lt;author&gt;Kurozawa, Louise Emy&lt;/author&gt;&lt;author&gt;Park, Kil Jin&lt;/author&gt;&lt;author&gt;Hubinger, Miriam Dupas&lt;/author&gt;&lt;/authors&gt;&lt;/contributors&gt;&lt;titles&gt;&lt;title&gt;Effect of maltodextrin and gum arabic on water sorption and glass transition temperature of spray dried chicken meat hydrolysate protein&lt;/title&gt;&lt;secondary-title&gt;Journal of Food Engineering&lt;/secondary-title&gt;&lt;/titles&gt;&lt;periodical&gt;&lt;full-title&gt;Journal of Food Engineering&lt;/full-title&gt;&lt;abbr-1&gt;J. Food Eng.&lt;/abbr-1&gt;&lt;abbr-2&gt;J Food Eng&lt;/abbr-2&gt;&lt;/periodical&gt;&lt;pages&gt;287-296&lt;/pages&gt;&lt;volume&gt;91&lt;/volume&gt;&lt;number&gt;2&lt;/number&gt;&lt;dates&gt;&lt;year&gt;2009&lt;/year&gt;&lt;/dates&gt;&lt;isbn&gt;0260-8774&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49</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color w:val="000000"/>
          <w:sz w:val="24"/>
          <w:szCs w:val="24"/>
          <w:lang w:eastAsia="en-US"/>
        </w:rPr>
        <w:t xml:space="preserve">. Therefore, in agreement with previous authors </w:t>
      </w:r>
      <w:r w:rsidRPr="00B37812">
        <w:rPr>
          <w:rFonts w:ascii="Times New Roman" w:eastAsia="Calibri" w:hAnsi="Times New Roman" w:cs="Times New Roman"/>
          <w:color w:val="000000"/>
          <w:sz w:val="24"/>
          <w:szCs w:val="24"/>
          <w:lang w:eastAsia="en-US"/>
        </w:rPr>
        <w:fldChar w:fldCharType="begin"/>
      </w:r>
      <w:r w:rsidR="00E124D1" w:rsidRPr="00B37812">
        <w:rPr>
          <w:rFonts w:ascii="Times New Roman" w:eastAsia="Calibri" w:hAnsi="Times New Roman" w:cs="Times New Roman"/>
          <w:color w:val="000000"/>
          <w:sz w:val="24"/>
          <w:szCs w:val="24"/>
          <w:lang w:eastAsia="en-US"/>
        </w:rPr>
        <w:instrText xml:space="preserve"> ADDIN EN.CITE &lt;EndNote&gt;&lt;Cite&gt;&lt;Author&gt;Bhusari&lt;/Author&gt;&lt;Year&gt;2014&lt;/Year&gt;&lt;RecNum&gt;1329&lt;/RecNum&gt;&lt;DisplayText&gt;&lt;style face="superscript"&gt;38, 49&lt;/style&gt;&lt;/DisplayText&gt;&lt;record&gt;&lt;rec-number&gt;1329&lt;/rec-number&gt;&lt;foreign-keys&gt;&lt;key app="EN" db-id="5wdx0tztgpfe5yefsdpperx8srzetsx0pw9w" timestamp="1510212457"&gt;1329&lt;/key&gt;&lt;/foreign-keys&gt;&lt;ref-type name="Journal Article"&gt;17&lt;/ref-type&gt;&lt;contributors&gt;&lt;authors&gt;&lt;author&gt;Bhusari, SN&lt;/author&gt;&lt;author&gt;Muzaffar, Khalid&lt;/author&gt;&lt;author&gt;Kumar, Pradyuman&lt;/author&gt;&lt;/authors&gt;&lt;/contributors&gt;&lt;titles&gt;&lt;title&gt;Effect of carrier agents on physical and microstructural properties of spray dried tamarind pulp powder&lt;/title&gt;&lt;secondary-title&gt;Powder technology&lt;/secondary-title&gt;&lt;/titles&gt;&lt;periodical&gt;&lt;full-title&gt;Powder Technology&lt;/full-title&gt;&lt;abbr-1&gt;Powder Technol.&lt;/abbr-1&gt;&lt;abbr-2&gt;Powder Technol&lt;/abbr-2&gt;&lt;/periodical&gt;&lt;pages&gt;354-364&lt;/pages&gt;&lt;volume&gt;266&lt;/volume&gt;&lt;dates&gt;&lt;year&gt;2014&lt;/year&gt;&lt;/dates&gt;&lt;isbn&gt;0032-5910&lt;/isbn&gt;&lt;urls&gt;&lt;/urls&gt;&lt;/record&gt;&lt;/Cite&gt;&lt;Cite&gt;&lt;Author&gt;Kurozawa&lt;/Author&gt;&lt;Year&gt;2009&lt;/Year&gt;&lt;RecNum&gt;1390&lt;/RecNum&gt;&lt;record&gt;&lt;rec-number&gt;1390&lt;/rec-number&gt;&lt;foreign-keys&gt;&lt;key app="EN" db-id="5wdx0tztgpfe5yefsdpperx8srzetsx0pw9w" timestamp="1513651345"&gt;1390&lt;/key&gt;&lt;/foreign-keys&gt;&lt;ref-type name="Journal Article"&gt;17&lt;/ref-type&gt;&lt;contributors&gt;&lt;authors&gt;&lt;author&gt;Kurozawa, Louise Emy&lt;/author&gt;&lt;author&gt;Park, Kil Jin&lt;/author&gt;&lt;author&gt;Hubinger, Miriam Dupas&lt;/author&gt;&lt;/authors&gt;&lt;/contributors&gt;&lt;titles&gt;&lt;title&gt;Effect of maltodextrin and gum arabic on water sorption and glass transition temperature of spray dried chicken meat hydrolysate protein&lt;/title&gt;&lt;secondary-title&gt;Journal of Food Engineering&lt;/secondary-title&gt;&lt;/titles&gt;&lt;periodical&gt;&lt;full-title&gt;Journal of Food Engineering&lt;/full-title&gt;&lt;abbr-1&gt;J. Food Eng.&lt;/abbr-1&gt;&lt;abbr-2&gt;J Food Eng&lt;/abbr-2&gt;&lt;/periodical&gt;&lt;pages&gt;287-296&lt;/pages&gt;&lt;volume&gt;91&lt;/volume&gt;&lt;number&gt;2&lt;/number&gt;&lt;dates&gt;&lt;year&gt;2009&lt;/year&gt;&lt;/dates&gt;&lt;isbn&gt;0260-8774&lt;/isbn&gt;&lt;urls&gt;&lt;/urls&gt;&lt;/record&gt;&lt;/Cite&gt;&lt;/EndNote&gt;</w:instrText>
      </w:r>
      <w:r w:rsidRPr="00B37812">
        <w:rPr>
          <w:rFonts w:ascii="Times New Roman" w:eastAsia="Calibri" w:hAnsi="Times New Roman" w:cs="Times New Roman"/>
          <w:color w:val="000000"/>
          <w:sz w:val="24"/>
          <w:szCs w:val="24"/>
          <w:lang w:eastAsia="en-US"/>
        </w:rPr>
        <w:fldChar w:fldCharType="separate"/>
      </w:r>
      <w:hyperlink w:anchor="_ENREF_38" w:tooltip="Bhusari, 2014 #1329" w:history="1">
        <w:r w:rsidR="00E124D1" w:rsidRPr="00B37812">
          <w:rPr>
            <w:rStyle w:val="Hyperlink"/>
            <w:rFonts w:ascii="Times New Roman" w:eastAsia="Calibri" w:hAnsi="Times New Roman" w:cs="Times New Roman"/>
            <w:noProof/>
            <w:sz w:val="24"/>
            <w:szCs w:val="24"/>
            <w:vertAlign w:val="superscript"/>
            <w:lang w:eastAsia="en-US"/>
          </w:rPr>
          <w:t>38</w:t>
        </w:r>
      </w:hyperlink>
      <w:r w:rsidR="00E124D1" w:rsidRPr="00B37812">
        <w:rPr>
          <w:rFonts w:ascii="Times New Roman" w:eastAsia="Calibri" w:hAnsi="Times New Roman" w:cs="Times New Roman"/>
          <w:noProof/>
          <w:color w:val="000000"/>
          <w:sz w:val="24"/>
          <w:szCs w:val="24"/>
          <w:vertAlign w:val="superscript"/>
          <w:lang w:eastAsia="en-US"/>
        </w:rPr>
        <w:t xml:space="preserve">, </w:t>
      </w:r>
      <w:hyperlink w:anchor="_ENREF_49" w:tooltip="Kurozawa, 2009 #1390" w:history="1">
        <w:r w:rsidR="00E124D1" w:rsidRPr="00B37812">
          <w:rPr>
            <w:rStyle w:val="Hyperlink"/>
            <w:rFonts w:ascii="Times New Roman" w:eastAsia="Calibri" w:hAnsi="Times New Roman" w:cs="Times New Roman"/>
            <w:noProof/>
            <w:sz w:val="24"/>
            <w:szCs w:val="24"/>
            <w:vertAlign w:val="superscript"/>
            <w:lang w:eastAsia="en-US"/>
          </w:rPr>
          <w:t>49</w:t>
        </w:r>
      </w:hyperlink>
      <w:r w:rsidRPr="00B37812">
        <w:rPr>
          <w:rFonts w:ascii="Times New Roman" w:eastAsia="Calibri" w:hAnsi="Times New Roman" w:cs="Times New Roman"/>
          <w:color w:val="000000"/>
          <w:sz w:val="24"/>
          <w:szCs w:val="24"/>
          <w:lang w:eastAsia="en-US"/>
        </w:rPr>
        <w:fldChar w:fldCharType="end"/>
      </w:r>
      <w:r w:rsidRPr="00B37812">
        <w:rPr>
          <w:rFonts w:ascii="Times New Roman" w:eastAsia="Calibri" w:hAnsi="Times New Roman" w:cs="Times New Roman"/>
          <w:color w:val="000000"/>
          <w:sz w:val="24"/>
          <w:szCs w:val="24"/>
          <w:lang w:eastAsia="en-US"/>
        </w:rPr>
        <w:t xml:space="preserve">, an increase in the </w:t>
      </w:r>
      <w:r w:rsidR="002B29DE" w:rsidRPr="00B37812">
        <w:rPr>
          <w:rFonts w:ascii="Times New Roman" w:eastAsia="Calibri" w:hAnsi="Times New Roman" w:cs="Times New Roman"/>
          <w:color w:val="000000"/>
          <w:sz w:val="24"/>
          <w:szCs w:val="24"/>
          <w:lang w:eastAsia="en-US"/>
        </w:rPr>
        <w:t>ratio</w:t>
      </w:r>
      <w:r w:rsidRPr="00B37812">
        <w:rPr>
          <w:rFonts w:ascii="Times New Roman" w:eastAsia="Calibri" w:hAnsi="Times New Roman" w:cs="Times New Roman"/>
          <w:color w:val="000000"/>
          <w:sz w:val="24"/>
          <w:szCs w:val="24"/>
          <w:lang w:eastAsia="en-US"/>
        </w:rPr>
        <w:t xml:space="preserve"> of encapsulating agents resulted in a higher GT </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4</w:t>
      </w:r>
      <w:r w:rsidRPr="00B37812">
        <w:rPr>
          <w:rFonts w:ascii="Times New Roman" w:eastAsia="Calibri" w:hAnsi="Times New Roman" w:cs="Times New Roman"/>
          <w:color w:val="00B0F0"/>
          <w:sz w:val="24"/>
          <w:szCs w:val="24"/>
          <w:lang w:eastAsia="en-US"/>
        </w:rPr>
        <w:t>b</w:t>
      </w:r>
      <w:r w:rsidRPr="00B37812">
        <w:rPr>
          <w:rFonts w:ascii="Times New Roman" w:eastAsia="Calibri" w:hAnsi="Times New Roman" w:cs="Times New Roman"/>
          <w:sz w:val="24"/>
          <w:szCs w:val="24"/>
          <w:lang w:eastAsia="en-US"/>
        </w:rPr>
        <w:t xml:space="preserve">). However, MC depresses GT by acting as a plasticizer </w:t>
      </w:r>
      <w:hyperlink w:anchor="_ENREF_20" w:tooltip="Sanchez, 2013 #1331"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&lt;EndNote&gt;&lt;Cite&gt;&lt;Author&gt;Sanchez&lt;/Author&gt;&lt;Year&gt;2013&lt;/Year&gt;&lt;RecNum&gt;1331&lt;/RecNum&gt;&lt;DisplayText&gt;&lt;style face="superscript"&gt;20&lt;/style&gt;&lt;/DisplayText&gt;&lt;record&gt;&lt;rec-number&gt;1331&lt;/rec-number&gt;&lt;foreign-keys&gt;&lt;key app="EN" db-id="5wdx0tztgpfe5yefsdpperx8srzetsx0pw9w" timestamp="1510465589"&gt;1331&lt;/key&gt;&lt;/foreign-keys&gt;&lt;ref-type name="Journal Article"&gt;17&lt;/ref-type&gt;&lt;contributors&gt;&lt;authors&gt;&lt;author&gt;Sanchez, Virginia&lt;/author&gt;&lt;author&gt;Baeza, Rosa&lt;/author&gt;&lt;author&gt;Galmarini, Mara V&lt;/author&gt;&lt;author&gt;Zamora, Maria Clara&lt;/author&gt;&lt;author&gt;Chirife, Jorge&lt;/author&gt;&lt;/authors&gt;&lt;/contributors&gt;&lt;titles&gt;&lt;title&gt;Freeze-drying encapsulation of red wine polyphenols in an amorphous matrix of maltodextrin&lt;/title&gt;&lt;secondary-title&gt;Food and Bioprocess Technology&lt;/secondary-title&gt;&lt;/titles&gt;&lt;pages&gt;1350-1354&lt;/pages&gt;&lt;volume&gt;6&lt;/volume&gt;&lt;number&gt;5&lt;/number&gt;&lt;dates&gt;&lt;year&gt;2013&lt;/year&gt;&lt;/dates&gt;&lt;isbn&gt;1935-5130&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20</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thus a decrease in GT resulted from the increase in MC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4</w:t>
      </w:r>
      <w:r w:rsidRPr="00B37812">
        <w:rPr>
          <w:rFonts w:ascii="Times New Roman" w:eastAsia="Calibri" w:hAnsi="Times New Roman" w:cs="Times New Roman"/>
          <w:color w:val="00B0F0"/>
          <w:sz w:val="24"/>
          <w:szCs w:val="24"/>
          <w:lang w:eastAsia="en-US"/>
        </w:rPr>
        <w:t xml:space="preserve">a </w:t>
      </w:r>
      <w:r w:rsidRPr="00B37812">
        <w:rPr>
          <w:rFonts w:ascii="Times New Roman" w:eastAsia="Calibri" w:hAnsi="Times New Roman" w:cs="Times New Roman"/>
          <w:bCs/>
          <w:color w:val="00B0F0"/>
          <w:sz w:val="24"/>
          <w:szCs w:val="24"/>
          <w:lang w:eastAsia="en-US"/>
        </w:rPr>
        <w:t>&amp;</w:t>
      </w:r>
      <w:r w:rsidRPr="00B37812">
        <w:rPr>
          <w:rFonts w:ascii="Times New Roman" w:eastAsia="Calibri" w:hAnsi="Times New Roman" w:cs="Times New Roman"/>
          <w:color w:val="00B0F0"/>
          <w:sz w:val="24"/>
          <w:szCs w:val="24"/>
          <w:lang w:eastAsia="en-US"/>
        </w:rPr>
        <w:t xml:space="preserve"> b</w:t>
      </w:r>
      <w:r w:rsidRPr="00B37812">
        <w:rPr>
          <w:rFonts w:ascii="Times New Roman" w:eastAsia="Calibri" w:hAnsi="Times New Roman" w:cs="Times New Roman"/>
          <w:sz w:val="24"/>
          <w:szCs w:val="24"/>
          <w:lang w:eastAsia="en-US"/>
        </w:rPr>
        <w:t xml:space="preserve">). </w:t>
      </w:r>
      <w:r w:rsidR="00AE3DC6" w:rsidRPr="00B37812">
        <w:rPr>
          <w:rFonts w:ascii="Times New Roman" w:hAnsi="Times New Roman" w:cs="Times New Roman"/>
          <w:sz w:val="24"/>
          <w:szCs w:val="24"/>
        </w:rPr>
        <w:t xml:space="preserve">Similar behavior was reported for freeze-dried mango pulp using maltodextrin as wall material </w:t>
      </w:r>
      <w:hyperlink w:anchor="_ENREF_50" w:tooltip="Fongin, 2017 #1463" w:history="1">
        <w:r w:rsidR="00AE3DC6"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&lt;EndNote&gt;&lt;Cite&gt;&lt;Author&gt;Fongin&lt;/Author&gt;&lt;Year&gt;2017&lt;/Year&gt;&lt;RecNum&gt;1463&lt;/RecNum&gt;&lt;DisplayText&gt;&lt;style face="superscript"&gt;50&lt;/style&gt;&lt;/DisplayText&gt;&lt;record&gt;&lt;rec-number&gt;1463&lt;/rec-number&gt;&lt;foreign-keys&gt;&lt;key app="EN" db-id="5wdx0tztgpfe5yefsdpperx8srzetsx0pw9w" timestamp="1519880035"&gt;1463&lt;/key&gt;&lt;/foreign-keys&gt;&lt;ref-type name="Journal Article"&gt;17&lt;/ref-type&gt;&lt;contributors&gt;&lt;authors&gt;&lt;author&gt;Fongin, Suwalee&lt;/author&gt;&lt;author&gt;Kawai, Kiyoshi&lt;/author&gt;&lt;author&gt;Harnkarnsujarit, Nathdanai&lt;/author&gt;&lt;author&gt;Hagura, Yoshio&lt;/author&gt;&lt;/authors&gt;&lt;/contributors&gt;&lt;titles&gt;&lt;title&gt;Effects of water and maltodextrin on the glass transition temperature of freeze-dried mango pulp and an empirical model to predict plasticizing effect of water on dried fruits&lt;/title&gt;&lt;secondary-title&gt;Journal of Food Engineering&lt;/secondary-title&gt;&lt;/titles&gt;&lt;periodical&gt;&lt;full-title&gt;Journal of Food Engineering&lt;/full-title&gt;&lt;abbr-1&gt;J. Food Eng.&lt;/abbr-1&gt;&lt;abbr-2&gt;J Food Eng&lt;/abbr-2&gt;&lt;/periodical&gt;&lt;pages&gt;91-97&lt;/pages&gt;&lt;volume&gt;210&lt;/volume&gt;&lt;dates&gt;&lt;year&gt;2017&lt;/year&gt;&lt;/dates&gt;&lt;isbn&gt;0260-8774&lt;/isbn&gt;&lt;urls&gt;&lt;/urls&gt;&lt;/record&gt;&lt;/Cite&gt;&lt;/EndNote&gt;</w:instrText>
        </w:r>
        <w:r w:rsidR="00AE3DC6"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50</w:t>
        </w:r>
        <w:r w:rsidR="00AE3DC6" w:rsidRPr="00B37812">
          <w:rPr>
            <w:rStyle w:val="Hyperlink"/>
            <w:rFonts w:ascii="Times New Roman" w:eastAsia="Calibri" w:hAnsi="Times New Roman" w:cs="Times New Roman"/>
            <w:sz w:val="24"/>
            <w:szCs w:val="24"/>
            <w:lang w:eastAsia="en-US"/>
          </w:rPr>
          <w:fldChar w:fldCharType="end"/>
        </w:r>
      </w:hyperlink>
      <w:r w:rsidR="00AE3DC6" w:rsidRPr="00B37812">
        <w:rPr>
          <w:rFonts w:ascii="Times New Roman" w:eastAsia="Calibri" w:hAnsi="Times New Roman" w:cs="Times New Roman"/>
          <w:color w:val="000000"/>
          <w:sz w:val="24"/>
          <w:szCs w:val="24"/>
          <w:lang w:eastAsia="en-US"/>
        </w:rPr>
        <w:t xml:space="preserve">. </w:t>
      </w:r>
      <w:r w:rsidR="00E93632" w:rsidRPr="00B37812">
        <w:rPr>
          <w:rFonts w:ascii="Times New Roman" w:eastAsia="Calibri" w:hAnsi="Times New Roman" w:cs="Times New Roman"/>
          <w:sz w:val="24"/>
          <w:szCs w:val="24"/>
          <w:lang w:eastAsia="en-US"/>
        </w:rPr>
        <w:t>Furthermore</w:t>
      </w:r>
      <w:r w:rsidRPr="00B37812">
        <w:rPr>
          <w:rFonts w:ascii="Times New Roman" w:eastAsia="Calibri" w:hAnsi="Times New Roman" w:cs="Times New Roman"/>
          <w:sz w:val="24"/>
          <w:szCs w:val="24"/>
          <w:lang w:eastAsia="en-US"/>
        </w:rPr>
        <w:t xml:space="preserve">, </w:t>
      </w:r>
      <w:r w:rsidR="00E93632" w:rsidRPr="00B37812">
        <w:rPr>
          <w:rFonts w:ascii="Times New Roman" w:eastAsia="Calibri" w:hAnsi="Times New Roman" w:cs="Times New Roman"/>
          <w:sz w:val="24"/>
          <w:szCs w:val="24"/>
          <w:lang w:eastAsia="en-US"/>
        </w:rPr>
        <w:t xml:space="preserve">the decrease in GT may also be attributed to the </w:t>
      </w:r>
      <w:r w:rsidRPr="00B37812">
        <w:rPr>
          <w:rFonts w:ascii="Times New Roman" w:eastAsia="Calibri" w:hAnsi="Times New Roman" w:cs="Times New Roman"/>
          <w:sz w:val="24"/>
          <w:szCs w:val="24"/>
          <w:lang w:eastAsia="en-US"/>
        </w:rPr>
        <w:t xml:space="preserve">high content of </w:t>
      </w:r>
      <w:r w:rsidR="00E93632" w:rsidRPr="00B37812">
        <w:rPr>
          <w:rFonts w:ascii="Times New Roman" w:eastAsia="Calibri" w:hAnsi="Times New Roman" w:cs="Times New Roman"/>
          <w:sz w:val="24"/>
          <w:szCs w:val="24"/>
          <w:lang w:eastAsia="en-US"/>
        </w:rPr>
        <w:t>nutraceutical</w:t>
      </w:r>
      <w:r w:rsidRPr="00B37812">
        <w:rPr>
          <w:rFonts w:ascii="Times New Roman" w:eastAsia="Calibri" w:hAnsi="Times New Roman" w:cs="Times New Roman"/>
          <w:sz w:val="24"/>
          <w:szCs w:val="24"/>
          <w:lang w:eastAsia="en-US"/>
        </w:rPr>
        <w:t xml:space="preserve"> compo</w:t>
      </w:r>
      <w:r w:rsidR="00E93632" w:rsidRPr="00B37812">
        <w:rPr>
          <w:rFonts w:ascii="Times New Roman" w:eastAsia="Calibri" w:hAnsi="Times New Roman" w:cs="Times New Roman"/>
          <w:sz w:val="24"/>
          <w:szCs w:val="24"/>
          <w:lang w:eastAsia="en-US"/>
        </w:rPr>
        <w:t>nent</w:t>
      </w:r>
      <w:r w:rsidRPr="00B37812">
        <w:rPr>
          <w:rFonts w:ascii="Times New Roman" w:eastAsia="Calibri" w:hAnsi="Times New Roman" w:cs="Times New Roman"/>
          <w:sz w:val="24"/>
          <w:szCs w:val="24"/>
          <w:lang w:eastAsia="en-US"/>
        </w:rPr>
        <w:t xml:space="preserve"> in </w:t>
      </w:r>
      <w:r w:rsidR="00E93632" w:rsidRPr="00B37812">
        <w:rPr>
          <w:rFonts w:ascii="Times New Roman" w:eastAsia="Calibri" w:hAnsi="Times New Roman" w:cs="Times New Roman"/>
          <w:sz w:val="24"/>
          <w:szCs w:val="24"/>
          <w:lang w:eastAsia="en-US"/>
        </w:rPr>
        <w:t xml:space="preserve">encapsulated powders </w:t>
      </w:r>
      <w:hyperlink w:anchor="_ENREF_40" w:tooltip="Celli, 2016 #1469"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&lt;EndNote&gt;&lt;Cite&gt;&lt;Author&gt;Celli&lt;/Author&gt;&lt;Year&gt;2016&lt;/Year&gt;&lt;RecNum&gt;1469&lt;/RecNum&gt;&lt;DisplayText&gt;&lt;style face="superscript"&gt;40&lt;/style&gt;&lt;/DisplayText&gt;&lt;record&gt;&lt;rec-number&gt;1469&lt;/rec-number&gt;&lt;foreign-keys&gt;&lt;key app="EN" db-id="5wdx0tztgpfe5yefsdpperx8srzetsx0pw9w" timestamp="1521941414"&gt;1469&lt;/key&gt;&lt;/foreign-keys&gt;&lt;ref-type name="Journal Article"&gt;17&lt;/ref-type&gt;&lt;contributors&gt;&lt;authors&gt;&lt;author&gt;Celli, Giovana Bonat&lt;/author&gt;&lt;author&gt;Dibazar, Rojin&lt;/author&gt;&lt;author&gt;Ghanem, Amyl&lt;/author&gt;&lt;author&gt;Brooks, Marianne Su-Ling&lt;/author&gt;&lt;/authors&gt;&lt;/contributors&gt;&lt;titles&gt;&lt;title&gt;Degradation kinetics of anthocyanins in freeze-dried microencapsulates from lowbush blueberries (Vaccinium angustifolium Aiton) and prediction of shelf-life&lt;/title&gt;&lt;secondary-title&gt;Drying technology&lt;/secondary-title&gt;&lt;/titles&gt;&lt;periodical&gt;&lt;full-title&gt;Drying Technology&lt;/full-title&gt;&lt;abbr-1&gt;Drying Technol.&lt;/abbr-1&gt;&lt;abbr-2&gt;Drying Technol&lt;/abbr-2&gt;&lt;/periodical&gt;&lt;pages&gt;1175-1184&lt;/pages&gt;&lt;volume&gt;34&lt;/volume&gt;&lt;number&gt;10&lt;/number&gt;&lt;dates&gt;&lt;year&gt;2016&lt;/year&gt;&lt;/dates&gt;&lt;isbn&gt;0737-3937&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40</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w:t>
      </w:r>
    </w:p>
    <w:p w14:paraId="6D1833C1" w14:textId="5279EA21" w:rsidR="00B85163" w:rsidRPr="00B37812" w:rsidRDefault="00B85163" w:rsidP="00A330CD">
      <w:pPr>
        <w:tabs>
          <w:tab w:val="left" w:pos="1995"/>
        </w:tabs>
        <w:spacing w:after="0" w:line="360" w:lineRule="auto"/>
        <w:ind w:firstLine="720"/>
        <w:jc w:val="both"/>
        <w:rPr>
          <w:rFonts w:ascii="Times New Roman" w:hAnsi="Times New Roman" w:cs="Times New Roman"/>
          <w:sz w:val="24"/>
          <w:szCs w:val="24"/>
        </w:rPr>
      </w:pPr>
      <w:r w:rsidRPr="00B37812">
        <w:rPr>
          <w:rFonts w:ascii="Times New Roman" w:eastAsia="Calibri" w:hAnsi="Times New Roman" w:cs="Times New Roman"/>
          <w:sz w:val="24"/>
          <w:szCs w:val="24"/>
          <w:lang w:eastAsia="en-US"/>
        </w:rPr>
        <w:t>The type of wall material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addition rate of carrier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&lt; 0.0001), and their interaction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0.05) significantly affected the WA of </w:t>
      </w:r>
      <w:r w:rsidR="004E366E" w:rsidRPr="00B37812">
        <w:rPr>
          <w:rFonts w:ascii="Times New Roman" w:eastAsia="Calibri" w:hAnsi="Times New Roman" w:cs="Times New Roman"/>
          <w:sz w:val="24"/>
          <w:szCs w:val="24"/>
          <w:lang w:eastAsia="en-US"/>
        </w:rPr>
        <w:t xml:space="preserve">the </w:t>
      </w:r>
      <w:r w:rsidRPr="00B37812">
        <w:rPr>
          <w:rFonts w:ascii="Times New Roman" w:eastAsia="Calibri" w:hAnsi="Times New Roman" w:cs="Times New Roman"/>
          <w:sz w:val="24"/>
          <w:szCs w:val="24"/>
          <w:lang w:eastAsia="en-US"/>
        </w:rPr>
        <w:t>ENP. WA has been linked to MC,</w:t>
      </w:r>
      <w:r w:rsidRPr="00B37812">
        <w:rPr>
          <w:rFonts w:ascii="Times New Roman" w:hAnsi="Times New Roman" w:cs="Times New Roman"/>
          <w:color w:val="231F20"/>
          <w:sz w:val="20"/>
          <w:szCs w:val="20"/>
        </w:rPr>
        <w:t xml:space="preserve"> </w:t>
      </w:r>
      <w:r w:rsidRPr="00B37812">
        <w:rPr>
          <w:rFonts w:ascii="Times New Roman" w:eastAsia="Calibri" w:hAnsi="Times New Roman" w:cs="Times New Roman"/>
          <w:sz w:val="24"/>
          <w:szCs w:val="24"/>
          <w:lang w:eastAsia="en-US"/>
        </w:rPr>
        <w:t xml:space="preserve">through sorption isotherms </w:t>
      </w:r>
      <w:hyperlink w:anchor="_ENREF_49" w:tooltip="Kurozawa, 2009 #1390"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&lt;EndNote&gt;&lt;Cite&gt;&lt;Author&gt;Kurozawa&lt;/Author&gt;&lt;Year&gt;2009&lt;/Year&gt;&lt;RecNum&gt;1390&lt;/RecNum&gt;&lt;DisplayText&gt;&lt;style face="superscript"&gt;49&lt;/style&gt;&lt;/DisplayText&gt;&lt;record&gt;&lt;rec-number&gt;1390&lt;/rec-number&gt;&lt;foreign-keys&gt;&lt;key app="EN" db-id="5wdx0tztgpfe5yefsdpperx8srzetsx0pw9w" timestamp="1513651345"&gt;1390&lt;/key&gt;&lt;/foreign-keys&gt;&lt;ref-type name="Journal Article"&gt;17&lt;/ref-type&gt;&lt;contributors&gt;&lt;authors&gt;&lt;author&gt;Kurozawa, Louise Emy&lt;/author&gt;&lt;author&gt;Park, Kil Jin&lt;/author&gt;&lt;author&gt;Hubinger, Miriam Dupas&lt;/author&gt;&lt;/authors&gt;&lt;/contributors&gt;&lt;titles&gt;&lt;title&gt;Effect of maltodextrin and gum arabic on water sorption and glass transition temperature of spray dried chicken meat hydrolysate protein&lt;/title&gt;&lt;secondary-title&gt;Journal of Food Engineering&lt;/secondary-title&gt;&lt;/titles&gt;&lt;periodical&gt;&lt;full-title&gt;Journal of Food Engineering&lt;/full-title&gt;&lt;abbr-1&gt;J. Food Eng.&lt;/abbr-1&gt;&lt;abbr-2&gt;J Food Eng&lt;/abbr-2&gt;&lt;/periodical&gt;&lt;pages&gt;287-296&lt;/pages&gt;&lt;volume&gt;91&lt;/volume&gt;&lt;number&gt;2&lt;/number&gt;&lt;dates&gt;&lt;year&gt;2009&lt;/year&gt;&lt;/dates&gt;&lt;isbn&gt;0260-8774&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vertAlign w:val="superscript"/>
            <w:lang w:eastAsia="en-US"/>
          </w:rPr>
          <w:t>49</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xml:space="preserve">. According to </w:t>
      </w:r>
      <w:hyperlink w:anchor="_ENREF_51" w:tooltip="Bitar, 2017 #1389" w:history="1">
        <w:r w:rsidRPr="00B37812">
          <w:rPr>
            <w:rStyle w:val="Hyperlink"/>
            <w:rFonts w:ascii="Times New Roman" w:eastAsia="Calibri" w:hAnsi="Times New Roman" w:cs="Times New Roman"/>
            <w:sz w:val="24"/>
            <w:szCs w:val="24"/>
            <w:lang w:eastAsia="en-US"/>
          </w:rPr>
          <w:fldChar w:fldCharType="begin"/>
        </w:r>
        <w:r w:rsidR="00E124D1" w:rsidRPr="00B37812">
          <w:rPr>
            <w:rStyle w:val="Hyperlink"/>
            <w:rFonts w:ascii="Times New Roman" w:eastAsia="Calibri" w:hAnsi="Times New Roman" w:cs="Times New Roman"/>
            <w:sz w:val="24"/>
            <w:szCs w:val="24"/>
            <w:lang w:eastAsia="en-US"/>
          </w:rPr>
          <w:instrText xml:space="preserve"> ADDIN EN.CITE &lt;EndNote&gt;&lt;Cite AuthorYear="1"&gt;&lt;Author&gt;Bitar&lt;/Author&gt;&lt;Year&gt;2017&lt;/Year&gt;&lt;RecNum&gt;1389&lt;/RecNum&gt;&lt;DisplayText&gt;Bitar et al. &lt;style face="superscript"&gt;51&lt;/style&gt;&lt;/DisplayText&gt;&lt;record&gt;&lt;rec-number&gt;1389&lt;/rec-number&gt;&lt;foreign-keys&gt;&lt;key app="EN" db-id="5wdx0tztgpfe5yefsdpperx8srzetsx0pw9w" timestamp="1513650959"&gt;1389&lt;/key&gt;&lt;/foreign-keys&gt;&lt;ref-type name="Journal Article"&gt;17&lt;/ref-type&gt;&lt;contributors&gt;&lt;authors&gt;&lt;author&gt;Bitar, Manal&lt;/author&gt;&lt;author&gt;Roudaut, Gaëlle&lt;/author&gt;&lt;author&gt;Maalouly, Jacqueline&lt;/author&gt;&lt;author&gt;Brandès, Stéphane&lt;/author&gt;&lt;author&gt;Gougeon, Régis D&lt;/author&gt;&lt;author&gt;Cayot, Philippe&lt;/author&gt;&lt;author&gt;Bou-Maroun, Elias&lt;/author&gt;&lt;/authors&gt;&lt;/contributors&gt;&lt;titles&gt;&lt;title&gt;Water sorption isotherms of molecularly imprinted polymers. Relation between water binding and iprodione binding capacity&lt;/title&gt;&lt;secondary-title&gt;Reactive and Functional Polymers&lt;/secondary-title&gt;&lt;/titles&gt;&lt;periodical&gt;&lt;full-title&gt;Reactive and Functional Polymers&lt;/full-title&gt;&lt;abbr-1&gt;React. Funct. Polym.&lt;/abbr-1&gt;&lt;abbr-2&gt;React Funct Polym&lt;/abbr-2&gt;&lt;/periodical&gt;&lt;pages&gt;1-7&lt;/pages&gt;&lt;volume&gt;114&lt;/volume&gt;&lt;dates&gt;&lt;year&gt;2017&lt;/year&gt;&lt;/dates&gt;&lt;isbn&gt;1381-5148&lt;/isbn&gt;&lt;urls&gt;&lt;/urls&gt;&lt;/record&gt;&lt;/Cite&gt;&lt;/EndNote&gt;</w:instrText>
        </w:r>
        <w:r w:rsidRPr="00B37812">
          <w:rPr>
            <w:rStyle w:val="Hyperlink"/>
            <w:rFonts w:ascii="Times New Roman" w:eastAsia="Calibri" w:hAnsi="Times New Roman" w:cs="Times New Roman"/>
            <w:sz w:val="24"/>
            <w:szCs w:val="24"/>
            <w:lang w:eastAsia="en-US"/>
          </w:rPr>
          <w:fldChar w:fldCharType="separate"/>
        </w:r>
        <w:r w:rsidR="00E124D1" w:rsidRPr="00B37812">
          <w:rPr>
            <w:rStyle w:val="Hyperlink"/>
            <w:rFonts w:ascii="Times New Roman" w:eastAsia="Calibri" w:hAnsi="Times New Roman" w:cs="Times New Roman"/>
            <w:noProof/>
            <w:sz w:val="24"/>
            <w:szCs w:val="24"/>
            <w:lang w:eastAsia="en-US"/>
          </w:rPr>
          <w:t xml:space="preserve">Bitar et al. </w:t>
        </w:r>
        <w:r w:rsidR="00E124D1" w:rsidRPr="00B37812">
          <w:rPr>
            <w:rStyle w:val="Hyperlink"/>
            <w:rFonts w:ascii="Times New Roman" w:eastAsia="Calibri" w:hAnsi="Times New Roman" w:cs="Times New Roman"/>
            <w:noProof/>
            <w:sz w:val="24"/>
            <w:szCs w:val="24"/>
            <w:vertAlign w:val="superscript"/>
            <w:lang w:eastAsia="en-US"/>
          </w:rPr>
          <w:t>51</w:t>
        </w:r>
        <w:r w:rsidRPr="00B37812">
          <w:rPr>
            <w:rStyle w:val="Hyperlink"/>
            <w:rFonts w:ascii="Times New Roman" w:eastAsia="Calibri" w:hAnsi="Times New Roman" w:cs="Times New Roman"/>
            <w:sz w:val="24"/>
            <w:szCs w:val="24"/>
            <w:lang w:eastAsia="en-US"/>
          </w:rPr>
          <w:fldChar w:fldCharType="end"/>
        </w:r>
      </w:hyperlink>
      <w:r w:rsidRPr="00B37812">
        <w:rPr>
          <w:rFonts w:ascii="Times New Roman" w:eastAsia="Calibri" w:hAnsi="Times New Roman" w:cs="Times New Roman"/>
          <w:sz w:val="24"/>
          <w:szCs w:val="24"/>
          <w:lang w:eastAsia="en-US"/>
        </w:rPr>
        <w:t>, the moisture sorption isotherm highlights that the initially absorbed water molecules could interact with the binding sites of wall materials.</w:t>
      </w:r>
      <w:r w:rsidRPr="00B37812">
        <w:rPr>
          <w:rFonts w:ascii="Times New Roman" w:hAnsi="Times New Roman" w:cs="Times New Roman"/>
        </w:rPr>
        <w:t xml:space="preserve"> </w:t>
      </w:r>
      <w:r w:rsidRPr="00B37812">
        <w:rPr>
          <w:rFonts w:ascii="Times New Roman" w:hAnsi="Times New Roman" w:cs="Times New Roman"/>
          <w:color w:val="000000"/>
          <w:sz w:val="24"/>
          <w:szCs w:val="24"/>
        </w:rPr>
        <w:t xml:space="preserve">Therefore, the impact of the carrier </w:t>
      </w:r>
      <w:r w:rsidRPr="00B37812">
        <w:rPr>
          <w:rFonts w:ascii="Times New Roman" w:hAnsi="Times New Roman" w:cs="Times New Roman"/>
          <w:noProof/>
          <w:color w:val="000000"/>
          <w:sz w:val="24"/>
          <w:szCs w:val="24"/>
        </w:rPr>
        <w:t>type</w:t>
      </w:r>
      <w:r w:rsidRPr="00B37812">
        <w:rPr>
          <w:rFonts w:ascii="Times New Roman" w:hAnsi="Times New Roman" w:cs="Times New Roman"/>
          <w:color w:val="000000"/>
          <w:sz w:val="24"/>
          <w:szCs w:val="24"/>
        </w:rPr>
        <w:t xml:space="preserve"> on the WA may be due to their differences in water-binding capacity which is related to their chemical structure </w:t>
      </w:r>
      <w:hyperlink w:anchor="_ENREF_11" w:tooltip="Seerangurayar, 2017 #1374" w:history="1">
        <w:r w:rsidRPr="00B37812">
          <w:rPr>
            <w:rStyle w:val="Hyperlink"/>
            <w:rFonts w:ascii="Times New Roman" w:hAnsi="Times New Roman" w:cs="Times New Roman"/>
            <w:sz w:val="24"/>
            <w:szCs w:val="24"/>
          </w:rPr>
          <w:fldChar w:fldCharType="begin"/>
        </w:r>
        <w:r w:rsidR="00E124D1" w:rsidRPr="00B37812">
          <w:rPr>
            <w:rStyle w:val="Hyperlink"/>
            <w:rFonts w:ascii="Times New Roman" w:hAnsi="Times New Roman" w:cs="Times New Roman"/>
            <w:sz w:val="24"/>
            <w:szCs w:val="24"/>
          </w:rPr>
          <w:instrText xml:space="preserve"> ADDIN EN.CITE &lt;EndNote&gt;&lt;Cite&gt;&lt;Author&gt;Seerangurayar&lt;/Author&gt;&lt;Year&gt;2017&lt;/Year&gt;&lt;RecNum&gt;1374&lt;/RecNum&gt;&lt;DisplayText&gt;&lt;style face="superscript"&gt;11&lt;/style&gt;&lt;/DisplayText&gt;&lt;record&gt;&lt;rec-number&gt;1374&lt;/rec-number&gt;&lt;foreign-keys&gt;&lt;key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Eng&lt;/abbr-2&gt;&lt;/periodical&gt;&lt;pages&gt;33-43&lt;/pages&gt;&lt;volume&gt;215&lt;/volume&gt;&lt;dates&gt;&lt;year&gt;2017&lt;/year&gt;&lt;/dates&gt;&lt;isbn&gt;0260-8774&lt;/isbn&gt;&lt;urls&gt;&lt;/urls&gt;&lt;/record&gt;&lt;/Cite&gt;&lt;/EndNote&gt;</w:instrText>
        </w:r>
        <w:r w:rsidRPr="00B37812">
          <w:rPr>
            <w:rStyle w:val="Hyperlink"/>
            <w:rFonts w:ascii="Times New Roman" w:hAnsi="Times New Roman" w:cs="Times New Roman"/>
            <w:sz w:val="24"/>
            <w:szCs w:val="24"/>
          </w:rPr>
          <w:fldChar w:fldCharType="separate"/>
        </w:r>
        <w:r w:rsidR="00E124D1" w:rsidRPr="00B37812">
          <w:rPr>
            <w:rStyle w:val="Hyperlink"/>
            <w:rFonts w:ascii="Times New Roman" w:hAnsi="Times New Roman" w:cs="Times New Roman"/>
            <w:noProof/>
            <w:sz w:val="24"/>
            <w:szCs w:val="24"/>
            <w:vertAlign w:val="superscript"/>
          </w:rPr>
          <w:t>11</w:t>
        </w:r>
        <w:r w:rsidRPr="00B37812">
          <w:rPr>
            <w:rStyle w:val="Hyperlink"/>
            <w:rFonts w:ascii="Times New Roman" w:hAnsi="Times New Roman" w:cs="Times New Roman"/>
            <w:sz w:val="24"/>
            <w:szCs w:val="24"/>
          </w:rPr>
          <w:fldChar w:fldCharType="end"/>
        </w:r>
      </w:hyperlink>
      <w:r w:rsidRPr="00B37812">
        <w:rPr>
          <w:rFonts w:ascii="Times New Roman" w:hAnsi="Times New Roman" w:cs="Times New Roman"/>
          <w:color w:val="000000"/>
          <w:sz w:val="24"/>
          <w:szCs w:val="24"/>
        </w:rPr>
        <w:t>.</w:t>
      </w:r>
      <w:r w:rsidRPr="00B37812">
        <w:rPr>
          <w:rFonts w:ascii="Times New Roman" w:hAnsi="Times New Roman" w:cs="Times New Roman"/>
          <w:sz w:val="24"/>
          <w:szCs w:val="24"/>
        </w:rPr>
        <w:t xml:space="preserve"> This assertion was supported by the significant positive correlation </w:t>
      </w:r>
      <w:r w:rsidRPr="00B37812">
        <w:rPr>
          <w:rFonts w:ascii="Times New Roman" w:eastAsia="Calibri" w:hAnsi="Times New Roman" w:cs="Times New Roman"/>
          <w:sz w:val="24"/>
          <w:szCs w:val="24"/>
        </w:rPr>
        <w:t>between</w:t>
      </w:r>
      <w:r w:rsidRPr="00B37812">
        <w:rPr>
          <w:rFonts w:ascii="Times New Roman" w:hAnsi="Times New Roman" w:cs="Times New Roman"/>
          <w:sz w:val="24"/>
          <w:szCs w:val="24"/>
        </w:rPr>
        <w:t xml:space="preserve"> MC (r = 0.982) and WA. </w:t>
      </w:r>
      <w:r w:rsidRPr="00B37812">
        <w:rPr>
          <w:rFonts w:ascii="Times New Roman" w:hAnsi="Times New Roman" w:cs="Times New Roman"/>
          <w:noProof/>
          <w:sz w:val="24"/>
          <w:szCs w:val="24"/>
        </w:rPr>
        <w:t>Futhermore</w:t>
      </w:r>
      <w:r w:rsidRPr="00B37812">
        <w:rPr>
          <w:rFonts w:ascii="Times New Roman" w:hAnsi="Times New Roman" w:cs="Times New Roman"/>
          <w:sz w:val="24"/>
          <w:szCs w:val="24"/>
        </w:rPr>
        <w:t xml:space="preserve">, in line with previous reports </w:t>
      </w:r>
      <w:r w:rsidRPr="00B37812">
        <w:rPr>
          <w:rFonts w:ascii="Times New Roman" w:hAnsi="Times New Roman" w:cs="Times New Roman"/>
          <w:sz w:val="24"/>
          <w:szCs w:val="24"/>
        </w:rPr>
        <w:fldChar w:fldCharType="begin"/>
      </w:r>
      <w:r w:rsidR="00E124D1" w:rsidRPr="00B37812">
        <w:rPr>
          <w:rFonts w:ascii="Times New Roman" w:hAnsi="Times New Roman" w:cs="Times New Roman"/>
          <w:sz w:val="24"/>
          <w:szCs w:val="24"/>
        </w:rPr>
        <w:instrText xml:space="preserve"> ADDIN EN.CITE &lt;EndNote&gt;&lt;Cite&gt;&lt;Author&gt;Seerangurayar&lt;/Author&gt;&lt;Year&gt;2017&lt;/Year&gt;&lt;RecNum&gt;1374&lt;/RecNum&gt;&lt;DisplayText&gt;&lt;style face="superscript"&gt;11, 41&lt;/style&gt;&lt;/DisplayText&gt;&lt;record&gt;&lt;rec-number&gt;1374&lt;/rec-number&gt;&lt;foreign-keys&gt;&lt;key app="EN" db-id="5wdx0tztgpfe5yefsdpperx8srzetsx0pw9w" timestamp="1513235809"&gt;1374&lt;/key&gt;&lt;/foreign-keys&gt;&lt;ref-type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flowability and microstructural properties of foam-mat freeze dried date powder&lt;/title&gt;&lt;secondary-title&gt;Journal of Food Engineering&lt;/secondary-title&gt;&lt;/titles&gt;&lt;periodical&gt;&lt;full-title&gt;Journal of Food Engineering&lt;/full-title&gt;&lt;abbr-1&gt;J. Food Eng.&lt;/abbr-1&gt;&lt;abbr-2&gt;J Food Eng&lt;/abbr-2&gt;&lt;/periodical&gt;&lt;pages&gt;33-43&lt;/pages&gt;&lt;volume&gt;215&lt;/volume&gt;&lt;dates&gt;&lt;year&gt;2017&lt;/year&gt;&lt;/dates&gt;&lt;isbn&gt;0260-8774&lt;/isbn&gt;&lt;urls&gt;&lt;/urls&gt;&lt;/record&gt;&lt;/Cite&gt;&lt;Cite&gt;&lt;Author&gt;Caliskan&lt;/Author&gt;&lt;Year&gt;2016&lt;/Year&gt;&lt;RecNum&gt;1339&lt;/RecNum&gt;&lt;record&gt;&lt;rec-number&gt;1339&lt;/rec-number&gt;&lt;foreign-keys&gt;&lt;key app="EN" db-id="5wdx0tztgpfe5yefsdpperx8srzetsx0pw9w" timestamp="1511167524"&gt;1339&lt;/key&gt;&lt;/foreign-keys&gt;&lt;ref-type name="Journal Article"&gt;17&lt;/ref-type&gt;&lt;contributors&gt;&lt;authors&gt;&lt;author&gt;Caliskan, Gulsah&lt;/author&gt;&lt;author&gt;Dirim, S Nur&lt;/author&gt;&lt;/authors&gt;&lt;/contributors&gt;&lt;titles&gt;&lt;title&gt;The effect of different drying processes and the amounts of maltodextrin addition on the powder properties of sumac extract powders&lt;/title&gt;&lt;secondary-title&gt;Powder Technology&lt;/secondary-title&gt;&lt;/titles&gt;&lt;periodical&gt;&lt;full-title&gt;Powder Technology&lt;/full-title&gt;&lt;abbr-1&gt;Powder Technol.&lt;/abbr-1&gt;&lt;abbr-2&gt;Powder Technol&lt;/abbr-2&gt;&lt;/periodical&gt;&lt;pages&gt;308-314&lt;/pages&gt;&lt;volume&gt;287&lt;/volume&gt;&lt;dates&gt;&lt;year&gt;2016&lt;/year&gt;&lt;/dates&gt;&lt;isbn&gt;0032-5910&lt;/isbn&gt;&lt;urls&gt;&lt;/urls&gt;&lt;/record&gt;&lt;/Cite&gt;&lt;/EndNote&gt;</w:instrText>
      </w:r>
      <w:r w:rsidRPr="00B37812">
        <w:rPr>
          <w:rFonts w:ascii="Times New Roman" w:hAnsi="Times New Roman" w:cs="Times New Roman"/>
          <w:sz w:val="24"/>
          <w:szCs w:val="24"/>
        </w:rPr>
        <w:fldChar w:fldCharType="separate"/>
      </w:r>
      <w:hyperlink w:anchor="_ENREF_11" w:tooltip="Seerangurayar, 2017 #1374" w:history="1">
        <w:r w:rsidR="00E124D1" w:rsidRPr="00B37812">
          <w:rPr>
            <w:rStyle w:val="Hyperlink"/>
            <w:rFonts w:ascii="Times New Roman" w:hAnsi="Times New Roman" w:cs="Times New Roman"/>
            <w:noProof/>
            <w:sz w:val="24"/>
            <w:szCs w:val="24"/>
            <w:vertAlign w:val="superscript"/>
          </w:rPr>
          <w:t>11</w:t>
        </w:r>
      </w:hyperlink>
      <w:r w:rsidR="00E124D1" w:rsidRPr="00B37812">
        <w:rPr>
          <w:rFonts w:ascii="Times New Roman" w:hAnsi="Times New Roman" w:cs="Times New Roman"/>
          <w:noProof/>
          <w:sz w:val="24"/>
          <w:szCs w:val="24"/>
          <w:vertAlign w:val="superscript"/>
        </w:rPr>
        <w:t xml:space="preserve">, </w:t>
      </w:r>
      <w:hyperlink w:anchor="_ENREF_41" w:tooltip="Caliskan, 2016 #1339" w:history="1">
        <w:r w:rsidR="00E124D1" w:rsidRPr="00B37812">
          <w:rPr>
            <w:rStyle w:val="Hyperlink"/>
            <w:rFonts w:ascii="Times New Roman" w:hAnsi="Times New Roman" w:cs="Times New Roman"/>
            <w:noProof/>
            <w:sz w:val="24"/>
            <w:szCs w:val="24"/>
            <w:vertAlign w:val="superscript"/>
          </w:rPr>
          <w:t>41</w:t>
        </w:r>
      </w:hyperlink>
      <w:r w:rsidRPr="00B37812">
        <w:rPr>
          <w:rFonts w:ascii="Times New Roman" w:hAnsi="Times New Roman" w:cs="Times New Roman"/>
          <w:sz w:val="24"/>
          <w:szCs w:val="24"/>
        </w:rPr>
        <w:fldChar w:fldCharType="end"/>
      </w:r>
      <w:hyperlink w:anchor="_ENREF_18" w:tooltip="Bhusari, 2014 #1329" w:history="1"/>
      <w:r w:rsidRPr="00B37812">
        <w:rPr>
          <w:rFonts w:ascii="Times New Roman" w:hAnsi="Times New Roman" w:cs="Times New Roman"/>
          <w:sz w:val="24"/>
          <w:szCs w:val="24"/>
        </w:rPr>
        <w:t xml:space="preserve">, a decrease in WA was observed with an increase in carrier concentration </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4</w:t>
      </w:r>
      <w:r w:rsidRPr="00B37812">
        <w:rPr>
          <w:rFonts w:ascii="Times New Roman" w:eastAsia="Calibri" w:hAnsi="Times New Roman" w:cs="Times New Roman"/>
          <w:color w:val="00B0F0"/>
          <w:sz w:val="24"/>
          <w:szCs w:val="24"/>
          <w:lang w:eastAsia="en-US"/>
        </w:rPr>
        <w:t>a</w:t>
      </w:r>
      <w:r w:rsidRPr="00B37812">
        <w:rPr>
          <w:rFonts w:ascii="Times New Roman" w:eastAsia="Calibri" w:hAnsi="Times New Roman" w:cs="Times New Roman"/>
          <w:sz w:val="24"/>
          <w:szCs w:val="24"/>
          <w:lang w:eastAsia="en-US"/>
        </w:rPr>
        <w:t>)</w:t>
      </w:r>
      <w:r w:rsidRPr="00B37812">
        <w:rPr>
          <w:rFonts w:ascii="Times New Roman" w:hAnsi="Times New Roman" w:cs="Times New Roman"/>
          <w:sz w:val="24"/>
          <w:szCs w:val="24"/>
        </w:rPr>
        <w:t xml:space="preserve">. </w:t>
      </w:r>
    </w:p>
    <w:p w14:paraId="6A607099" w14:textId="77777777" w:rsidR="00E079A1" w:rsidRPr="00B37812" w:rsidRDefault="00E079A1" w:rsidP="00A330CD">
      <w:pPr>
        <w:spacing w:after="0" w:line="360" w:lineRule="auto"/>
        <w:jc w:val="both"/>
        <w:rPr>
          <w:rFonts w:ascii="Times New Roman" w:eastAsia="Calibri" w:hAnsi="Times New Roman" w:cs="Times New Roman"/>
          <w:b/>
          <w:sz w:val="24"/>
          <w:szCs w:val="24"/>
          <w:lang w:eastAsia="en-US"/>
        </w:rPr>
        <w:sectPr w:rsidR="00E079A1" w:rsidRPr="00B37812" w:rsidSect="002C02A7">
          <w:pgSz w:w="12240" w:h="15840"/>
          <w:pgMar w:top="1440" w:right="1440" w:bottom="1440" w:left="1440" w:header="708" w:footer="708" w:gutter="0"/>
          <w:lnNumType w:countBy="1" w:restart="continuous"/>
          <w:cols w:space="708"/>
          <w:docGrid w:linePitch="360"/>
        </w:sectPr>
      </w:pPr>
    </w:p>
    <w:p w14:paraId="7ED174BB" w14:textId="42823785" w:rsidR="00E079A1" w:rsidRPr="00B37812" w:rsidRDefault="00E079A1" w:rsidP="00A330CD">
      <w:pPr>
        <w:spacing w:after="0" w:line="360" w:lineRule="auto"/>
        <w:jc w:val="both"/>
        <w:rPr>
          <w:rFonts w:ascii="Times New Roman" w:eastAsia="Calibri" w:hAnsi="Times New Roman" w:cs="Times New Roman"/>
          <w:b/>
          <w:sz w:val="24"/>
          <w:szCs w:val="24"/>
          <w:lang w:eastAsia="en-US"/>
        </w:rPr>
        <w:sectPr w:rsidR="00E079A1" w:rsidRPr="00B37812" w:rsidSect="002C02A7">
          <w:pgSz w:w="12240" w:h="15840"/>
          <w:pgMar w:top="1440" w:right="1440" w:bottom="1440" w:left="1440" w:header="708" w:footer="708" w:gutter="0"/>
          <w:lnNumType w:countBy="1" w:restart="continuous"/>
          <w:cols w:space="708"/>
          <w:docGrid w:linePitch="360"/>
        </w:sectPr>
      </w:pPr>
      <w:r w:rsidRPr="00B37812">
        <w:rPr>
          <w:rFonts w:ascii="Times New Roman" w:eastAsia="Calibri" w:hAnsi="Times New Roman" w:cs="Times New Roman"/>
          <w:b/>
          <w:noProof/>
          <w:color w:val="000000"/>
          <w:sz w:val="24"/>
          <w:szCs w:val="24"/>
        </w:rPr>
        <mc:AlternateContent>
          <mc:Choice Requires="wpg">
            <w:drawing>
              <wp:anchor distT="0" distB="0" distL="114300" distR="114300" simplePos="0" relativeHeight="251665408" behindDoc="0" locked="0" layoutInCell="1" allowOverlap="1" wp14:anchorId="1898B0BA" wp14:editId="34C08705">
                <wp:simplePos x="0" y="0"/>
                <wp:positionH relativeFrom="column">
                  <wp:posOffset>0</wp:posOffset>
                </wp:positionH>
                <wp:positionV relativeFrom="paragraph">
                  <wp:posOffset>0</wp:posOffset>
                </wp:positionV>
                <wp:extent cx="5943600" cy="7432098"/>
                <wp:effectExtent l="0" t="0" r="0" b="0"/>
                <wp:wrapNone/>
                <wp:docPr id="48" name="Group 48"/>
                <wp:cNvGraphicFramePr/>
                <a:graphic xmlns:a="http://schemas.openxmlformats.org/drawingml/2006/main">
                  <a:graphicData uri="http://schemas.microsoft.com/office/word/2010/wordprocessingGroup">
                    <wpg:wgp>
                      <wpg:cNvGrpSpPr/>
                      <wpg:grpSpPr>
                        <a:xfrm>
                          <a:off x="0" y="0"/>
                          <a:ext cx="5943600" cy="7432098"/>
                          <a:chOff x="0" y="0"/>
                          <a:chExt cx="5943600" cy="7432098"/>
                        </a:xfrm>
                      </wpg:grpSpPr>
                      <wps:wsp>
                        <wps:cNvPr id="49" name="Text Box 49"/>
                        <wps:cNvSpPr txBox="1"/>
                        <wps:spPr>
                          <a:xfrm>
                            <a:off x="0" y="1181100"/>
                            <a:ext cx="2971800" cy="2590800"/>
                          </a:xfrm>
                          <a:prstGeom prst="rect">
                            <a:avLst/>
                          </a:prstGeom>
                          <a:solidFill>
                            <a:schemeClr val="lt1"/>
                          </a:solidFill>
                          <a:ln w="6350">
                            <a:noFill/>
                          </a:ln>
                        </wps:spPr>
                        <wps:txbx>
                          <w:txbxContent>
                            <w:p w14:paraId="05FBB239" w14:textId="77777777" w:rsidR="00927E41" w:rsidRDefault="00927E41" w:rsidP="00E079A1">
                              <w:r>
                                <w:rPr>
                                  <w:noProof/>
                                </w:rPr>
                                <w:drawing>
                                  <wp:inline distT="0" distB="0" distL="0" distR="0" wp14:anchorId="6AA97486" wp14:editId="01E8161F">
                                    <wp:extent cx="2705101" cy="225799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5101" cy="2257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971800" y="1181100"/>
                            <a:ext cx="2971800" cy="2590800"/>
                          </a:xfrm>
                          <a:prstGeom prst="rect">
                            <a:avLst/>
                          </a:prstGeom>
                          <a:solidFill>
                            <a:schemeClr val="lt1"/>
                          </a:solidFill>
                          <a:ln w="6350">
                            <a:noFill/>
                          </a:ln>
                        </wps:spPr>
                        <wps:txbx>
                          <w:txbxContent>
                            <w:p w14:paraId="3FA543C8" w14:textId="77777777" w:rsidR="00927E41" w:rsidRDefault="00927E41" w:rsidP="00E079A1">
                              <w:r>
                                <w:rPr>
                                  <w:noProof/>
                                </w:rPr>
                                <w:drawing>
                                  <wp:inline distT="0" distB="0" distL="0" distR="0" wp14:anchorId="4C1BA0EF" wp14:editId="5AF9CA4A">
                                    <wp:extent cx="2693351" cy="225518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3351" cy="2255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572000" y="0"/>
                            <a:ext cx="1371600" cy="1177636"/>
                          </a:xfrm>
                          <a:prstGeom prst="rect">
                            <a:avLst/>
                          </a:prstGeom>
                          <a:solidFill>
                            <a:schemeClr val="lt1"/>
                          </a:solidFill>
                          <a:ln w="6350">
                            <a:noFill/>
                          </a:ln>
                        </wps:spPr>
                        <wps:txbx>
                          <w:txbxContent>
                            <w:p w14:paraId="3BD24E14" w14:textId="77777777" w:rsidR="00927E41" w:rsidRDefault="00927E41" w:rsidP="00E079A1">
                              <w:r>
                                <w:rPr>
                                  <w:noProof/>
                                </w:rPr>
                                <w:drawing>
                                  <wp:inline distT="0" distB="0" distL="0" distR="0" wp14:anchorId="35036FE8" wp14:editId="5FE8F4A4">
                                    <wp:extent cx="1041081" cy="998213"/>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081" cy="998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6372225"/>
                            <a:ext cx="5943600" cy="1059873"/>
                          </a:xfrm>
                          <a:prstGeom prst="rect">
                            <a:avLst/>
                          </a:prstGeom>
                          <a:solidFill>
                            <a:schemeClr val="lt1"/>
                          </a:solidFill>
                          <a:ln w="6350">
                            <a:noFill/>
                          </a:ln>
                        </wps:spPr>
                        <wps:txbx>
                          <w:txbxContent>
                            <w:p w14:paraId="06FE1DDC" w14:textId="77777777" w:rsidR="00927E41" w:rsidRPr="00DA3C81" w:rsidRDefault="00927E41" w:rsidP="00E079A1">
                              <w:pPr>
                                <w:spacing w:after="0" w:line="240" w:lineRule="auto"/>
                                <w:ind w:left="993" w:hanging="993"/>
                                <w:rPr>
                                  <w:rFonts w:ascii="Cambria" w:hAnsi="Cambria"/>
                                  <w:szCs w:val="24"/>
                                </w:rPr>
                              </w:pPr>
                              <w:r w:rsidRPr="00DA3C81">
                                <w:rPr>
                                  <w:rFonts w:ascii="Cambria" w:hAnsi="Cambria"/>
                                  <w:b/>
                                </w:rPr>
                                <w:t xml:space="preserve">Figure 4: </w:t>
                              </w:r>
                              <w:r w:rsidRPr="00DA3C81">
                                <w:rPr>
                                  <w:rFonts w:ascii="Cambria" w:hAnsi="Cambria"/>
                                </w:rPr>
                                <w:t xml:space="preserve">Effect of carriers on shelf-life and chromatic properties of </w:t>
                              </w:r>
                              <w:r>
                                <w:rPr>
                                  <w:rFonts w:ascii="Cambria" w:hAnsi="Cambria"/>
                                </w:rPr>
                                <w:t>encapsulated</w:t>
                              </w:r>
                              <w:r w:rsidRPr="00DA3C81">
                                <w:rPr>
                                  <w:rFonts w:ascii="Cambria" w:hAnsi="Cambria"/>
                                </w:rPr>
                                <w:t xml:space="preserve"> freeze-dried </w:t>
                              </w:r>
                              <w:r w:rsidRPr="00DA3C81">
                                <w:rPr>
                                  <w:rFonts w:ascii="Cambria" w:hAnsi="Cambria"/>
                                  <w:szCs w:val="24"/>
                                </w:rPr>
                                <w:t>mulberry leaf extract powder</w:t>
                              </w:r>
                              <w:r>
                                <w:rPr>
                                  <w:rFonts w:ascii="Cambria" w:hAnsi="Cambria"/>
                                  <w:szCs w:val="24"/>
                                </w:rPr>
                                <w:t>s</w:t>
                              </w:r>
                            </w:p>
                            <w:p w14:paraId="5DCC3213" w14:textId="77777777" w:rsidR="00927E41" w:rsidRPr="00DA3C81" w:rsidRDefault="00927E41" w:rsidP="00E079A1">
                              <w:pPr>
                                <w:spacing w:before="120" w:line="240" w:lineRule="auto"/>
                                <w:rPr>
                                  <w:rFonts w:ascii="Cambria" w:hAnsi="Cambria"/>
                                </w:rPr>
                              </w:pPr>
                              <w:r w:rsidRPr="00DA3C81">
                                <w:rPr>
                                  <w:rFonts w:ascii="Cambria" w:hAnsi="Cambria"/>
                                  <w:color w:val="231F20"/>
                                  <w:sz w:val="18"/>
                                  <w:szCs w:val="18"/>
                                </w:rPr>
                                <w:t>MC-moisture content, WA-water activity, HG-hygroscopicity, GT-glass transition temperature,</w:t>
                              </w:r>
                              <w:r w:rsidRPr="00DA3C81">
                                <w:rPr>
                                  <w:rFonts w:ascii="Cambria" w:hAnsi="Cambria"/>
                                  <w:i/>
                                  <w:color w:val="231F20"/>
                                  <w:sz w:val="18"/>
                                  <w:szCs w:val="18"/>
                                </w:rPr>
                                <w:t xml:space="preserve"> L*-</w:t>
                              </w:r>
                              <w:r w:rsidRPr="00DA3C81">
                                <w:rPr>
                                  <w:rFonts w:ascii="Cambria" w:hAnsi="Cambria"/>
                                  <w:color w:val="231F20"/>
                                  <w:sz w:val="18"/>
                                  <w:szCs w:val="18"/>
                                </w:rPr>
                                <w:t xml:space="preserve">lightness/darkness, </w:t>
                              </w:r>
                              <w:r w:rsidRPr="00DA3C81">
                                <w:rPr>
                                  <w:rFonts w:ascii="Cambria" w:hAnsi="Cambria"/>
                                  <w:i/>
                                  <w:color w:val="231F20"/>
                                  <w:sz w:val="18"/>
                                  <w:szCs w:val="18"/>
                                </w:rPr>
                                <w:t>a*-</w:t>
                              </w:r>
                              <w:r w:rsidRPr="00DA3C81">
                                <w:rPr>
                                  <w:rFonts w:ascii="Cambria" w:hAnsi="Cambria"/>
                                  <w:color w:val="231F20"/>
                                  <w:sz w:val="18"/>
                                  <w:szCs w:val="18"/>
                                </w:rPr>
                                <w:t>redness/</w:t>
                              </w:r>
                              <w:r w:rsidRPr="004F79D5">
                                <w:rPr>
                                  <w:rFonts w:ascii="Cambria" w:hAnsi="Cambria"/>
                                  <w:sz w:val="18"/>
                                  <w:szCs w:val="18"/>
                                </w:rPr>
                                <w:t xml:space="preserve">greenness, </w:t>
                              </w:r>
                              <w:r w:rsidRPr="004F79D5">
                                <w:rPr>
                                  <w:rFonts w:ascii="Cambria" w:hAnsi="Cambria"/>
                                  <w:i/>
                                  <w:sz w:val="18"/>
                                  <w:szCs w:val="18"/>
                                </w:rPr>
                                <w:t>b*-</w:t>
                              </w:r>
                              <w:r w:rsidRPr="004F79D5">
                                <w:rPr>
                                  <w:rFonts w:ascii="Cambria" w:hAnsi="Cambria"/>
                                  <w:sz w:val="18"/>
                                  <w:szCs w:val="18"/>
                                </w:rPr>
                                <w:t xml:space="preserve">yellowness/blueness, </w:t>
                              </w:r>
                              <w:r w:rsidRPr="004F79D5">
                                <w:rPr>
                                  <w:rFonts w:ascii="Cambria" w:hAnsi="Cambria"/>
                                  <w:i/>
                                  <w:sz w:val="18"/>
                                  <w:szCs w:val="18"/>
                                </w:rPr>
                                <w:t>C*-</w:t>
                              </w:r>
                              <w:r w:rsidRPr="004F79D5">
                                <w:rPr>
                                  <w:rFonts w:ascii="Cambria" w:hAnsi="Cambria"/>
                                  <w:sz w:val="18"/>
                                  <w:szCs w:val="18"/>
                                </w:rPr>
                                <w:t xml:space="preserve">chroma, </w:t>
                              </w:r>
                              <w:r w:rsidRPr="004F79D5">
                                <w:rPr>
                                  <w:rFonts w:ascii="Cambria" w:hAnsi="Cambria"/>
                                  <w:i/>
                                  <w:sz w:val="18"/>
                                  <w:szCs w:val="18"/>
                                </w:rPr>
                                <w:t>H°-</w:t>
                              </w:r>
                              <w:r w:rsidRPr="004F79D5">
                                <w:rPr>
                                  <w:rFonts w:ascii="Cambria" w:hAnsi="Cambria"/>
                                  <w:sz w:val="18"/>
                                  <w:szCs w:val="18"/>
                                </w:rPr>
                                <w:t xml:space="preserve">Hue, CMC-sodium </w:t>
                              </w:r>
                              <w:r w:rsidRPr="004F79D5">
                                <w:rPr>
                                  <w:rFonts w:ascii="Cambria" w:hAnsi="Cambria"/>
                                  <w:bCs/>
                                  <w:sz w:val="18"/>
                                  <w:szCs w:val="18"/>
                                </w:rPr>
                                <w:t>carboxymethyl cellulose</w:t>
                              </w:r>
                              <w:r w:rsidRPr="004F79D5">
                                <w:rPr>
                                  <w:rFonts w:ascii="Cambria" w:hAnsi="Cambria"/>
                                  <w:sz w:val="18"/>
                                  <w:szCs w:val="18"/>
                                </w:rPr>
                                <w:t xml:space="preserve">, </w:t>
                              </w:r>
                              <w:r>
                                <w:rPr>
                                  <w:rFonts w:ascii="Cambria" w:hAnsi="Cambria"/>
                                  <w:sz w:val="18"/>
                                  <w:szCs w:val="18"/>
                                </w:rPr>
                                <w:t xml:space="preserve">and </w:t>
                              </w:r>
                              <w:r w:rsidRPr="004F79D5">
                                <w:rPr>
                                  <w:rFonts w:ascii="Cambria" w:hAnsi="Cambria"/>
                                  <w:sz w:val="18"/>
                                  <w:szCs w:val="18"/>
                                </w:rPr>
                                <w:t>MD-maltodextrin</w:t>
                              </w:r>
                            </w:p>
                            <w:p w14:paraId="7DA9E2BB" w14:textId="77777777" w:rsidR="00927E41" w:rsidRPr="00DA3C81" w:rsidRDefault="00927E41" w:rsidP="00E079A1">
                              <w:pPr>
                                <w:spacing w:before="120" w:line="240" w:lineRule="auto"/>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0" y="3781425"/>
                            <a:ext cx="2971800" cy="2590800"/>
                          </a:xfrm>
                          <a:prstGeom prst="rect">
                            <a:avLst/>
                          </a:prstGeom>
                          <a:solidFill>
                            <a:schemeClr val="lt1"/>
                          </a:solidFill>
                          <a:ln w="6350">
                            <a:noFill/>
                          </a:ln>
                        </wps:spPr>
                        <wps:txbx>
                          <w:txbxContent>
                            <w:p w14:paraId="45EE3B75" w14:textId="77777777" w:rsidR="00927E41" w:rsidRDefault="00927E41" w:rsidP="00E079A1">
                              <w:r>
                                <w:rPr>
                                  <w:noProof/>
                                </w:rPr>
                                <w:drawing>
                                  <wp:inline distT="0" distB="0" distL="0" distR="0" wp14:anchorId="4564F8FD" wp14:editId="4DB0CBB7">
                                    <wp:extent cx="2679169" cy="2257995"/>
                                    <wp:effectExtent l="0" t="0" r="698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9169" cy="2257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971800" y="3781425"/>
                            <a:ext cx="2971800" cy="2590800"/>
                          </a:xfrm>
                          <a:prstGeom prst="rect">
                            <a:avLst/>
                          </a:prstGeom>
                          <a:solidFill>
                            <a:schemeClr val="lt1"/>
                          </a:solidFill>
                          <a:ln w="6350">
                            <a:noFill/>
                          </a:ln>
                        </wps:spPr>
                        <wps:txbx>
                          <w:txbxContent>
                            <w:p w14:paraId="1284021A" w14:textId="77777777" w:rsidR="00927E41" w:rsidRDefault="00927E41" w:rsidP="00E079A1">
                              <w:r>
                                <w:rPr>
                                  <w:noProof/>
                                </w:rPr>
                                <w:drawing>
                                  <wp:inline distT="0" distB="0" distL="0" distR="0" wp14:anchorId="63C47AF5" wp14:editId="03ADEDA3">
                                    <wp:extent cx="2708540" cy="225518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8540" cy="2255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98B0BA" id="Group 48" o:spid="_x0000_s1045" style="position:absolute;left:0;text-align:left;margin-left:0;margin-top:0;width:468pt;height:585.2pt;z-index:251665408" coordsize="59436,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">
                <v:shape id="Text Box 49" o:spid="_x0000_s1046" type="#_x0000_t202" style="position:absolute;top:11811;width:2971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05FBB239" w14:textId="77777777" w:rsidR="00927E41" w:rsidRDefault="00927E41" w:rsidP="00E079A1">
                        <w:r>
                          <w:rPr>
                            <w:noProof/>
                          </w:rPr>
                          <w:drawing>
                            <wp:inline distT="0" distB="0" distL="0" distR="0" wp14:anchorId="6AA97486" wp14:editId="01E8161F">
                              <wp:extent cx="2705101" cy="225799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5101" cy="2257995"/>
                                      </a:xfrm>
                                      <a:prstGeom prst="rect">
                                        <a:avLst/>
                                      </a:prstGeom>
                                    </pic:spPr>
                                  </pic:pic>
                                </a:graphicData>
                              </a:graphic>
                            </wp:inline>
                          </w:drawing>
                        </w:r>
                      </w:p>
                    </w:txbxContent>
                  </v:textbox>
                </v:shape>
                <v:shape id="Text Box 50" o:spid="_x0000_s1047" type="#_x0000_t202" style="position:absolute;left:29718;top:11811;width:2971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3FA543C8" w14:textId="77777777" w:rsidR="00927E41" w:rsidRDefault="00927E41" w:rsidP="00E079A1">
                        <w:r>
                          <w:rPr>
                            <w:noProof/>
                          </w:rPr>
                          <w:drawing>
                            <wp:inline distT="0" distB="0" distL="0" distR="0" wp14:anchorId="4C1BA0EF" wp14:editId="5AF9CA4A">
                              <wp:extent cx="2693351" cy="225518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3351" cy="2255189"/>
                                      </a:xfrm>
                                      <a:prstGeom prst="rect">
                                        <a:avLst/>
                                      </a:prstGeom>
                                    </pic:spPr>
                                  </pic:pic>
                                </a:graphicData>
                              </a:graphic>
                            </wp:inline>
                          </w:drawing>
                        </w:r>
                      </w:p>
                    </w:txbxContent>
                  </v:textbox>
                </v:shape>
                <v:shape id="Text Box 51" o:spid="_x0000_s1048" type="#_x0000_t202" style="position:absolute;left:45720;width:13716;height:1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3BD24E14" w14:textId="77777777" w:rsidR="00927E41" w:rsidRDefault="00927E41" w:rsidP="00E079A1">
                        <w:r>
                          <w:rPr>
                            <w:noProof/>
                          </w:rPr>
                          <w:drawing>
                            <wp:inline distT="0" distB="0" distL="0" distR="0" wp14:anchorId="35036FE8" wp14:editId="5FE8F4A4">
                              <wp:extent cx="1041081" cy="998213"/>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081" cy="998213"/>
                                      </a:xfrm>
                                      <a:prstGeom prst="rect">
                                        <a:avLst/>
                                      </a:prstGeom>
                                    </pic:spPr>
                                  </pic:pic>
                                </a:graphicData>
                              </a:graphic>
                            </wp:inline>
                          </w:drawing>
                        </w:r>
                      </w:p>
                    </w:txbxContent>
                  </v:textbox>
                </v:shape>
                <v:shape id="Text Box 52" o:spid="_x0000_s1049" type="#_x0000_t202" style="position:absolute;top:63722;width:59436;height:10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06FE1DDC" w14:textId="77777777" w:rsidR="00927E41" w:rsidRPr="00DA3C81" w:rsidRDefault="00927E41" w:rsidP="00E079A1">
                        <w:pPr>
                          <w:spacing w:after="0" w:line="240" w:lineRule="auto"/>
                          <w:ind w:left="993" w:hanging="993"/>
                          <w:rPr>
                            <w:rFonts w:ascii="Cambria" w:hAnsi="Cambria"/>
                            <w:szCs w:val="24"/>
                          </w:rPr>
                        </w:pPr>
                        <w:r w:rsidRPr="00DA3C81">
                          <w:rPr>
                            <w:rFonts w:ascii="Cambria" w:hAnsi="Cambria"/>
                            <w:b/>
                          </w:rPr>
                          <w:t xml:space="preserve">Figure 4: </w:t>
                        </w:r>
                        <w:r w:rsidRPr="00DA3C81">
                          <w:rPr>
                            <w:rFonts w:ascii="Cambria" w:hAnsi="Cambria"/>
                          </w:rPr>
                          <w:t xml:space="preserve">Effect of carriers on shelf-life and chromatic properties of </w:t>
                        </w:r>
                        <w:r>
                          <w:rPr>
                            <w:rFonts w:ascii="Cambria" w:hAnsi="Cambria"/>
                          </w:rPr>
                          <w:t>encapsulated</w:t>
                        </w:r>
                        <w:r w:rsidRPr="00DA3C81">
                          <w:rPr>
                            <w:rFonts w:ascii="Cambria" w:hAnsi="Cambria"/>
                          </w:rPr>
                          <w:t xml:space="preserve"> freeze-dried </w:t>
                        </w:r>
                        <w:r w:rsidRPr="00DA3C81">
                          <w:rPr>
                            <w:rFonts w:ascii="Cambria" w:hAnsi="Cambria"/>
                            <w:szCs w:val="24"/>
                          </w:rPr>
                          <w:t>mulberry leaf extract powder</w:t>
                        </w:r>
                        <w:r>
                          <w:rPr>
                            <w:rFonts w:ascii="Cambria" w:hAnsi="Cambria"/>
                            <w:szCs w:val="24"/>
                          </w:rPr>
                          <w:t>s</w:t>
                        </w:r>
                      </w:p>
                      <w:p w14:paraId="5DCC3213" w14:textId="77777777" w:rsidR="00927E41" w:rsidRPr="00DA3C81" w:rsidRDefault="00927E41" w:rsidP="00E079A1">
                        <w:pPr>
                          <w:spacing w:before="120" w:line="240" w:lineRule="auto"/>
                          <w:rPr>
                            <w:rFonts w:ascii="Cambria" w:hAnsi="Cambria"/>
                          </w:rPr>
                        </w:pPr>
                        <w:r w:rsidRPr="00DA3C81">
                          <w:rPr>
                            <w:rFonts w:ascii="Cambria" w:hAnsi="Cambria"/>
                            <w:color w:val="231F20"/>
                            <w:sz w:val="18"/>
                            <w:szCs w:val="18"/>
                          </w:rPr>
                          <w:t>MC-moisture content, WA-water activity, HG-hygroscopicity, GT-glass transition temperature,</w:t>
                        </w:r>
                        <w:r w:rsidRPr="00DA3C81">
                          <w:rPr>
                            <w:rFonts w:ascii="Cambria" w:hAnsi="Cambria"/>
                            <w:i/>
                            <w:color w:val="231F20"/>
                            <w:sz w:val="18"/>
                            <w:szCs w:val="18"/>
                          </w:rPr>
                          <w:t xml:space="preserve"> L*-</w:t>
                        </w:r>
                        <w:r w:rsidRPr="00DA3C81">
                          <w:rPr>
                            <w:rFonts w:ascii="Cambria" w:hAnsi="Cambria"/>
                            <w:color w:val="231F20"/>
                            <w:sz w:val="18"/>
                            <w:szCs w:val="18"/>
                          </w:rPr>
                          <w:t xml:space="preserve">lightness/darkness, </w:t>
                        </w:r>
                        <w:r w:rsidRPr="00DA3C81">
                          <w:rPr>
                            <w:rFonts w:ascii="Cambria" w:hAnsi="Cambria"/>
                            <w:i/>
                            <w:color w:val="231F20"/>
                            <w:sz w:val="18"/>
                            <w:szCs w:val="18"/>
                          </w:rPr>
                          <w:t>a*-</w:t>
                        </w:r>
                        <w:r w:rsidRPr="00DA3C81">
                          <w:rPr>
                            <w:rFonts w:ascii="Cambria" w:hAnsi="Cambria"/>
                            <w:color w:val="231F20"/>
                            <w:sz w:val="18"/>
                            <w:szCs w:val="18"/>
                          </w:rPr>
                          <w:t>redness/</w:t>
                        </w:r>
                        <w:r w:rsidRPr="004F79D5">
                          <w:rPr>
                            <w:rFonts w:ascii="Cambria" w:hAnsi="Cambria"/>
                            <w:sz w:val="18"/>
                            <w:szCs w:val="18"/>
                          </w:rPr>
                          <w:t xml:space="preserve">greenness, </w:t>
                        </w:r>
                        <w:r w:rsidRPr="004F79D5">
                          <w:rPr>
                            <w:rFonts w:ascii="Cambria" w:hAnsi="Cambria"/>
                            <w:i/>
                            <w:sz w:val="18"/>
                            <w:szCs w:val="18"/>
                          </w:rPr>
                          <w:t>b*-</w:t>
                        </w:r>
                        <w:r w:rsidRPr="004F79D5">
                          <w:rPr>
                            <w:rFonts w:ascii="Cambria" w:hAnsi="Cambria"/>
                            <w:sz w:val="18"/>
                            <w:szCs w:val="18"/>
                          </w:rPr>
                          <w:t xml:space="preserve">yellowness/blueness, </w:t>
                        </w:r>
                        <w:r w:rsidRPr="004F79D5">
                          <w:rPr>
                            <w:rFonts w:ascii="Cambria" w:hAnsi="Cambria"/>
                            <w:i/>
                            <w:sz w:val="18"/>
                            <w:szCs w:val="18"/>
                          </w:rPr>
                          <w:t>C*-</w:t>
                        </w:r>
                        <w:r w:rsidRPr="004F79D5">
                          <w:rPr>
                            <w:rFonts w:ascii="Cambria" w:hAnsi="Cambria"/>
                            <w:sz w:val="18"/>
                            <w:szCs w:val="18"/>
                          </w:rPr>
                          <w:t xml:space="preserve">chroma, </w:t>
                        </w:r>
                        <w:r w:rsidRPr="004F79D5">
                          <w:rPr>
                            <w:rFonts w:ascii="Cambria" w:hAnsi="Cambria"/>
                            <w:i/>
                            <w:sz w:val="18"/>
                            <w:szCs w:val="18"/>
                          </w:rPr>
                          <w:t>H°-</w:t>
                        </w:r>
                        <w:r w:rsidRPr="004F79D5">
                          <w:rPr>
                            <w:rFonts w:ascii="Cambria" w:hAnsi="Cambria"/>
                            <w:sz w:val="18"/>
                            <w:szCs w:val="18"/>
                          </w:rPr>
                          <w:t xml:space="preserve">Hue, CMC-sodium </w:t>
                        </w:r>
                        <w:r w:rsidRPr="004F79D5">
                          <w:rPr>
                            <w:rFonts w:ascii="Cambria" w:hAnsi="Cambria"/>
                            <w:bCs/>
                            <w:sz w:val="18"/>
                            <w:szCs w:val="18"/>
                          </w:rPr>
                          <w:t>carboxymethyl cellulose</w:t>
                        </w:r>
                        <w:r w:rsidRPr="004F79D5">
                          <w:rPr>
                            <w:rFonts w:ascii="Cambria" w:hAnsi="Cambria"/>
                            <w:sz w:val="18"/>
                            <w:szCs w:val="18"/>
                          </w:rPr>
                          <w:t xml:space="preserve">, </w:t>
                        </w:r>
                        <w:r>
                          <w:rPr>
                            <w:rFonts w:ascii="Cambria" w:hAnsi="Cambria"/>
                            <w:sz w:val="18"/>
                            <w:szCs w:val="18"/>
                          </w:rPr>
                          <w:t xml:space="preserve">and </w:t>
                        </w:r>
                        <w:r w:rsidRPr="004F79D5">
                          <w:rPr>
                            <w:rFonts w:ascii="Cambria" w:hAnsi="Cambria"/>
                            <w:sz w:val="18"/>
                            <w:szCs w:val="18"/>
                          </w:rPr>
                          <w:t>MD-maltodextrin</w:t>
                        </w:r>
                      </w:p>
                      <w:p w14:paraId="7DA9E2BB" w14:textId="77777777" w:rsidR="00927E41" w:rsidRPr="00DA3C81" w:rsidRDefault="00927E41" w:rsidP="00E079A1">
                        <w:pPr>
                          <w:spacing w:before="120" w:line="240" w:lineRule="auto"/>
                          <w:rPr>
                            <w:rFonts w:ascii="Cambria" w:hAnsi="Cambria"/>
                          </w:rPr>
                        </w:pPr>
                      </w:p>
                    </w:txbxContent>
                  </v:textbox>
                </v:shape>
                <v:shape id="Text Box 53" o:spid="_x0000_s1050" type="#_x0000_t202" style="position:absolute;top:37814;width:2971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45EE3B75" w14:textId="77777777" w:rsidR="00927E41" w:rsidRDefault="00927E41" w:rsidP="00E079A1">
                        <w:r>
                          <w:rPr>
                            <w:noProof/>
                          </w:rPr>
                          <w:drawing>
                            <wp:inline distT="0" distB="0" distL="0" distR="0" wp14:anchorId="4564F8FD" wp14:editId="4DB0CBB7">
                              <wp:extent cx="2679169" cy="2257995"/>
                              <wp:effectExtent l="0" t="0" r="698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enolic acids.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9169" cy="2257995"/>
                                      </a:xfrm>
                                      <a:prstGeom prst="rect">
                                        <a:avLst/>
                                      </a:prstGeom>
                                    </pic:spPr>
                                  </pic:pic>
                                </a:graphicData>
                              </a:graphic>
                            </wp:inline>
                          </w:drawing>
                        </w:r>
                      </w:p>
                    </w:txbxContent>
                  </v:textbox>
                </v:shape>
                <v:shape id="Text Box 54" o:spid="_x0000_s1051" type="#_x0000_t202" style="position:absolute;left:29718;top:37814;width:2971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1284021A" w14:textId="77777777" w:rsidR="00927E41" w:rsidRDefault="00927E41" w:rsidP="00E079A1">
                        <w:r>
                          <w:rPr>
                            <w:noProof/>
                          </w:rPr>
                          <w:drawing>
                            <wp:inline distT="0" distB="0" distL="0" distR="0" wp14:anchorId="63C47AF5" wp14:editId="03ADEDA3">
                              <wp:extent cx="2708540" cy="225518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 biocompounds.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8540" cy="2255189"/>
                                      </a:xfrm>
                                      <a:prstGeom prst="rect">
                                        <a:avLst/>
                                      </a:prstGeom>
                                    </pic:spPr>
                                  </pic:pic>
                                </a:graphicData>
                              </a:graphic>
                            </wp:inline>
                          </w:drawing>
                        </w:r>
                      </w:p>
                    </w:txbxContent>
                  </v:textbox>
                </v:shape>
              </v:group>
            </w:pict>
          </mc:Fallback>
        </mc:AlternateContent>
      </w:r>
    </w:p>
    <w:p w14:paraId="4367AE97" w14:textId="3A64B53E" w:rsidR="00B85163" w:rsidRPr="00B37812" w:rsidRDefault="00B85163" w:rsidP="00A330CD">
      <w:pPr>
        <w:spacing w:after="0" w:line="360" w:lineRule="auto"/>
        <w:jc w:val="both"/>
        <w:rPr>
          <w:rFonts w:ascii="Times New Roman" w:eastAsia="Calibri" w:hAnsi="Times New Roman" w:cs="Times New Roman"/>
          <w:b/>
          <w:sz w:val="24"/>
          <w:szCs w:val="24"/>
          <w:lang w:eastAsia="en-US"/>
        </w:rPr>
      </w:pPr>
      <w:r w:rsidRPr="00B37812">
        <w:rPr>
          <w:rFonts w:ascii="Times New Roman" w:eastAsia="Calibri" w:hAnsi="Times New Roman" w:cs="Times New Roman"/>
          <w:b/>
          <w:sz w:val="24"/>
          <w:szCs w:val="24"/>
          <w:lang w:eastAsia="en-US"/>
        </w:rPr>
        <w:t xml:space="preserve">3.2.5. Effect of </w:t>
      </w:r>
      <w:r w:rsidR="00CA5863" w:rsidRPr="00B37812">
        <w:rPr>
          <w:rFonts w:ascii="Times New Roman" w:eastAsia="Calibri" w:hAnsi="Times New Roman" w:cs="Times New Roman"/>
          <w:b/>
          <w:sz w:val="24"/>
          <w:szCs w:val="24"/>
          <w:lang w:eastAsia="en-US"/>
        </w:rPr>
        <w:t xml:space="preserve">carrier </w:t>
      </w:r>
      <w:r w:rsidR="00CA5863" w:rsidRPr="00B37812">
        <w:rPr>
          <w:rFonts w:ascii="Times New Roman" w:eastAsia="Calibri" w:hAnsi="Times New Roman" w:cs="Times New Roman"/>
          <w:b/>
          <w:bCs/>
          <w:color w:val="000000"/>
          <w:sz w:val="24"/>
          <w:szCs w:val="24"/>
          <w:lang w:eastAsia="en-US"/>
        </w:rPr>
        <w:t>materials</w:t>
      </w:r>
      <w:r w:rsidR="00CA5863" w:rsidRPr="00B37812">
        <w:rPr>
          <w:rFonts w:ascii="Times New Roman" w:eastAsia="Calibri" w:hAnsi="Times New Roman" w:cs="Times New Roman"/>
          <w:b/>
          <w:sz w:val="24"/>
          <w:szCs w:val="24"/>
          <w:lang w:eastAsia="en-US"/>
        </w:rPr>
        <w:t xml:space="preserve"> </w:t>
      </w:r>
      <w:r w:rsidRPr="00B37812">
        <w:rPr>
          <w:rFonts w:ascii="Times New Roman" w:eastAsia="Calibri" w:hAnsi="Times New Roman" w:cs="Times New Roman"/>
          <w:b/>
          <w:sz w:val="24"/>
          <w:szCs w:val="24"/>
          <w:lang w:eastAsia="en-US"/>
        </w:rPr>
        <w:t>on chromatic properties</w:t>
      </w:r>
    </w:p>
    <w:p w14:paraId="7BA1BE1A"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0706F731" w14:textId="622F86FD" w:rsidR="00B85163" w:rsidRPr="00B37812" w:rsidRDefault="00B85163" w:rsidP="00A330CD">
      <w:pPr>
        <w:spacing w:after="0" w:line="360" w:lineRule="auto"/>
        <w:jc w:val="both"/>
        <w:rPr>
          <w:rFonts w:ascii="Times New Roman" w:eastAsia="Calibri" w:hAnsi="Times New Roman" w:cs="Times New Roman"/>
          <w:sz w:val="24"/>
          <w:szCs w:val="24"/>
          <w:lang w:eastAsia="en-US"/>
        </w:rPr>
      </w:pPr>
      <w:r w:rsidRPr="00B37812">
        <w:rPr>
          <w:rFonts w:ascii="Times New Roman" w:eastAsia="Calibri" w:hAnsi="Times New Roman" w:cs="Times New Roman"/>
          <w:b/>
          <w:color w:val="000000"/>
          <w:sz w:val="24"/>
          <w:szCs w:val="24"/>
          <w:lang w:eastAsia="en-US"/>
        </w:rPr>
        <w:tab/>
      </w:r>
      <w:r w:rsidRPr="00B37812">
        <w:rPr>
          <w:rFonts w:ascii="Times New Roman" w:eastAsia="Calibri" w:hAnsi="Times New Roman" w:cs="Times New Roman"/>
          <w:sz w:val="24"/>
          <w:szCs w:val="24"/>
          <w:lang w:eastAsia="en-US"/>
        </w:rPr>
        <w:t>The type of encapsulating agent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w:t>
      </w:r>
      <w:r w:rsidR="002B29DE" w:rsidRPr="00B37812">
        <w:rPr>
          <w:rFonts w:ascii="Times New Roman" w:eastAsia="Calibri" w:hAnsi="Times New Roman" w:cs="Times New Roman"/>
          <w:sz w:val="24"/>
          <w:szCs w:val="24"/>
          <w:lang w:eastAsia="en-US"/>
        </w:rPr>
        <w:t xml:space="preserve">carrier concentration </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0.0001 for </w:t>
      </w:r>
      <w:r w:rsidRPr="00B37812">
        <w:rPr>
          <w:rFonts w:ascii="Times New Roman" w:eastAsia="Calibri" w:hAnsi="Times New Roman" w:cs="Times New Roman"/>
          <w:i/>
          <w:sz w:val="24"/>
          <w:szCs w:val="24"/>
          <w:lang w:eastAsia="en-US"/>
        </w:rPr>
        <w:t>L*</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 b*</w:t>
      </w:r>
      <w:r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i/>
          <w:sz w:val="24"/>
          <w:szCs w:val="24"/>
          <w:lang w:eastAsia="en-US"/>
        </w:rPr>
        <w:t>C*</w:t>
      </w:r>
      <w:r w:rsidRPr="00B37812">
        <w:rPr>
          <w:rFonts w:ascii="Times New Roman" w:eastAsia="Calibri" w:hAnsi="Times New Roman" w:cs="Times New Roman"/>
          <w:sz w:val="24"/>
          <w:szCs w:val="24"/>
          <w:lang w:eastAsia="en-US"/>
        </w:rPr>
        <w:t>, and</w:t>
      </w:r>
      <w:r w:rsidRPr="00B37812">
        <w:rPr>
          <w:rFonts w:ascii="Times New Roman" w:eastAsia="Calibri" w:hAnsi="Times New Roman" w:cs="Times New Roman"/>
          <w:i/>
          <w:sz w:val="24"/>
          <w:szCs w:val="24"/>
          <w:lang w:eastAsia="en-US"/>
        </w:rPr>
        <w:t xml:space="preserve"> H°</w:t>
      </w:r>
      <w:r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0.001 for </w:t>
      </w:r>
      <w:r w:rsidRPr="00B37812">
        <w:rPr>
          <w:rFonts w:ascii="Times New Roman" w:eastAsia="Calibri" w:hAnsi="Times New Roman" w:cs="Times New Roman"/>
          <w:i/>
          <w:sz w:val="24"/>
          <w:szCs w:val="24"/>
          <w:lang w:eastAsia="en-US"/>
        </w:rPr>
        <w:t>a*</w:t>
      </w:r>
      <w:r w:rsidRPr="00B37812">
        <w:rPr>
          <w:rFonts w:ascii="Times New Roman" w:eastAsia="Calibri" w:hAnsi="Times New Roman" w:cs="Times New Roman"/>
          <w:sz w:val="24"/>
          <w:szCs w:val="24"/>
          <w:lang w:eastAsia="en-US"/>
        </w:rPr>
        <w:t>), and their interaction (</w:t>
      </w:r>
      <w:r w:rsidRPr="00B37812">
        <w:rPr>
          <w:rFonts w:ascii="Times New Roman" w:eastAsia="Calibri" w:hAnsi="Times New Roman" w:cs="Times New Roman"/>
          <w:i/>
          <w:sz w:val="24"/>
          <w:szCs w:val="24"/>
          <w:lang w:eastAsia="en-US"/>
        </w:rPr>
        <w:t xml:space="preserve">p </w:t>
      </w:r>
      <w:r w:rsidRPr="00B37812">
        <w:rPr>
          <w:rFonts w:ascii="Times New Roman" w:eastAsia="Calibri" w:hAnsi="Times New Roman" w:cs="Times New Roman"/>
          <w:sz w:val="24"/>
          <w:szCs w:val="24"/>
          <w:lang w:eastAsia="en-US"/>
        </w:rPr>
        <w:t xml:space="preserve">&lt; 0.001 for </w:t>
      </w:r>
      <w:r w:rsidRPr="00B37812">
        <w:rPr>
          <w:rFonts w:ascii="Times New Roman" w:eastAsia="Calibri" w:hAnsi="Times New Roman" w:cs="Times New Roman"/>
          <w:i/>
          <w:sz w:val="24"/>
          <w:szCs w:val="24"/>
          <w:lang w:eastAsia="en-US"/>
        </w:rPr>
        <w:t>L*</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 p </w:t>
      </w:r>
      <w:r w:rsidRPr="00B37812">
        <w:rPr>
          <w:rFonts w:ascii="Times New Roman" w:eastAsia="Calibri" w:hAnsi="Times New Roman" w:cs="Times New Roman"/>
          <w:sz w:val="24"/>
          <w:szCs w:val="24"/>
          <w:lang w:eastAsia="en-US"/>
        </w:rPr>
        <w:t xml:space="preserve">&lt; 0.0001 for </w:t>
      </w:r>
      <w:r w:rsidRPr="00B37812">
        <w:rPr>
          <w:rFonts w:ascii="Times New Roman" w:eastAsia="Calibri" w:hAnsi="Times New Roman" w:cs="Times New Roman"/>
          <w:i/>
          <w:sz w:val="24"/>
          <w:szCs w:val="24"/>
          <w:lang w:eastAsia="en-US"/>
        </w:rPr>
        <w:t>b*</w:t>
      </w:r>
      <w:r w:rsidRPr="00B37812">
        <w:rPr>
          <w:rFonts w:ascii="Times New Roman" w:eastAsia="Calibri" w:hAnsi="Times New Roman" w:cs="Times New Roman"/>
          <w:sz w:val="24"/>
          <w:szCs w:val="24"/>
          <w:lang w:eastAsia="en-US"/>
        </w:rPr>
        <w:t xml:space="preserve"> and </w:t>
      </w:r>
      <w:r w:rsidRPr="00B37812">
        <w:rPr>
          <w:rFonts w:ascii="Times New Roman" w:eastAsia="Calibri" w:hAnsi="Times New Roman" w:cs="Times New Roman"/>
          <w:i/>
          <w:sz w:val="24"/>
          <w:szCs w:val="24"/>
          <w:lang w:eastAsia="en-US"/>
        </w:rPr>
        <w:t>C*</w:t>
      </w:r>
      <w:r w:rsidRPr="00B37812">
        <w:rPr>
          <w:rFonts w:ascii="Times New Roman" w:eastAsia="Calibri" w:hAnsi="Times New Roman" w:cs="Times New Roman"/>
          <w:sz w:val="24"/>
          <w:szCs w:val="24"/>
          <w:lang w:eastAsia="en-US"/>
        </w:rPr>
        <w:t xml:space="preserve">) showed significant effect on the chromatic indices of the ENP. An increase in addition rate of encapsulating agent resulted in an increase in </w:t>
      </w:r>
      <w:r w:rsidRPr="00B37812">
        <w:rPr>
          <w:rFonts w:ascii="Times New Roman" w:eastAsia="Calibri" w:hAnsi="Times New Roman" w:cs="Times New Roman"/>
          <w:i/>
          <w:sz w:val="24"/>
          <w:szCs w:val="24"/>
          <w:lang w:eastAsia="en-US"/>
        </w:rPr>
        <w:t>L*</w:t>
      </w:r>
      <w:r w:rsidRPr="00B37812">
        <w:rPr>
          <w:rFonts w:ascii="Times New Roman" w:eastAsia="Calibri" w:hAnsi="Times New Roman" w:cs="Times New Roman"/>
          <w:sz w:val="24"/>
          <w:szCs w:val="24"/>
          <w:lang w:eastAsia="en-US"/>
        </w:rPr>
        <w:t xml:space="preserve"> and </w:t>
      </w:r>
      <w:r w:rsidRPr="00B37812">
        <w:rPr>
          <w:rFonts w:ascii="Times New Roman" w:eastAsia="Calibri" w:hAnsi="Times New Roman" w:cs="Times New Roman"/>
          <w:i/>
          <w:sz w:val="24"/>
          <w:szCs w:val="24"/>
          <w:lang w:eastAsia="en-US"/>
        </w:rPr>
        <w:t>H°</w:t>
      </w:r>
      <w:r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4</w:t>
      </w:r>
      <w:r w:rsidRPr="00B37812">
        <w:rPr>
          <w:rFonts w:ascii="Times New Roman" w:eastAsia="Calibri" w:hAnsi="Times New Roman" w:cs="Times New Roman"/>
          <w:color w:val="00B0F0"/>
          <w:sz w:val="24"/>
          <w:szCs w:val="24"/>
          <w:lang w:eastAsia="en-US"/>
        </w:rPr>
        <w:t>c</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color w:val="00B0F0"/>
          <w:sz w:val="24"/>
          <w:szCs w:val="24"/>
          <w:lang w:eastAsia="en-US"/>
        </w:rPr>
        <w:t xml:space="preserve"> </w:t>
      </w:r>
      <w:r w:rsidRPr="00B37812">
        <w:rPr>
          <w:rFonts w:ascii="Times New Roman" w:eastAsia="Calibri" w:hAnsi="Times New Roman" w:cs="Times New Roman"/>
          <w:sz w:val="24"/>
          <w:szCs w:val="24"/>
          <w:lang w:eastAsia="en-US"/>
        </w:rPr>
        <w:t xml:space="preserve">conversely to </w:t>
      </w:r>
      <w:r w:rsidRPr="00B37812">
        <w:rPr>
          <w:rFonts w:ascii="Times New Roman" w:eastAsia="Calibri" w:hAnsi="Times New Roman" w:cs="Times New Roman"/>
          <w:i/>
          <w:sz w:val="24"/>
          <w:szCs w:val="24"/>
          <w:lang w:eastAsia="en-US"/>
        </w:rPr>
        <w:t>a*</w:t>
      </w:r>
      <w:r w:rsidRPr="00B37812">
        <w:rPr>
          <w:rFonts w:ascii="Times New Roman" w:eastAsia="Calibri" w:hAnsi="Times New Roman" w:cs="Times New Roman"/>
          <w:sz w:val="24"/>
          <w:szCs w:val="24"/>
          <w:lang w:eastAsia="en-US"/>
        </w:rPr>
        <w:t>,</w:t>
      </w:r>
      <w:r w:rsidRPr="00B37812">
        <w:rPr>
          <w:rFonts w:ascii="Times New Roman" w:eastAsia="Calibri" w:hAnsi="Times New Roman" w:cs="Times New Roman"/>
          <w:i/>
          <w:sz w:val="24"/>
          <w:szCs w:val="24"/>
          <w:lang w:eastAsia="en-US"/>
        </w:rPr>
        <w:t xml:space="preserve"> b*</w:t>
      </w:r>
      <w:r w:rsidRPr="00B37812">
        <w:rPr>
          <w:rFonts w:ascii="Times New Roman" w:eastAsia="Calibri" w:hAnsi="Times New Roman" w:cs="Times New Roman"/>
          <w:sz w:val="24"/>
          <w:szCs w:val="24"/>
          <w:lang w:eastAsia="en-US"/>
        </w:rPr>
        <w:t>, and</w:t>
      </w:r>
      <w:r w:rsidRPr="00B37812">
        <w:rPr>
          <w:rFonts w:ascii="Times New Roman" w:eastAsia="Calibri" w:hAnsi="Times New Roman" w:cs="Times New Roman"/>
          <w:i/>
          <w:sz w:val="24"/>
          <w:szCs w:val="24"/>
          <w:lang w:eastAsia="en-US"/>
        </w:rPr>
        <w:t xml:space="preserve"> C*</w:t>
      </w:r>
      <w:r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color w:val="00B0F0"/>
          <w:sz w:val="24"/>
          <w:szCs w:val="24"/>
          <w:lang w:eastAsia="en-US"/>
        </w:rPr>
        <w:t>Fig</w:t>
      </w:r>
      <w:r w:rsidR="004656C4" w:rsidRPr="00B37812">
        <w:rPr>
          <w:rFonts w:ascii="Times New Roman" w:eastAsia="Calibri" w:hAnsi="Times New Roman" w:cs="Times New Roman"/>
          <w:color w:val="00B0F0"/>
          <w:sz w:val="24"/>
          <w:szCs w:val="24"/>
          <w:lang w:eastAsia="en-US"/>
        </w:rPr>
        <w:t>.</w:t>
      </w:r>
      <w:r w:rsidRPr="00B37812">
        <w:rPr>
          <w:rFonts w:ascii="Times New Roman" w:eastAsia="Calibri" w:hAnsi="Times New Roman" w:cs="Times New Roman"/>
          <w:color w:val="00B0F0"/>
          <w:sz w:val="24"/>
          <w:szCs w:val="24"/>
          <w:lang w:eastAsia="en-US"/>
        </w:rPr>
        <w:t xml:space="preserve"> </w:t>
      </w:r>
      <w:r w:rsidR="004D559D" w:rsidRPr="00B37812">
        <w:rPr>
          <w:rFonts w:ascii="Times New Roman" w:eastAsia="Calibri" w:hAnsi="Times New Roman" w:cs="Times New Roman"/>
          <w:color w:val="00B0F0"/>
          <w:sz w:val="24"/>
          <w:szCs w:val="24"/>
          <w:lang w:eastAsia="en-US"/>
        </w:rPr>
        <w:t>4</w:t>
      </w:r>
      <w:r w:rsidRPr="00B37812">
        <w:rPr>
          <w:rFonts w:ascii="Times New Roman" w:eastAsia="Calibri" w:hAnsi="Times New Roman" w:cs="Times New Roman"/>
          <w:color w:val="00B0F0"/>
          <w:sz w:val="24"/>
          <w:szCs w:val="24"/>
          <w:lang w:eastAsia="en-US"/>
        </w:rPr>
        <w:t>d</w:t>
      </w:r>
      <w:r w:rsidRPr="00B37812">
        <w:rPr>
          <w:rFonts w:ascii="Times New Roman" w:eastAsia="Calibri" w:hAnsi="Times New Roman" w:cs="Times New Roman"/>
          <w:sz w:val="24"/>
          <w:szCs w:val="24"/>
          <w:lang w:eastAsia="en-US"/>
        </w:rPr>
        <w:t xml:space="preserve">). This behavior may be ascribed to the inherent white color and dilution effect </w:t>
      </w:r>
      <w:r w:rsidRPr="00B37812">
        <w:rPr>
          <w:rFonts w:ascii="Times New Roman" w:eastAsia="Calibri" w:hAnsi="Times New Roman" w:cs="Times New Roman"/>
          <w:color w:val="000000"/>
          <w:sz w:val="24"/>
          <w:szCs w:val="24"/>
          <w:lang w:eastAsia="en-US"/>
        </w:rPr>
        <w:t xml:space="preserve">induced by higher addition </w:t>
      </w:r>
      <w:r w:rsidR="002B29DE" w:rsidRPr="00B37812">
        <w:rPr>
          <w:rFonts w:ascii="Times New Roman" w:eastAsia="Calibri" w:hAnsi="Times New Roman" w:cs="Times New Roman"/>
          <w:color w:val="000000"/>
          <w:sz w:val="24"/>
          <w:szCs w:val="24"/>
          <w:lang w:eastAsia="en-US"/>
        </w:rPr>
        <w:t>rate</w:t>
      </w:r>
      <w:r w:rsidRPr="00B37812">
        <w:rPr>
          <w:rFonts w:ascii="Times New Roman" w:eastAsia="Calibri" w:hAnsi="Times New Roman" w:cs="Times New Roman"/>
          <w:color w:val="000000"/>
          <w:sz w:val="24"/>
          <w:szCs w:val="24"/>
          <w:lang w:eastAsia="en-US"/>
        </w:rPr>
        <w:t xml:space="preserve"> of the coating material </w:t>
      </w:r>
      <w:r w:rsidRPr="00B37812">
        <w:rPr>
          <w:rFonts w:ascii="Times New Roman" w:eastAsia="Calibri" w:hAnsi="Times New Roman" w:cs="Times New Roman"/>
          <w:sz w:val="24"/>
          <w:szCs w:val="24"/>
          <w:lang w:eastAsia="en-US"/>
        </w:rPr>
        <w:fldChar w:fldCharType="begin"/>
      </w:r>
      <w:r w:rsidR="00E124D1" w:rsidRPr="00B37812">
        <w:rPr>
          <w:rFonts w:ascii="Times New Roman" w:eastAsia="Calibri" w:hAnsi="Times New Roman" w:cs="Times New Roman"/>
          <w:sz w:val="24"/>
          <w:szCs w:val="24"/>
          <w:lang w:eastAsia="en-US"/>
        </w:rPr>
        <w:instrText xml:space="preserve"> ADDIN EN.CITE &lt;EndNote&gt;&lt;Cite&gt;&lt;Author&gt;Daza&lt;/Author&gt;&lt;Year&gt;2016&lt;/Year&gt;&lt;RecNum&gt;1351&lt;/RecNum&gt;&lt;DisplayText&gt;&lt;style face="superscript"&gt;45, 52&lt;/style&gt;&lt;/DisplayText&gt;&lt;record&gt;&lt;rec-number&gt;1351&lt;/rec-number&gt;&lt;foreign-keys&gt;&lt;key app="EN" db-id="5wdx0tztgpfe5yefsdpperx8srzetsx0pw9w" timestamp="1511343306"&gt;1351&lt;/key&gt;&lt;/foreign-keys&gt;&lt;ref-type name="Journal Article"&gt;17&lt;/ref-type&gt;&lt;contributors&gt;&lt;authors&gt;&lt;author&gt;Daza, Luis Daniel&lt;/author&gt;&lt;author&gt;Fujita, Alice&lt;/author&gt;&lt;author&gt;Fávaro-Trindade, Carmén Silvia&lt;/author&gt;&lt;author&gt;Rodrigues-Ract, Juliana Neves&lt;/author&gt;&lt;author&gt;Granato, Daniel&lt;/author&gt;&lt;author&gt;Genovese, Maria Inés&lt;/author&gt;&lt;/authors&gt;&lt;/contributors&gt;&lt;titles&gt;&lt;title&gt;Effect of spray drying conditions on the physical properties of Cagaita (Eugenia dysenterica DC.) fruit extracts&lt;/title&gt;&lt;secondary-title&gt;Food and Bioproducts Processing&lt;/secondary-title&gt;&lt;/titles&gt;&lt;periodical&gt;&lt;full-title&gt;Food and Bioproducts Processing&lt;/full-title&gt;&lt;abbr-1&gt;Food Bioprod. Process.&lt;/abbr-1&gt;&lt;abbr-2&gt;Food Bioprod Process&lt;/abbr-2&gt;&lt;/periodical&gt;&lt;pages&gt;20-29&lt;/pages&gt;&lt;volume&gt;97&lt;/volume&gt;&lt;dates&gt;&lt;year&gt;2016&lt;/year&gt;&lt;/dates&gt;&lt;isbn&gt;0960-3085&lt;/isbn&gt;&lt;urls&gt;&lt;/urls&gt;&lt;/record&gt;&lt;/Cite&gt;&lt;Cite&gt;&lt;Author&gt;Seerangurayar&lt;/Author&gt;&lt;Year&gt;2017&lt;/Year&gt;&lt;RecNum&gt;1391&lt;/RecNum&gt;&lt;record&gt;&lt;rec-number&gt;1391&lt;/rec-number&gt;&lt;foreign-keys&gt;&lt;key app="EN" db-id="5wdx0tztgpfe5yefsdpperx8srzetsx0pw9w" timestamp="1513663698"&gt;1391&lt;/key&gt;&lt;/foreign-keys&gt;&lt;ref-type name="Journal Article"&gt;17&lt;/ref-type&gt;&lt;contributors&gt;&lt;authors&gt;&lt;author&gt;Seerangurayar, T&lt;/author&gt;&lt;author&gt;Manickavasagan, A&lt;/author&gt;&lt;author&gt;Al-Ismaili, Abdulrahim M&lt;/author&gt;&lt;author&gt;Al-Mulla, Yaseen A&lt;/author&gt;&lt;/authors&gt;&lt;/contributors&gt;&lt;titles&gt;&lt;title&gt;Effect of carrier agents on physicochemical properties of foam-mat freeze-dried date powder&lt;/title&gt;&lt;secondary-title&gt;Drying Technology&lt;/secondary-title&gt;&lt;/titles&gt;&lt;periodical&gt;&lt;full-title&gt;Drying Technology&lt;/full-title&gt;&lt;abbr-1&gt;Drying Technol.&lt;/abbr-1&gt;&lt;abbr-2&gt;Drying Technol&lt;/abbr-2&gt;&lt;/periodical&gt;&lt;pages&gt;1-12&lt;/pages&gt;&lt;dates&gt;&lt;year&gt;2017&lt;/year&gt;&lt;/dates&gt;&lt;isbn&gt;0737-3937&lt;/isbn&gt;&lt;urls&gt;&lt;/urls&gt;&lt;/record&gt;&lt;/Cite&gt;&lt;/EndNote&gt;</w:instrText>
      </w:r>
      <w:r w:rsidRPr="00B37812">
        <w:rPr>
          <w:rFonts w:ascii="Times New Roman" w:eastAsia="Calibri" w:hAnsi="Times New Roman" w:cs="Times New Roman"/>
          <w:sz w:val="24"/>
          <w:szCs w:val="24"/>
          <w:lang w:eastAsia="en-US"/>
        </w:rPr>
        <w:fldChar w:fldCharType="separate"/>
      </w:r>
      <w:hyperlink w:anchor="_ENREF_45" w:tooltip="Seerangurayar, 2017 #1391" w:history="1">
        <w:r w:rsidR="00E124D1" w:rsidRPr="00B37812">
          <w:rPr>
            <w:rStyle w:val="Hyperlink"/>
            <w:rFonts w:ascii="Times New Roman" w:eastAsia="Calibri" w:hAnsi="Times New Roman" w:cs="Times New Roman"/>
            <w:noProof/>
            <w:sz w:val="24"/>
            <w:szCs w:val="24"/>
            <w:vertAlign w:val="superscript"/>
            <w:lang w:eastAsia="en-US"/>
          </w:rPr>
          <w:t>45</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52" w:tooltip="Daza, 2016 #1351" w:history="1">
        <w:r w:rsidR="00E124D1" w:rsidRPr="00B37812">
          <w:rPr>
            <w:rStyle w:val="Hyperlink"/>
            <w:rFonts w:ascii="Times New Roman" w:eastAsia="Calibri" w:hAnsi="Times New Roman" w:cs="Times New Roman"/>
            <w:noProof/>
            <w:sz w:val="24"/>
            <w:szCs w:val="24"/>
            <w:vertAlign w:val="superscript"/>
            <w:lang w:eastAsia="en-US"/>
          </w:rPr>
          <w:t>52</w:t>
        </w:r>
      </w:hyperlink>
      <w:r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t xml:space="preserve">. Similar results have been reported by other researchers </w:t>
      </w:r>
      <w:r w:rsidRPr="00B37812">
        <w:rPr>
          <w:rFonts w:ascii="Times New Roman" w:eastAsia="Calibri" w:hAnsi="Times New Roman" w:cs="Times New Roman"/>
          <w:sz w:val="24"/>
          <w:szCs w:val="24"/>
          <w:lang w:eastAsia="en-US"/>
        </w:rPr>
        <w:fldChar w:fldCharType="begin">
          <w:fldData xml:space="preserve">PEVuZE5vdGU+PENpdGU+PEF1dGhvcj5CaHVzYXJpPC9BdXRob3I+PFllYXI+MjAxNDwvWWVhcj48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</w:fldData>
        </w:fldChar>
      </w:r>
      <w:r w:rsidR="00E124D1" w:rsidRPr="00B37812">
        <w:rPr>
          <w:rFonts w:ascii="Times New Roman" w:eastAsia="Calibri" w:hAnsi="Times New Roman" w:cs="Times New Roman"/>
          <w:sz w:val="24"/>
          <w:szCs w:val="24"/>
          <w:lang w:eastAsia="en-US"/>
        </w:rPr>
        <w:instrText xml:space="preserve"> ADDIN EN.CITE </w:instrText>
      </w:r>
      <w:r w:rsidR="00E124D1" w:rsidRPr="00B37812">
        <w:rPr>
          <w:rFonts w:ascii="Times New Roman" w:eastAsia="Calibri" w:hAnsi="Times New Roman" w:cs="Times New Roman"/>
          <w:sz w:val="24"/>
          <w:szCs w:val="24"/>
          <w:lang w:eastAsia="en-US"/>
        </w:rPr>
        <w:fldChar w:fldCharType="begin">
          <w:fldData xml:space="preserve">PEVuZE5vdGU+PENpdGU+PEF1dGhvcj5CaHVzYXJpPC9BdXRob3I+PFllYXI+MjAxNDwvWWVhcj48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</w:fldData>
        </w:fldChar>
      </w:r>
      <w:r w:rsidR="00E124D1" w:rsidRPr="00B37812">
        <w:rPr>
          <w:rFonts w:ascii="Times New Roman" w:eastAsia="Calibri" w:hAnsi="Times New Roman" w:cs="Times New Roman"/>
          <w:sz w:val="24"/>
          <w:szCs w:val="24"/>
          <w:lang w:eastAsia="en-US"/>
        </w:rPr>
        <w:instrText xml:space="preserve"> ADDIN EN.CITE.DATA </w:instrText>
      </w:r>
      <w:r w:rsidR="00E124D1" w:rsidRPr="00B37812">
        <w:rPr>
          <w:rFonts w:ascii="Times New Roman" w:eastAsia="Calibri" w:hAnsi="Times New Roman" w:cs="Times New Roman"/>
          <w:sz w:val="24"/>
          <w:szCs w:val="24"/>
          <w:lang w:eastAsia="en-US"/>
        </w:rPr>
      </w:r>
      <w:r w:rsidR="00E124D1"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r>
      <w:r w:rsidRPr="00B37812">
        <w:rPr>
          <w:rFonts w:ascii="Times New Roman" w:eastAsia="Calibri" w:hAnsi="Times New Roman" w:cs="Times New Roman"/>
          <w:sz w:val="24"/>
          <w:szCs w:val="24"/>
          <w:lang w:eastAsia="en-US"/>
        </w:rPr>
        <w:fldChar w:fldCharType="separate"/>
      </w:r>
      <w:hyperlink w:anchor="_ENREF_28" w:tooltip="Oberoi, 2015 #1385" w:history="1">
        <w:r w:rsidR="00E124D1" w:rsidRPr="00B37812">
          <w:rPr>
            <w:rStyle w:val="Hyperlink"/>
            <w:rFonts w:ascii="Times New Roman" w:eastAsia="Calibri" w:hAnsi="Times New Roman" w:cs="Times New Roman"/>
            <w:noProof/>
            <w:sz w:val="24"/>
            <w:szCs w:val="24"/>
            <w:vertAlign w:val="superscript"/>
            <w:lang w:eastAsia="en-US"/>
          </w:rPr>
          <w:t>28</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38" w:tooltip="Bhusari, 2014 #1329" w:history="1">
        <w:r w:rsidR="00E124D1" w:rsidRPr="00B37812">
          <w:rPr>
            <w:rStyle w:val="Hyperlink"/>
            <w:rFonts w:ascii="Times New Roman" w:eastAsia="Calibri" w:hAnsi="Times New Roman" w:cs="Times New Roman"/>
            <w:noProof/>
            <w:sz w:val="24"/>
            <w:szCs w:val="24"/>
            <w:vertAlign w:val="superscript"/>
            <w:lang w:eastAsia="en-US"/>
          </w:rPr>
          <w:t>38</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45" w:tooltip="Seerangurayar, 2017 #1391" w:history="1">
        <w:r w:rsidR="00E124D1" w:rsidRPr="00B37812">
          <w:rPr>
            <w:rStyle w:val="Hyperlink"/>
            <w:rFonts w:ascii="Times New Roman" w:eastAsia="Calibri" w:hAnsi="Times New Roman" w:cs="Times New Roman"/>
            <w:noProof/>
            <w:sz w:val="24"/>
            <w:szCs w:val="24"/>
            <w:vertAlign w:val="superscript"/>
            <w:lang w:eastAsia="en-US"/>
          </w:rPr>
          <w:t>45</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52" w:tooltip="Daza, 2016 #1351" w:history="1">
        <w:r w:rsidR="00E124D1" w:rsidRPr="00B37812">
          <w:rPr>
            <w:rStyle w:val="Hyperlink"/>
            <w:rFonts w:ascii="Times New Roman" w:eastAsia="Calibri" w:hAnsi="Times New Roman" w:cs="Times New Roman"/>
            <w:noProof/>
            <w:sz w:val="24"/>
            <w:szCs w:val="24"/>
            <w:vertAlign w:val="superscript"/>
            <w:lang w:eastAsia="en-US"/>
          </w:rPr>
          <w:t>52</w:t>
        </w:r>
      </w:hyperlink>
      <w:r w:rsidR="00E124D1" w:rsidRPr="00B37812">
        <w:rPr>
          <w:rFonts w:ascii="Times New Roman" w:eastAsia="Calibri" w:hAnsi="Times New Roman" w:cs="Times New Roman"/>
          <w:noProof/>
          <w:sz w:val="24"/>
          <w:szCs w:val="24"/>
          <w:vertAlign w:val="superscript"/>
          <w:lang w:eastAsia="en-US"/>
        </w:rPr>
        <w:t xml:space="preserve">, </w:t>
      </w:r>
      <w:hyperlink w:anchor="_ENREF_53" w:tooltip="Šaponjac, 2017 #1489" w:history="1">
        <w:r w:rsidR="00E124D1" w:rsidRPr="00B37812">
          <w:rPr>
            <w:rStyle w:val="Hyperlink"/>
            <w:rFonts w:ascii="Times New Roman" w:eastAsia="Calibri" w:hAnsi="Times New Roman" w:cs="Times New Roman"/>
            <w:noProof/>
            <w:sz w:val="24"/>
            <w:szCs w:val="24"/>
            <w:vertAlign w:val="superscript"/>
            <w:lang w:eastAsia="en-US"/>
          </w:rPr>
          <w:t>53</w:t>
        </w:r>
      </w:hyperlink>
      <w:r w:rsidRPr="00B37812">
        <w:rPr>
          <w:rFonts w:ascii="Times New Roman" w:eastAsia="Calibri" w:hAnsi="Times New Roman" w:cs="Times New Roman"/>
          <w:sz w:val="24"/>
          <w:szCs w:val="24"/>
          <w:lang w:eastAsia="en-US"/>
        </w:rPr>
        <w:fldChar w:fldCharType="end"/>
      </w:r>
      <w:r w:rsidRPr="00B37812">
        <w:rPr>
          <w:rFonts w:ascii="Times New Roman" w:eastAsia="Calibri" w:hAnsi="Times New Roman" w:cs="Times New Roman"/>
          <w:sz w:val="24"/>
          <w:szCs w:val="24"/>
          <w:lang w:eastAsia="en-US"/>
        </w:rPr>
        <w:t>.</w:t>
      </w:r>
    </w:p>
    <w:p w14:paraId="7D985A3F"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p>
    <w:p w14:paraId="58CB1CA5"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r w:rsidRPr="00B37812">
        <w:rPr>
          <w:rFonts w:ascii="Times New Roman" w:eastAsia="Calibri" w:hAnsi="Times New Roman" w:cs="Times New Roman"/>
          <w:b/>
          <w:color w:val="000000"/>
          <w:sz w:val="24"/>
          <w:szCs w:val="24"/>
          <w:lang w:eastAsia="en-US"/>
        </w:rPr>
        <w:t>4. CONCLUSION</w:t>
      </w:r>
    </w:p>
    <w:p w14:paraId="0316C63A" w14:textId="77777777" w:rsidR="00B85163" w:rsidRPr="00B37812" w:rsidRDefault="00B85163" w:rsidP="00A330CD">
      <w:pPr>
        <w:spacing w:after="0" w:line="360" w:lineRule="auto"/>
        <w:ind w:firstLine="720"/>
        <w:jc w:val="both"/>
        <w:rPr>
          <w:rFonts w:ascii="Times New Roman" w:hAnsi="Times New Roman" w:cs="Times New Roman"/>
          <w:sz w:val="24"/>
          <w:szCs w:val="24"/>
        </w:rPr>
      </w:pPr>
    </w:p>
    <w:p w14:paraId="430E4CBD" w14:textId="7FEC9CD7" w:rsidR="00FC18C2" w:rsidRPr="00B37812" w:rsidRDefault="00FC18C2"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 xml:space="preserve">Encapsulation of nutraceutical compounds from mulberry leaf extract with sodium carboxymethyl cellulose or maltodextrin as encapsulating agents efficiently reduced the </w:t>
      </w:r>
      <w:r w:rsidR="00AA4950" w:rsidRPr="00B37812">
        <w:rPr>
          <w:rFonts w:ascii="Times New Roman" w:eastAsia="Calibri" w:hAnsi="Times New Roman" w:cs="Times New Roman"/>
          <w:sz w:val="24"/>
          <w:szCs w:val="24"/>
          <w:lang w:eastAsia="en-US"/>
        </w:rPr>
        <w:t>loss</w:t>
      </w:r>
      <w:r w:rsidR="008947CF" w:rsidRPr="00B37812">
        <w:rPr>
          <w:rFonts w:ascii="Times New Roman" w:eastAsia="Calibri" w:hAnsi="Times New Roman" w:cs="Times New Roman"/>
          <w:sz w:val="24"/>
          <w:szCs w:val="24"/>
          <w:lang w:eastAsia="en-US"/>
        </w:rPr>
        <w:t xml:space="preserve"> of </w:t>
      </w:r>
      <w:r w:rsidRPr="00B37812">
        <w:rPr>
          <w:rFonts w:ascii="Times New Roman" w:eastAsia="Calibri" w:hAnsi="Times New Roman" w:cs="Times New Roman"/>
          <w:sz w:val="24"/>
          <w:szCs w:val="24"/>
          <w:lang w:eastAsia="en-US"/>
        </w:rPr>
        <w:t xml:space="preserve">nutraceuticals. The results from this study demonstrated that the use of sodium carboxymethyl cellulose was more suitable for the retention of flavonols and gamma-aminobutyric acid, resulting in highest entrapment efficiency of these bioactive components inside the matrix </w:t>
      </w:r>
      <w:r w:rsidR="00B25F6F" w:rsidRPr="00B37812">
        <w:rPr>
          <w:rFonts w:ascii="Times New Roman" w:eastAsia="Calibri" w:hAnsi="Times New Roman" w:cs="Times New Roman"/>
          <w:sz w:val="24"/>
          <w:szCs w:val="24"/>
          <w:lang w:eastAsia="en-US"/>
        </w:rPr>
        <w:t>as compared</w:t>
      </w:r>
      <w:r w:rsidRPr="00B37812">
        <w:rPr>
          <w:rFonts w:ascii="Times New Roman" w:eastAsia="Calibri" w:hAnsi="Times New Roman" w:cs="Times New Roman"/>
          <w:sz w:val="24"/>
          <w:szCs w:val="24"/>
          <w:lang w:eastAsia="en-US"/>
        </w:rPr>
        <w:t xml:space="preserve"> to the maltodextrin which had a greater retention ability </w:t>
      </w:r>
      <w:r w:rsidR="00B25F6F" w:rsidRPr="00B37812">
        <w:rPr>
          <w:rFonts w:ascii="Times New Roman" w:eastAsia="Calibri" w:hAnsi="Times New Roman" w:cs="Times New Roman"/>
          <w:sz w:val="24"/>
          <w:szCs w:val="24"/>
          <w:lang w:eastAsia="en-US"/>
        </w:rPr>
        <w:t xml:space="preserve">for </w:t>
      </w:r>
      <w:r w:rsidRPr="00B37812">
        <w:rPr>
          <w:rFonts w:ascii="Times New Roman" w:eastAsia="Calibri" w:hAnsi="Times New Roman" w:cs="Times New Roman"/>
          <w:sz w:val="24"/>
          <w:szCs w:val="24"/>
          <w:lang w:eastAsia="en-US"/>
        </w:rPr>
        <w:t>the phenolic acids and 1-deoxynojirimycinin. Moreover, due to the effect of carriers on ice crystal formation, the core to wall ratio was found to be crucial with regards to the physical properties</w:t>
      </w:r>
      <w:r w:rsidR="00B25F6F" w:rsidRPr="00B37812">
        <w:rPr>
          <w:rFonts w:ascii="Times New Roman" w:eastAsia="Calibri" w:hAnsi="Times New Roman" w:cs="Times New Roman"/>
          <w:sz w:val="24"/>
          <w:szCs w:val="24"/>
          <w:lang w:eastAsia="en-US"/>
        </w:rPr>
        <w:t xml:space="preserve"> of the ENP</w:t>
      </w:r>
      <w:r w:rsidRPr="00B37812">
        <w:rPr>
          <w:rFonts w:ascii="Times New Roman" w:eastAsia="Calibri" w:hAnsi="Times New Roman" w:cs="Times New Roman"/>
          <w:sz w:val="24"/>
          <w:szCs w:val="24"/>
          <w:lang w:eastAsia="en-US"/>
        </w:rPr>
        <w:t xml:space="preserve">. Regardless of the type of wall material, increasing the carrier concentration resulted in an increase in particle size, bulk density, tapped density, water solubility index, wettability, and glass transition temperature conversely to the particle density, Hausner ratio, Carr index, porosity, moisture content, water activity, and hygroscopicity. The chromatic indexes of </w:t>
      </w:r>
      <w:r w:rsidR="00B25F6F" w:rsidRPr="00B37812">
        <w:rPr>
          <w:rFonts w:ascii="Times New Roman" w:eastAsia="Calibri" w:hAnsi="Times New Roman" w:cs="Times New Roman"/>
          <w:sz w:val="24"/>
          <w:szCs w:val="24"/>
          <w:lang w:eastAsia="en-US"/>
        </w:rPr>
        <w:t>the ENP</w:t>
      </w:r>
      <w:r w:rsidRPr="00B37812">
        <w:rPr>
          <w:rFonts w:ascii="Times New Roman" w:eastAsia="Calibri" w:hAnsi="Times New Roman" w:cs="Times New Roman"/>
          <w:sz w:val="24"/>
          <w:szCs w:val="24"/>
          <w:lang w:eastAsia="en-US"/>
        </w:rPr>
        <w:t xml:space="preserve"> were mainly affected by the type of carrier material which led to the formation of a lighter and more greenish powder with an increase in addition rate of the carrier. </w:t>
      </w:r>
    </w:p>
    <w:p w14:paraId="38EE42F3" w14:textId="5C609E47" w:rsidR="00B85163" w:rsidRPr="00B37812" w:rsidRDefault="00FC18C2"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Our investigation demonstrated that sodium carboxymethyl cellulose and maltodextrin could be used as wall material for the production of</w:t>
      </w:r>
      <w:r w:rsidR="0094294A" w:rsidRPr="00B37812">
        <w:rPr>
          <w:rFonts w:ascii="Times New Roman" w:eastAsia="Calibri" w:hAnsi="Times New Roman" w:cs="Times New Roman"/>
          <w:sz w:val="24"/>
          <w:szCs w:val="24"/>
          <w:lang w:eastAsia="en-US"/>
        </w:rPr>
        <w:t xml:space="preserve"> a nutraceutical</w:t>
      </w:r>
      <w:r w:rsidRPr="00B37812">
        <w:rPr>
          <w:rFonts w:ascii="Times New Roman" w:eastAsia="Calibri" w:hAnsi="Times New Roman" w:cs="Times New Roman"/>
          <w:sz w:val="24"/>
          <w:szCs w:val="24"/>
          <w:lang w:eastAsia="en-US"/>
        </w:rPr>
        <w:t xml:space="preserve"> </w:t>
      </w:r>
      <w:r w:rsidR="0094294A" w:rsidRPr="00B37812">
        <w:rPr>
          <w:rFonts w:ascii="Times New Roman" w:eastAsia="Calibri" w:hAnsi="Times New Roman" w:cs="Times New Roman"/>
          <w:sz w:val="24"/>
          <w:szCs w:val="24"/>
          <w:lang w:eastAsia="en-US"/>
        </w:rPr>
        <w:t>powder</w:t>
      </w:r>
      <w:r w:rsidR="00F83D47" w:rsidRPr="00B37812">
        <w:rPr>
          <w:rFonts w:ascii="Times New Roman" w:eastAsia="Calibri" w:hAnsi="Times New Roman" w:cs="Times New Roman"/>
          <w:sz w:val="24"/>
          <w:szCs w:val="24"/>
          <w:lang w:eastAsia="en-US"/>
        </w:rPr>
        <w:t xml:space="preserve"> </w:t>
      </w:r>
      <w:r w:rsidRPr="00B37812">
        <w:rPr>
          <w:rFonts w:ascii="Times New Roman" w:eastAsia="Calibri" w:hAnsi="Times New Roman" w:cs="Times New Roman"/>
          <w:sz w:val="24"/>
          <w:szCs w:val="24"/>
          <w:lang w:eastAsia="en-US"/>
        </w:rPr>
        <w:t>mulberry leaf with adequate characteristic to be utilized</w:t>
      </w:r>
      <w:r w:rsidR="0094294A" w:rsidRPr="00B37812">
        <w:rPr>
          <w:rFonts w:ascii="Times New Roman" w:eastAsia="Calibri" w:hAnsi="Times New Roman" w:cs="Times New Roman"/>
          <w:sz w:val="24"/>
          <w:szCs w:val="24"/>
          <w:lang w:eastAsia="en-US"/>
        </w:rPr>
        <w:t xml:space="preserve"> as bioactive additive </w:t>
      </w:r>
      <w:r w:rsidR="0094294A" w:rsidRPr="00B37812">
        <w:rPr>
          <w:rFonts w:ascii="Times New Roman" w:eastAsia="Calibri" w:hAnsi="Times New Roman" w:cs="Times New Roman"/>
          <w:bCs/>
          <w:sz w:val="24"/>
          <w:szCs w:val="24"/>
          <w:lang w:eastAsia="en-US"/>
        </w:rPr>
        <w:t xml:space="preserve">for the development of </w:t>
      </w:r>
      <w:r w:rsidR="0094294A" w:rsidRPr="00B37812">
        <w:rPr>
          <w:rFonts w:ascii="Times New Roman" w:eastAsia="Calibri" w:hAnsi="Times New Roman" w:cs="Times New Roman"/>
          <w:sz w:val="24"/>
          <w:szCs w:val="24"/>
          <w:lang w:eastAsia="en-US"/>
        </w:rPr>
        <w:t>functional products</w:t>
      </w:r>
      <w:r w:rsidRPr="00B37812">
        <w:rPr>
          <w:rFonts w:ascii="Times New Roman" w:eastAsia="Calibri" w:hAnsi="Times New Roman" w:cs="Times New Roman"/>
          <w:sz w:val="24"/>
          <w:szCs w:val="24"/>
          <w:lang w:eastAsia="en-US"/>
        </w:rPr>
        <w:t xml:space="preserve"> in the food and </w:t>
      </w:r>
      <w:r w:rsidR="00CA2D61" w:rsidRPr="00B37812">
        <w:rPr>
          <w:rFonts w:ascii="Times New Roman" w:eastAsia="Calibri" w:hAnsi="Times New Roman" w:cs="Times New Roman"/>
          <w:sz w:val="24"/>
          <w:szCs w:val="24"/>
          <w:lang w:eastAsia="en-US"/>
        </w:rPr>
        <w:t>nutraceutical</w:t>
      </w:r>
      <w:r w:rsidRPr="00B37812">
        <w:rPr>
          <w:rFonts w:ascii="Times New Roman" w:eastAsia="Calibri" w:hAnsi="Times New Roman" w:cs="Times New Roman"/>
          <w:sz w:val="24"/>
          <w:szCs w:val="24"/>
          <w:lang w:eastAsia="en-US"/>
        </w:rPr>
        <w:t xml:space="preserve"> industr</w:t>
      </w:r>
      <w:r w:rsidR="00CA2D61" w:rsidRPr="00B37812">
        <w:rPr>
          <w:rFonts w:ascii="Times New Roman" w:eastAsia="Calibri" w:hAnsi="Times New Roman" w:cs="Times New Roman"/>
          <w:sz w:val="24"/>
          <w:szCs w:val="24"/>
          <w:lang w:eastAsia="en-US"/>
        </w:rPr>
        <w:t>ies</w:t>
      </w:r>
      <w:r w:rsidR="00F83D47" w:rsidRPr="00B37812">
        <w:rPr>
          <w:rFonts w:ascii="Times New Roman" w:eastAsia="Calibri" w:hAnsi="Times New Roman" w:cs="Times New Roman"/>
          <w:sz w:val="24"/>
          <w:szCs w:val="24"/>
          <w:lang w:eastAsia="en-US"/>
        </w:rPr>
        <w:t>.</w:t>
      </w:r>
    </w:p>
    <w:p w14:paraId="7AA08613" w14:textId="77777777" w:rsidR="00F83D47" w:rsidRPr="00B37812" w:rsidRDefault="00F83D47" w:rsidP="00A330CD">
      <w:pPr>
        <w:spacing w:after="0" w:line="360" w:lineRule="auto"/>
        <w:ind w:firstLine="720"/>
        <w:jc w:val="both"/>
        <w:rPr>
          <w:rFonts w:ascii="Times New Roman" w:hAnsi="Times New Roman" w:cs="Times New Roman"/>
          <w:sz w:val="24"/>
          <w:szCs w:val="24"/>
        </w:rPr>
      </w:pPr>
    </w:p>
    <w:p w14:paraId="278B2B03" w14:textId="77777777" w:rsidR="00B85163" w:rsidRPr="00B37812" w:rsidRDefault="00B85163" w:rsidP="00A330CD">
      <w:pPr>
        <w:spacing w:after="0" w:line="360" w:lineRule="auto"/>
        <w:jc w:val="both"/>
        <w:rPr>
          <w:rFonts w:ascii="Times New Roman" w:eastAsia="Calibri" w:hAnsi="Times New Roman" w:cs="Times New Roman"/>
          <w:b/>
          <w:color w:val="000000"/>
          <w:sz w:val="24"/>
          <w:szCs w:val="24"/>
          <w:lang w:eastAsia="en-US"/>
        </w:rPr>
      </w:pPr>
      <w:r w:rsidRPr="00B37812">
        <w:rPr>
          <w:rFonts w:ascii="Times New Roman" w:eastAsia="Calibri" w:hAnsi="Times New Roman" w:cs="Times New Roman"/>
          <w:b/>
          <w:color w:val="000000"/>
          <w:sz w:val="24"/>
          <w:szCs w:val="24"/>
          <w:lang w:eastAsia="en-US"/>
        </w:rPr>
        <w:t xml:space="preserve">CONFLICT OF INTEREST </w:t>
      </w:r>
    </w:p>
    <w:p w14:paraId="20FDD78D" w14:textId="77777777" w:rsidR="00B85163" w:rsidRPr="00B37812" w:rsidRDefault="00B85163" w:rsidP="00A330CD">
      <w:pPr>
        <w:spacing w:after="0" w:line="360" w:lineRule="auto"/>
        <w:jc w:val="both"/>
        <w:rPr>
          <w:rFonts w:ascii="Times New Roman" w:eastAsia="Calibri" w:hAnsi="Times New Roman" w:cs="Times New Roman"/>
          <w:sz w:val="24"/>
          <w:szCs w:val="24"/>
          <w:lang w:eastAsia="en-US"/>
        </w:rPr>
      </w:pPr>
    </w:p>
    <w:p w14:paraId="4542FE4F" w14:textId="77777777" w:rsidR="00B85163" w:rsidRPr="00B37812" w:rsidRDefault="00B85163" w:rsidP="00A330CD">
      <w:pPr>
        <w:spacing w:after="0" w:line="360" w:lineRule="auto"/>
        <w:ind w:firstLine="720"/>
        <w:jc w:val="both"/>
        <w:rPr>
          <w:rFonts w:ascii="Times New Roman" w:eastAsia="Calibri" w:hAnsi="Times New Roman" w:cs="Times New Roman"/>
          <w:sz w:val="24"/>
          <w:szCs w:val="24"/>
          <w:lang w:eastAsia="en-US"/>
        </w:rPr>
      </w:pPr>
      <w:r w:rsidRPr="00B37812">
        <w:rPr>
          <w:rFonts w:ascii="Times New Roman" w:eastAsia="Calibri" w:hAnsi="Times New Roman" w:cs="Times New Roman"/>
          <w:sz w:val="24"/>
          <w:szCs w:val="24"/>
          <w:lang w:eastAsia="en-US"/>
        </w:rPr>
        <w:t>This manuscript has no conflict of interest.</w:t>
      </w:r>
    </w:p>
    <w:p w14:paraId="3622FE7B" w14:textId="77777777" w:rsidR="00B85163" w:rsidRPr="00B37812" w:rsidRDefault="00B85163" w:rsidP="00A330CD">
      <w:pPr>
        <w:spacing w:after="0" w:line="360" w:lineRule="auto"/>
        <w:jc w:val="both"/>
        <w:rPr>
          <w:rFonts w:ascii="Times New Roman" w:eastAsia="Calibri" w:hAnsi="Times New Roman" w:cs="Times New Roman"/>
          <w:sz w:val="24"/>
          <w:szCs w:val="24"/>
          <w:lang w:eastAsia="en-US"/>
        </w:rPr>
      </w:pPr>
    </w:p>
    <w:p w14:paraId="77899018" w14:textId="77777777" w:rsidR="00B85163" w:rsidRPr="00B37812" w:rsidRDefault="00B85163" w:rsidP="00A330CD">
      <w:pPr>
        <w:spacing w:after="0" w:line="360" w:lineRule="auto"/>
        <w:jc w:val="both"/>
        <w:rPr>
          <w:rFonts w:ascii="Times New Roman" w:eastAsia="Calibri" w:hAnsi="Times New Roman" w:cs="Times New Roman"/>
          <w:sz w:val="24"/>
          <w:szCs w:val="24"/>
          <w:lang w:eastAsia="en-US"/>
        </w:rPr>
      </w:pPr>
      <w:r w:rsidRPr="00B37812">
        <w:rPr>
          <w:rFonts w:ascii="Times New Roman" w:eastAsia="Calibri" w:hAnsi="Times New Roman" w:cs="Times New Roman"/>
          <w:b/>
          <w:noProof/>
          <w:sz w:val="24"/>
          <w:szCs w:val="24"/>
          <w:lang w:eastAsia="en-US"/>
        </w:rPr>
        <w:t>ACKNOWLEDGEMENT</w:t>
      </w:r>
    </w:p>
    <w:p w14:paraId="7369D9A2" w14:textId="77777777" w:rsidR="00B85163" w:rsidRPr="00B37812" w:rsidRDefault="00B85163" w:rsidP="00A330CD">
      <w:pPr>
        <w:spacing w:after="0" w:line="360" w:lineRule="auto"/>
        <w:jc w:val="both"/>
        <w:rPr>
          <w:rFonts w:ascii="Times New Roman" w:eastAsia="Calibri" w:hAnsi="Times New Roman" w:cs="Times New Roman"/>
          <w:bCs/>
          <w:sz w:val="24"/>
          <w:szCs w:val="24"/>
          <w:lang w:eastAsia="en-US"/>
        </w:rPr>
      </w:pPr>
    </w:p>
    <w:p w14:paraId="3ECF11DD" w14:textId="77777777" w:rsidR="00B85163" w:rsidRPr="00B37812" w:rsidRDefault="00B85163" w:rsidP="00A330CD">
      <w:pPr>
        <w:spacing w:after="0" w:line="360" w:lineRule="auto"/>
        <w:ind w:firstLine="720"/>
        <w:jc w:val="both"/>
        <w:rPr>
          <w:rFonts w:ascii="Times New Roman" w:eastAsia="Calibri" w:hAnsi="Times New Roman" w:cs="Times New Roman"/>
          <w:bCs/>
          <w:sz w:val="24"/>
          <w:szCs w:val="24"/>
          <w:lang w:eastAsia="en-US"/>
        </w:rPr>
      </w:pPr>
      <w:r w:rsidRPr="00B37812">
        <w:rPr>
          <w:rFonts w:ascii="Times New Roman" w:eastAsia="Calibri" w:hAnsi="Times New Roman" w:cs="Times New Roman"/>
          <w:bCs/>
          <w:sz w:val="24"/>
          <w:szCs w:val="24"/>
          <w:lang w:eastAsia="en-US"/>
        </w:rPr>
        <w:t>This research did not receive any specific grant from funding agencies in the public, commercial, or not-for-profit sectors.</w:t>
      </w:r>
    </w:p>
    <w:p w14:paraId="6C0AD6AF" w14:textId="77777777" w:rsidR="00C53643" w:rsidRPr="00B37812" w:rsidRDefault="00C53643" w:rsidP="00A330CD">
      <w:pPr>
        <w:spacing w:after="0" w:line="360" w:lineRule="auto"/>
        <w:jc w:val="both"/>
        <w:rPr>
          <w:rFonts w:ascii="Times New Roman" w:eastAsia="Calibri" w:hAnsi="Times New Roman" w:cs="Times New Roman"/>
          <w:b/>
          <w:color w:val="000000"/>
          <w:sz w:val="24"/>
          <w:szCs w:val="24"/>
          <w:lang w:eastAsia="en-US"/>
        </w:rPr>
      </w:pPr>
    </w:p>
    <w:p w14:paraId="2D34889C" w14:textId="48BBE9F2" w:rsidR="00B85163" w:rsidRPr="00B37812" w:rsidRDefault="00B85163" w:rsidP="00A330CD">
      <w:pPr>
        <w:spacing w:after="0" w:line="360" w:lineRule="auto"/>
        <w:jc w:val="both"/>
        <w:rPr>
          <w:rFonts w:ascii="Times New Roman" w:eastAsia="Calibri" w:hAnsi="Times New Roman" w:cs="Times New Roman"/>
          <w:b/>
          <w:sz w:val="24"/>
          <w:szCs w:val="24"/>
          <w:lang w:eastAsia="en-US"/>
        </w:rPr>
      </w:pPr>
      <w:r w:rsidRPr="00B37812">
        <w:rPr>
          <w:rFonts w:ascii="Times New Roman" w:eastAsia="Calibri" w:hAnsi="Times New Roman" w:cs="Times New Roman"/>
          <w:b/>
          <w:color w:val="000000"/>
          <w:sz w:val="24"/>
          <w:szCs w:val="24"/>
          <w:lang w:eastAsia="en-US"/>
        </w:rPr>
        <w:t>REFERENCES</w:t>
      </w:r>
    </w:p>
    <w:p w14:paraId="53698630" w14:textId="77777777" w:rsidR="00B85163" w:rsidRPr="00B37812" w:rsidRDefault="00B85163" w:rsidP="00A330CD">
      <w:pPr>
        <w:spacing w:after="0" w:line="360" w:lineRule="auto"/>
        <w:rPr>
          <w:rFonts w:ascii="Times New Roman" w:hAnsi="Times New Roman" w:cs="Times New Roman"/>
        </w:rPr>
      </w:pPr>
    </w:p>
    <w:p w14:paraId="591E9EAF" w14:textId="2FC89C89" w:rsidR="00E124D1" w:rsidRPr="00B37812" w:rsidRDefault="00B85163" w:rsidP="003B19CF">
      <w:pPr>
        <w:pStyle w:val="EndNoteBibliography"/>
        <w:numPr>
          <w:ilvl w:val="0"/>
          <w:numId w:val="7"/>
        </w:numPr>
        <w:spacing w:after="360"/>
        <w:rPr>
          <w:rFonts w:ascii="Times New Roman" w:hAnsi="Times New Roman" w:cs="Times New Roman"/>
        </w:rPr>
      </w:pPr>
      <w:r w:rsidRPr="00B37812">
        <w:rPr>
          <w:rFonts w:ascii="Times New Roman" w:hAnsi="Times New Roman" w:cs="Times New Roman"/>
        </w:rPr>
        <w:fldChar w:fldCharType="begin"/>
      </w:r>
      <w:r w:rsidRPr="00B37812">
        <w:rPr>
          <w:rFonts w:ascii="Times New Roman" w:hAnsi="Times New Roman" w:cs="Times New Roman"/>
        </w:rPr>
        <w:instrText xml:space="preserve"> ADDIN EN.REFLIST </w:instrText>
      </w:r>
      <w:r w:rsidRPr="00B37812">
        <w:rPr>
          <w:rFonts w:ascii="Times New Roman" w:hAnsi="Times New Roman" w:cs="Times New Roman"/>
        </w:rPr>
        <w:fldChar w:fldCharType="separate"/>
      </w:r>
      <w:bookmarkStart w:id="1" w:name="_ENREF_1"/>
      <w:r w:rsidR="00E124D1" w:rsidRPr="00B37812">
        <w:rPr>
          <w:rFonts w:ascii="Times New Roman" w:hAnsi="Times New Roman" w:cs="Times New Roman"/>
        </w:rPr>
        <w:t xml:space="preserve">A. A. Memon, N. Memon, D. L. Luthria, M. I. Bhanger and A. A. Pitafi, </w:t>
      </w:r>
      <w:r w:rsidR="003B19CF" w:rsidRPr="00B37812">
        <w:rPr>
          <w:rFonts w:ascii="Times New Roman" w:hAnsi="Times New Roman" w:cs="Times New Roman"/>
          <w:i/>
        </w:rPr>
        <w:t>Pol. J. Food Nutr. Sci.</w:t>
      </w:r>
      <w:r w:rsidR="00E124D1" w:rsidRPr="00B37812">
        <w:rPr>
          <w:rFonts w:ascii="Times New Roman" w:hAnsi="Times New Roman" w:cs="Times New Roman"/>
        </w:rPr>
        <w:t xml:space="preserve"> </w:t>
      </w:r>
      <w:r w:rsidR="00E124D1" w:rsidRPr="00B37812">
        <w:rPr>
          <w:rFonts w:ascii="Times New Roman" w:hAnsi="Times New Roman" w:cs="Times New Roman"/>
          <w:b/>
        </w:rPr>
        <w:t>2010</w:t>
      </w:r>
      <w:r w:rsidR="00E124D1" w:rsidRPr="00B37812">
        <w:rPr>
          <w:rFonts w:ascii="Times New Roman" w:hAnsi="Times New Roman" w:cs="Times New Roman"/>
        </w:rPr>
        <w:t xml:space="preserve">, </w:t>
      </w:r>
      <w:r w:rsidR="00E124D1" w:rsidRPr="00B37812">
        <w:rPr>
          <w:rFonts w:ascii="Times New Roman" w:hAnsi="Times New Roman" w:cs="Times New Roman"/>
          <w:i/>
        </w:rPr>
        <w:t>60</w:t>
      </w:r>
      <w:r w:rsidR="00E124D1" w:rsidRPr="00B37812">
        <w:rPr>
          <w:rFonts w:ascii="Times New Roman" w:hAnsi="Times New Roman" w:cs="Times New Roman"/>
        </w:rPr>
        <w:t>.</w:t>
      </w:r>
      <w:bookmarkEnd w:id="1"/>
    </w:p>
    <w:p w14:paraId="3A32904B"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2" w:name="_ENREF_2"/>
      <w:r w:rsidRPr="00B37812">
        <w:rPr>
          <w:rFonts w:ascii="Times New Roman" w:hAnsi="Times New Roman" w:cs="Times New Roman"/>
        </w:rPr>
        <w:t xml:space="preserve">Y. Huo, </w:t>
      </w:r>
      <w:r w:rsidRPr="00B37812">
        <w:rPr>
          <w:rFonts w:ascii="Times New Roman" w:hAnsi="Times New Roman" w:cs="Times New Roman"/>
          <w:i/>
        </w:rPr>
        <w:t>Mulberry for Animal Production, FAO Animal Production, and Health Paper</w:t>
      </w:r>
      <w:r w:rsidRPr="00B37812">
        <w:rPr>
          <w:rFonts w:ascii="Times New Roman" w:hAnsi="Times New Roman" w:cs="Times New Roman"/>
        </w:rPr>
        <w:t xml:space="preserve"> </w:t>
      </w:r>
      <w:r w:rsidRPr="00B37812">
        <w:rPr>
          <w:rFonts w:ascii="Times New Roman" w:hAnsi="Times New Roman" w:cs="Times New Roman"/>
          <w:b/>
        </w:rPr>
        <w:t>2002</w:t>
      </w:r>
      <w:r w:rsidRPr="00B37812">
        <w:rPr>
          <w:rFonts w:ascii="Times New Roman" w:hAnsi="Times New Roman" w:cs="Times New Roman"/>
        </w:rPr>
        <w:t xml:space="preserve">, </w:t>
      </w:r>
      <w:r w:rsidRPr="00B37812">
        <w:rPr>
          <w:rFonts w:ascii="Times New Roman" w:hAnsi="Times New Roman" w:cs="Times New Roman"/>
          <w:i/>
        </w:rPr>
        <w:t>147</w:t>
      </w:r>
      <w:r w:rsidRPr="00B37812">
        <w:rPr>
          <w:rFonts w:ascii="Times New Roman" w:hAnsi="Times New Roman" w:cs="Times New Roman"/>
        </w:rPr>
        <w:t>, 11-43.</w:t>
      </w:r>
      <w:bookmarkEnd w:id="2"/>
    </w:p>
    <w:p w14:paraId="0B1CCEF2" w14:textId="513B2FDD" w:rsidR="00E124D1" w:rsidRPr="00B37812" w:rsidRDefault="00E124D1" w:rsidP="003B19CF">
      <w:pPr>
        <w:pStyle w:val="EndNoteBibliography"/>
        <w:numPr>
          <w:ilvl w:val="0"/>
          <w:numId w:val="7"/>
        </w:numPr>
        <w:spacing w:after="360"/>
        <w:rPr>
          <w:rFonts w:ascii="Times New Roman" w:hAnsi="Times New Roman" w:cs="Times New Roman"/>
        </w:rPr>
      </w:pPr>
      <w:bookmarkStart w:id="3" w:name="_ENREF_3"/>
      <w:r w:rsidRPr="00B37812">
        <w:rPr>
          <w:rFonts w:ascii="Times New Roman" w:hAnsi="Times New Roman" w:cs="Times New Roman"/>
        </w:rPr>
        <w:t xml:space="preserve">A. Gryn-Rynko, G. Bazylak and D. Olszewska-Slonina, </w:t>
      </w:r>
      <w:r w:rsidR="003B19CF" w:rsidRPr="00B37812">
        <w:rPr>
          <w:rFonts w:ascii="Times New Roman" w:hAnsi="Times New Roman" w:cs="Times New Roman"/>
          <w:i/>
        </w:rPr>
        <w:tab/>
        <w:t xml:space="preserve">Biomed. Pharmacother.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84</w:t>
      </w:r>
      <w:r w:rsidRPr="00B37812">
        <w:rPr>
          <w:rFonts w:ascii="Times New Roman" w:hAnsi="Times New Roman" w:cs="Times New Roman"/>
        </w:rPr>
        <w:t>, 628-636.</w:t>
      </w:r>
      <w:bookmarkEnd w:id="3"/>
    </w:p>
    <w:p w14:paraId="714BBB19"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 w:name="_ENREF_4"/>
      <w:r w:rsidRPr="00B37812">
        <w:rPr>
          <w:rFonts w:ascii="Times New Roman" w:hAnsi="Times New Roman" w:cs="Times New Roman"/>
        </w:rPr>
        <w:t xml:space="preserve">K. Nagalakshmamma, </w:t>
      </w:r>
      <w:r w:rsidRPr="00B37812">
        <w:rPr>
          <w:rFonts w:ascii="Times New Roman" w:hAnsi="Times New Roman" w:cs="Times New Roman"/>
          <w:i/>
        </w:rPr>
        <w:t>Journal of Pharmacy</w:t>
      </w:r>
      <w:r w:rsidRPr="00B37812">
        <w:rPr>
          <w:rFonts w:ascii="Times New Roman" w:hAnsi="Times New Roman" w:cs="Times New Roman"/>
        </w:rPr>
        <w:t xml:space="preserve"> </w:t>
      </w:r>
      <w:r w:rsidRPr="00B37812">
        <w:rPr>
          <w:rFonts w:ascii="Times New Roman" w:hAnsi="Times New Roman" w:cs="Times New Roman"/>
          <w:b/>
        </w:rPr>
        <w:t>2012</w:t>
      </w:r>
      <w:r w:rsidRPr="00B37812">
        <w:rPr>
          <w:rFonts w:ascii="Times New Roman" w:hAnsi="Times New Roman" w:cs="Times New Roman"/>
        </w:rPr>
        <w:t xml:space="preserve">, </w:t>
      </w:r>
      <w:r w:rsidRPr="00B37812">
        <w:rPr>
          <w:rFonts w:ascii="Times New Roman" w:hAnsi="Times New Roman" w:cs="Times New Roman"/>
          <w:i/>
        </w:rPr>
        <w:t>2</w:t>
      </w:r>
      <w:r w:rsidRPr="00B37812">
        <w:rPr>
          <w:rFonts w:ascii="Times New Roman" w:hAnsi="Times New Roman" w:cs="Times New Roman"/>
        </w:rPr>
        <w:t>, 2250-3013.</w:t>
      </w:r>
      <w:bookmarkEnd w:id="4"/>
    </w:p>
    <w:p w14:paraId="4FACF106"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5" w:name="_ENREF_5"/>
      <w:r w:rsidRPr="00B37812">
        <w:rPr>
          <w:rFonts w:ascii="Times New Roman" w:hAnsi="Times New Roman" w:cs="Times New Roman"/>
        </w:rPr>
        <w:t xml:space="preserve">S. Struck, M. Plaza, C. Turner and H. Rohm, </w:t>
      </w:r>
      <w:r w:rsidRPr="00B37812">
        <w:rPr>
          <w:rFonts w:ascii="Times New Roman" w:hAnsi="Times New Roman" w:cs="Times New Roman"/>
          <w:i/>
        </w:rPr>
        <w:t>Int. J. Food Sci. Tech.</w:t>
      </w:r>
      <w:r w:rsidRPr="00B37812">
        <w:rPr>
          <w:rFonts w:ascii="Times New Roman" w:hAnsi="Times New Roman" w:cs="Times New Roman"/>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51</w:t>
      </w:r>
      <w:r w:rsidRPr="00B37812">
        <w:rPr>
          <w:rFonts w:ascii="Times New Roman" w:hAnsi="Times New Roman" w:cs="Times New Roman"/>
        </w:rPr>
        <w:t>, 1305-1318.</w:t>
      </w:r>
      <w:bookmarkEnd w:id="5"/>
    </w:p>
    <w:p w14:paraId="6E3A305F" w14:textId="042FE35A" w:rsidR="00E124D1" w:rsidRPr="00B37812" w:rsidRDefault="00E124D1" w:rsidP="006A03F0">
      <w:pPr>
        <w:pStyle w:val="EndNoteBibliography"/>
        <w:numPr>
          <w:ilvl w:val="0"/>
          <w:numId w:val="7"/>
        </w:numPr>
        <w:spacing w:after="360"/>
        <w:rPr>
          <w:rFonts w:ascii="Times New Roman" w:hAnsi="Times New Roman" w:cs="Times New Roman"/>
        </w:rPr>
      </w:pPr>
      <w:bookmarkStart w:id="6" w:name="_ENREF_6"/>
      <w:r w:rsidRPr="00B37812">
        <w:rPr>
          <w:rFonts w:ascii="Times New Roman" w:hAnsi="Times New Roman" w:cs="Times New Roman"/>
        </w:rPr>
        <w:t xml:space="preserve">L. Medina-Torres, R. Santiago-Adame, F. Calderas, J. Gallegos-Infante, R. González-Laredo, N. Rocha-Guzmán, D. Núñez-Ramírez, M. Bernad-Bernad and O. Manero, </w:t>
      </w:r>
      <w:r w:rsidR="003B19CF" w:rsidRPr="00B37812">
        <w:rPr>
          <w:rFonts w:ascii="Times New Roman" w:hAnsi="Times New Roman" w:cs="Times New Roman"/>
          <w:i/>
        </w:rPr>
        <w:t>Ind. Crops Prod.</w:t>
      </w:r>
      <w:r w:rsidR="003B19CF" w:rsidRPr="00B37812">
        <w:rPr>
          <w:rFonts w:ascii="Times New Roman" w:hAnsi="Times New Roman" w:cs="Times New Roman"/>
          <w:b/>
          <w:i/>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90</w:t>
      </w:r>
      <w:r w:rsidRPr="00B37812">
        <w:rPr>
          <w:rFonts w:ascii="Times New Roman" w:hAnsi="Times New Roman" w:cs="Times New Roman"/>
        </w:rPr>
        <w:t>, 1-8.</w:t>
      </w:r>
      <w:bookmarkEnd w:id="6"/>
    </w:p>
    <w:p w14:paraId="18E34BB4" w14:textId="24087C45" w:rsidR="00E124D1" w:rsidRPr="00B37812" w:rsidRDefault="00E124D1" w:rsidP="003B19CF">
      <w:pPr>
        <w:pStyle w:val="EndNoteBibliography"/>
        <w:numPr>
          <w:ilvl w:val="0"/>
          <w:numId w:val="7"/>
        </w:numPr>
        <w:spacing w:after="360"/>
        <w:rPr>
          <w:rFonts w:ascii="Times New Roman" w:hAnsi="Times New Roman" w:cs="Times New Roman"/>
        </w:rPr>
      </w:pPr>
      <w:bookmarkStart w:id="7" w:name="_ENREF_7"/>
      <w:r w:rsidRPr="00B37812">
        <w:rPr>
          <w:rFonts w:ascii="Times New Roman" w:hAnsi="Times New Roman" w:cs="Times New Roman"/>
        </w:rPr>
        <w:t xml:space="preserve">F. Sansone, T. Mencherini, P. Picerno, M. d’Amore, R. P. Aquino and M. R. Lauro, </w:t>
      </w:r>
      <w:r w:rsidR="003B19CF" w:rsidRPr="00B37812">
        <w:rPr>
          <w:rFonts w:ascii="Times New Roman" w:hAnsi="Times New Roman" w:cs="Times New Roman"/>
          <w:i/>
        </w:rPr>
        <w:t xml:space="preserve">J. Food Eng. </w:t>
      </w:r>
      <w:r w:rsidRPr="00B37812">
        <w:rPr>
          <w:rFonts w:ascii="Times New Roman" w:hAnsi="Times New Roman" w:cs="Times New Roman"/>
          <w:b/>
        </w:rPr>
        <w:t>2011</w:t>
      </w:r>
      <w:r w:rsidRPr="00B37812">
        <w:rPr>
          <w:rFonts w:ascii="Times New Roman" w:hAnsi="Times New Roman" w:cs="Times New Roman"/>
        </w:rPr>
        <w:t xml:space="preserve">, </w:t>
      </w:r>
      <w:r w:rsidRPr="00B37812">
        <w:rPr>
          <w:rFonts w:ascii="Times New Roman" w:hAnsi="Times New Roman" w:cs="Times New Roman"/>
          <w:i/>
        </w:rPr>
        <w:t>105</w:t>
      </w:r>
      <w:r w:rsidRPr="00B37812">
        <w:rPr>
          <w:rFonts w:ascii="Times New Roman" w:hAnsi="Times New Roman" w:cs="Times New Roman"/>
        </w:rPr>
        <w:t>, 468-476.</w:t>
      </w:r>
      <w:bookmarkEnd w:id="7"/>
    </w:p>
    <w:p w14:paraId="292B3E60"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8" w:name="_ENREF_8"/>
      <w:r w:rsidRPr="00B37812">
        <w:rPr>
          <w:rFonts w:ascii="Times New Roman" w:hAnsi="Times New Roman" w:cs="Times New Roman"/>
        </w:rPr>
        <w:t xml:space="preserve">H. Rajabi, M. Ghorbani, S. M. Jafari, A. S. Mahoonak and G. Rajabzadeh, </w:t>
      </w:r>
      <w:r w:rsidRPr="00B37812">
        <w:rPr>
          <w:rFonts w:ascii="Times New Roman" w:hAnsi="Times New Roman" w:cs="Times New Roman"/>
          <w:i/>
        </w:rPr>
        <w:t>Food hydrocolloids</w:t>
      </w:r>
      <w:r w:rsidRPr="00B37812">
        <w:rPr>
          <w:rFonts w:ascii="Times New Roman" w:hAnsi="Times New Roman" w:cs="Times New Roman"/>
        </w:rPr>
        <w:t xml:space="preserve">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51</w:t>
      </w:r>
      <w:r w:rsidRPr="00B37812">
        <w:rPr>
          <w:rFonts w:ascii="Times New Roman" w:hAnsi="Times New Roman" w:cs="Times New Roman"/>
        </w:rPr>
        <w:t>, 327-337.</w:t>
      </w:r>
      <w:bookmarkEnd w:id="8"/>
    </w:p>
    <w:p w14:paraId="7DDA58BD" w14:textId="5B587CF8" w:rsidR="00E124D1" w:rsidRPr="00B37812" w:rsidRDefault="00E124D1" w:rsidP="003B19CF">
      <w:pPr>
        <w:pStyle w:val="EndNoteBibliography"/>
        <w:numPr>
          <w:ilvl w:val="0"/>
          <w:numId w:val="7"/>
        </w:numPr>
        <w:spacing w:after="360"/>
        <w:rPr>
          <w:rFonts w:ascii="Times New Roman" w:hAnsi="Times New Roman" w:cs="Times New Roman"/>
        </w:rPr>
      </w:pPr>
      <w:bookmarkStart w:id="9" w:name="_ENREF_9"/>
      <w:r w:rsidRPr="00B37812">
        <w:rPr>
          <w:rFonts w:ascii="Times New Roman" w:hAnsi="Times New Roman" w:cs="Times New Roman"/>
        </w:rPr>
        <w:t xml:space="preserve">S. Ray, U. Raychaudhuri and R. Chakraborty, </w:t>
      </w:r>
      <w:r w:rsidR="003B19CF" w:rsidRPr="00B37812">
        <w:rPr>
          <w:rFonts w:ascii="Times New Roman" w:hAnsi="Times New Roman" w:cs="Times New Roman"/>
          <w:i/>
        </w:rPr>
        <w:t>Food Biosci.</w:t>
      </w:r>
      <w:r w:rsidRPr="00B37812">
        <w:rPr>
          <w:rFonts w:ascii="Times New Roman" w:hAnsi="Times New Roman" w:cs="Times New Roman"/>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13</w:t>
      </w:r>
      <w:r w:rsidRPr="00B37812">
        <w:rPr>
          <w:rFonts w:ascii="Times New Roman" w:hAnsi="Times New Roman" w:cs="Times New Roman"/>
        </w:rPr>
        <w:t>, 76-83.</w:t>
      </w:r>
      <w:bookmarkEnd w:id="9"/>
    </w:p>
    <w:p w14:paraId="2A2A99C4"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10" w:name="_ENREF_10"/>
      <w:r w:rsidRPr="00B37812">
        <w:rPr>
          <w:rFonts w:ascii="Times New Roman" w:hAnsi="Times New Roman" w:cs="Times New Roman"/>
        </w:rPr>
        <w:t xml:space="preserve">A. C. P. Souza, P. D. Gurak and L. D. F. Marczak, </w:t>
      </w:r>
      <w:r w:rsidRPr="00B37812">
        <w:rPr>
          <w:rFonts w:ascii="Times New Roman" w:hAnsi="Times New Roman" w:cs="Times New Roman"/>
          <w:i/>
        </w:rPr>
        <w:t>Food Bioprod. Process.</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102</w:t>
      </w:r>
      <w:r w:rsidRPr="00B37812">
        <w:rPr>
          <w:rFonts w:ascii="Times New Roman" w:hAnsi="Times New Roman" w:cs="Times New Roman"/>
        </w:rPr>
        <w:t>, 186-194.</w:t>
      </w:r>
      <w:bookmarkEnd w:id="10"/>
    </w:p>
    <w:p w14:paraId="72B29422"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11" w:name="_ENREF_11"/>
      <w:r w:rsidRPr="00B37812">
        <w:rPr>
          <w:rFonts w:ascii="Times New Roman" w:hAnsi="Times New Roman" w:cs="Times New Roman"/>
        </w:rPr>
        <w:t xml:space="preserve">T. Seerangurayar, A. Manickavasagan, A. M. Al-Ismaili and Y. A. Al-Mulla, </w:t>
      </w:r>
      <w:r w:rsidRPr="00B37812">
        <w:rPr>
          <w:rFonts w:ascii="Times New Roman" w:hAnsi="Times New Roman" w:cs="Times New Roman"/>
          <w:i/>
        </w:rPr>
        <w:t>J. Food Eng.</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215</w:t>
      </w:r>
      <w:r w:rsidRPr="00B37812">
        <w:rPr>
          <w:rFonts w:ascii="Times New Roman" w:hAnsi="Times New Roman" w:cs="Times New Roman"/>
        </w:rPr>
        <w:t>, 33-43.</w:t>
      </w:r>
      <w:bookmarkEnd w:id="11"/>
    </w:p>
    <w:p w14:paraId="7E04C219"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12" w:name="_ENREF_12"/>
      <w:r w:rsidRPr="00B37812">
        <w:rPr>
          <w:rFonts w:ascii="Times New Roman" w:hAnsi="Times New Roman" w:cs="Times New Roman"/>
        </w:rPr>
        <w:t xml:space="preserve">M. Peanparkdee, S. Iwamoto, C. Borompichaichartkul, K. Duangmal and R. Yamauchi, </w:t>
      </w:r>
      <w:r w:rsidRPr="00B37812">
        <w:rPr>
          <w:rFonts w:ascii="Times New Roman" w:hAnsi="Times New Roman" w:cs="Times New Roman"/>
          <w:i/>
        </w:rPr>
        <w:t>Int. J. Food Sci. Tech.</w:t>
      </w:r>
      <w:r w:rsidRPr="00B37812">
        <w:rPr>
          <w:rFonts w:ascii="Times New Roman" w:hAnsi="Times New Roman" w:cs="Times New Roman"/>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51</w:t>
      </w:r>
      <w:r w:rsidRPr="00B37812">
        <w:rPr>
          <w:rFonts w:ascii="Times New Roman" w:hAnsi="Times New Roman" w:cs="Times New Roman"/>
        </w:rPr>
        <w:t>, 649-655.</w:t>
      </w:r>
      <w:bookmarkEnd w:id="12"/>
    </w:p>
    <w:p w14:paraId="1BFC9F9E" w14:textId="4B448061" w:rsidR="00E124D1" w:rsidRPr="00B37812" w:rsidRDefault="00E124D1" w:rsidP="006A03F0">
      <w:pPr>
        <w:pStyle w:val="EndNoteBibliography"/>
        <w:numPr>
          <w:ilvl w:val="0"/>
          <w:numId w:val="7"/>
        </w:numPr>
        <w:spacing w:after="360"/>
        <w:rPr>
          <w:rFonts w:ascii="Times New Roman" w:hAnsi="Times New Roman" w:cs="Times New Roman"/>
        </w:rPr>
      </w:pPr>
      <w:bookmarkStart w:id="13" w:name="_ENREF_13"/>
      <w:r w:rsidRPr="00B37812">
        <w:rPr>
          <w:rFonts w:ascii="Times New Roman" w:hAnsi="Times New Roman" w:cs="Times New Roman"/>
        </w:rPr>
        <w:t xml:space="preserve">C. G. Da Rosa, C. D. Borges, R. C. Zambiazi, M. R. Nunes, E. V. Benvenutti, S. R. da Luz, R. F. D’Avila and J. K. Rutz, </w:t>
      </w:r>
      <w:r w:rsidR="003B19CF" w:rsidRPr="00B37812">
        <w:rPr>
          <w:rFonts w:ascii="Times New Roman" w:hAnsi="Times New Roman" w:cs="Times New Roman"/>
          <w:i/>
        </w:rPr>
        <w:t>Ind. Crops Prod.</w:t>
      </w:r>
      <w:r w:rsidRPr="00B37812">
        <w:rPr>
          <w:rFonts w:ascii="Times New Roman" w:hAnsi="Times New Roman" w:cs="Times New Roman"/>
        </w:rPr>
        <w:t xml:space="preserve"> </w:t>
      </w:r>
      <w:r w:rsidRPr="00B37812">
        <w:rPr>
          <w:rFonts w:ascii="Times New Roman" w:hAnsi="Times New Roman" w:cs="Times New Roman"/>
          <w:b/>
        </w:rPr>
        <w:t>2013</w:t>
      </w:r>
      <w:r w:rsidRPr="00B37812">
        <w:rPr>
          <w:rFonts w:ascii="Times New Roman" w:hAnsi="Times New Roman" w:cs="Times New Roman"/>
        </w:rPr>
        <w:t xml:space="preserve">, </w:t>
      </w:r>
      <w:r w:rsidRPr="00B37812">
        <w:rPr>
          <w:rFonts w:ascii="Times New Roman" w:hAnsi="Times New Roman" w:cs="Times New Roman"/>
          <w:i/>
        </w:rPr>
        <w:t>46</w:t>
      </w:r>
      <w:r w:rsidRPr="00B37812">
        <w:rPr>
          <w:rFonts w:ascii="Times New Roman" w:hAnsi="Times New Roman" w:cs="Times New Roman"/>
        </w:rPr>
        <w:t>, 138-146.</w:t>
      </w:r>
      <w:bookmarkEnd w:id="13"/>
    </w:p>
    <w:p w14:paraId="4FBC475F" w14:textId="16F6390E" w:rsidR="00E124D1" w:rsidRPr="00B37812" w:rsidRDefault="00E124D1" w:rsidP="003B19CF">
      <w:pPr>
        <w:pStyle w:val="EndNoteBibliography"/>
        <w:numPr>
          <w:ilvl w:val="0"/>
          <w:numId w:val="7"/>
        </w:numPr>
        <w:spacing w:after="360"/>
        <w:rPr>
          <w:rFonts w:ascii="Times New Roman" w:hAnsi="Times New Roman" w:cs="Times New Roman"/>
        </w:rPr>
      </w:pPr>
      <w:bookmarkStart w:id="14" w:name="_ENREF_14"/>
      <w:r w:rsidRPr="00B37812">
        <w:rPr>
          <w:rFonts w:ascii="Times New Roman" w:hAnsi="Times New Roman" w:cs="Times New Roman"/>
        </w:rPr>
        <w:t xml:space="preserve">M. I. Dias, I. C. Ferreira and M. F. Barreiro, </w:t>
      </w:r>
      <w:r w:rsidR="003B19CF" w:rsidRPr="00B37812">
        <w:rPr>
          <w:rFonts w:ascii="Times New Roman" w:hAnsi="Times New Roman" w:cs="Times New Roman"/>
          <w:i/>
        </w:rPr>
        <w:tab/>
        <w:t>Food Funct.</w:t>
      </w:r>
      <w:r w:rsidRPr="00B37812">
        <w:rPr>
          <w:rFonts w:ascii="Times New Roman" w:hAnsi="Times New Roman" w:cs="Times New Roman"/>
        </w:rPr>
        <w:t xml:space="preserve">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6</w:t>
      </w:r>
      <w:r w:rsidRPr="00B37812">
        <w:rPr>
          <w:rFonts w:ascii="Times New Roman" w:hAnsi="Times New Roman" w:cs="Times New Roman"/>
        </w:rPr>
        <w:t>, 1035-1052.</w:t>
      </w:r>
      <w:bookmarkEnd w:id="14"/>
    </w:p>
    <w:p w14:paraId="0E2C0318" w14:textId="553DAD47" w:rsidR="00E124D1" w:rsidRPr="00B37812" w:rsidRDefault="00E124D1" w:rsidP="003B19CF">
      <w:pPr>
        <w:pStyle w:val="EndNoteBibliography"/>
        <w:numPr>
          <w:ilvl w:val="0"/>
          <w:numId w:val="7"/>
        </w:numPr>
        <w:spacing w:after="360"/>
        <w:rPr>
          <w:rFonts w:ascii="Times New Roman" w:hAnsi="Times New Roman" w:cs="Times New Roman"/>
        </w:rPr>
      </w:pPr>
      <w:bookmarkStart w:id="15" w:name="_ENREF_15"/>
      <w:r w:rsidRPr="00B37812">
        <w:rPr>
          <w:rFonts w:ascii="Times New Roman" w:hAnsi="Times New Roman" w:cs="Times New Roman"/>
        </w:rPr>
        <w:t xml:space="preserve">I. E. Garofulić, Z. Zorić, S. Pedisić and V. Dragović-Uzelac, </w:t>
      </w:r>
      <w:r w:rsidR="003B19CF" w:rsidRPr="00B37812">
        <w:rPr>
          <w:rFonts w:ascii="Times New Roman" w:hAnsi="Times New Roman" w:cs="Times New Roman"/>
          <w:i/>
        </w:rPr>
        <w:tab/>
        <w:t>LWT-Food Sci. Technol.</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83</w:t>
      </w:r>
      <w:r w:rsidRPr="00B37812">
        <w:rPr>
          <w:rFonts w:ascii="Times New Roman" w:hAnsi="Times New Roman" w:cs="Times New Roman"/>
        </w:rPr>
        <w:t>, 110-117.</w:t>
      </w:r>
      <w:bookmarkEnd w:id="15"/>
    </w:p>
    <w:p w14:paraId="37B3FF56"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16" w:name="_ENREF_16"/>
      <w:r w:rsidRPr="00B37812">
        <w:rPr>
          <w:rFonts w:ascii="Times New Roman" w:hAnsi="Times New Roman" w:cs="Times New Roman"/>
        </w:rPr>
        <w:t xml:space="preserve">W. Tchabo, Y. Ma, E. Kwaw, L. Xiao, M. Wu and A. T. Maurice, </w:t>
      </w:r>
      <w:r w:rsidRPr="00B37812">
        <w:rPr>
          <w:rFonts w:ascii="Times New Roman" w:hAnsi="Times New Roman" w:cs="Times New Roman"/>
          <w:i/>
        </w:rPr>
        <w:t>Int. J. Food Prop.</w:t>
      </w:r>
      <w:r w:rsidRPr="00B37812">
        <w:rPr>
          <w:rFonts w:ascii="Times New Roman" w:hAnsi="Times New Roman" w:cs="Times New Roman"/>
        </w:rPr>
        <w:t xml:space="preserve"> </w:t>
      </w:r>
      <w:r w:rsidRPr="00B37812">
        <w:rPr>
          <w:rFonts w:ascii="Times New Roman" w:hAnsi="Times New Roman" w:cs="Times New Roman"/>
          <w:b/>
        </w:rPr>
        <w:t>2018</w:t>
      </w:r>
      <w:r w:rsidRPr="00B37812">
        <w:rPr>
          <w:rFonts w:ascii="Times New Roman" w:hAnsi="Times New Roman" w:cs="Times New Roman"/>
        </w:rPr>
        <w:t>.</w:t>
      </w:r>
      <w:bookmarkEnd w:id="16"/>
    </w:p>
    <w:p w14:paraId="11EE33EC" w14:textId="281CA9F0" w:rsidR="00E124D1" w:rsidRPr="00B37812" w:rsidRDefault="00E124D1" w:rsidP="003B19CF">
      <w:pPr>
        <w:pStyle w:val="EndNoteBibliography"/>
        <w:numPr>
          <w:ilvl w:val="0"/>
          <w:numId w:val="7"/>
        </w:numPr>
        <w:spacing w:after="360"/>
        <w:rPr>
          <w:rFonts w:ascii="Times New Roman" w:hAnsi="Times New Roman" w:cs="Times New Roman"/>
        </w:rPr>
      </w:pPr>
      <w:bookmarkStart w:id="17" w:name="_ENREF_17"/>
      <w:r w:rsidRPr="00B37812">
        <w:rPr>
          <w:rFonts w:ascii="Times New Roman" w:hAnsi="Times New Roman" w:cs="Times New Roman"/>
        </w:rPr>
        <w:t xml:space="preserve">E. Akbas, M. Kilercioglu, O. N. Onder, A. Koker, B. Soyler and M. H. Oztop, </w:t>
      </w:r>
      <w:r w:rsidR="003B19CF" w:rsidRPr="00B37812">
        <w:rPr>
          <w:rFonts w:ascii="Times New Roman" w:hAnsi="Times New Roman" w:cs="Times New Roman"/>
          <w:i/>
        </w:rPr>
        <w:t>J. Funct. Foods</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28</w:t>
      </w:r>
      <w:r w:rsidRPr="00B37812">
        <w:rPr>
          <w:rFonts w:ascii="Times New Roman" w:hAnsi="Times New Roman" w:cs="Times New Roman"/>
        </w:rPr>
        <w:t>, 19-27.</w:t>
      </w:r>
      <w:bookmarkEnd w:id="17"/>
    </w:p>
    <w:p w14:paraId="1D89E117"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18" w:name="_ENREF_18"/>
      <w:r w:rsidRPr="00B37812">
        <w:rPr>
          <w:rFonts w:ascii="Times New Roman" w:hAnsi="Times New Roman" w:cs="Times New Roman"/>
        </w:rPr>
        <w:t xml:space="preserve">J. Du, Z.-Z. Ge, Z. Xu, B. Zou, Y. Zhang and C.-M. Li, </w:t>
      </w:r>
      <w:r w:rsidRPr="00B37812">
        <w:rPr>
          <w:rFonts w:ascii="Times New Roman" w:hAnsi="Times New Roman" w:cs="Times New Roman"/>
          <w:i/>
        </w:rPr>
        <w:t>Drying Technol.</w:t>
      </w:r>
      <w:r w:rsidRPr="00B37812">
        <w:rPr>
          <w:rFonts w:ascii="Times New Roman" w:hAnsi="Times New Roman" w:cs="Times New Roman"/>
        </w:rPr>
        <w:t xml:space="preserve"> </w:t>
      </w:r>
      <w:r w:rsidRPr="00B37812">
        <w:rPr>
          <w:rFonts w:ascii="Times New Roman" w:hAnsi="Times New Roman" w:cs="Times New Roman"/>
          <w:b/>
        </w:rPr>
        <w:t>2014</w:t>
      </w:r>
      <w:r w:rsidRPr="00B37812">
        <w:rPr>
          <w:rFonts w:ascii="Times New Roman" w:hAnsi="Times New Roman" w:cs="Times New Roman"/>
        </w:rPr>
        <w:t xml:space="preserve">, </w:t>
      </w:r>
      <w:r w:rsidRPr="00B37812">
        <w:rPr>
          <w:rFonts w:ascii="Times New Roman" w:hAnsi="Times New Roman" w:cs="Times New Roman"/>
          <w:i/>
        </w:rPr>
        <w:t>32</w:t>
      </w:r>
      <w:r w:rsidRPr="00B37812">
        <w:rPr>
          <w:rFonts w:ascii="Times New Roman" w:hAnsi="Times New Roman" w:cs="Times New Roman"/>
        </w:rPr>
        <w:t>, 1157-1166.</w:t>
      </w:r>
      <w:bookmarkEnd w:id="18"/>
    </w:p>
    <w:p w14:paraId="0CF0318F"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19" w:name="_ENREF_19"/>
      <w:r w:rsidRPr="00B37812">
        <w:rPr>
          <w:rFonts w:ascii="Times New Roman" w:hAnsi="Times New Roman" w:cs="Times New Roman"/>
        </w:rPr>
        <w:t xml:space="preserve">S. Santhalakshmy, S. J. D. Bosco, S. Francis and M. Sabeena, </w:t>
      </w:r>
      <w:r w:rsidRPr="00B37812">
        <w:rPr>
          <w:rFonts w:ascii="Times New Roman" w:hAnsi="Times New Roman" w:cs="Times New Roman"/>
          <w:i/>
        </w:rPr>
        <w:t>Powder Technol.</w:t>
      </w:r>
      <w:r w:rsidRPr="00B37812">
        <w:rPr>
          <w:rFonts w:ascii="Times New Roman" w:hAnsi="Times New Roman" w:cs="Times New Roman"/>
        </w:rPr>
        <w:t xml:space="preserve">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274</w:t>
      </w:r>
      <w:r w:rsidRPr="00B37812">
        <w:rPr>
          <w:rFonts w:ascii="Times New Roman" w:hAnsi="Times New Roman" w:cs="Times New Roman"/>
        </w:rPr>
        <w:t>, 37-43.</w:t>
      </w:r>
      <w:bookmarkEnd w:id="19"/>
    </w:p>
    <w:p w14:paraId="12A5835A" w14:textId="7E635AE1" w:rsidR="00E124D1" w:rsidRPr="00B37812" w:rsidRDefault="00E124D1" w:rsidP="00927E41">
      <w:pPr>
        <w:pStyle w:val="EndNoteBibliography"/>
        <w:numPr>
          <w:ilvl w:val="0"/>
          <w:numId w:val="7"/>
        </w:numPr>
        <w:spacing w:after="360"/>
        <w:rPr>
          <w:rFonts w:ascii="Times New Roman" w:hAnsi="Times New Roman" w:cs="Times New Roman"/>
        </w:rPr>
      </w:pPr>
      <w:bookmarkStart w:id="20" w:name="_ENREF_20"/>
      <w:r w:rsidRPr="00B37812">
        <w:rPr>
          <w:rFonts w:ascii="Times New Roman" w:hAnsi="Times New Roman" w:cs="Times New Roman"/>
        </w:rPr>
        <w:t xml:space="preserve">V. Sanchez, R. Baeza, M. V. Galmarini, M. C. Zamora and J. Chirife, </w:t>
      </w:r>
      <w:r w:rsidR="00927E41" w:rsidRPr="00B37812">
        <w:rPr>
          <w:rFonts w:ascii="Times New Roman" w:hAnsi="Times New Roman" w:cs="Times New Roman"/>
          <w:i/>
        </w:rPr>
        <w:t>Food Bioprocess Technol.</w:t>
      </w:r>
      <w:r w:rsidRPr="00B37812">
        <w:rPr>
          <w:rFonts w:ascii="Times New Roman" w:hAnsi="Times New Roman" w:cs="Times New Roman"/>
        </w:rPr>
        <w:t xml:space="preserve"> </w:t>
      </w:r>
      <w:r w:rsidRPr="00B37812">
        <w:rPr>
          <w:rFonts w:ascii="Times New Roman" w:hAnsi="Times New Roman" w:cs="Times New Roman"/>
          <w:b/>
        </w:rPr>
        <w:t>2013</w:t>
      </w:r>
      <w:r w:rsidRPr="00B37812">
        <w:rPr>
          <w:rFonts w:ascii="Times New Roman" w:hAnsi="Times New Roman" w:cs="Times New Roman"/>
        </w:rPr>
        <w:t xml:space="preserve">, </w:t>
      </w:r>
      <w:r w:rsidRPr="00B37812">
        <w:rPr>
          <w:rFonts w:ascii="Times New Roman" w:hAnsi="Times New Roman" w:cs="Times New Roman"/>
          <w:i/>
        </w:rPr>
        <w:t>6</w:t>
      </w:r>
      <w:r w:rsidRPr="00B37812">
        <w:rPr>
          <w:rFonts w:ascii="Times New Roman" w:hAnsi="Times New Roman" w:cs="Times New Roman"/>
        </w:rPr>
        <w:t>, 1350-1354.</w:t>
      </w:r>
      <w:bookmarkEnd w:id="20"/>
    </w:p>
    <w:p w14:paraId="01DCB063"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21" w:name="_ENREF_21"/>
      <w:r w:rsidRPr="00B37812">
        <w:rPr>
          <w:rFonts w:ascii="Times New Roman" w:hAnsi="Times New Roman" w:cs="Times New Roman"/>
        </w:rPr>
        <w:t xml:space="preserve">L. F. Ballesteros, M. J. Ramirez, C. E. Orrego, J. A. Teixeira and S. I. Mussatto, </w:t>
      </w:r>
      <w:r w:rsidRPr="00B37812">
        <w:rPr>
          <w:rFonts w:ascii="Times New Roman" w:hAnsi="Times New Roman" w:cs="Times New Roman"/>
          <w:i/>
        </w:rPr>
        <w:t>Food Chem.</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237</w:t>
      </w:r>
      <w:r w:rsidRPr="00B37812">
        <w:rPr>
          <w:rFonts w:ascii="Times New Roman" w:hAnsi="Times New Roman" w:cs="Times New Roman"/>
        </w:rPr>
        <w:t>, 623-631.</w:t>
      </w:r>
      <w:bookmarkEnd w:id="21"/>
    </w:p>
    <w:p w14:paraId="402344C9"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22" w:name="_ENREF_22"/>
      <w:r w:rsidRPr="00B37812">
        <w:rPr>
          <w:rFonts w:ascii="Times New Roman" w:hAnsi="Times New Roman" w:cs="Times New Roman"/>
        </w:rPr>
        <w:t xml:space="preserve">L. S. Kuck and C. P. Z. Noreña, </w:t>
      </w:r>
      <w:r w:rsidRPr="00B37812">
        <w:rPr>
          <w:rFonts w:ascii="Times New Roman" w:hAnsi="Times New Roman" w:cs="Times New Roman"/>
          <w:i/>
        </w:rPr>
        <w:t>Food Chem.</w:t>
      </w:r>
      <w:r w:rsidRPr="00B37812">
        <w:rPr>
          <w:rFonts w:ascii="Times New Roman" w:hAnsi="Times New Roman" w:cs="Times New Roman"/>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194</w:t>
      </w:r>
      <w:r w:rsidRPr="00B37812">
        <w:rPr>
          <w:rFonts w:ascii="Times New Roman" w:hAnsi="Times New Roman" w:cs="Times New Roman"/>
        </w:rPr>
        <w:t>, 569-576.</w:t>
      </w:r>
      <w:bookmarkEnd w:id="22"/>
    </w:p>
    <w:p w14:paraId="78B509A7" w14:textId="450A14CA" w:rsidR="00E124D1" w:rsidRPr="00B37812" w:rsidRDefault="00E124D1" w:rsidP="00927E41">
      <w:pPr>
        <w:pStyle w:val="EndNoteBibliography"/>
        <w:numPr>
          <w:ilvl w:val="0"/>
          <w:numId w:val="7"/>
        </w:numPr>
        <w:spacing w:after="360"/>
        <w:rPr>
          <w:rFonts w:ascii="Times New Roman" w:hAnsi="Times New Roman" w:cs="Times New Roman"/>
        </w:rPr>
      </w:pPr>
      <w:bookmarkStart w:id="23" w:name="_ENREF_23"/>
      <w:r w:rsidRPr="00B37812">
        <w:rPr>
          <w:rFonts w:ascii="Times New Roman" w:hAnsi="Times New Roman" w:cs="Times New Roman"/>
        </w:rPr>
        <w:t xml:space="preserve">L. Stoll, T. M. H. Costa, A. Jablonski, S. H. Flôres and A. de Oliveira Rios, </w:t>
      </w:r>
      <w:r w:rsidR="00927E41" w:rsidRPr="00B37812">
        <w:rPr>
          <w:rFonts w:ascii="Times New Roman" w:hAnsi="Times New Roman" w:cs="Times New Roman"/>
          <w:i/>
        </w:rPr>
        <w:t>Food Bioprocess Technol.</w:t>
      </w:r>
      <w:r w:rsidRPr="00B37812">
        <w:rPr>
          <w:rFonts w:ascii="Times New Roman" w:hAnsi="Times New Roman" w:cs="Times New Roman"/>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9</w:t>
      </w:r>
      <w:r w:rsidRPr="00B37812">
        <w:rPr>
          <w:rFonts w:ascii="Times New Roman" w:hAnsi="Times New Roman" w:cs="Times New Roman"/>
        </w:rPr>
        <w:t>, 172-181.</w:t>
      </w:r>
      <w:bookmarkEnd w:id="23"/>
    </w:p>
    <w:p w14:paraId="02C175AD"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24" w:name="_ENREF_24"/>
      <w:r w:rsidRPr="00B37812">
        <w:rPr>
          <w:rFonts w:ascii="Times New Roman" w:hAnsi="Times New Roman" w:cs="Times New Roman"/>
        </w:rPr>
        <w:t xml:space="preserve">P. Laine, P. Kylli, M. Heinonen and K. Jouppila, </w:t>
      </w:r>
      <w:r w:rsidRPr="00B37812">
        <w:rPr>
          <w:rFonts w:ascii="Times New Roman" w:hAnsi="Times New Roman" w:cs="Times New Roman"/>
          <w:i/>
        </w:rPr>
        <w:t>J. Agric. Food Chem.</w:t>
      </w:r>
      <w:r w:rsidRPr="00B37812">
        <w:rPr>
          <w:rFonts w:ascii="Times New Roman" w:hAnsi="Times New Roman" w:cs="Times New Roman"/>
        </w:rPr>
        <w:t xml:space="preserve"> </w:t>
      </w:r>
      <w:r w:rsidRPr="00B37812">
        <w:rPr>
          <w:rFonts w:ascii="Times New Roman" w:hAnsi="Times New Roman" w:cs="Times New Roman"/>
          <w:b/>
        </w:rPr>
        <w:t>2008</w:t>
      </w:r>
      <w:r w:rsidRPr="00B37812">
        <w:rPr>
          <w:rFonts w:ascii="Times New Roman" w:hAnsi="Times New Roman" w:cs="Times New Roman"/>
        </w:rPr>
        <w:t xml:space="preserve">, </w:t>
      </w:r>
      <w:r w:rsidRPr="00B37812">
        <w:rPr>
          <w:rFonts w:ascii="Times New Roman" w:hAnsi="Times New Roman" w:cs="Times New Roman"/>
          <w:i/>
        </w:rPr>
        <w:t>56</w:t>
      </w:r>
      <w:r w:rsidRPr="00B37812">
        <w:rPr>
          <w:rFonts w:ascii="Times New Roman" w:hAnsi="Times New Roman" w:cs="Times New Roman"/>
        </w:rPr>
        <w:t>, 11251-11261.</w:t>
      </w:r>
      <w:bookmarkEnd w:id="24"/>
    </w:p>
    <w:p w14:paraId="790DE284"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25" w:name="_ENREF_25"/>
      <w:r w:rsidRPr="00B37812">
        <w:rPr>
          <w:rFonts w:ascii="Times New Roman" w:hAnsi="Times New Roman" w:cs="Times New Roman"/>
        </w:rPr>
        <w:t xml:space="preserve">C. G. Lopez, S. E. Rogers, R. H. Colby, P. Graham and J. T. Cabral, </w:t>
      </w:r>
      <w:r w:rsidRPr="00B37812">
        <w:rPr>
          <w:rFonts w:ascii="Times New Roman" w:hAnsi="Times New Roman" w:cs="Times New Roman"/>
          <w:i/>
        </w:rPr>
        <w:t>J. Polym. Sci., Part B: Polym. Phys.</w:t>
      </w:r>
      <w:r w:rsidRPr="00B37812">
        <w:rPr>
          <w:rFonts w:ascii="Times New Roman" w:hAnsi="Times New Roman" w:cs="Times New Roman"/>
        </w:rPr>
        <w:t xml:space="preserve">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53</w:t>
      </w:r>
      <w:r w:rsidRPr="00B37812">
        <w:rPr>
          <w:rFonts w:ascii="Times New Roman" w:hAnsi="Times New Roman" w:cs="Times New Roman"/>
        </w:rPr>
        <w:t>, 492-501.</w:t>
      </w:r>
      <w:bookmarkEnd w:id="25"/>
    </w:p>
    <w:p w14:paraId="0F4CB30E" w14:textId="7FA14205" w:rsidR="00E124D1" w:rsidRPr="00B37812" w:rsidRDefault="00E124D1" w:rsidP="00927E41">
      <w:pPr>
        <w:pStyle w:val="EndNoteBibliography"/>
        <w:numPr>
          <w:ilvl w:val="0"/>
          <w:numId w:val="7"/>
        </w:numPr>
        <w:spacing w:after="360"/>
        <w:rPr>
          <w:rFonts w:ascii="Times New Roman" w:hAnsi="Times New Roman" w:cs="Times New Roman"/>
        </w:rPr>
      </w:pPr>
      <w:bookmarkStart w:id="26" w:name="_ENREF_26"/>
      <w:r w:rsidRPr="00B37812">
        <w:rPr>
          <w:rFonts w:ascii="Times New Roman" w:hAnsi="Times New Roman" w:cs="Times New Roman"/>
        </w:rPr>
        <w:t xml:space="preserve">A. N. Negrão-Murakami, G. L. Nunes, S. S. Pinto, F. S. Murakami, E. R. Amante, J. C. C. Petrus, E. S. Prudêncio and R. D. M. C. Amboni, </w:t>
      </w:r>
      <w:r w:rsidR="00927E41" w:rsidRPr="00B37812">
        <w:rPr>
          <w:rFonts w:ascii="Times New Roman" w:hAnsi="Times New Roman" w:cs="Times New Roman"/>
          <w:i/>
        </w:rPr>
        <w:t xml:space="preserve">LWT-Food Sci. Technol.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79</w:t>
      </w:r>
      <w:r w:rsidRPr="00B37812">
        <w:rPr>
          <w:rFonts w:ascii="Times New Roman" w:hAnsi="Times New Roman" w:cs="Times New Roman"/>
        </w:rPr>
        <w:t>, 561-567.</w:t>
      </w:r>
      <w:bookmarkEnd w:id="26"/>
    </w:p>
    <w:p w14:paraId="5177D500" w14:textId="08404709" w:rsidR="00E124D1" w:rsidRPr="00B37812" w:rsidRDefault="00E124D1" w:rsidP="00927E41">
      <w:pPr>
        <w:pStyle w:val="EndNoteBibliography"/>
        <w:numPr>
          <w:ilvl w:val="0"/>
          <w:numId w:val="7"/>
        </w:numPr>
        <w:spacing w:after="360"/>
        <w:rPr>
          <w:rFonts w:ascii="Times New Roman" w:hAnsi="Times New Roman" w:cs="Times New Roman"/>
        </w:rPr>
      </w:pPr>
      <w:bookmarkStart w:id="27" w:name="_ENREF_27"/>
      <w:r w:rsidRPr="00B37812">
        <w:rPr>
          <w:rFonts w:ascii="Times New Roman" w:hAnsi="Times New Roman" w:cs="Times New Roman"/>
        </w:rPr>
        <w:t xml:space="preserve">N. Stănciuc, M. Turturică, A. M. Oancea, V. Barbu, E. Ioniţă, I. Aprodu and G. Râpeanu, </w:t>
      </w:r>
      <w:r w:rsidR="00927E41" w:rsidRPr="00B37812">
        <w:rPr>
          <w:rFonts w:ascii="Times New Roman" w:hAnsi="Times New Roman" w:cs="Times New Roman"/>
          <w:i/>
        </w:rPr>
        <w:t xml:space="preserve">Food Bioprocess Technol.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10</w:t>
      </w:r>
      <w:r w:rsidRPr="00B37812">
        <w:rPr>
          <w:rFonts w:ascii="Times New Roman" w:hAnsi="Times New Roman" w:cs="Times New Roman"/>
        </w:rPr>
        <w:t>, 1715-1726.</w:t>
      </w:r>
      <w:bookmarkEnd w:id="27"/>
    </w:p>
    <w:p w14:paraId="1238CE89"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28" w:name="_ENREF_28"/>
      <w:r w:rsidRPr="00B37812">
        <w:rPr>
          <w:rFonts w:ascii="Times New Roman" w:hAnsi="Times New Roman" w:cs="Times New Roman"/>
        </w:rPr>
        <w:t xml:space="preserve">D. P. S. Oberoi and D. S. Sogi, </w:t>
      </w:r>
      <w:r w:rsidRPr="00B37812">
        <w:rPr>
          <w:rFonts w:ascii="Times New Roman" w:hAnsi="Times New Roman" w:cs="Times New Roman"/>
          <w:i/>
        </w:rPr>
        <w:t>J. Food Eng.</w:t>
      </w:r>
      <w:r w:rsidRPr="00B37812">
        <w:rPr>
          <w:rFonts w:ascii="Times New Roman" w:hAnsi="Times New Roman" w:cs="Times New Roman"/>
        </w:rPr>
        <w:t xml:space="preserve">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165</w:t>
      </w:r>
      <w:r w:rsidRPr="00B37812">
        <w:rPr>
          <w:rFonts w:ascii="Times New Roman" w:hAnsi="Times New Roman" w:cs="Times New Roman"/>
        </w:rPr>
        <w:t>, 172-178.</w:t>
      </w:r>
      <w:bookmarkEnd w:id="28"/>
    </w:p>
    <w:p w14:paraId="5757FB83"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29" w:name="_ENREF_29"/>
      <w:r w:rsidRPr="00B37812">
        <w:rPr>
          <w:rFonts w:ascii="Times New Roman" w:hAnsi="Times New Roman" w:cs="Times New Roman"/>
        </w:rPr>
        <w:t xml:space="preserve">Y. R. R. S. Rezende, J. P. Nogueira and N. Narain, </w:t>
      </w:r>
      <w:r w:rsidRPr="00B37812">
        <w:rPr>
          <w:rFonts w:ascii="Times New Roman" w:hAnsi="Times New Roman" w:cs="Times New Roman"/>
          <w:i/>
        </w:rPr>
        <w:t>Food Chem.</w:t>
      </w:r>
      <w:r w:rsidRPr="00B37812">
        <w:rPr>
          <w:rFonts w:ascii="Times New Roman" w:hAnsi="Times New Roman" w:cs="Times New Roman"/>
        </w:rPr>
        <w:t xml:space="preserve"> </w:t>
      </w:r>
      <w:r w:rsidRPr="00B37812">
        <w:rPr>
          <w:rFonts w:ascii="Times New Roman" w:hAnsi="Times New Roman" w:cs="Times New Roman"/>
          <w:b/>
        </w:rPr>
        <w:t>2018</w:t>
      </w:r>
      <w:r w:rsidRPr="00B37812">
        <w:rPr>
          <w:rFonts w:ascii="Times New Roman" w:hAnsi="Times New Roman" w:cs="Times New Roman"/>
        </w:rPr>
        <w:t xml:space="preserve">, </w:t>
      </w:r>
      <w:r w:rsidRPr="00B37812">
        <w:rPr>
          <w:rFonts w:ascii="Times New Roman" w:hAnsi="Times New Roman" w:cs="Times New Roman"/>
          <w:i/>
        </w:rPr>
        <w:t>254</w:t>
      </w:r>
      <w:r w:rsidRPr="00B37812">
        <w:rPr>
          <w:rFonts w:ascii="Times New Roman" w:hAnsi="Times New Roman" w:cs="Times New Roman"/>
        </w:rPr>
        <w:t>, 281-291.</w:t>
      </w:r>
      <w:bookmarkEnd w:id="29"/>
    </w:p>
    <w:p w14:paraId="31ED2254" w14:textId="374283FA" w:rsidR="00E124D1" w:rsidRPr="00B37812" w:rsidRDefault="00E124D1" w:rsidP="00927E41">
      <w:pPr>
        <w:pStyle w:val="EndNoteBibliography"/>
        <w:numPr>
          <w:ilvl w:val="0"/>
          <w:numId w:val="7"/>
        </w:numPr>
        <w:spacing w:after="360"/>
        <w:rPr>
          <w:rFonts w:ascii="Times New Roman" w:hAnsi="Times New Roman" w:cs="Times New Roman"/>
        </w:rPr>
      </w:pPr>
      <w:bookmarkStart w:id="30" w:name="_ENREF_30"/>
      <w:r w:rsidRPr="00B37812">
        <w:rPr>
          <w:rFonts w:ascii="Times New Roman" w:hAnsi="Times New Roman" w:cs="Times New Roman"/>
        </w:rPr>
        <w:t xml:space="preserve">C. G. Da Rosa, C. D. Borges, R. C. Zambiazi, J. K. Rutz, S. R. da Luz, F. D. Krumreich, E. V. Benvenutti and M. R. Nunes, </w:t>
      </w:r>
      <w:r w:rsidR="00927E41" w:rsidRPr="00B37812">
        <w:rPr>
          <w:rFonts w:ascii="Times New Roman" w:hAnsi="Times New Roman" w:cs="Times New Roman"/>
          <w:i/>
        </w:rPr>
        <w:t xml:space="preserve">LWT-Food Sci. Technol. </w:t>
      </w:r>
      <w:r w:rsidRPr="00B37812">
        <w:rPr>
          <w:rFonts w:ascii="Times New Roman" w:hAnsi="Times New Roman" w:cs="Times New Roman"/>
        </w:rPr>
        <w:t xml:space="preserve"> </w:t>
      </w:r>
      <w:r w:rsidRPr="00B37812">
        <w:rPr>
          <w:rFonts w:ascii="Times New Roman" w:hAnsi="Times New Roman" w:cs="Times New Roman"/>
          <w:b/>
        </w:rPr>
        <w:t>2014</w:t>
      </w:r>
      <w:r w:rsidRPr="00B37812">
        <w:rPr>
          <w:rFonts w:ascii="Times New Roman" w:hAnsi="Times New Roman" w:cs="Times New Roman"/>
        </w:rPr>
        <w:t xml:space="preserve">, </w:t>
      </w:r>
      <w:r w:rsidRPr="00B37812">
        <w:rPr>
          <w:rFonts w:ascii="Times New Roman" w:hAnsi="Times New Roman" w:cs="Times New Roman"/>
          <w:i/>
        </w:rPr>
        <w:t>58</w:t>
      </w:r>
      <w:r w:rsidRPr="00B37812">
        <w:rPr>
          <w:rFonts w:ascii="Times New Roman" w:hAnsi="Times New Roman" w:cs="Times New Roman"/>
        </w:rPr>
        <w:t>, 527-533.</w:t>
      </w:r>
      <w:bookmarkEnd w:id="30"/>
    </w:p>
    <w:p w14:paraId="59BB3F56"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31" w:name="_ENREF_31"/>
      <w:r w:rsidRPr="00B37812">
        <w:rPr>
          <w:rFonts w:ascii="Times New Roman" w:hAnsi="Times New Roman" w:cs="Times New Roman"/>
        </w:rPr>
        <w:t xml:space="preserve">B. Li, S. Konecke, K. Harich, L. Wegiel, L. S. Taylor and K. J. Edgar, </w:t>
      </w:r>
      <w:r w:rsidRPr="00B37812">
        <w:rPr>
          <w:rFonts w:ascii="Times New Roman" w:hAnsi="Times New Roman" w:cs="Times New Roman"/>
          <w:i/>
        </w:rPr>
        <w:t>Carbohydr. Polym.</w:t>
      </w:r>
      <w:r w:rsidRPr="00B37812">
        <w:rPr>
          <w:rFonts w:ascii="Times New Roman" w:hAnsi="Times New Roman" w:cs="Times New Roman"/>
        </w:rPr>
        <w:t xml:space="preserve"> </w:t>
      </w:r>
      <w:r w:rsidRPr="00B37812">
        <w:rPr>
          <w:rFonts w:ascii="Times New Roman" w:hAnsi="Times New Roman" w:cs="Times New Roman"/>
          <w:b/>
        </w:rPr>
        <w:t>2013</w:t>
      </w:r>
      <w:r w:rsidRPr="00B37812">
        <w:rPr>
          <w:rFonts w:ascii="Times New Roman" w:hAnsi="Times New Roman" w:cs="Times New Roman"/>
        </w:rPr>
        <w:t xml:space="preserve">, </w:t>
      </w:r>
      <w:r w:rsidRPr="00B37812">
        <w:rPr>
          <w:rFonts w:ascii="Times New Roman" w:hAnsi="Times New Roman" w:cs="Times New Roman"/>
          <w:i/>
        </w:rPr>
        <w:t>92</w:t>
      </w:r>
      <w:r w:rsidRPr="00B37812">
        <w:rPr>
          <w:rFonts w:ascii="Times New Roman" w:hAnsi="Times New Roman" w:cs="Times New Roman"/>
        </w:rPr>
        <w:t>, 2033-2040.</w:t>
      </w:r>
      <w:bookmarkEnd w:id="31"/>
    </w:p>
    <w:p w14:paraId="7C20E7B5"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32" w:name="_ENREF_32"/>
      <w:r w:rsidRPr="00B37812">
        <w:rPr>
          <w:rFonts w:ascii="Times New Roman" w:hAnsi="Times New Roman" w:cs="Times New Roman"/>
        </w:rPr>
        <w:t xml:space="preserve">N. Harnkarnsujarit, S. Charoenrein and Y. H. Roos, </w:t>
      </w:r>
      <w:r w:rsidRPr="00B37812">
        <w:rPr>
          <w:rFonts w:ascii="Times New Roman" w:hAnsi="Times New Roman" w:cs="Times New Roman"/>
          <w:i/>
        </w:rPr>
        <w:t>Carbohydr. Polym.</w:t>
      </w:r>
      <w:r w:rsidRPr="00B37812">
        <w:rPr>
          <w:rFonts w:ascii="Times New Roman" w:hAnsi="Times New Roman" w:cs="Times New Roman"/>
        </w:rPr>
        <w:t xml:space="preserve"> </w:t>
      </w:r>
      <w:r w:rsidRPr="00B37812">
        <w:rPr>
          <w:rFonts w:ascii="Times New Roman" w:hAnsi="Times New Roman" w:cs="Times New Roman"/>
          <w:b/>
        </w:rPr>
        <w:t>2012</w:t>
      </w:r>
      <w:r w:rsidRPr="00B37812">
        <w:rPr>
          <w:rFonts w:ascii="Times New Roman" w:hAnsi="Times New Roman" w:cs="Times New Roman"/>
        </w:rPr>
        <w:t xml:space="preserve">, </w:t>
      </w:r>
      <w:r w:rsidRPr="00B37812">
        <w:rPr>
          <w:rFonts w:ascii="Times New Roman" w:hAnsi="Times New Roman" w:cs="Times New Roman"/>
          <w:i/>
        </w:rPr>
        <w:t>88</w:t>
      </w:r>
      <w:r w:rsidRPr="00B37812">
        <w:rPr>
          <w:rFonts w:ascii="Times New Roman" w:hAnsi="Times New Roman" w:cs="Times New Roman"/>
        </w:rPr>
        <w:t>, 734-742.</w:t>
      </w:r>
      <w:bookmarkEnd w:id="32"/>
    </w:p>
    <w:p w14:paraId="0AEDBE4A"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33" w:name="_ENREF_33"/>
      <w:r w:rsidRPr="00B37812">
        <w:rPr>
          <w:rFonts w:ascii="Times New Roman" w:hAnsi="Times New Roman" w:cs="Times New Roman"/>
        </w:rPr>
        <w:t xml:space="preserve">A. M. Ceballos, G. I. Giraldo and C. E. Orrego, </w:t>
      </w:r>
      <w:r w:rsidRPr="00B37812">
        <w:rPr>
          <w:rFonts w:ascii="Times New Roman" w:hAnsi="Times New Roman" w:cs="Times New Roman"/>
          <w:i/>
        </w:rPr>
        <w:t>J. Food Eng.</w:t>
      </w:r>
      <w:r w:rsidRPr="00B37812">
        <w:rPr>
          <w:rFonts w:ascii="Times New Roman" w:hAnsi="Times New Roman" w:cs="Times New Roman"/>
        </w:rPr>
        <w:t xml:space="preserve"> </w:t>
      </w:r>
      <w:r w:rsidRPr="00B37812">
        <w:rPr>
          <w:rFonts w:ascii="Times New Roman" w:hAnsi="Times New Roman" w:cs="Times New Roman"/>
          <w:b/>
        </w:rPr>
        <w:t>2012</w:t>
      </w:r>
      <w:r w:rsidRPr="00B37812">
        <w:rPr>
          <w:rFonts w:ascii="Times New Roman" w:hAnsi="Times New Roman" w:cs="Times New Roman"/>
        </w:rPr>
        <w:t xml:space="preserve">, </w:t>
      </w:r>
      <w:r w:rsidRPr="00B37812">
        <w:rPr>
          <w:rFonts w:ascii="Times New Roman" w:hAnsi="Times New Roman" w:cs="Times New Roman"/>
          <w:i/>
        </w:rPr>
        <w:t>111</w:t>
      </w:r>
      <w:r w:rsidRPr="00B37812">
        <w:rPr>
          <w:rFonts w:ascii="Times New Roman" w:hAnsi="Times New Roman" w:cs="Times New Roman"/>
        </w:rPr>
        <w:t>, 360-365.</w:t>
      </w:r>
      <w:bookmarkEnd w:id="33"/>
    </w:p>
    <w:p w14:paraId="560FF214"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34" w:name="_ENREF_34"/>
      <w:r w:rsidRPr="00B37812">
        <w:rPr>
          <w:rFonts w:ascii="Times New Roman" w:hAnsi="Times New Roman" w:cs="Times New Roman"/>
        </w:rPr>
        <w:t xml:space="preserve">M. J. Ramírez, G. I. Giraldo and C. E. Orrego, </w:t>
      </w:r>
      <w:r w:rsidRPr="00B37812">
        <w:rPr>
          <w:rFonts w:ascii="Times New Roman" w:hAnsi="Times New Roman" w:cs="Times New Roman"/>
          <w:i/>
        </w:rPr>
        <w:t>Powder Technol.</w:t>
      </w:r>
      <w:r w:rsidRPr="00B37812">
        <w:rPr>
          <w:rFonts w:ascii="Times New Roman" w:hAnsi="Times New Roman" w:cs="Times New Roman"/>
        </w:rPr>
        <w:t xml:space="preserve">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277</w:t>
      </w:r>
      <w:r w:rsidRPr="00B37812">
        <w:rPr>
          <w:rFonts w:ascii="Times New Roman" w:hAnsi="Times New Roman" w:cs="Times New Roman"/>
        </w:rPr>
        <w:t>, 89-96.</w:t>
      </w:r>
      <w:bookmarkEnd w:id="34"/>
    </w:p>
    <w:p w14:paraId="2F014273" w14:textId="62BF11E9" w:rsidR="00E124D1" w:rsidRPr="00B37812" w:rsidRDefault="00E124D1" w:rsidP="00927E41">
      <w:pPr>
        <w:pStyle w:val="EndNoteBibliography"/>
        <w:numPr>
          <w:ilvl w:val="0"/>
          <w:numId w:val="7"/>
        </w:numPr>
        <w:spacing w:after="360"/>
        <w:rPr>
          <w:rFonts w:ascii="Times New Roman" w:hAnsi="Times New Roman" w:cs="Times New Roman"/>
        </w:rPr>
      </w:pPr>
      <w:bookmarkStart w:id="35" w:name="_ENREF_35"/>
      <w:r w:rsidRPr="00B37812">
        <w:rPr>
          <w:rFonts w:ascii="Times New Roman" w:hAnsi="Times New Roman" w:cs="Times New Roman"/>
        </w:rPr>
        <w:t xml:space="preserve">D. Ogrodowska, M. Tańska and W. Brandt, </w:t>
      </w:r>
      <w:r w:rsidR="00927E41" w:rsidRPr="00B37812">
        <w:rPr>
          <w:rFonts w:ascii="Times New Roman" w:hAnsi="Times New Roman" w:cs="Times New Roman"/>
          <w:i/>
        </w:rPr>
        <w:t>Food Bioprocess Technol.</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10</w:t>
      </w:r>
      <w:r w:rsidRPr="00B37812">
        <w:rPr>
          <w:rFonts w:ascii="Times New Roman" w:hAnsi="Times New Roman" w:cs="Times New Roman"/>
        </w:rPr>
        <w:t>, 1265-1280.</w:t>
      </w:r>
      <w:bookmarkEnd w:id="35"/>
    </w:p>
    <w:p w14:paraId="641E98E3"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36" w:name="_ENREF_36"/>
      <w:r w:rsidRPr="00B37812">
        <w:rPr>
          <w:rFonts w:ascii="Times New Roman" w:hAnsi="Times New Roman" w:cs="Times New Roman"/>
        </w:rPr>
        <w:t xml:space="preserve">C. Selomulya and Y. Fang: Handbook of Food Powders, Woodhead Publishing, Philadelphia, </w:t>
      </w:r>
      <w:r w:rsidRPr="00B37812">
        <w:rPr>
          <w:rFonts w:ascii="Times New Roman" w:hAnsi="Times New Roman" w:cs="Times New Roman"/>
          <w:b/>
        </w:rPr>
        <w:t>2013</w:t>
      </w:r>
      <w:r w:rsidRPr="00B37812">
        <w:rPr>
          <w:rFonts w:ascii="Times New Roman" w:hAnsi="Times New Roman" w:cs="Times New Roman"/>
        </w:rPr>
        <w:t>, pp. 379-408.</w:t>
      </w:r>
      <w:bookmarkEnd w:id="36"/>
    </w:p>
    <w:p w14:paraId="0E0AD513" w14:textId="1A770A5E" w:rsidR="00E124D1" w:rsidRPr="00B37812" w:rsidRDefault="00E124D1" w:rsidP="009F2901">
      <w:pPr>
        <w:pStyle w:val="EndNoteBibliography"/>
        <w:numPr>
          <w:ilvl w:val="0"/>
          <w:numId w:val="7"/>
        </w:numPr>
        <w:spacing w:after="360"/>
        <w:rPr>
          <w:rFonts w:ascii="Times New Roman" w:hAnsi="Times New Roman" w:cs="Times New Roman"/>
        </w:rPr>
      </w:pPr>
      <w:bookmarkStart w:id="37" w:name="_ENREF_37"/>
      <w:r w:rsidRPr="00B37812">
        <w:rPr>
          <w:rFonts w:ascii="Times New Roman" w:hAnsi="Times New Roman" w:cs="Times New Roman"/>
        </w:rPr>
        <w:t xml:space="preserve">K. Samborska, P. Gajek and A. Kamińska-Dwórznicka, </w:t>
      </w:r>
      <w:r w:rsidR="009F2901" w:rsidRPr="00B37812">
        <w:rPr>
          <w:rFonts w:ascii="Times New Roman" w:hAnsi="Times New Roman" w:cs="Times New Roman"/>
          <w:i/>
        </w:rPr>
        <w:t xml:space="preserve">Pol. J. Food Nutr. Sci.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65</w:t>
      </w:r>
      <w:r w:rsidRPr="00B37812">
        <w:rPr>
          <w:rFonts w:ascii="Times New Roman" w:hAnsi="Times New Roman" w:cs="Times New Roman"/>
        </w:rPr>
        <w:t>, 109-118.</w:t>
      </w:r>
      <w:bookmarkEnd w:id="37"/>
    </w:p>
    <w:p w14:paraId="7E5334E1"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38" w:name="_ENREF_38"/>
      <w:r w:rsidRPr="00B37812">
        <w:rPr>
          <w:rFonts w:ascii="Times New Roman" w:hAnsi="Times New Roman" w:cs="Times New Roman"/>
        </w:rPr>
        <w:t xml:space="preserve">S. Bhusari, K. Muzaffar and P. Kumar, </w:t>
      </w:r>
      <w:r w:rsidRPr="00B37812">
        <w:rPr>
          <w:rFonts w:ascii="Times New Roman" w:hAnsi="Times New Roman" w:cs="Times New Roman"/>
          <w:i/>
        </w:rPr>
        <w:t>Powder Technol.</w:t>
      </w:r>
      <w:r w:rsidRPr="00B37812">
        <w:rPr>
          <w:rFonts w:ascii="Times New Roman" w:hAnsi="Times New Roman" w:cs="Times New Roman"/>
        </w:rPr>
        <w:t xml:space="preserve"> </w:t>
      </w:r>
      <w:r w:rsidRPr="00B37812">
        <w:rPr>
          <w:rFonts w:ascii="Times New Roman" w:hAnsi="Times New Roman" w:cs="Times New Roman"/>
          <w:b/>
        </w:rPr>
        <w:t>2014</w:t>
      </w:r>
      <w:r w:rsidRPr="00B37812">
        <w:rPr>
          <w:rFonts w:ascii="Times New Roman" w:hAnsi="Times New Roman" w:cs="Times New Roman"/>
        </w:rPr>
        <w:t xml:space="preserve">, </w:t>
      </w:r>
      <w:r w:rsidRPr="00B37812">
        <w:rPr>
          <w:rFonts w:ascii="Times New Roman" w:hAnsi="Times New Roman" w:cs="Times New Roman"/>
          <w:i/>
        </w:rPr>
        <w:t>266</w:t>
      </w:r>
      <w:r w:rsidRPr="00B37812">
        <w:rPr>
          <w:rFonts w:ascii="Times New Roman" w:hAnsi="Times New Roman" w:cs="Times New Roman"/>
        </w:rPr>
        <w:t>, 354-364.</w:t>
      </w:r>
      <w:bookmarkEnd w:id="38"/>
    </w:p>
    <w:p w14:paraId="54DFC94B"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39" w:name="_ENREF_39"/>
      <w:r w:rsidRPr="00B37812">
        <w:rPr>
          <w:rFonts w:ascii="Times New Roman" w:hAnsi="Times New Roman" w:cs="Times New Roman"/>
        </w:rPr>
        <w:t xml:space="preserve">A. M. Goula and K. G. Adamopoulos, </w:t>
      </w:r>
      <w:r w:rsidRPr="00B37812">
        <w:rPr>
          <w:rFonts w:ascii="Times New Roman" w:hAnsi="Times New Roman" w:cs="Times New Roman"/>
          <w:i/>
        </w:rPr>
        <w:t>Drying Technol.</w:t>
      </w:r>
      <w:r w:rsidRPr="00B37812">
        <w:rPr>
          <w:rFonts w:ascii="Times New Roman" w:hAnsi="Times New Roman" w:cs="Times New Roman"/>
        </w:rPr>
        <w:t xml:space="preserve"> </w:t>
      </w:r>
      <w:r w:rsidRPr="00B37812">
        <w:rPr>
          <w:rFonts w:ascii="Times New Roman" w:hAnsi="Times New Roman" w:cs="Times New Roman"/>
          <w:b/>
        </w:rPr>
        <w:t>2008</w:t>
      </w:r>
      <w:r w:rsidRPr="00B37812">
        <w:rPr>
          <w:rFonts w:ascii="Times New Roman" w:hAnsi="Times New Roman" w:cs="Times New Roman"/>
        </w:rPr>
        <w:t xml:space="preserve">, </w:t>
      </w:r>
      <w:r w:rsidRPr="00B37812">
        <w:rPr>
          <w:rFonts w:ascii="Times New Roman" w:hAnsi="Times New Roman" w:cs="Times New Roman"/>
          <w:i/>
        </w:rPr>
        <w:t>26</w:t>
      </w:r>
      <w:r w:rsidRPr="00B37812">
        <w:rPr>
          <w:rFonts w:ascii="Times New Roman" w:hAnsi="Times New Roman" w:cs="Times New Roman"/>
        </w:rPr>
        <w:t>, 726-737.</w:t>
      </w:r>
      <w:bookmarkEnd w:id="39"/>
    </w:p>
    <w:p w14:paraId="576B7423"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0" w:name="_ENREF_40"/>
      <w:r w:rsidRPr="00B37812">
        <w:rPr>
          <w:rFonts w:ascii="Times New Roman" w:hAnsi="Times New Roman" w:cs="Times New Roman"/>
        </w:rPr>
        <w:t xml:space="preserve">G. B. Celli, R. Dibazar, A. Ghanem and M. S.-L. Brooks, </w:t>
      </w:r>
      <w:r w:rsidRPr="00B37812">
        <w:rPr>
          <w:rFonts w:ascii="Times New Roman" w:hAnsi="Times New Roman" w:cs="Times New Roman"/>
          <w:i/>
        </w:rPr>
        <w:t>Drying Technol.</w:t>
      </w:r>
      <w:r w:rsidRPr="00B37812">
        <w:rPr>
          <w:rFonts w:ascii="Times New Roman" w:hAnsi="Times New Roman" w:cs="Times New Roman"/>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34</w:t>
      </w:r>
      <w:r w:rsidRPr="00B37812">
        <w:rPr>
          <w:rFonts w:ascii="Times New Roman" w:hAnsi="Times New Roman" w:cs="Times New Roman"/>
        </w:rPr>
        <w:t>, 1175-1184.</w:t>
      </w:r>
      <w:bookmarkEnd w:id="40"/>
    </w:p>
    <w:p w14:paraId="5DEDF1C5"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1" w:name="_ENREF_41"/>
      <w:r w:rsidRPr="00B37812">
        <w:rPr>
          <w:rFonts w:ascii="Times New Roman" w:hAnsi="Times New Roman" w:cs="Times New Roman"/>
        </w:rPr>
        <w:t xml:space="preserve">G. Caliskan and S. N. Dirim, </w:t>
      </w:r>
      <w:r w:rsidRPr="00B37812">
        <w:rPr>
          <w:rFonts w:ascii="Times New Roman" w:hAnsi="Times New Roman" w:cs="Times New Roman"/>
          <w:i/>
        </w:rPr>
        <w:t>Powder Technol.</w:t>
      </w:r>
      <w:r w:rsidRPr="00B37812">
        <w:rPr>
          <w:rFonts w:ascii="Times New Roman" w:hAnsi="Times New Roman" w:cs="Times New Roman"/>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287</w:t>
      </w:r>
      <w:r w:rsidRPr="00B37812">
        <w:rPr>
          <w:rFonts w:ascii="Times New Roman" w:hAnsi="Times New Roman" w:cs="Times New Roman"/>
        </w:rPr>
        <w:t>, 308-314.</w:t>
      </w:r>
      <w:bookmarkEnd w:id="41"/>
    </w:p>
    <w:p w14:paraId="7E2ED9E1"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2" w:name="_ENREF_42"/>
      <w:r w:rsidRPr="00B37812">
        <w:rPr>
          <w:rFonts w:ascii="Times New Roman" w:hAnsi="Times New Roman" w:cs="Times New Roman"/>
        </w:rPr>
        <w:t xml:space="preserve">C. C. Ferrari, S. P. M. Germer, I. D. Alvim, F. Z. Vissotto and J. M. de Aguirre, </w:t>
      </w:r>
      <w:r w:rsidRPr="00B37812">
        <w:rPr>
          <w:rFonts w:ascii="Times New Roman" w:hAnsi="Times New Roman" w:cs="Times New Roman"/>
          <w:i/>
        </w:rPr>
        <w:t>Int. J. Food Sci. Tech.</w:t>
      </w:r>
      <w:r w:rsidRPr="00B37812">
        <w:rPr>
          <w:rFonts w:ascii="Times New Roman" w:hAnsi="Times New Roman" w:cs="Times New Roman"/>
        </w:rPr>
        <w:t xml:space="preserve"> </w:t>
      </w:r>
      <w:r w:rsidRPr="00B37812">
        <w:rPr>
          <w:rFonts w:ascii="Times New Roman" w:hAnsi="Times New Roman" w:cs="Times New Roman"/>
          <w:b/>
        </w:rPr>
        <w:t>2012</w:t>
      </w:r>
      <w:r w:rsidRPr="00B37812">
        <w:rPr>
          <w:rFonts w:ascii="Times New Roman" w:hAnsi="Times New Roman" w:cs="Times New Roman"/>
        </w:rPr>
        <w:t xml:space="preserve">, </w:t>
      </w:r>
      <w:r w:rsidRPr="00B37812">
        <w:rPr>
          <w:rFonts w:ascii="Times New Roman" w:hAnsi="Times New Roman" w:cs="Times New Roman"/>
          <w:i/>
        </w:rPr>
        <w:t>47</w:t>
      </w:r>
      <w:r w:rsidRPr="00B37812">
        <w:rPr>
          <w:rFonts w:ascii="Times New Roman" w:hAnsi="Times New Roman" w:cs="Times New Roman"/>
        </w:rPr>
        <w:t>, 1237-1245.</w:t>
      </w:r>
      <w:bookmarkEnd w:id="42"/>
    </w:p>
    <w:p w14:paraId="7A8A48B5"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3" w:name="_ENREF_43"/>
      <w:r w:rsidRPr="00B37812">
        <w:rPr>
          <w:rFonts w:ascii="Times New Roman" w:hAnsi="Times New Roman" w:cs="Times New Roman"/>
        </w:rPr>
        <w:t xml:space="preserve">S. Murali, A. Kar, D. Mohapatra and P. Kalia, </w:t>
      </w:r>
      <w:r w:rsidRPr="00B37812">
        <w:rPr>
          <w:rFonts w:ascii="Times New Roman" w:hAnsi="Times New Roman" w:cs="Times New Roman"/>
          <w:i/>
        </w:rPr>
        <w:t>Food Sci. Technol. Int.</w:t>
      </w:r>
      <w:r w:rsidRPr="00B37812">
        <w:rPr>
          <w:rFonts w:ascii="Times New Roman" w:hAnsi="Times New Roman" w:cs="Times New Roman"/>
        </w:rPr>
        <w:t xml:space="preserve">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21</w:t>
      </w:r>
      <w:r w:rsidRPr="00B37812">
        <w:rPr>
          <w:rFonts w:ascii="Times New Roman" w:hAnsi="Times New Roman" w:cs="Times New Roman"/>
        </w:rPr>
        <w:t>, 604-612.</w:t>
      </w:r>
      <w:bookmarkEnd w:id="43"/>
    </w:p>
    <w:p w14:paraId="6AB839C6"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4" w:name="_ENREF_44"/>
      <w:r w:rsidRPr="00B37812">
        <w:rPr>
          <w:rFonts w:ascii="Times New Roman" w:hAnsi="Times New Roman" w:cs="Times New Roman"/>
        </w:rPr>
        <w:t xml:space="preserve">Q. Shi, Z. Fang and B. Bhandari, </w:t>
      </w:r>
      <w:r w:rsidRPr="00B37812">
        <w:rPr>
          <w:rFonts w:ascii="Times New Roman" w:hAnsi="Times New Roman" w:cs="Times New Roman"/>
          <w:i/>
        </w:rPr>
        <w:t>Drying Technol.</w:t>
      </w:r>
      <w:r w:rsidRPr="00B37812">
        <w:rPr>
          <w:rFonts w:ascii="Times New Roman" w:hAnsi="Times New Roman" w:cs="Times New Roman"/>
        </w:rPr>
        <w:t xml:space="preserve"> </w:t>
      </w:r>
      <w:r w:rsidRPr="00B37812">
        <w:rPr>
          <w:rFonts w:ascii="Times New Roman" w:hAnsi="Times New Roman" w:cs="Times New Roman"/>
          <w:b/>
        </w:rPr>
        <w:t>2013</w:t>
      </w:r>
      <w:r w:rsidRPr="00B37812">
        <w:rPr>
          <w:rFonts w:ascii="Times New Roman" w:hAnsi="Times New Roman" w:cs="Times New Roman"/>
        </w:rPr>
        <w:t xml:space="preserve">, </w:t>
      </w:r>
      <w:r w:rsidRPr="00B37812">
        <w:rPr>
          <w:rFonts w:ascii="Times New Roman" w:hAnsi="Times New Roman" w:cs="Times New Roman"/>
          <w:i/>
        </w:rPr>
        <w:t>31</w:t>
      </w:r>
      <w:r w:rsidRPr="00B37812">
        <w:rPr>
          <w:rFonts w:ascii="Times New Roman" w:hAnsi="Times New Roman" w:cs="Times New Roman"/>
        </w:rPr>
        <w:t>, 1681-1692.</w:t>
      </w:r>
      <w:bookmarkEnd w:id="44"/>
    </w:p>
    <w:p w14:paraId="207E41ED"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5" w:name="_ENREF_45"/>
      <w:r w:rsidRPr="00B37812">
        <w:rPr>
          <w:rFonts w:ascii="Times New Roman" w:hAnsi="Times New Roman" w:cs="Times New Roman"/>
        </w:rPr>
        <w:t xml:space="preserve">T. Seerangurayar, A. Manickavasagan, A. M. Al-Ismaili and Y. A. Al-Mulla, </w:t>
      </w:r>
      <w:r w:rsidRPr="00B37812">
        <w:rPr>
          <w:rFonts w:ascii="Times New Roman" w:hAnsi="Times New Roman" w:cs="Times New Roman"/>
          <w:i/>
        </w:rPr>
        <w:t>Drying Technol.</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1-12.</w:t>
      </w:r>
      <w:bookmarkEnd w:id="45"/>
    </w:p>
    <w:p w14:paraId="30664CB5"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6" w:name="_ENREF_46"/>
      <w:r w:rsidRPr="00B37812">
        <w:rPr>
          <w:rFonts w:ascii="Times New Roman" w:hAnsi="Times New Roman" w:cs="Times New Roman"/>
        </w:rPr>
        <w:t xml:space="preserve">R. V. d. B. Fernandes, D. A. Botrel, E. K. Silva, C. G. Pereira, E. L. d. Carmo, A. L. d. A. Dessimoni and S. V. Borges, </w:t>
      </w:r>
      <w:r w:rsidRPr="00B37812">
        <w:rPr>
          <w:rFonts w:ascii="Times New Roman" w:hAnsi="Times New Roman" w:cs="Times New Roman"/>
          <w:i/>
        </w:rPr>
        <w:t>Drying Technol.</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35</w:t>
      </w:r>
      <w:r w:rsidRPr="00B37812">
        <w:rPr>
          <w:rFonts w:ascii="Times New Roman" w:hAnsi="Times New Roman" w:cs="Times New Roman"/>
        </w:rPr>
        <w:t>, 1098-1107.</w:t>
      </w:r>
      <w:bookmarkEnd w:id="46"/>
    </w:p>
    <w:p w14:paraId="1E5B0471"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7" w:name="_ENREF_47"/>
      <w:r w:rsidRPr="00B37812">
        <w:rPr>
          <w:rFonts w:ascii="Times New Roman" w:hAnsi="Times New Roman" w:cs="Times New Roman"/>
        </w:rPr>
        <w:t xml:space="preserve">R. V. d. B. Fernandes, S. V. Borges, D. A. Botrel and C. R. d. Oliveira, </w:t>
      </w:r>
      <w:r w:rsidRPr="00B37812">
        <w:rPr>
          <w:rFonts w:ascii="Times New Roman" w:hAnsi="Times New Roman" w:cs="Times New Roman"/>
          <w:i/>
        </w:rPr>
        <w:t>Int. J. Food Sci. Tech.</w:t>
      </w:r>
      <w:r w:rsidRPr="00B37812">
        <w:rPr>
          <w:rFonts w:ascii="Times New Roman" w:hAnsi="Times New Roman" w:cs="Times New Roman"/>
        </w:rPr>
        <w:t xml:space="preserve"> </w:t>
      </w:r>
      <w:r w:rsidRPr="00B37812">
        <w:rPr>
          <w:rFonts w:ascii="Times New Roman" w:hAnsi="Times New Roman" w:cs="Times New Roman"/>
          <w:b/>
        </w:rPr>
        <w:t>2014</w:t>
      </w:r>
      <w:r w:rsidRPr="00B37812">
        <w:rPr>
          <w:rFonts w:ascii="Times New Roman" w:hAnsi="Times New Roman" w:cs="Times New Roman"/>
        </w:rPr>
        <w:t xml:space="preserve">, </w:t>
      </w:r>
      <w:r w:rsidRPr="00B37812">
        <w:rPr>
          <w:rFonts w:ascii="Times New Roman" w:hAnsi="Times New Roman" w:cs="Times New Roman"/>
          <w:i/>
        </w:rPr>
        <w:t>49</w:t>
      </w:r>
      <w:r w:rsidRPr="00B37812">
        <w:rPr>
          <w:rFonts w:ascii="Times New Roman" w:hAnsi="Times New Roman" w:cs="Times New Roman"/>
        </w:rPr>
        <w:t>, 1522-1529.</w:t>
      </w:r>
      <w:bookmarkEnd w:id="47"/>
    </w:p>
    <w:p w14:paraId="6040D4DB"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8" w:name="_ENREF_48"/>
      <w:r w:rsidRPr="00B37812">
        <w:rPr>
          <w:rFonts w:ascii="Times New Roman" w:hAnsi="Times New Roman" w:cs="Times New Roman"/>
        </w:rPr>
        <w:t xml:space="preserve">S. Saikia, N. K. Mahnot and C. L. Mahanta, </w:t>
      </w:r>
      <w:r w:rsidRPr="00B37812">
        <w:rPr>
          <w:rFonts w:ascii="Times New Roman" w:hAnsi="Times New Roman" w:cs="Times New Roman"/>
          <w:i/>
        </w:rPr>
        <w:t>Food Chem.</w:t>
      </w:r>
      <w:r w:rsidRPr="00B37812">
        <w:rPr>
          <w:rFonts w:ascii="Times New Roman" w:hAnsi="Times New Roman" w:cs="Times New Roman"/>
        </w:rPr>
        <w:t xml:space="preserve"> </w:t>
      </w:r>
      <w:r w:rsidRPr="00B37812">
        <w:rPr>
          <w:rFonts w:ascii="Times New Roman" w:hAnsi="Times New Roman" w:cs="Times New Roman"/>
          <w:b/>
        </w:rPr>
        <w:t>2015</w:t>
      </w:r>
      <w:r w:rsidRPr="00B37812">
        <w:rPr>
          <w:rFonts w:ascii="Times New Roman" w:hAnsi="Times New Roman" w:cs="Times New Roman"/>
        </w:rPr>
        <w:t xml:space="preserve">, </w:t>
      </w:r>
      <w:r w:rsidRPr="00B37812">
        <w:rPr>
          <w:rFonts w:ascii="Times New Roman" w:hAnsi="Times New Roman" w:cs="Times New Roman"/>
          <w:i/>
        </w:rPr>
        <w:t>171</w:t>
      </w:r>
      <w:r w:rsidRPr="00B37812">
        <w:rPr>
          <w:rFonts w:ascii="Times New Roman" w:hAnsi="Times New Roman" w:cs="Times New Roman"/>
        </w:rPr>
        <w:t>, 144-152.</w:t>
      </w:r>
      <w:bookmarkEnd w:id="48"/>
    </w:p>
    <w:p w14:paraId="75AB3145"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49" w:name="_ENREF_49"/>
      <w:r w:rsidRPr="00B37812">
        <w:rPr>
          <w:rFonts w:ascii="Times New Roman" w:hAnsi="Times New Roman" w:cs="Times New Roman"/>
        </w:rPr>
        <w:t xml:space="preserve">L. E. Kurozawa, K. J. Park and M. D. Hubinger, </w:t>
      </w:r>
      <w:r w:rsidRPr="00B37812">
        <w:rPr>
          <w:rFonts w:ascii="Times New Roman" w:hAnsi="Times New Roman" w:cs="Times New Roman"/>
          <w:i/>
        </w:rPr>
        <w:t>J. Food Eng.</w:t>
      </w:r>
      <w:r w:rsidRPr="00B37812">
        <w:rPr>
          <w:rFonts w:ascii="Times New Roman" w:hAnsi="Times New Roman" w:cs="Times New Roman"/>
        </w:rPr>
        <w:t xml:space="preserve"> </w:t>
      </w:r>
      <w:r w:rsidRPr="00B37812">
        <w:rPr>
          <w:rFonts w:ascii="Times New Roman" w:hAnsi="Times New Roman" w:cs="Times New Roman"/>
          <w:b/>
        </w:rPr>
        <w:t>2009</w:t>
      </w:r>
      <w:r w:rsidRPr="00B37812">
        <w:rPr>
          <w:rFonts w:ascii="Times New Roman" w:hAnsi="Times New Roman" w:cs="Times New Roman"/>
        </w:rPr>
        <w:t xml:space="preserve">, </w:t>
      </w:r>
      <w:r w:rsidRPr="00B37812">
        <w:rPr>
          <w:rFonts w:ascii="Times New Roman" w:hAnsi="Times New Roman" w:cs="Times New Roman"/>
          <w:i/>
        </w:rPr>
        <w:t>91</w:t>
      </w:r>
      <w:r w:rsidRPr="00B37812">
        <w:rPr>
          <w:rFonts w:ascii="Times New Roman" w:hAnsi="Times New Roman" w:cs="Times New Roman"/>
        </w:rPr>
        <w:t>, 287-296.</w:t>
      </w:r>
      <w:bookmarkEnd w:id="49"/>
    </w:p>
    <w:p w14:paraId="3E4EC59C"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50" w:name="_ENREF_50"/>
      <w:r w:rsidRPr="00B37812">
        <w:rPr>
          <w:rFonts w:ascii="Times New Roman" w:hAnsi="Times New Roman" w:cs="Times New Roman"/>
        </w:rPr>
        <w:t xml:space="preserve">S. Fongin, K. Kawai, N. Harnkarnsujarit and Y. Hagura, </w:t>
      </w:r>
      <w:r w:rsidRPr="00B37812">
        <w:rPr>
          <w:rFonts w:ascii="Times New Roman" w:hAnsi="Times New Roman" w:cs="Times New Roman"/>
          <w:i/>
        </w:rPr>
        <w:t>J. Food Eng.</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210</w:t>
      </w:r>
      <w:r w:rsidRPr="00B37812">
        <w:rPr>
          <w:rFonts w:ascii="Times New Roman" w:hAnsi="Times New Roman" w:cs="Times New Roman"/>
        </w:rPr>
        <w:t>, 91-97.</w:t>
      </w:r>
      <w:bookmarkEnd w:id="50"/>
    </w:p>
    <w:p w14:paraId="5BAAC937"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51" w:name="_ENREF_51"/>
      <w:r w:rsidRPr="00B37812">
        <w:rPr>
          <w:rFonts w:ascii="Times New Roman" w:hAnsi="Times New Roman" w:cs="Times New Roman"/>
        </w:rPr>
        <w:t xml:space="preserve">M. Bitar, G. Roudaut, J. Maalouly, S. Brandès, R. D. Gougeon, P. Cayot and E. Bou-Maroun, </w:t>
      </w:r>
      <w:r w:rsidRPr="00B37812">
        <w:rPr>
          <w:rFonts w:ascii="Times New Roman" w:hAnsi="Times New Roman" w:cs="Times New Roman"/>
          <w:i/>
        </w:rPr>
        <w:t>React. Funct. Polym.</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114</w:t>
      </w:r>
      <w:r w:rsidRPr="00B37812">
        <w:rPr>
          <w:rFonts w:ascii="Times New Roman" w:hAnsi="Times New Roman" w:cs="Times New Roman"/>
        </w:rPr>
        <w:t>, 1-7.</w:t>
      </w:r>
      <w:bookmarkEnd w:id="51"/>
    </w:p>
    <w:p w14:paraId="1B2F4548" w14:textId="77777777" w:rsidR="00E124D1" w:rsidRPr="00B37812" w:rsidRDefault="00E124D1" w:rsidP="006A03F0">
      <w:pPr>
        <w:pStyle w:val="EndNoteBibliography"/>
        <w:numPr>
          <w:ilvl w:val="0"/>
          <w:numId w:val="7"/>
        </w:numPr>
        <w:spacing w:after="360"/>
        <w:rPr>
          <w:rFonts w:ascii="Times New Roman" w:hAnsi="Times New Roman" w:cs="Times New Roman"/>
        </w:rPr>
      </w:pPr>
      <w:bookmarkStart w:id="52" w:name="_ENREF_52"/>
      <w:r w:rsidRPr="00B37812">
        <w:rPr>
          <w:rFonts w:ascii="Times New Roman" w:hAnsi="Times New Roman" w:cs="Times New Roman"/>
        </w:rPr>
        <w:t xml:space="preserve">L. D. Daza, A. Fujita, C. S. Fávaro-Trindade, J. N. Rodrigues-Ract, D. Granato and M. I. Genovese, </w:t>
      </w:r>
      <w:r w:rsidRPr="00B37812">
        <w:rPr>
          <w:rFonts w:ascii="Times New Roman" w:hAnsi="Times New Roman" w:cs="Times New Roman"/>
          <w:i/>
        </w:rPr>
        <w:t>Food Bioprod. Process.</w:t>
      </w:r>
      <w:r w:rsidRPr="00B37812">
        <w:rPr>
          <w:rFonts w:ascii="Times New Roman" w:hAnsi="Times New Roman" w:cs="Times New Roman"/>
        </w:rPr>
        <w:t xml:space="preserve"> </w:t>
      </w:r>
      <w:r w:rsidRPr="00B37812">
        <w:rPr>
          <w:rFonts w:ascii="Times New Roman" w:hAnsi="Times New Roman" w:cs="Times New Roman"/>
          <w:b/>
        </w:rPr>
        <w:t>2016</w:t>
      </w:r>
      <w:r w:rsidRPr="00B37812">
        <w:rPr>
          <w:rFonts w:ascii="Times New Roman" w:hAnsi="Times New Roman" w:cs="Times New Roman"/>
        </w:rPr>
        <w:t xml:space="preserve">, </w:t>
      </w:r>
      <w:r w:rsidRPr="00B37812">
        <w:rPr>
          <w:rFonts w:ascii="Times New Roman" w:hAnsi="Times New Roman" w:cs="Times New Roman"/>
          <w:i/>
        </w:rPr>
        <w:t>97</w:t>
      </w:r>
      <w:r w:rsidRPr="00B37812">
        <w:rPr>
          <w:rFonts w:ascii="Times New Roman" w:hAnsi="Times New Roman" w:cs="Times New Roman"/>
        </w:rPr>
        <w:t>, 20-29.</w:t>
      </w:r>
      <w:bookmarkEnd w:id="52"/>
    </w:p>
    <w:p w14:paraId="0A26DAD2" w14:textId="77777777" w:rsidR="00E124D1" w:rsidRPr="00B37812" w:rsidRDefault="00E124D1" w:rsidP="006A03F0">
      <w:pPr>
        <w:pStyle w:val="EndNoteBibliography"/>
        <w:numPr>
          <w:ilvl w:val="0"/>
          <w:numId w:val="7"/>
        </w:numPr>
        <w:rPr>
          <w:rFonts w:ascii="Times New Roman" w:hAnsi="Times New Roman" w:cs="Times New Roman"/>
        </w:rPr>
      </w:pPr>
      <w:bookmarkStart w:id="53" w:name="_ENREF_53"/>
      <w:r w:rsidRPr="00B37812">
        <w:rPr>
          <w:rFonts w:ascii="Times New Roman" w:hAnsi="Times New Roman" w:cs="Times New Roman"/>
        </w:rPr>
        <w:t xml:space="preserve">V. T. Šaponjac, G. Ćetković, J. Čanadanović-Brunet, S. Djilas, B. Pajin, J. Petrović, S. Stajčić and J. Vulić, </w:t>
      </w:r>
      <w:r w:rsidRPr="00B37812">
        <w:rPr>
          <w:rFonts w:ascii="Times New Roman" w:hAnsi="Times New Roman" w:cs="Times New Roman"/>
          <w:i/>
        </w:rPr>
        <w:t>Acta Chimica Slovenica</w:t>
      </w:r>
      <w:r w:rsidRPr="00B37812">
        <w:rPr>
          <w:rFonts w:ascii="Times New Roman" w:hAnsi="Times New Roman" w:cs="Times New Roman"/>
        </w:rPr>
        <w:t xml:space="preserve"> </w:t>
      </w:r>
      <w:r w:rsidRPr="00B37812">
        <w:rPr>
          <w:rFonts w:ascii="Times New Roman" w:hAnsi="Times New Roman" w:cs="Times New Roman"/>
          <w:b/>
        </w:rPr>
        <w:t>2017</w:t>
      </w:r>
      <w:r w:rsidRPr="00B37812">
        <w:rPr>
          <w:rFonts w:ascii="Times New Roman" w:hAnsi="Times New Roman" w:cs="Times New Roman"/>
        </w:rPr>
        <w:t xml:space="preserve">, </w:t>
      </w:r>
      <w:r w:rsidRPr="00B37812">
        <w:rPr>
          <w:rFonts w:ascii="Times New Roman" w:hAnsi="Times New Roman" w:cs="Times New Roman"/>
          <w:i/>
        </w:rPr>
        <w:t>64</w:t>
      </w:r>
      <w:r w:rsidRPr="00B37812">
        <w:rPr>
          <w:rFonts w:ascii="Times New Roman" w:hAnsi="Times New Roman" w:cs="Times New Roman"/>
        </w:rPr>
        <w:t>, 283-289.</w:t>
      </w:r>
      <w:bookmarkEnd w:id="53"/>
    </w:p>
    <w:p w14:paraId="0D71E759" w14:textId="290A45DC" w:rsidR="00247980" w:rsidRPr="00B37812" w:rsidRDefault="00B85163" w:rsidP="00A330CD">
      <w:pPr>
        <w:pStyle w:val="EndNoteBibliography"/>
        <w:spacing w:line="360" w:lineRule="auto"/>
        <w:rPr>
          <w:rFonts w:ascii="Times New Roman" w:hAnsi="Times New Roman" w:cs="Times New Roman"/>
        </w:rPr>
      </w:pPr>
      <w:r w:rsidRPr="00B37812">
        <w:rPr>
          <w:rFonts w:ascii="Times New Roman" w:hAnsi="Times New Roman" w:cs="Times New Roman"/>
        </w:rPr>
        <w:fldChar w:fldCharType="end"/>
      </w:r>
    </w:p>
    <w:sectPr w:rsidR="00247980" w:rsidRPr="00B37812" w:rsidSect="002C02A7">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3AFED" w14:textId="77777777" w:rsidR="001C2BA1" w:rsidRDefault="001C2BA1">
      <w:pPr>
        <w:spacing w:after="0" w:line="240" w:lineRule="auto"/>
      </w:pPr>
      <w:r>
        <w:separator/>
      </w:r>
    </w:p>
  </w:endnote>
  <w:endnote w:type="continuationSeparator" w:id="0">
    <w:p w14:paraId="260DAE33" w14:textId="77777777" w:rsidR="001C2BA1" w:rsidRDefault="001C2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00004FF" w:usb2="00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dvOT7fb33346.I">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dvTT5235d5a9+fb">
    <w:altName w:val="MV Boli"/>
    <w:panose1 w:val="00000000000000000000"/>
    <w:charset w:val="00"/>
    <w:family w:val="roman"/>
    <w:notTrueType/>
    <w:pitch w:val="default"/>
    <w:sig w:usb0="00000003" w:usb1="00000000" w:usb2="00000000" w:usb3="00000000" w:csb0="00000001" w:csb1="00000000"/>
  </w:font>
  <w:font w:name="AdvOTb92eb7df.I">
    <w:panose1 w:val="00000000000000000000"/>
    <w:charset w:val="00"/>
    <w:family w:val="roman"/>
    <w:notTrueType/>
    <w:pitch w:val="default"/>
  </w:font>
  <w:font w:name="AdvP4C4E51">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4"/>
        <w:szCs w:val="24"/>
      </w:rPr>
      <w:id w:val="-456418420"/>
      <w:docPartObj>
        <w:docPartGallery w:val="Page Numbers (Bottom of Page)"/>
        <w:docPartUnique/>
      </w:docPartObj>
    </w:sdtPr>
    <w:sdtEndPr>
      <w:rPr>
        <w:noProof/>
      </w:rPr>
    </w:sdtEndPr>
    <w:sdtContent>
      <w:p w14:paraId="5E7373B0" w14:textId="2048BE0D" w:rsidR="00927E41" w:rsidRPr="00432C80" w:rsidRDefault="00927E41">
        <w:pPr>
          <w:pStyle w:val="Footer"/>
          <w:jc w:val="center"/>
          <w:rPr>
            <w:rFonts w:ascii="Cambria" w:hAnsi="Cambria"/>
            <w:sz w:val="24"/>
            <w:szCs w:val="24"/>
          </w:rPr>
        </w:pPr>
        <w:r w:rsidRPr="00432C80">
          <w:rPr>
            <w:rFonts w:ascii="Cambria" w:hAnsi="Cambria"/>
            <w:sz w:val="24"/>
            <w:szCs w:val="24"/>
          </w:rPr>
          <w:fldChar w:fldCharType="begin"/>
        </w:r>
        <w:r w:rsidRPr="00432C80">
          <w:rPr>
            <w:rFonts w:ascii="Cambria" w:hAnsi="Cambria"/>
            <w:sz w:val="24"/>
            <w:szCs w:val="24"/>
          </w:rPr>
          <w:instrText xml:space="preserve"> PAGE   \* MERGEFORMAT </w:instrText>
        </w:r>
        <w:r w:rsidRPr="00432C80">
          <w:rPr>
            <w:rFonts w:ascii="Cambria" w:hAnsi="Cambria"/>
            <w:sz w:val="24"/>
            <w:szCs w:val="24"/>
          </w:rPr>
          <w:fldChar w:fldCharType="separate"/>
        </w:r>
        <w:r w:rsidR="001C2BA1">
          <w:rPr>
            <w:rFonts w:ascii="Cambria" w:hAnsi="Cambria"/>
            <w:noProof/>
            <w:sz w:val="24"/>
            <w:szCs w:val="24"/>
          </w:rPr>
          <w:t>1</w:t>
        </w:r>
        <w:r w:rsidRPr="00432C80">
          <w:rPr>
            <w:rFonts w:ascii="Cambria" w:hAnsi="Cambria"/>
            <w:noProof/>
            <w:sz w:val="24"/>
            <w:szCs w:val="24"/>
          </w:rPr>
          <w:fldChar w:fldCharType="end"/>
        </w:r>
      </w:p>
    </w:sdtContent>
  </w:sdt>
  <w:p w14:paraId="0E2A11CA" w14:textId="77777777" w:rsidR="00927E41" w:rsidRPr="00432C80" w:rsidRDefault="00927E41">
    <w:pPr>
      <w:pStyle w:val="Footer"/>
      <w:rPr>
        <w:rFonts w:ascii="Cambria" w:hAnsi="Cambri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4"/>
        <w:szCs w:val="24"/>
      </w:rPr>
      <w:id w:val="-665237676"/>
      <w:docPartObj>
        <w:docPartGallery w:val="Page Numbers (Bottom of Page)"/>
        <w:docPartUnique/>
      </w:docPartObj>
    </w:sdtPr>
    <w:sdtEndPr>
      <w:rPr>
        <w:noProof/>
      </w:rPr>
    </w:sdtEndPr>
    <w:sdtContent>
      <w:p w14:paraId="72A25F6C" w14:textId="44365897" w:rsidR="00927E41" w:rsidRPr="00432C80" w:rsidRDefault="00927E41">
        <w:pPr>
          <w:pStyle w:val="Footer"/>
          <w:jc w:val="center"/>
          <w:rPr>
            <w:rFonts w:ascii="Cambria" w:hAnsi="Cambria"/>
            <w:sz w:val="24"/>
            <w:szCs w:val="24"/>
          </w:rPr>
        </w:pPr>
        <w:r w:rsidRPr="00432C80">
          <w:rPr>
            <w:rFonts w:ascii="Cambria" w:hAnsi="Cambria"/>
            <w:sz w:val="24"/>
            <w:szCs w:val="24"/>
          </w:rPr>
          <w:fldChar w:fldCharType="begin"/>
        </w:r>
        <w:r w:rsidRPr="00432C80">
          <w:rPr>
            <w:rFonts w:ascii="Cambria" w:hAnsi="Cambria"/>
            <w:sz w:val="24"/>
            <w:szCs w:val="24"/>
          </w:rPr>
          <w:instrText xml:space="preserve"> PAGE   \* MERGEFORMAT </w:instrText>
        </w:r>
        <w:r w:rsidRPr="00432C80">
          <w:rPr>
            <w:rFonts w:ascii="Cambria" w:hAnsi="Cambria"/>
            <w:sz w:val="24"/>
            <w:szCs w:val="24"/>
          </w:rPr>
          <w:fldChar w:fldCharType="separate"/>
        </w:r>
        <w:r w:rsidR="00DA37B1">
          <w:rPr>
            <w:rFonts w:ascii="Cambria" w:hAnsi="Cambria"/>
            <w:noProof/>
            <w:sz w:val="24"/>
            <w:szCs w:val="24"/>
          </w:rPr>
          <w:t>21</w:t>
        </w:r>
        <w:r w:rsidRPr="00432C80">
          <w:rPr>
            <w:rFonts w:ascii="Cambria" w:hAnsi="Cambria"/>
            <w:noProof/>
            <w:sz w:val="24"/>
            <w:szCs w:val="24"/>
          </w:rPr>
          <w:fldChar w:fldCharType="end"/>
        </w:r>
      </w:p>
    </w:sdtContent>
  </w:sdt>
  <w:p w14:paraId="5A33AE9D" w14:textId="77777777" w:rsidR="00927E41" w:rsidRPr="00432C80" w:rsidRDefault="00927E41">
    <w:pPr>
      <w:pStyle w:val="Footer"/>
      <w:rPr>
        <w:rFonts w:ascii="Cambria" w:hAnsi="Cambri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E2DDE" w14:textId="77777777" w:rsidR="001C2BA1" w:rsidRDefault="001C2BA1">
      <w:pPr>
        <w:spacing w:after="0" w:line="240" w:lineRule="auto"/>
      </w:pPr>
      <w:r>
        <w:separator/>
      </w:r>
    </w:p>
  </w:footnote>
  <w:footnote w:type="continuationSeparator" w:id="0">
    <w:p w14:paraId="79460686" w14:textId="77777777" w:rsidR="001C2BA1" w:rsidRDefault="001C2BA1">
      <w:pPr>
        <w:spacing w:after="0" w:line="240" w:lineRule="auto"/>
      </w:pPr>
      <w:r>
        <w:continuationSeparator/>
      </w:r>
    </w:p>
  </w:footnote>
  <w:footnote w:id="1">
    <w:p w14:paraId="723B923C" w14:textId="23BFE7F7" w:rsidR="00927E41" w:rsidRDefault="00927E41" w:rsidP="00B85163">
      <w:pPr>
        <w:pStyle w:val="FootnoteText"/>
        <w:jc w:val="both"/>
      </w:pPr>
      <w:r w:rsidRPr="00F86BFE">
        <w:rPr>
          <w:rStyle w:val="FootnoteReference"/>
        </w:rPr>
        <w:footnoteRef/>
      </w:r>
      <w:r w:rsidRPr="00F86BFE">
        <w:t xml:space="preserve"> </w:t>
      </w:r>
      <w:r w:rsidRPr="00F86BFE">
        <w:rPr>
          <w:rFonts w:ascii="Cambria" w:eastAsia="Calibri" w:hAnsi="Cambria" w:cs="Arial"/>
          <w:bCs/>
          <w:lang w:eastAsia="en-US"/>
        </w:rPr>
        <w:t>CMC- sodium carboxymethyl cellulose, MD-maltodextrin, CHA-</w:t>
      </w:r>
      <w:r>
        <w:rPr>
          <w:rFonts w:ascii="Cambria" w:eastAsia="Calibri" w:hAnsi="Cambria" w:cs="Arial"/>
          <w:bCs/>
          <w:lang w:eastAsia="en-US"/>
        </w:rPr>
        <w:t>c</w:t>
      </w:r>
      <w:r w:rsidRPr="00F86BFE">
        <w:rPr>
          <w:rFonts w:ascii="Cambria" w:eastAsia="Calibri" w:hAnsi="Cambria" w:cs="Arial"/>
          <w:bCs/>
          <w:lang w:eastAsia="en-US"/>
        </w:rPr>
        <w:t>hlorogenic acid, CA-caffeic acid, K7G-kaempferol-7-O-glucoside, Q3R-quercetin-3-rutinose, Q3G-quercetin-3-O-glucoside, K3R-kaempferol 3-(6-rhamnosylglucoside), Q3M-quercetin 3-(6-malonylglucoside), K3G-kaempferol-3-glucoside, K3M-kaempferol 3-(6-malonylglucoside), DNJ-</w:t>
      </w:r>
      <w:hyperlink r:id="rId1" w:history="1">
        <w:r w:rsidRPr="00F86BFE">
          <w:rPr>
            <w:rFonts w:ascii="Cambria" w:eastAsia="Calibri" w:hAnsi="Cambria" w:cs="Arial"/>
            <w:bCs/>
            <w:lang w:eastAsia="en-US"/>
          </w:rPr>
          <w:t>1-deoxynojirimycin</w:t>
        </w:r>
      </w:hyperlink>
      <w:r w:rsidRPr="00F86BFE">
        <w:rPr>
          <w:rFonts w:ascii="Cambria" w:eastAsia="Calibri" w:hAnsi="Cambria" w:cs="Arial"/>
          <w:bCs/>
          <w:lang w:eastAsia="en-US"/>
        </w:rPr>
        <w:t>, GABA-Gamma-aminobutyric acid, ABTS-2,2-azino-bis-(3-ethylbenzothiazoline-6-sulfonic acid), CUPRAC-cupric ion reducing capacity, DPPH-1,1-diphenyl-2-picrylhydrazyl, FRAP-ferric reducing antioxidant power capacity, AA-antioxidant activities</w:t>
      </w:r>
      <w:r>
        <w:rPr>
          <w:rFonts w:ascii="Cambria" w:eastAsia="Calibri" w:hAnsi="Cambria" w:cs="Arial"/>
          <w:bCs/>
          <w:lang w:eastAsia="en-US"/>
        </w:rPr>
        <w:t>,</w:t>
      </w:r>
      <w:r w:rsidRPr="00F86BFE">
        <w:rPr>
          <w:rFonts w:ascii="Cambria" w:eastAsia="Calibri" w:hAnsi="Cambria" w:cs="Arial"/>
          <w:bCs/>
          <w:lang w:eastAsia="en-US"/>
        </w:rPr>
        <w:t xml:space="preserve"> </w:t>
      </w:r>
      <w:r>
        <w:rPr>
          <w:rFonts w:ascii="Cambria" w:eastAsia="Calibri" w:hAnsi="Cambria" w:cs="Arial"/>
          <w:bCs/>
          <w:lang w:eastAsia="en-US"/>
        </w:rPr>
        <w:t>NE</w:t>
      </w:r>
      <w:r w:rsidRPr="00F86BFE">
        <w:rPr>
          <w:rFonts w:ascii="Cambria" w:eastAsia="Calibri" w:hAnsi="Cambria" w:cs="Arial"/>
          <w:bCs/>
          <w:lang w:eastAsia="en-US"/>
        </w:rPr>
        <w:t>-</w:t>
      </w:r>
      <w:r>
        <w:rPr>
          <w:rFonts w:ascii="Cambria" w:eastAsia="Calibri" w:hAnsi="Cambria" w:cs="Arial"/>
          <w:bCs/>
          <w:lang w:eastAsia="en-US"/>
        </w:rPr>
        <w:t>nutraceutical</w:t>
      </w:r>
      <w:r w:rsidRPr="00F86BFE">
        <w:rPr>
          <w:rFonts w:ascii="Cambria" w:eastAsia="Calibri" w:hAnsi="Cambria" w:cs="Arial"/>
          <w:bCs/>
          <w:lang w:eastAsia="en-US"/>
        </w:rPr>
        <w:t xml:space="preserve"> extract, ENP-encapsulated nutraceuticals powder, NR-nutraceutical retention, PS-particle size, PD-particle density, BD-bulk density, TD-tapped density, HR-Hausner ratio, CI-Carr index, PO-porosity, WSI-water solubility index, WET-wettability, MC-moisture content, HG-hygroscopicity, GT-glass transition temperature, WA-water activity, </w:t>
      </w:r>
      <w:r w:rsidRPr="00A968BB">
        <w:rPr>
          <w:rFonts w:ascii="Cambria" w:eastAsia="Calibri" w:hAnsi="Cambria" w:cs="Arial"/>
          <w:bCs/>
          <w:i/>
          <w:lang w:eastAsia="en-US"/>
        </w:rPr>
        <w:t>L*</w:t>
      </w:r>
      <w:r w:rsidRPr="00F86BFE">
        <w:rPr>
          <w:rFonts w:ascii="Cambria" w:eastAsia="Calibri" w:hAnsi="Cambria" w:cs="Arial"/>
          <w:bCs/>
          <w:lang w:eastAsia="en-US"/>
        </w:rPr>
        <w:t xml:space="preserve">-lightness, </w:t>
      </w:r>
      <w:r w:rsidRPr="00A968BB">
        <w:rPr>
          <w:rFonts w:ascii="Cambria" w:eastAsia="Calibri" w:hAnsi="Cambria" w:cs="Arial"/>
          <w:bCs/>
          <w:i/>
          <w:lang w:eastAsia="en-US"/>
        </w:rPr>
        <w:t>a*</w:t>
      </w:r>
      <w:r w:rsidRPr="00F86BFE">
        <w:rPr>
          <w:rFonts w:ascii="Cambria" w:eastAsia="Calibri" w:hAnsi="Cambria" w:cs="Arial"/>
          <w:bCs/>
          <w:lang w:eastAsia="en-US"/>
        </w:rPr>
        <w:t xml:space="preserve">-redness, </w:t>
      </w:r>
      <w:r w:rsidRPr="00A968BB">
        <w:rPr>
          <w:rFonts w:ascii="Cambria" w:eastAsia="Calibri" w:hAnsi="Cambria" w:cs="Arial"/>
          <w:bCs/>
          <w:i/>
          <w:lang w:eastAsia="en-US"/>
        </w:rPr>
        <w:t>b*</w:t>
      </w:r>
      <w:r w:rsidRPr="00F86BFE">
        <w:rPr>
          <w:rFonts w:ascii="Cambria" w:eastAsia="Calibri" w:hAnsi="Cambria" w:cs="Arial"/>
          <w:bCs/>
          <w:lang w:eastAsia="en-US"/>
        </w:rPr>
        <w:t xml:space="preserve">-yellowness, </w:t>
      </w:r>
      <w:r w:rsidRPr="00A968BB">
        <w:rPr>
          <w:rFonts w:ascii="Cambria" w:eastAsia="Calibri" w:hAnsi="Cambria" w:cs="Arial"/>
          <w:bCs/>
          <w:i/>
          <w:lang w:eastAsia="en-US"/>
        </w:rPr>
        <w:t>C*</w:t>
      </w:r>
      <w:r w:rsidRPr="00F86BFE">
        <w:rPr>
          <w:rFonts w:ascii="Cambria" w:eastAsia="Calibri" w:hAnsi="Cambria" w:cs="Arial"/>
          <w:bCs/>
          <w:lang w:eastAsia="en-US"/>
        </w:rPr>
        <w:t xml:space="preserve">-chroma, and </w:t>
      </w:r>
      <w:r w:rsidRPr="00A968BB">
        <w:rPr>
          <w:rFonts w:ascii="Cambria" w:eastAsia="Calibri" w:hAnsi="Cambria" w:cs="Arial"/>
          <w:bCs/>
          <w:i/>
          <w:lang w:eastAsia="en-US"/>
        </w:rPr>
        <w:t>H°</w:t>
      </w:r>
      <w:r w:rsidRPr="00F86BFE">
        <w:rPr>
          <w:rFonts w:ascii="Cambria" w:eastAsia="Calibri" w:hAnsi="Cambria" w:cs="Arial"/>
          <w:bCs/>
          <w:lang w:eastAsia="en-US"/>
        </w:rPr>
        <w:t>-Hue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A6CDB"/>
    <w:multiLevelType w:val="hybridMultilevel"/>
    <w:tmpl w:val="A912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121C1C"/>
    <w:multiLevelType w:val="hybridMultilevel"/>
    <w:tmpl w:val="4C32A5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9576C"/>
    <w:multiLevelType w:val="hybridMultilevel"/>
    <w:tmpl w:val="2B4AFE3E"/>
    <w:lvl w:ilvl="0" w:tplc="03F2A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AD77E2"/>
    <w:multiLevelType w:val="hybridMultilevel"/>
    <w:tmpl w:val="B6CC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D559C7"/>
    <w:multiLevelType w:val="hybridMultilevel"/>
    <w:tmpl w:val="05F8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32FDD"/>
    <w:multiLevelType w:val="hybridMultilevel"/>
    <w:tmpl w:val="C38E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368BD"/>
    <w:multiLevelType w:val="hybridMultilevel"/>
    <w:tmpl w:val="CE589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AwNDW3sDA2MjAxMjZV0lEKTi0uzszPAykwMakFAPq0H6MtAAAA"/>
    <w:docVar w:name="EN.InstantFormat" w:val="&lt;ENInstantFormat&gt;&lt;Enabled&gt;0&lt;/Enabled&gt;&lt;ScanUnformatted&gt;1&lt;/ScanUnformatted&gt;&lt;ScanChanges&gt;1&lt;/ScanChanges&gt;&lt;Suspended&gt;0&lt;/Suspended&gt;&lt;/ENInstantFormat&gt;"/>
    <w:docVar w:name="EN.Layout" w:val="&lt;ENLayout&gt;&lt;Style&gt;Acta chimica Slovenica &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1&lt;/HyperlinksVisible&gt;&lt;EnableBibliographyCategories&gt;0&lt;/EnableBibliographyCategories&gt;&lt;/ENLayout&gt;"/>
    <w:docVar w:name="EN.Libraries" w:val="&lt;Libraries&gt;&lt;item db-id=&quot;5wdx0tztgpfe5yefsdpperx8srzetsx0pw9w&quot;&gt;My EndNote Library&lt;record-ids&gt;&lt;item&gt;158&lt;/item&gt;&lt;item&gt;1096&lt;/item&gt;&lt;item&gt;1204&lt;/item&gt;&lt;item&gt;1238&lt;/item&gt;&lt;item&gt;1258&lt;/item&gt;&lt;item&gt;1272&lt;/item&gt;&lt;item&gt;1313&lt;/item&gt;&lt;item&gt;1328&lt;/item&gt;&lt;item&gt;1329&lt;/item&gt;&lt;item&gt;1331&lt;/item&gt;&lt;item&gt;1333&lt;/item&gt;&lt;item&gt;1339&lt;/item&gt;&lt;item&gt;1343&lt;/item&gt;&lt;item&gt;1351&lt;/item&gt;&lt;item&gt;1358&lt;/item&gt;&lt;item&gt;1362&lt;/item&gt;&lt;item&gt;1367&lt;/item&gt;&lt;item&gt;1373&lt;/item&gt;&lt;item&gt;1374&lt;/item&gt;&lt;item&gt;1378&lt;/item&gt;&lt;item&gt;1379&lt;/item&gt;&lt;item&gt;1382&lt;/item&gt;&lt;item&gt;1383&lt;/item&gt;&lt;item&gt;1384&lt;/item&gt;&lt;item&gt;1385&lt;/item&gt;&lt;item&gt;1389&lt;/item&gt;&lt;item&gt;1390&lt;/item&gt;&lt;item&gt;1391&lt;/item&gt;&lt;item&gt;1398&lt;/item&gt;&lt;item&gt;1400&lt;/item&gt;&lt;item&gt;1401&lt;/item&gt;&lt;item&gt;1402&lt;/item&gt;&lt;item&gt;1404&lt;/item&gt;&lt;item&gt;1406&lt;/item&gt;&lt;item&gt;1407&lt;/item&gt;&lt;item&gt;1434&lt;/item&gt;&lt;item&gt;1435&lt;/item&gt;&lt;item&gt;1442&lt;/item&gt;&lt;item&gt;1446&lt;/item&gt;&lt;item&gt;1448&lt;/item&gt;&lt;item&gt;1453&lt;/item&gt;&lt;item&gt;1454&lt;/item&gt;&lt;item&gt;1457&lt;/item&gt;&lt;item&gt;1458&lt;/item&gt;&lt;item&gt;1461&lt;/item&gt;&lt;item&gt;1462&lt;/item&gt;&lt;item&gt;1463&lt;/item&gt;&lt;item&gt;1464&lt;/item&gt;&lt;item&gt;1469&lt;/item&gt;&lt;item&gt;1489&lt;/item&gt;&lt;/record-ids&gt;&lt;/item&gt;&lt;/Libraries&gt;"/>
  </w:docVars>
  <w:rsids>
    <w:rsidRoot w:val="004B15BE"/>
    <w:rsid w:val="000013C4"/>
    <w:rsid w:val="000014BE"/>
    <w:rsid w:val="00001CF6"/>
    <w:rsid w:val="00001E5F"/>
    <w:rsid w:val="0000733E"/>
    <w:rsid w:val="0000756C"/>
    <w:rsid w:val="00010AC4"/>
    <w:rsid w:val="00012C21"/>
    <w:rsid w:val="00021BC3"/>
    <w:rsid w:val="000235FD"/>
    <w:rsid w:val="00025DDB"/>
    <w:rsid w:val="00027962"/>
    <w:rsid w:val="00027CAA"/>
    <w:rsid w:val="00031A88"/>
    <w:rsid w:val="000364F6"/>
    <w:rsid w:val="00043B71"/>
    <w:rsid w:val="000450AB"/>
    <w:rsid w:val="00046EF8"/>
    <w:rsid w:val="00051327"/>
    <w:rsid w:val="00053475"/>
    <w:rsid w:val="00054C38"/>
    <w:rsid w:val="000551AA"/>
    <w:rsid w:val="00057B83"/>
    <w:rsid w:val="00063384"/>
    <w:rsid w:val="0006548B"/>
    <w:rsid w:val="0007023B"/>
    <w:rsid w:val="0007048B"/>
    <w:rsid w:val="000733EF"/>
    <w:rsid w:val="00073F18"/>
    <w:rsid w:val="00076B3D"/>
    <w:rsid w:val="00091C22"/>
    <w:rsid w:val="00093D5F"/>
    <w:rsid w:val="0009493D"/>
    <w:rsid w:val="000966C8"/>
    <w:rsid w:val="000A1601"/>
    <w:rsid w:val="000A66B2"/>
    <w:rsid w:val="000A7686"/>
    <w:rsid w:val="000A776F"/>
    <w:rsid w:val="000B105E"/>
    <w:rsid w:val="000B3E50"/>
    <w:rsid w:val="000B671F"/>
    <w:rsid w:val="000C4D79"/>
    <w:rsid w:val="000C5ABC"/>
    <w:rsid w:val="000D0E94"/>
    <w:rsid w:val="000D2F73"/>
    <w:rsid w:val="000D3941"/>
    <w:rsid w:val="000D49A5"/>
    <w:rsid w:val="000D5A3F"/>
    <w:rsid w:val="000D658B"/>
    <w:rsid w:val="000E10C3"/>
    <w:rsid w:val="000E1828"/>
    <w:rsid w:val="000E2035"/>
    <w:rsid w:val="000E54CA"/>
    <w:rsid w:val="000E57F3"/>
    <w:rsid w:val="000E6F2C"/>
    <w:rsid w:val="000F17B1"/>
    <w:rsid w:val="000F2369"/>
    <w:rsid w:val="000F437E"/>
    <w:rsid w:val="000F5D28"/>
    <w:rsid w:val="000F60BB"/>
    <w:rsid w:val="000F7258"/>
    <w:rsid w:val="0010018C"/>
    <w:rsid w:val="00100F74"/>
    <w:rsid w:val="00111A44"/>
    <w:rsid w:val="001150F9"/>
    <w:rsid w:val="0012008D"/>
    <w:rsid w:val="00120B99"/>
    <w:rsid w:val="001245FD"/>
    <w:rsid w:val="00126F13"/>
    <w:rsid w:val="00134EE3"/>
    <w:rsid w:val="001351FC"/>
    <w:rsid w:val="00143B66"/>
    <w:rsid w:val="00146970"/>
    <w:rsid w:val="00147039"/>
    <w:rsid w:val="00151126"/>
    <w:rsid w:val="00153DEC"/>
    <w:rsid w:val="001548AA"/>
    <w:rsid w:val="0015666A"/>
    <w:rsid w:val="00156A2B"/>
    <w:rsid w:val="00157E21"/>
    <w:rsid w:val="00161D5E"/>
    <w:rsid w:val="00163B29"/>
    <w:rsid w:val="00165E60"/>
    <w:rsid w:val="00166F6C"/>
    <w:rsid w:val="00172CDA"/>
    <w:rsid w:val="00180168"/>
    <w:rsid w:val="00182247"/>
    <w:rsid w:val="001830EA"/>
    <w:rsid w:val="001831C1"/>
    <w:rsid w:val="00184910"/>
    <w:rsid w:val="001975E4"/>
    <w:rsid w:val="001A52BE"/>
    <w:rsid w:val="001A7CE7"/>
    <w:rsid w:val="001B0E25"/>
    <w:rsid w:val="001B2A3A"/>
    <w:rsid w:val="001B5C75"/>
    <w:rsid w:val="001C0BDE"/>
    <w:rsid w:val="001C186E"/>
    <w:rsid w:val="001C2BA1"/>
    <w:rsid w:val="001C6BC8"/>
    <w:rsid w:val="001C6CFC"/>
    <w:rsid w:val="001D0E3B"/>
    <w:rsid w:val="001D10C0"/>
    <w:rsid w:val="001E11CC"/>
    <w:rsid w:val="001E4382"/>
    <w:rsid w:val="001E4F5C"/>
    <w:rsid w:val="001E513B"/>
    <w:rsid w:val="001F0084"/>
    <w:rsid w:val="001F6A6B"/>
    <w:rsid w:val="00200677"/>
    <w:rsid w:val="00200DE1"/>
    <w:rsid w:val="00201FC2"/>
    <w:rsid w:val="0020535C"/>
    <w:rsid w:val="00211B25"/>
    <w:rsid w:val="002120CC"/>
    <w:rsid w:val="00215AFC"/>
    <w:rsid w:val="00216036"/>
    <w:rsid w:val="00216C7B"/>
    <w:rsid w:val="002227C0"/>
    <w:rsid w:val="00225558"/>
    <w:rsid w:val="00226643"/>
    <w:rsid w:val="00232A66"/>
    <w:rsid w:val="00242074"/>
    <w:rsid w:val="00242304"/>
    <w:rsid w:val="00247980"/>
    <w:rsid w:val="00251B27"/>
    <w:rsid w:val="0025247B"/>
    <w:rsid w:val="002526E7"/>
    <w:rsid w:val="0025467C"/>
    <w:rsid w:val="00257811"/>
    <w:rsid w:val="00260AF8"/>
    <w:rsid w:val="002613DF"/>
    <w:rsid w:val="00261A60"/>
    <w:rsid w:val="00263D90"/>
    <w:rsid w:val="002728B6"/>
    <w:rsid w:val="00272B21"/>
    <w:rsid w:val="00273CCC"/>
    <w:rsid w:val="00280969"/>
    <w:rsid w:val="00283ECD"/>
    <w:rsid w:val="00285E55"/>
    <w:rsid w:val="00293535"/>
    <w:rsid w:val="00297147"/>
    <w:rsid w:val="00297E1A"/>
    <w:rsid w:val="002A1297"/>
    <w:rsid w:val="002A40D0"/>
    <w:rsid w:val="002A7D31"/>
    <w:rsid w:val="002B14B1"/>
    <w:rsid w:val="002B29DE"/>
    <w:rsid w:val="002B4388"/>
    <w:rsid w:val="002B627A"/>
    <w:rsid w:val="002C02A7"/>
    <w:rsid w:val="002C2473"/>
    <w:rsid w:val="002C2508"/>
    <w:rsid w:val="002C57B6"/>
    <w:rsid w:val="002C59CB"/>
    <w:rsid w:val="002C6389"/>
    <w:rsid w:val="002D7C49"/>
    <w:rsid w:val="002D7CDF"/>
    <w:rsid w:val="002E32E6"/>
    <w:rsid w:val="002E364E"/>
    <w:rsid w:val="002E728E"/>
    <w:rsid w:val="002F0F16"/>
    <w:rsid w:val="002F4078"/>
    <w:rsid w:val="002F4A46"/>
    <w:rsid w:val="00301BF9"/>
    <w:rsid w:val="00310760"/>
    <w:rsid w:val="0031167A"/>
    <w:rsid w:val="00313191"/>
    <w:rsid w:val="003148AF"/>
    <w:rsid w:val="003175E0"/>
    <w:rsid w:val="0032041A"/>
    <w:rsid w:val="003209FC"/>
    <w:rsid w:val="00321AD7"/>
    <w:rsid w:val="00327628"/>
    <w:rsid w:val="00327DAE"/>
    <w:rsid w:val="003304E7"/>
    <w:rsid w:val="0033221F"/>
    <w:rsid w:val="00334E4A"/>
    <w:rsid w:val="00334F2F"/>
    <w:rsid w:val="00340A2E"/>
    <w:rsid w:val="0034181B"/>
    <w:rsid w:val="003456B3"/>
    <w:rsid w:val="00346338"/>
    <w:rsid w:val="003469AA"/>
    <w:rsid w:val="00347679"/>
    <w:rsid w:val="0034779B"/>
    <w:rsid w:val="00351B07"/>
    <w:rsid w:val="00352EAC"/>
    <w:rsid w:val="00357DE9"/>
    <w:rsid w:val="00365388"/>
    <w:rsid w:val="00366D25"/>
    <w:rsid w:val="003706C3"/>
    <w:rsid w:val="003779E3"/>
    <w:rsid w:val="0038154B"/>
    <w:rsid w:val="00381E99"/>
    <w:rsid w:val="003825A1"/>
    <w:rsid w:val="00382D13"/>
    <w:rsid w:val="00387649"/>
    <w:rsid w:val="00390087"/>
    <w:rsid w:val="00393E1F"/>
    <w:rsid w:val="003A32F4"/>
    <w:rsid w:val="003A33C0"/>
    <w:rsid w:val="003A462D"/>
    <w:rsid w:val="003A5850"/>
    <w:rsid w:val="003B19CF"/>
    <w:rsid w:val="003B3FB6"/>
    <w:rsid w:val="003B4941"/>
    <w:rsid w:val="003C490A"/>
    <w:rsid w:val="003C4F08"/>
    <w:rsid w:val="003C645E"/>
    <w:rsid w:val="003D217C"/>
    <w:rsid w:val="003E0D0A"/>
    <w:rsid w:val="003E13C2"/>
    <w:rsid w:val="003E2543"/>
    <w:rsid w:val="003E35F9"/>
    <w:rsid w:val="003E5F94"/>
    <w:rsid w:val="003F096E"/>
    <w:rsid w:val="003F1379"/>
    <w:rsid w:val="003F46A5"/>
    <w:rsid w:val="003F69ED"/>
    <w:rsid w:val="004010F5"/>
    <w:rsid w:val="00401883"/>
    <w:rsid w:val="00402290"/>
    <w:rsid w:val="00403B0D"/>
    <w:rsid w:val="00415EBF"/>
    <w:rsid w:val="00432BFE"/>
    <w:rsid w:val="00433324"/>
    <w:rsid w:val="0043679C"/>
    <w:rsid w:val="0043696E"/>
    <w:rsid w:val="00443CEB"/>
    <w:rsid w:val="004457A7"/>
    <w:rsid w:val="0044582B"/>
    <w:rsid w:val="00452B84"/>
    <w:rsid w:val="00453C7A"/>
    <w:rsid w:val="0046071F"/>
    <w:rsid w:val="00462B44"/>
    <w:rsid w:val="00463473"/>
    <w:rsid w:val="004640CB"/>
    <w:rsid w:val="004656C4"/>
    <w:rsid w:val="00470519"/>
    <w:rsid w:val="00471F5D"/>
    <w:rsid w:val="00472DD0"/>
    <w:rsid w:val="00473091"/>
    <w:rsid w:val="00474FF6"/>
    <w:rsid w:val="00475F7C"/>
    <w:rsid w:val="00480822"/>
    <w:rsid w:val="00481189"/>
    <w:rsid w:val="00481C22"/>
    <w:rsid w:val="00485336"/>
    <w:rsid w:val="004868C1"/>
    <w:rsid w:val="00487397"/>
    <w:rsid w:val="00490184"/>
    <w:rsid w:val="00491DFA"/>
    <w:rsid w:val="00494415"/>
    <w:rsid w:val="00494B1D"/>
    <w:rsid w:val="00495AA0"/>
    <w:rsid w:val="004A4726"/>
    <w:rsid w:val="004B15BE"/>
    <w:rsid w:val="004B19AC"/>
    <w:rsid w:val="004B373F"/>
    <w:rsid w:val="004B6E3A"/>
    <w:rsid w:val="004C3011"/>
    <w:rsid w:val="004C39B1"/>
    <w:rsid w:val="004C52F9"/>
    <w:rsid w:val="004C5AAD"/>
    <w:rsid w:val="004C5B37"/>
    <w:rsid w:val="004C641E"/>
    <w:rsid w:val="004C729E"/>
    <w:rsid w:val="004D0281"/>
    <w:rsid w:val="004D14C7"/>
    <w:rsid w:val="004D4049"/>
    <w:rsid w:val="004D4714"/>
    <w:rsid w:val="004D559D"/>
    <w:rsid w:val="004D695A"/>
    <w:rsid w:val="004E33EC"/>
    <w:rsid w:val="004E366E"/>
    <w:rsid w:val="004E5C70"/>
    <w:rsid w:val="004E6C81"/>
    <w:rsid w:val="004F216A"/>
    <w:rsid w:val="004F3408"/>
    <w:rsid w:val="004F4175"/>
    <w:rsid w:val="004F4A82"/>
    <w:rsid w:val="004F575C"/>
    <w:rsid w:val="004F7224"/>
    <w:rsid w:val="00500BA9"/>
    <w:rsid w:val="0050167A"/>
    <w:rsid w:val="0050222C"/>
    <w:rsid w:val="00503839"/>
    <w:rsid w:val="00504D88"/>
    <w:rsid w:val="005070B5"/>
    <w:rsid w:val="0051175A"/>
    <w:rsid w:val="00512961"/>
    <w:rsid w:val="0051373D"/>
    <w:rsid w:val="005139D4"/>
    <w:rsid w:val="00513A06"/>
    <w:rsid w:val="0051449D"/>
    <w:rsid w:val="00520422"/>
    <w:rsid w:val="00522B78"/>
    <w:rsid w:val="00523358"/>
    <w:rsid w:val="005243DB"/>
    <w:rsid w:val="005253AB"/>
    <w:rsid w:val="00527DF4"/>
    <w:rsid w:val="00530714"/>
    <w:rsid w:val="00530C41"/>
    <w:rsid w:val="00530F10"/>
    <w:rsid w:val="00532246"/>
    <w:rsid w:val="005328AC"/>
    <w:rsid w:val="0053509F"/>
    <w:rsid w:val="00537C57"/>
    <w:rsid w:val="00540BBD"/>
    <w:rsid w:val="00541304"/>
    <w:rsid w:val="00543396"/>
    <w:rsid w:val="00545328"/>
    <w:rsid w:val="0054603C"/>
    <w:rsid w:val="00552688"/>
    <w:rsid w:val="00552F24"/>
    <w:rsid w:val="00555A27"/>
    <w:rsid w:val="00555B65"/>
    <w:rsid w:val="00556A20"/>
    <w:rsid w:val="00557593"/>
    <w:rsid w:val="005620B3"/>
    <w:rsid w:val="00570CFA"/>
    <w:rsid w:val="00574BA3"/>
    <w:rsid w:val="005760D5"/>
    <w:rsid w:val="005769AF"/>
    <w:rsid w:val="00582D6C"/>
    <w:rsid w:val="0058504C"/>
    <w:rsid w:val="00586C83"/>
    <w:rsid w:val="00587605"/>
    <w:rsid w:val="00590752"/>
    <w:rsid w:val="00592670"/>
    <w:rsid w:val="0059358E"/>
    <w:rsid w:val="00594F14"/>
    <w:rsid w:val="0059682E"/>
    <w:rsid w:val="00596BD4"/>
    <w:rsid w:val="005A06CC"/>
    <w:rsid w:val="005A5B37"/>
    <w:rsid w:val="005A688B"/>
    <w:rsid w:val="005B0C7B"/>
    <w:rsid w:val="005B2809"/>
    <w:rsid w:val="005B39E5"/>
    <w:rsid w:val="005B62F5"/>
    <w:rsid w:val="005B7CCE"/>
    <w:rsid w:val="005D7A5D"/>
    <w:rsid w:val="005E1DC7"/>
    <w:rsid w:val="005E2FFC"/>
    <w:rsid w:val="005E6089"/>
    <w:rsid w:val="005E65EB"/>
    <w:rsid w:val="005E7ED9"/>
    <w:rsid w:val="005F24E7"/>
    <w:rsid w:val="005F4A8B"/>
    <w:rsid w:val="00605997"/>
    <w:rsid w:val="00606FE7"/>
    <w:rsid w:val="0061130F"/>
    <w:rsid w:val="0061219B"/>
    <w:rsid w:val="00612C0A"/>
    <w:rsid w:val="00612ED1"/>
    <w:rsid w:val="00613731"/>
    <w:rsid w:val="00615B50"/>
    <w:rsid w:val="00616B1E"/>
    <w:rsid w:val="0061715C"/>
    <w:rsid w:val="00617779"/>
    <w:rsid w:val="006209CD"/>
    <w:rsid w:val="00621499"/>
    <w:rsid w:val="006215DC"/>
    <w:rsid w:val="00623B20"/>
    <w:rsid w:val="00626175"/>
    <w:rsid w:val="0063341B"/>
    <w:rsid w:val="0063350F"/>
    <w:rsid w:val="0063384D"/>
    <w:rsid w:val="00634716"/>
    <w:rsid w:val="00634EAB"/>
    <w:rsid w:val="00635B64"/>
    <w:rsid w:val="006529E1"/>
    <w:rsid w:val="00653BFE"/>
    <w:rsid w:val="006562D9"/>
    <w:rsid w:val="00656963"/>
    <w:rsid w:val="00661480"/>
    <w:rsid w:val="00665A46"/>
    <w:rsid w:val="00667508"/>
    <w:rsid w:val="00670E6B"/>
    <w:rsid w:val="00671464"/>
    <w:rsid w:val="00672326"/>
    <w:rsid w:val="00673F63"/>
    <w:rsid w:val="0068195E"/>
    <w:rsid w:val="00687041"/>
    <w:rsid w:val="00690655"/>
    <w:rsid w:val="00693371"/>
    <w:rsid w:val="006935B3"/>
    <w:rsid w:val="00696DCA"/>
    <w:rsid w:val="006A03F0"/>
    <w:rsid w:val="006A0DF2"/>
    <w:rsid w:val="006A3BCA"/>
    <w:rsid w:val="006A7A49"/>
    <w:rsid w:val="006B1623"/>
    <w:rsid w:val="006B3053"/>
    <w:rsid w:val="006B3675"/>
    <w:rsid w:val="006B4D12"/>
    <w:rsid w:val="006B4D9A"/>
    <w:rsid w:val="006B5F88"/>
    <w:rsid w:val="006B76AF"/>
    <w:rsid w:val="006B77D1"/>
    <w:rsid w:val="006B7A4B"/>
    <w:rsid w:val="006B7BD4"/>
    <w:rsid w:val="006C2B85"/>
    <w:rsid w:val="006C4397"/>
    <w:rsid w:val="006C744B"/>
    <w:rsid w:val="006D604F"/>
    <w:rsid w:val="006E2875"/>
    <w:rsid w:val="006E291E"/>
    <w:rsid w:val="006E41E7"/>
    <w:rsid w:val="006F097D"/>
    <w:rsid w:val="006F1718"/>
    <w:rsid w:val="006F579F"/>
    <w:rsid w:val="006F6DD6"/>
    <w:rsid w:val="006F6F12"/>
    <w:rsid w:val="00701F47"/>
    <w:rsid w:val="0071428B"/>
    <w:rsid w:val="00720A8B"/>
    <w:rsid w:val="007240D3"/>
    <w:rsid w:val="00725C89"/>
    <w:rsid w:val="00725C99"/>
    <w:rsid w:val="007266D4"/>
    <w:rsid w:val="00726F16"/>
    <w:rsid w:val="007273F8"/>
    <w:rsid w:val="00727749"/>
    <w:rsid w:val="00727BB0"/>
    <w:rsid w:val="00727BC3"/>
    <w:rsid w:val="00731A81"/>
    <w:rsid w:val="00733198"/>
    <w:rsid w:val="00736A0B"/>
    <w:rsid w:val="007375EB"/>
    <w:rsid w:val="00745D07"/>
    <w:rsid w:val="007511E4"/>
    <w:rsid w:val="00751263"/>
    <w:rsid w:val="00752644"/>
    <w:rsid w:val="00755CB7"/>
    <w:rsid w:val="007633EE"/>
    <w:rsid w:val="0076351E"/>
    <w:rsid w:val="00763E08"/>
    <w:rsid w:val="00763EB5"/>
    <w:rsid w:val="00764D56"/>
    <w:rsid w:val="007652C2"/>
    <w:rsid w:val="00767786"/>
    <w:rsid w:val="00782A5B"/>
    <w:rsid w:val="00785284"/>
    <w:rsid w:val="007870F6"/>
    <w:rsid w:val="00794DFA"/>
    <w:rsid w:val="00797088"/>
    <w:rsid w:val="00797E53"/>
    <w:rsid w:val="00797ED7"/>
    <w:rsid w:val="00797EF8"/>
    <w:rsid w:val="007A5AEA"/>
    <w:rsid w:val="007A77B7"/>
    <w:rsid w:val="007B3448"/>
    <w:rsid w:val="007B6E5C"/>
    <w:rsid w:val="007B7915"/>
    <w:rsid w:val="007C00AB"/>
    <w:rsid w:val="007C0A39"/>
    <w:rsid w:val="007C129A"/>
    <w:rsid w:val="007C15EB"/>
    <w:rsid w:val="007C35AE"/>
    <w:rsid w:val="007C4F05"/>
    <w:rsid w:val="007C706E"/>
    <w:rsid w:val="007C764A"/>
    <w:rsid w:val="007C7730"/>
    <w:rsid w:val="007C7CB9"/>
    <w:rsid w:val="007D0728"/>
    <w:rsid w:val="007D55E2"/>
    <w:rsid w:val="007D5AA5"/>
    <w:rsid w:val="007D7D8C"/>
    <w:rsid w:val="007E1FA8"/>
    <w:rsid w:val="007E390B"/>
    <w:rsid w:val="007E5DA1"/>
    <w:rsid w:val="007E601D"/>
    <w:rsid w:val="007E7F80"/>
    <w:rsid w:val="007F2B2C"/>
    <w:rsid w:val="007F41E9"/>
    <w:rsid w:val="00800151"/>
    <w:rsid w:val="00802031"/>
    <w:rsid w:val="00802E6E"/>
    <w:rsid w:val="00807041"/>
    <w:rsid w:val="00807DC9"/>
    <w:rsid w:val="0081064C"/>
    <w:rsid w:val="00810E6F"/>
    <w:rsid w:val="00814298"/>
    <w:rsid w:val="00814606"/>
    <w:rsid w:val="008171A8"/>
    <w:rsid w:val="00820E26"/>
    <w:rsid w:val="00822ECF"/>
    <w:rsid w:val="0082397B"/>
    <w:rsid w:val="00824894"/>
    <w:rsid w:val="00837CBA"/>
    <w:rsid w:val="008410DF"/>
    <w:rsid w:val="00842BFA"/>
    <w:rsid w:val="00842D98"/>
    <w:rsid w:val="0084566E"/>
    <w:rsid w:val="00846363"/>
    <w:rsid w:val="008538DA"/>
    <w:rsid w:val="008549D3"/>
    <w:rsid w:val="00857DF1"/>
    <w:rsid w:val="00861AD4"/>
    <w:rsid w:val="00862F9F"/>
    <w:rsid w:val="00862FD0"/>
    <w:rsid w:val="00863B19"/>
    <w:rsid w:val="008663DE"/>
    <w:rsid w:val="00870932"/>
    <w:rsid w:val="00871CB9"/>
    <w:rsid w:val="008727DD"/>
    <w:rsid w:val="00874AD9"/>
    <w:rsid w:val="00875D95"/>
    <w:rsid w:val="008800E0"/>
    <w:rsid w:val="00880DCE"/>
    <w:rsid w:val="00882FDA"/>
    <w:rsid w:val="008845D4"/>
    <w:rsid w:val="008869FD"/>
    <w:rsid w:val="00893B73"/>
    <w:rsid w:val="008947CF"/>
    <w:rsid w:val="00896379"/>
    <w:rsid w:val="00897207"/>
    <w:rsid w:val="0089720D"/>
    <w:rsid w:val="00897C25"/>
    <w:rsid w:val="008A10F8"/>
    <w:rsid w:val="008A1CA7"/>
    <w:rsid w:val="008A234C"/>
    <w:rsid w:val="008A4CFD"/>
    <w:rsid w:val="008A6486"/>
    <w:rsid w:val="008A7AD9"/>
    <w:rsid w:val="008B5702"/>
    <w:rsid w:val="008B7B12"/>
    <w:rsid w:val="008B7C99"/>
    <w:rsid w:val="008C17AC"/>
    <w:rsid w:val="008C3103"/>
    <w:rsid w:val="008C3C63"/>
    <w:rsid w:val="008C5C50"/>
    <w:rsid w:val="008D1E71"/>
    <w:rsid w:val="008D4546"/>
    <w:rsid w:val="008E3061"/>
    <w:rsid w:val="008F24D8"/>
    <w:rsid w:val="008F7735"/>
    <w:rsid w:val="0090271D"/>
    <w:rsid w:val="00902C35"/>
    <w:rsid w:val="00903E11"/>
    <w:rsid w:val="009075E6"/>
    <w:rsid w:val="009100D3"/>
    <w:rsid w:val="0092583D"/>
    <w:rsid w:val="009260CF"/>
    <w:rsid w:val="00926425"/>
    <w:rsid w:val="00927E41"/>
    <w:rsid w:val="00930D45"/>
    <w:rsid w:val="00930E2B"/>
    <w:rsid w:val="00931D22"/>
    <w:rsid w:val="009348D1"/>
    <w:rsid w:val="00935282"/>
    <w:rsid w:val="00936081"/>
    <w:rsid w:val="009360E4"/>
    <w:rsid w:val="009374A0"/>
    <w:rsid w:val="009405B5"/>
    <w:rsid w:val="0094294A"/>
    <w:rsid w:val="009448C8"/>
    <w:rsid w:val="009448E1"/>
    <w:rsid w:val="009516ED"/>
    <w:rsid w:val="00955059"/>
    <w:rsid w:val="009622F4"/>
    <w:rsid w:val="0096429E"/>
    <w:rsid w:val="00970C21"/>
    <w:rsid w:val="00972D87"/>
    <w:rsid w:val="00975515"/>
    <w:rsid w:val="0097795E"/>
    <w:rsid w:val="00980008"/>
    <w:rsid w:val="00980186"/>
    <w:rsid w:val="00980633"/>
    <w:rsid w:val="009816D3"/>
    <w:rsid w:val="009848CF"/>
    <w:rsid w:val="00984E24"/>
    <w:rsid w:val="00985EDB"/>
    <w:rsid w:val="00987ED7"/>
    <w:rsid w:val="0099196E"/>
    <w:rsid w:val="00991C23"/>
    <w:rsid w:val="00992647"/>
    <w:rsid w:val="009954E1"/>
    <w:rsid w:val="00996C78"/>
    <w:rsid w:val="009A20A4"/>
    <w:rsid w:val="009A5952"/>
    <w:rsid w:val="009A7D91"/>
    <w:rsid w:val="009B14ED"/>
    <w:rsid w:val="009B2AB6"/>
    <w:rsid w:val="009B3A55"/>
    <w:rsid w:val="009B652E"/>
    <w:rsid w:val="009B7D30"/>
    <w:rsid w:val="009C1B2E"/>
    <w:rsid w:val="009C5E1C"/>
    <w:rsid w:val="009D05C1"/>
    <w:rsid w:val="009D09B3"/>
    <w:rsid w:val="009D1382"/>
    <w:rsid w:val="009D14A3"/>
    <w:rsid w:val="009D6395"/>
    <w:rsid w:val="009E118B"/>
    <w:rsid w:val="009E27E5"/>
    <w:rsid w:val="009E393F"/>
    <w:rsid w:val="009E4171"/>
    <w:rsid w:val="009E5EAC"/>
    <w:rsid w:val="009F141F"/>
    <w:rsid w:val="009F1D63"/>
    <w:rsid w:val="009F2901"/>
    <w:rsid w:val="00A0236B"/>
    <w:rsid w:val="00A02953"/>
    <w:rsid w:val="00A02D8D"/>
    <w:rsid w:val="00A104CB"/>
    <w:rsid w:val="00A13D21"/>
    <w:rsid w:val="00A13F8A"/>
    <w:rsid w:val="00A26AC4"/>
    <w:rsid w:val="00A27DC1"/>
    <w:rsid w:val="00A30E75"/>
    <w:rsid w:val="00A316B0"/>
    <w:rsid w:val="00A330CD"/>
    <w:rsid w:val="00A33353"/>
    <w:rsid w:val="00A33753"/>
    <w:rsid w:val="00A36F64"/>
    <w:rsid w:val="00A37013"/>
    <w:rsid w:val="00A37863"/>
    <w:rsid w:val="00A42351"/>
    <w:rsid w:val="00A44F51"/>
    <w:rsid w:val="00A46BD7"/>
    <w:rsid w:val="00A46CFE"/>
    <w:rsid w:val="00A535DD"/>
    <w:rsid w:val="00A5384E"/>
    <w:rsid w:val="00A61F40"/>
    <w:rsid w:val="00A63AE0"/>
    <w:rsid w:val="00A645AD"/>
    <w:rsid w:val="00A6517B"/>
    <w:rsid w:val="00A66883"/>
    <w:rsid w:val="00A669A4"/>
    <w:rsid w:val="00A67B1B"/>
    <w:rsid w:val="00A67E7B"/>
    <w:rsid w:val="00A721DD"/>
    <w:rsid w:val="00A7551F"/>
    <w:rsid w:val="00A76B01"/>
    <w:rsid w:val="00A828B1"/>
    <w:rsid w:val="00A82FF7"/>
    <w:rsid w:val="00A905E2"/>
    <w:rsid w:val="00A93EAE"/>
    <w:rsid w:val="00A9483B"/>
    <w:rsid w:val="00A968BB"/>
    <w:rsid w:val="00A97097"/>
    <w:rsid w:val="00AA11C3"/>
    <w:rsid w:val="00AA13F4"/>
    <w:rsid w:val="00AA4665"/>
    <w:rsid w:val="00AA4950"/>
    <w:rsid w:val="00AA4F3F"/>
    <w:rsid w:val="00AA774C"/>
    <w:rsid w:val="00AA7D39"/>
    <w:rsid w:val="00AB0DD0"/>
    <w:rsid w:val="00AB0DE7"/>
    <w:rsid w:val="00AB1260"/>
    <w:rsid w:val="00AB153D"/>
    <w:rsid w:val="00AB2D30"/>
    <w:rsid w:val="00AB484E"/>
    <w:rsid w:val="00AB5D38"/>
    <w:rsid w:val="00AB6A3C"/>
    <w:rsid w:val="00AC350B"/>
    <w:rsid w:val="00AD020B"/>
    <w:rsid w:val="00AD05BB"/>
    <w:rsid w:val="00AD5592"/>
    <w:rsid w:val="00AD6C01"/>
    <w:rsid w:val="00AD7760"/>
    <w:rsid w:val="00AD78D2"/>
    <w:rsid w:val="00AE344D"/>
    <w:rsid w:val="00AE3DC6"/>
    <w:rsid w:val="00AE6842"/>
    <w:rsid w:val="00AF4AD2"/>
    <w:rsid w:val="00AF4C2F"/>
    <w:rsid w:val="00AF551E"/>
    <w:rsid w:val="00AF57F1"/>
    <w:rsid w:val="00AF65D8"/>
    <w:rsid w:val="00AF694A"/>
    <w:rsid w:val="00B008D5"/>
    <w:rsid w:val="00B032E8"/>
    <w:rsid w:val="00B06DD7"/>
    <w:rsid w:val="00B07DCD"/>
    <w:rsid w:val="00B10B38"/>
    <w:rsid w:val="00B1122D"/>
    <w:rsid w:val="00B11E1C"/>
    <w:rsid w:val="00B1243D"/>
    <w:rsid w:val="00B1313F"/>
    <w:rsid w:val="00B157B1"/>
    <w:rsid w:val="00B17079"/>
    <w:rsid w:val="00B17CCA"/>
    <w:rsid w:val="00B21F8E"/>
    <w:rsid w:val="00B25F6F"/>
    <w:rsid w:val="00B2681D"/>
    <w:rsid w:val="00B30E90"/>
    <w:rsid w:val="00B325A4"/>
    <w:rsid w:val="00B32E85"/>
    <w:rsid w:val="00B33616"/>
    <w:rsid w:val="00B363A4"/>
    <w:rsid w:val="00B37812"/>
    <w:rsid w:val="00B406CF"/>
    <w:rsid w:val="00B407CA"/>
    <w:rsid w:val="00B43FE7"/>
    <w:rsid w:val="00B443E8"/>
    <w:rsid w:val="00B45B53"/>
    <w:rsid w:val="00B462E3"/>
    <w:rsid w:val="00B46F4C"/>
    <w:rsid w:val="00B52153"/>
    <w:rsid w:val="00B523D3"/>
    <w:rsid w:val="00B52E68"/>
    <w:rsid w:val="00B5594E"/>
    <w:rsid w:val="00B60A27"/>
    <w:rsid w:val="00B62AC4"/>
    <w:rsid w:val="00B63794"/>
    <w:rsid w:val="00B648E1"/>
    <w:rsid w:val="00B7353F"/>
    <w:rsid w:val="00B75B93"/>
    <w:rsid w:val="00B760EE"/>
    <w:rsid w:val="00B760F2"/>
    <w:rsid w:val="00B771C0"/>
    <w:rsid w:val="00B842EC"/>
    <w:rsid w:val="00B85163"/>
    <w:rsid w:val="00B85236"/>
    <w:rsid w:val="00B85B27"/>
    <w:rsid w:val="00B86E65"/>
    <w:rsid w:val="00B90073"/>
    <w:rsid w:val="00B9020F"/>
    <w:rsid w:val="00B9078D"/>
    <w:rsid w:val="00B924F6"/>
    <w:rsid w:val="00B96E53"/>
    <w:rsid w:val="00BA105F"/>
    <w:rsid w:val="00BA1BBC"/>
    <w:rsid w:val="00BA47D7"/>
    <w:rsid w:val="00BA4859"/>
    <w:rsid w:val="00BA54A8"/>
    <w:rsid w:val="00BA5598"/>
    <w:rsid w:val="00BA6A1C"/>
    <w:rsid w:val="00BB2E03"/>
    <w:rsid w:val="00BB332D"/>
    <w:rsid w:val="00BB7ACF"/>
    <w:rsid w:val="00BC0556"/>
    <w:rsid w:val="00BC2586"/>
    <w:rsid w:val="00BC3DB3"/>
    <w:rsid w:val="00BC62B7"/>
    <w:rsid w:val="00BD0866"/>
    <w:rsid w:val="00BD2043"/>
    <w:rsid w:val="00BD2568"/>
    <w:rsid w:val="00BE06EE"/>
    <w:rsid w:val="00BE1171"/>
    <w:rsid w:val="00BE19DB"/>
    <w:rsid w:val="00BE35BB"/>
    <w:rsid w:val="00BE4EF7"/>
    <w:rsid w:val="00BE5859"/>
    <w:rsid w:val="00BF09CA"/>
    <w:rsid w:val="00BF0D1F"/>
    <w:rsid w:val="00BF4DBF"/>
    <w:rsid w:val="00BF7C2F"/>
    <w:rsid w:val="00C001BB"/>
    <w:rsid w:val="00C00C51"/>
    <w:rsid w:val="00C068EE"/>
    <w:rsid w:val="00C074FD"/>
    <w:rsid w:val="00C10373"/>
    <w:rsid w:val="00C10DCF"/>
    <w:rsid w:val="00C13FC0"/>
    <w:rsid w:val="00C157E7"/>
    <w:rsid w:val="00C21CF8"/>
    <w:rsid w:val="00C22753"/>
    <w:rsid w:val="00C2341B"/>
    <w:rsid w:val="00C2583E"/>
    <w:rsid w:val="00C26075"/>
    <w:rsid w:val="00C27826"/>
    <w:rsid w:val="00C32D89"/>
    <w:rsid w:val="00C3604C"/>
    <w:rsid w:val="00C3784A"/>
    <w:rsid w:val="00C37BFC"/>
    <w:rsid w:val="00C401C1"/>
    <w:rsid w:val="00C40611"/>
    <w:rsid w:val="00C424E3"/>
    <w:rsid w:val="00C439B6"/>
    <w:rsid w:val="00C43EEC"/>
    <w:rsid w:val="00C444E4"/>
    <w:rsid w:val="00C44B7B"/>
    <w:rsid w:val="00C47EC7"/>
    <w:rsid w:val="00C53197"/>
    <w:rsid w:val="00C53643"/>
    <w:rsid w:val="00C54392"/>
    <w:rsid w:val="00C55180"/>
    <w:rsid w:val="00C6423D"/>
    <w:rsid w:val="00C66C94"/>
    <w:rsid w:val="00C67AD3"/>
    <w:rsid w:val="00C70243"/>
    <w:rsid w:val="00C7036C"/>
    <w:rsid w:val="00C739C9"/>
    <w:rsid w:val="00C75E1A"/>
    <w:rsid w:val="00C765A4"/>
    <w:rsid w:val="00C76D18"/>
    <w:rsid w:val="00C829AF"/>
    <w:rsid w:val="00C8433B"/>
    <w:rsid w:val="00C9076F"/>
    <w:rsid w:val="00C9184D"/>
    <w:rsid w:val="00C9303F"/>
    <w:rsid w:val="00C946E5"/>
    <w:rsid w:val="00C94CB9"/>
    <w:rsid w:val="00C94FD1"/>
    <w:rsid w:val="00C954BB"/>
    <w:rsid w:val="00C972A8"/>
    <w:rsid w:val="00CA2D61"/>
    <w:rsid w:val="00CA5659"/>
    <w:rsid w:val="00CA5863"/>
    <w:rsid w:val="00CA7D7A"/>
    <w:rsid w:val="00CB26E3"/>
    <w:rsid w:val="00CB2827"/>
    <w:rsid w:val="00CC0308"/>
    <w:rsid w:val="00CC1762"/>
    <w:rsid w:val="00CC19E6"/>
    <w:rsid w:val="00CC2F87"/>
    <w:rsid w:val="00CC4836"/>
    <w:rsid w:val="00CC6388"/>
    <w:rsid w:val="00CC7A44"/>
    <w:rsid w:val="00CD2E01"/>
    <w:rsid w:val="00CD6803"/>
    <w:rsid w:val="00CE0D1F"/>
    <w:rsid w:val="00CE60D9"/>
    <w:rsid w:val="00CE6B50"/>
    <w:rsid w:val="00CE74F5"/>
    <w:rsid w:val="00CF342B"/>
    <w:rsid w:val="00CF35EF"/>
    <w:rsid w:val="00CF4305"/>
    <w:rsid w:val="00CF4736"/>
    <w:rsid w:val="00CF4F6A"/>
    <w:rsid w:val="00CF5BB5"/>
    <w:rsid w:val="00CF6142"/>
    <w:rsid w:val="00D03A08"/>
    <w:rsid w:val="00D0522B"/>
    <w:rsid w:val="00D05555"/>
    <w:rsid w:val="00D132C5"/>
    <w:rsid w:val="00D13369"/>
    <w:rsid w:val="00D20F81"/>
    <w:rsid w:val="00D24446"/>
    <w:rsid w:val="00D25DF5"/>
    <w:rsid w:val="00D26D76"/>
    <w:rsid w:val="00D26DCB"/>
    <w:rsid w:val="00D27177"/>
    <w:rsid w:val="00D30253"/>
    <w:rsid w:val="00D33824"/>
    <w:rsid w:val="00D37800"/>
    <w:rsid w:val="00D418B2"/>
    <w:rsid w:val="00D441F8"/>
    <w:rsid w:val="00D45AD3"/>
    <w:rsid w:val="00D50635"/>
    <w:rsid w:val="00D51914"/>
    <w:rsid w:val="00D53CBF"/>
    <w:rsid w:val="00D67560"/>
    <w:rsid w:val="00D702F6"/>
    <w:rsid w:val="00D7124D"/>
    <w:rsid w:val="00D72A66"/>
    <w:rsid w:val="00D80AF9"/>
    <w:rsid w:val="00D80CF4"/>
    <w:rsid w:val="00D8589F"/>
    <w:rsid w:val="00D85DE6"/>
    <w:rsid w:val="00D93E04"/>
    <w:rsid w:val="00D95009"/>
    <w:rsid w:val="00D962F8"/>
    <w:rsid w:val="00DA2BE3"/>
    <w:rsid w:val="00DA37B1"/>
    <w:rsid w:val="00DA4DDA"/>
    <w:rsid w:val="00DA785F"/>
    <w:rsid w:val="00DB3E01"/>
    <w:rsid w:val="00DC0D2B"/>
    <w:rsid w:val="00DC2689"/>
    <w:rsid w:val="00DC6427"/>
    <w:rsid w:val="00DD254A"/>
    <w:rsid w:val="00DD4269"/>
    <w:rsid w:val="00DD4321"/>
    <w:rsid w:val="00DD7881"/>
    <w:rsid w:val="00DE14DA"/>
    <w:rsid w:val="00DE670F"/>
    <w:rsid w:val="00E01C8F"/>
    <w:rsid w:val="00E01DA5"/>
    <w:rsid w:val="00E02025"/>
    <w:rsid w:val="00E021A9"/>
    <w:rsid w:val="00E04B24"/>
    <w:rsid w:val="00E0518A"/>
    <w:rsid w:val="00E079A1"/>
    <w:rsid w:val="00E07B7F"/>
    <w:rsid w:val="00E11ED2"/>
    <w:rsid w:val="00E124D1"/>
    <w:rsid w:val="00E1262A"/>
    <w:rsid w:val="00E12A67"/>
    <w:rsid w:val="00E145FC"/>
    <w:rsid w:val="00E16FA3"/>
    <w:rsid w:val="00E219DB"/>
    <w:rsid w:val="00E22BC2"/>
    <w:rsid w:val="00E237C1"/>
    <w:rsid w:val="00E26BEF"/>
    <w:rsid w:val="00E3030F"/>
    <w:rsid w:val="00E3212F"/>
    <w:rsid w:val="00E35B61"/>
    <w:rsid w:val="00E36859"/>
    <w:rsid w:val="00E37BCC"/>
    <w:rsid w:val="00E43131"/>
    <w:rsid w:val="00E46B2D"/>
    <w:rsid w:val="00E46D8A"/>
    <w:rsid w:val="00E51186"/>
    <w:rsid w:val="00E51C90"/>
    <w:rsid w:val="00E51E23"/>
    <w:rsid w:val="00E5222F"/>
    <w:rsid w:val="00E52D49"/>
    <w:rsid w:val="00E5509A"/>
    <w:rsid w:val="00E67053"/>
    <w:rsid w:val="00E70BFF"/>
    <w:rsid w:val="00E71850"/>
    <w:rsid w:val="00E744D0"/>
    <w:rsid w:val="00E74BFD"/>
    <w:rsid w:val="00E7591A"/>
    <w:rsid w:val="00E834D9"/>
    <w:rsid w:val="00E84B27"/>
    <w:rsid w:val="00E85350"/>
    <w:rsid w:val="00E8587F"/>
    <w:rsid w:val="00E85C3F"/>
    <w:rsid w:val="00E87700"/>
    <w:rsid w:val="00E9077A"/>
    <w:rsid w:val="00E909FE"/>
    <w:rsid w:val="00E90B86"/>
    <w:rsid w:val="00E91863"/>
    <w:rsid w:val="00E93632"/>
    <w:rsid w:val="00E956A7"/>
    <w:rsid w:val="00E95D67"/>
    <w:rsid w:val="00E968B7"/>
    <w:rsid w:val="00E97FDF"/>
    <w:rsid w:val="00EA162B"/>
    <w:rsid w:val="00EA24C2"/>
    <w:rsid w:val="00EB46B4"/>
    <w:rsid w:val="00EB6156"/>
    <w:rsid w:val="00EB75CC"/>
    <w:rsid w:val="00EC0855"/>
    <w:rsid w:val="00EC491F"/>
    <w:rsid w:val="00EC5B87"/>
    <w:rsid w:val="00ED0024"/>
    <w:rsid w:val="00ED2E0D"/>
    <w:rsid w:val="00ED33D0"/>
    <w:rsid w:val="00ED5CCE"/>
    <w:rsid w:val="00ED5F53"/>
    <w:rsid w:val="00ED67B2"/>
    <w:rsid w:val="00EE21B3"/>
    <w:rsid w:val="00EF28C9"/>
    <w:rsid w:val="00EF7A85"/>
    <w:rsid w:val="00F00CB8"/>
    <w:rsid w:val="00F03937"/>
    <w:rsid w:val="00F053DD"/>
    <w:rsid w:val="00F07D41"/>
    <w:rsid w:val="00F13F11"/>
    <w:rsid w:val="00F14771"/>
    <w:rsid w:val="00F23340"/>
    <w:rsid w:val="00F27677"/>
    <w:rsid w:val="00F34085"/>
    <w:rsid w:val="00F35D83"/>
    <w:rsid w:val="00F36150"/>
    <w:rsid w:val="00F368D9"/>
    <w:rsid w:val="00F373FE"/>
    <w:rsid w:val="00F43FDF"/>
    <w:rsid w:val="00F46BA8"/>
    <w:rsid w:val="00F46FFA"/>
    <w:rsid w:val="00F4746C"/>
    <w:rsid w:val="00F53ECB"/>
    <w:rsid w:val="00F54479"/>
    <w:rsid w:val="00F619D2"/>
    <w:rsid w:val="00F758FC"/>
    <w:rsid w:val="00F80CCD"/>
    <w:rsid w:val="00F83327"/>
    <w:rsid w:val="00F83D47"/>
    <w:rsid w:val="00F85F6C"/>
    <w:rsid w:val="00F86982"/>
    <w:rsid w:val="00F86BFE"/>
    <w:rsid w:val="00F87375"/>
    <w:rsid w:val="00F87B5A"/>
    <w:rsid w:val="00F933A0"/>
    <w:rsid w:val="00F94AE9"/>
    <w:rsid w:val="00FA0094"/>
    <w:rsid w:val="00FA0148"/>
    <w:rsid w:val="00FA3CA5"/>
    <w:rsid w:val="00FA4A37"/>
    <w:rsid w:val="00FA6BAD"/>
    <w:rsid w:val="00FB0212"/>
    <w:rsid w:val="00FB0A04"/>
    <w:rsid w:val="00FB21F6"/>
    <w:rsid w:val="00FB2C86"/>
    <w:rsid w:val="00FB3952"/>
    <w:rsid w:val="00FB5DB7"/>
    <w:rsid w:val="00FB6126"/>
    <w:rsid w:val="00FB6F79"/>
    <w:rsid w:val="00FC18C2"/>
    <w:rsid w:val="00FC2A62"/>
    <w:rsid w:val="00FE0B4A"/>
    <w:rsid w:val="00FE0EA2"/>
    <w:rsid w:val="00FE6DBB"/>
    <w:rsid w:val="00FF2365"/>
    <w:rsid w:val="00FF4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92451"/>
  <w15:chartTrackingRefBased/>
  <w15:docId w15:val="{49D31131-5B40-4EB0-9396-13096DAF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EastAsia" w:hAnsi="Cambria" w:cstheme="minorBidi"/>
        <w:sz w:val="24"/>
        <w:szCs w:val="22"/>
        <w:lang w:val="en-US" w:eastAsia="zh-CN"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91"/>
    <w:pPr>
      <w:spacing w:after="160" w:line="259" w:lineRule="auto"/>
      <w:jc w:val="left"/>
    </w:pPr>
    <w:rPr>
      <w:rFonts w:asciiTheme="minorHAnsi" w:hAnsiTheme="minorHAnsi"/>
      <w:sz w:val="22"/>
    </w:rPr>
  </w:style>
  <w:style w:type="paragraph" w:styleId="Heading1">
    <w:name w:val="heading 1"/>
    <w:basedOn w:val="Normal"/>
    <w:next w:val="Normal"/>
    <w:link w:val="Heading1Char"/>
    <w:uiPriority w:val="9"/>
    <w:qFormat/>
    <w:rsid w:val="00AA77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538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1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5BE"/>
    <w:rPr>
      <w:rFonts w:asciiTheme="minorHAnsi" w:hAnsiTheme="minorHAnsi"/>
      <w:sz w:val="22"/>
    </w:rPr>
  </w:style>
  <w:style w:type="character" w:styleId="Hyperlink">
    <w:name w:val="Hyperlink"/>
    <w:basedOn w:val="DefaultParagraphFont"/>
    <w:uiPriority w:val="99"/>
    <w:unhideWhenUsed/>
    <w:rsid w:val="004B15BE"/>
    <w:rPr>
      <w:b w:val="0"/>
      <w:color w:val="00B0F0"/>
      <w:u w:val="none"/>
    </w:rPr>
  </w:style>
  <w:style w:type="character" w:styleId="LineNumber">
    <w:name w:val="line number"/>
    <w:basedOn w:val="DefaultParagraphFont"/>
    <w:uiPriority w:val="99"/>
    <w:semiHidden/>
    <w:unhideWhenUsed/>
    <w:rsid w:val="004B15BE"/>
  </w:style>
  <w:style w:type="paragraph" w:customStyle="1" w:styleId="EndNoteBibliographyTitle">
    <w:name w:val="EndNote Bibliography Title"/>
    <w:basedOn w:val="Normal"/>
    <w:link w:val="EndNoteBibliographyTitleChar"/>
    <w:rsid w:val="00247980"/>
    <w:pPr>
      <w:spacing w:after="0"/>
      <w:jc w:val="center"/>
    </w:pPr>
    <w:rPr>
      <w:rFonts w:ascii="Cambria" w:hAnsi="Cambria"/>
      <w:noProof/>
      <w:sz w:val="24"/>
    </w:rPr>
  </w:style>
  <w:style w:type="character" w:customStyle="1" w:styleId="EndNoteBibliographyTitleChar">
    <w:name w:val="EndNote Bibliography Title Char"/>
    <w:basedOn w:val="DefaultParagraphFont"/>
    <w:link w:val="EndNoteBibliographyTitle"/>
    <w:rsid w:val="00247980"/>
    <w:rPr>
      <w:noProof/>
    </w:rPr>
  </w:style>
  <w:style w:type="paragraph" w:customStyle="1" w:styleId="EndNoteBibliography">
    <w:name w:val="EndNote Bibliography"/>
    <w:basedOn w:val="Normal"/>
    <w:link w:val="EndNoteBibliographyChar"/>
    <w:qFormat/>
    <w:rsid w:val="00DC6427"/>
    <w:pPr>
      <w:spacing w:line="240" w:lineRule="auto"/>
      <w:jc w:val="both"/>
    </w:pPr>
    <w:rPr>
      <w:rFonts w:ascii="Cambria" w:hAnsi="Cambria"/>
      <w:noProof/>
      <w:sz w:val="24"/>
    </w:rPr>
  </w:style>
  <w:style w:type="character" w:customStyle="1" w:styleId="EndNoteBibliographyChar">
    <w:name w:val="EndNote Bibliography Char"/>
    <w:basedOn w:val="DefaultParagraphFont"/>
    <w:link w:val="EndNoteBibliography"/>
    <w:rsid w:val="00DC6427"/>
    <w:rPr>
      <w:noProof/>
    </w:rPr>
  </w:style>
  <w:style w:type="character" w:customStyle="1" w:styleId="fontstyle01">
    <w:name w:val="fontstyle01"/>
    <w:basedOn w:val="DefaultParagraphFont"/>
    <w:rsid w:val="00653BFE"/>
    <w:rPr>
      <w:rFonts w:ascii="AdvOT7fb33346.I" w:hAnsi="AdvOT7fb33346.I" w:hint="default"/>
      <w:b w:val="0"/>
      <w:bCs w:val="0"/>
      <w:i w:val="0"/>
      <w:iCs w:val="0"/>
      <w:color w:val="000000"/>
      <w:sz w:val="16"/>
      <w:szCs w:val="16"/>
    </w:rPr>
  </w:style>
  <w:style w:type="paragraph" w:styleId="ListParagraph">
    <w:name w:val="List Paragraph"/>
    <w:basedOn w:val="Normal"/>
    <w:uiPriority w:val="34"/>
    <w:qFormat/>
    <w:rsid w:val="002C2508"/>
    <w:pPr>
      <w:ind w:left="720"/>
      <w:contextualSpacing/>
    </w:pPr>
  </w:style>
  <w:style w:type="character" w:styleId="CommentReference">
    <w:name w:val="annotation reference"/>
    <w:basedOn w:val="DefaultParagraphFont"/>
    <w:uiPriority w:val="99"/>
    <w:semiHidden/>
    <w:unhideWhenUsed/>
    <w:rsid w:val="00D33824"/>
    <w:rPr>
      <w:sz w:val="16"/>
      <w:szCs w:val="16"/>
    </w:rPr>
  </w:style>
  <w:style w:type="paragraph" w:styleId="CommentText">
    <w:name w:val="annotation text"/>
    <w:basedOn w:val="Normal"/>
    <w:link w:val="CommentTextChar"/>
    <w:uiPriority w:val="99"/>
    <w:semiHidden/>
    <w:unhideWhenUsed/>
    <w:rsid w:val="00D33824"/>
    <w:pPr>
      <w:spacing w:line="240" w:lineRule="auto"/>
    </w:pPr>
    <w:rPr>
      <w:sz w:val="20"/>
      <w:szCs w:val="20"/>
    </w:rPr>
  </w:style>
  <w:style w:type="character" w:customStyle="1" w:styleId="CommentTextChar">
    <w:name w:val="Comment Text Char"/>
    <w:basedOn w:val="DefaultParagraphFont"/>
    <w:link w:val="CommentText"/>
    <w:uiPriority w:val="99"/>
    <w:semiHidden/>
    <w:rsid w:val="00D33824"/>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D33824"/>
    <w:rPr>
      <w:b/>
      <w:bCs/>
    </w:rPr>
  </w:style>
  <w:style w:type="character" w:customStyle="1" w:styleId="CommentSubjectChar">
    <w:name w:val="Comment Subject Char"/>
    <w:basedOn w:val="CommentTextChar"/>
    <w:link w:val="CommentSubject"/>
    <w:uiPriority w:val="99"/>
    <w:semiHidden/>
    <w:rsid w:val="00D33824"/>
    <w:rPr>
      <w:rFonts w:asciiTheme="minorHAnsi" w:hAnsiTheme="minorHAnsi"/>
      <w:b/>
      <w:bCs/>
      <w:sz w:val="20"/>
      <w:szCs w:val="20"/>
    </w:rPr>
  </w:style>
  <w:style w:type="paragraph" w:styleId="BalloonText">
    <w:name w:val="Balloon Text"/>
    <w:basedOn w:val="Normal"/>
    <w:link w:val="BalloonTextChar"/>
    <w:uiPriority w:val="99"/>
    <w:semiHidden/>
    <w:unhideWhenUsed/>
    <w:rsid w:val="00D33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824"/>
    <w:rPr>
      <w:rFonts w:ascii="Segoe UI" w:hAnsi="Segoe UI" w:cs="Segoe UI"/>
      <w:sz w:val="18"/>
      <w:szCs w:val="18"/>
    </w:rPr>
  </w:style>
  <w:style w:type="character" w:customStyle="1" w:styleId="fontstyle21">
    <w:name w:val="fontstyle21"/>
    <w:basedOn w:val="DefaultParagraphFont"/>
    <w:rsid w:val="00D33824"/>
    <w:rPr>
      <w:rFonts w:ascii="AdvTT5235d5a9+fb" w:hAnsi="AdvTT5235d5a9+fb" w:hint="default"/>
      <w:b w:val="0"/>
      <w:bCs w:val="0"/>
      <w:i w:val="0"/>
      <w:iCs w:val="0"/>
      <w:color w:val="231F20"/>
      <w:sz w:val="16"/>
      <w:szCs w:val="16"/>
    </w:rPr>
  </w:style>
  <w:style w:type="character" w:customStyle="1" w:styleId="Heading3Char">
    <w:name w:val="Heading 3 Char"/>
    <w:basedOn w:val="DefaultParagraphFont"/>
    <w:link w:val="Heading3"/>
    <w:uiPriority w:val="9"/>
    <w:semiHidden/>
    <w:rsid w:val="00A5384E"/>
    <w:rPr>
      <w:rFonts w:asciiTheme="majorHAnsi" w:eastAsiaTheme="majorEastAsia" w:hAnsiTheme="majorHAnsi" w:cstheme="majorBidi"/>
      <w:color w:val="1F4D78" w:themeColor="accent1" w:themeShade="7F"/>
      <w:szCs w:val="24"/>
    </w:rPr>
  </w:style>
  <w:style w:type="paragraph" w:styleId="FootnoteText">
    <w:name w:val="footnote text"/>
    <w:basedOn w:val="Normal"/>
    <w:link w:val="FootnoteTextChar"/>
    <w:uiPriority w:val="99"/>
    <w:semiHidden/>
    <w:unhideWhenUsed/>
    <w:rsid w:val="005769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69AF"/>
    <w:rPr>
      <w:rFonts w:asciiTheme="minorHAnsi" w:hAnsiTheme="minorHAnsi"/>
      <w:sz w:val="20"/>
      <w:szCs w:val="20"/>
    </w:rPr>
  </w:style>
  <w:style w:type="character" w:styleId="FootnoteReference">
    <w:name w:val="footnote reference"/>
    <w:basedOn w:val="DefaultParagraphFont"/>
    <w:uiPriority w:val="99"/>
    <w:semiHidden/>
    <w:unhideWhenUsed/>
    <w:rsid w:val="005769AF"/>
    <w:rPr>
      <w:vertAlign w:val="superscript"/>
    </w:rPr>
  </w:style>
  <w:style w:type="character" w:customStyle="1" w:styleId="fontstyle31">
    <w:name w:val="fontstyle31"/>
    <w:basedOn w:val="DefaultParagraphFont"/>
    <w:rsid w:val="00B85163"/>
    <w:rPr>
      <w:rFonts w:ascii="AdvOTb92eb7df.I" w:hAnsi="AdvOTb92eb7df.I" w:hint="default"/>
      <w:b w:val="0"/>
      <w:bCs w:val="0"/>
      <w:i w:val="0"/>
      <w:iCs w:val="0"/>
      <w:color w:val="000000"/>
      <w:sz w:val="16"/>
      <w:szCs w:val="16"/>
    </w:rPr>
  </w:style>
  <w:style w:type="character" w:customStyle="1" w:styleId="fontstyle41">
    <w:name w:val="fontstyle41"/>
    <w:basedOn w:val="DefaultParagraphFont"/>
    <w:rsid w:val="00B85163"/>
    <w:rPr>
      <w:rFonts w:ascii="AdvP4C4E51" w:hAnsi="AdvP4C4E51" w:hint="default"/>
      <w:b w:val="0"/>
      <w:bCs w:val="0"/>
      <w:i w:val="0"/>
      <w:iCs w:val="0"/>
      <w:color w:val="000000"/>
      <w:sz w:val="16"/>
      <w:szCs w:val="16"/>
    </w:rPr>
  </w:style>
  <w:style w:type="character" w:customStyle="1" w:styleId="text">
    <w:name w:val="text"/>
    <w:basedOn w:val="DefaultParagraphFont"/>
    <w:rsid w:val="00B85163"/>
  </w:style>
  <w:style w:type="character" w:styleId="Emphasis">
    <w:name w:val="Emphasis"/>
    <w:basedOn w:val="DefaultParagraphFont"/>
    <w:uiPriority w:val="20"/>
    <w:qFormat/>
    <w:rsid w:val="00B85163"/>
    <w:rPr>
      <w:i/>
      <w:iCs/>
    </w:rPr>
  </w:style>
  <w:style w:type="character" w:customStyle="1" w:styleId="Heading1Char">
    <w:name w:val="Heading 1 Char"/>
    <w:basedOn w:val="DefaultParagraphFont"/>
    <w:link w:val="Heading1"/>
    <w:uiPriority w:val="9"/>
    <w:rsid w:val="00AA774C"/>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AA774C"/>
  </w:style>
  <w:style w:type="table" w:customStyle="1" w:styleId="TableGrid2">
    <w:name w:val="Table Grid2"/>
    <w:basedOn w:val="TableNormal"/>
    <w:next w:val="TableGrid"/>
    <w:uiPriority w:val="39"/>
    <w:rsid w:val="000D2F73"/>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D2F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556293">
      <w:bodyDiv w:val="1"/>
      <w:marLeft w:val="0"/>
      <w:marRight w:val="0"/>
      <w:marTop w:val="0"/>
      <w:marBottom w:val="0"/>
      <w:divBdr>
        <w:top w:val="none" w:sz="0" w:space="0" w:color="auto"/>
        <w:left w:val="none" w:sz="0" w:space="0" w:color="auto"/>
        <w:bottom w:val="none" w:sz="0" w:space="0" w:color="auto"/>
        <w:right w:val="none" w:sz="0" w:space="0" w:color="auto"/>
      </w:divBdr>
    </w:div>
    <w:div w:id="476531955">
      <w:bodyDiv w:val="1"/>
      <w:marLeft w:val="0"/>
      <w:marRight w:val="0"/>
      <w:marTop w:val="0"/>
      <w:marBottom w:val="0"/>
      <w:divBdr>
        <w:top w:val="none" w:sz="0" w:space="0" w:color="auto"/>
        <w:left w:val="none" w:sz="0" w:space="0" w:color="auto"/>
        <w:bottom w:val="none" w:sz="0" w:space="0" w:color="auto"/>
        <w:right w:val="none" w:sz="0" w:space="0" w:color="auto"/>
      </w:divBdr>
    </w:div>
    <w:div w:id="720591618">
      <w:bodyDiv w:val="1"/>
      <w:marLeft w:val="0"/>
      <w:marRight w:val="0"/>
      <w:marTop w:val="0"/>
      <w:marBottom w:val="0"/>
      <w:divBdr>
        <w:top w:val="none" w:sz="0" w:space="0" w:color="auto"/>
        <w:left w:val="none" w:sz="0" w:space="0" w:color="auto"/>
        <w:bottom w:val="none" w:sz="0" w:space="0" w:color="auto"/>
        <w:right w:val="none" w:sz="0" w:space="0" w:color="auto"/>
      </w:divBdr>
    </w:div>
    <w:div w:id="775908403">
      <w:bodyDiv w:val="1"/>
      <w:marLeft w:val="0"/>
      <w:marRight w:val="0"/>
      <w:marTop w:val="0"/>
      <w:marBottom w:val="0"/>
      <w:divBdr>
        <w:top w:val="none" w:sz="0" w:space="0" w:color="auto"/>
        <w:left w:val="none" w:sz="0" w:space="0" w:color="auto"/>
        <w:bottom w:val="none" w:sz="0" w:space="0" w:color="auto"/>
        <w:right w:val="none" w:sz="0" w:space="0" w:color="auto"/>
      </w:divBdr>
    </w:div>
    <w:div w:id="1262907333">
      <w:bodyDiv w:val="1"/>
      <w:marLeft w:val="0"/>
      <w:marRight w:val="0"/>
      <w:marTop w:val="0"/>
      <w:marBottom w:val="0"/>
      <w:divBdr>
        <w:top w:val="none" w:sz="0" w:space="0" w:color="auto"/>
        <w:left w:val="none" w:sz="0" w:space="0" w:color="auto"/>
        <w:bottom w:val="none" w:sz="0" w:space="0" w:color="auto"/>
        <w:right w:val="none" w:sz="0" w:space="0" w:color="auto"/>
      </w:divBdr>
    </w:div>
    <w:div w:id="1616207841">
      <w:bodyDiv w:val="1"/>
      <w:marLeft w:val="0"/>
      <w:marRight w:val="0"/>
      <w:marTop w:val="0"/>
      <w:marBottom w:val="0"/>
      <w:divBdr>
        <w:top w:val="none" w:sz="0" w:space="0" w:color="auto"/>
        <w:left w:val="none" w:sz="0" w:space="0" w:color="auto"/>
        <w:bottom w:val="none" w:sz="0" w:space="0" w:color="auto"/>
        <w:right w:val="none" w:sz="0" w:space="0" w:color="auto"/>
      </w:divBdr>
    </w:div>
    <w:div w:id="1624727090">
      <w:bodyDiv w:val="1"/>
      <w:marLeft w:val="0"/>
      <w:marRight w:val="0"/>
      <w:marTop w:val="0"/>
      <w:marBottom w:val="0"/>
      <w:divBdr>
        <w:top w:val="none" w:sz="0" w:space="0" w:color="auto"/>
        <w:left w:val="none" w:sz="0" w:space="0" w:color="auto"/>
        <w:bottom w:val="none" w:sz="0" w:space="0" w:color="auto"/>
        <w:right w:val="none" w:sz="0" w:space="0" w:color="auto"/>
      </w:divBdr>
    </w:div>
    <w:div w:id="195528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tiff"/><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yperlink" Target="https://en.wikipedia.org/wiki/Ammonium_persulfate" TargetMode="External"/><Relationship Id="rId17" Type="http://schemas.openxmlformats.org/officeDocument/2006/relationships/image" Target="media/image4.tiff"/><Relationship Id="rId25"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ntral.oak.go.kr/journallist/journaldetail.do?article_seq=20489&amp;tabname=abst&amp;resource_seq=-1&amp;keywords=null" TargetMode="External"/><Relationship Id="rId24"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tiff"/><Relationship Id="rId28" Type="http://schemas.openxmlformats.org/officeDocument/2006/relationships/image" Target="media/image15.tiff"/><Relationship Id="rId10" Type="http://schemas.openxmlformats.org/officeDocument/2006/relationships/hyperlink" Target="http://www.bio-equip.cn/enshow1manufacture.asp?manuid=bilon"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http://www.bio-equip.cn/enshow1manufacture.asp?manuid=bilon" TargetMode="External"/><Relationship Id="rId14" Type="http://schemas.openxmlformats.org/officeDocument/2006/relationships/image" Target="media/image1.tiff"/><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entral.oak.go.kr/journallist/journaldetail.do?article_seq=20489&amp;tabname=abst&amp;resource_seq=-1&amp;keywords=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84C97-B897-4917-B6BE-8B411C31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1</Pages>
  <Words>23031</Words>
  <Characters>131280</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Tchabo</dc:creator>
  <cp:keywords/>
  <dc:description/>
  <cp:lastModifiedBy>William Tchabo</cp:lastModifiedBy>
  <cp:revision>278</cp:revision>
  <dcterms:created xsi:type="dcterms:W3CDTF">2018-04-06T08:28:00Z</dcterms:created>
  <dcterms:modified xsi:type="dcterms:W3CDTF">2018-04-17T15:12:00Z</dcterms:modified>
</cp:coreProperties>
</file>