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drawings/drawing9.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0.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5F8E" w:rsidRDefault="00325F8E" w:rsidP="00783DAA">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jc w:val="center"/>
        <w:rPr>
          <w:color w:val="000000" w:themeColor="text1"/>
          <w:szCs w:val="24"/>
          <w:lang w:val="en-US"/>
        </w:rPr>
      </w:pPr>
      <w:r>
        <w:rPr>
          <w:b/>
          <w:bCs/>
          <w:color w:val="000000" w:themeColor="text1"/>
          <w:sz w:val="32"/>
          <w:szCs w:val="32"/>
          <w:lang w:val="en-US"/>
        </w:rPr>
        <w:t>Adsorptive removal</w:t>
      </w:r>
      <w:r w:rsidRPr="00866651">
        <w:rPr>
          <w:b/>
          <w:bCs/>
          <w:color w:val="000000" w:themeColor="text1"/>
          <w:sz w:val="32"/>
          <w:szCs w:val="32"/>
          <w:lang w:val="en-US"/>
        </w:rPr>
        <w:t xml:space="preserve"> of</w:t>
      </w:r>
      <w:r w:rsidRPr="00866651">
        <w:rPr>
          <w:b/>
          <w:bCs/>
          <w:color w:val="000000" w:themeColor="text1"/>
          <w:sz w:val="32"/>
          <w:szCs w:val="28"/>
          <w:lang w:val="en-US"/>
        </w:rPr>
        <w:t xml:space="preserve"> </w:t>
      </w:r>
      <w:r>
        <w:rPr>
          <w:b/>
          <w:bCs/>
          <w:color w:val="000000" w:themeColor="text1"/>
          <w:sz w:val="32"/>
          <w:szCs w:val="28"/>
          <w:lang w:val="en-US"/>
        </w:rPr>
        <w:t>cationic and anionic d</w:t>
      </w:r>
      <w:r w:rsidRPr="00866651">
        <w:rPr>
          <w:b/>
          <w:bCs/>
          <w:color w:val="000000" w:themeColor="text1"/>
          <w:sz w:val="32"/>
          <w:szCs w:val="28"/>
          <w:lang w:val="en-US"/>
        </w:rPr>
        <w:t>ye</w:t>
      </w:r>
      <w:r>
        <w:rPr>
          <w:b/>
          <w:bCs/>
          <w:color w:val="000000" w:themeColor="text1"/>
          <w:sz w:val="32"/>
          <w:szCs w:val="28"/>
          <w:lang w:val="en-US"/>
        </w:rPr>
        <w:t>s</w:t>
      </w:r>
      <w:r w:rsidRPr="00866651">
        <w:rPr>
          <w:b/>
          <w:bCs/>
          <w:color w:val="000000" w:themeColor="text1"/>
          <w:sz w:val="32"/>
          <w:szCs w:val="28"/>
          <w:lang w:val="en-US"/>
        </w:rPr>
        <w:t xml:space="preserve"> </w:t>
      </w:r>
      <w:r>
        <w:rPr>
          <w:b/>
          <w:bCs/>
          <w:color w:val="000000" w:themeColor="text1"/>
          <w:sz w:val="32"/>
          <w:szCs w:val="28"/>
          <w:lang w:val="en-US"/>
        </w:rPr>
        <w:t>from aqueous s</w:t>
      </w:r>
      <w:r w:rsidRPr="00866651">
        <w:rPr>
          <w:b/>
          <w:bCs/>
          <w:color w:val="000000" w:themeColor="text1"/>
          <w:sz w:val="32"/>
          <w:szCs w:val="28"/>
          <w:lang w:val="en-US"/>
        </w:rPr>
        <w:t xml:space="preserve">olutions by </w:t>
      </w:r>
      <w:r>
        <w:rPr>
          <w:b/>
          <w:bCs/>
          <w:color w:val="000000" w:themeColor="text1"/>
          <w:sz w:val="32"/>
          <w:szCs w:val="32"/>
          <w:lang w:val="en-US"/>
        </w:rPr>
        <w:t>u</w:t>
      </w:r>
      <w:r w:rsidRPr="00866651">
        <w:rPr>
          <w:b/>
          <w:bCs/>
          <w:color w:val="000000" w:themeColor="text1"/>
          <w:sz w:val="32"/>
          <w:szCs w:val="32"/>
          <w:lang w:val="en-US"/>
        </w:rPr>
        <w:t xml:space="preserve">sing </w:t>
      </w:r>
      <w:r>
        <w:rPr>
          <w:b/>
          <w:bCs/>
          <w:color w:val="000000" w:themeColor="text1"/>
          <w:sz w:val="32"/>
          <w:szCs w:val="28"/>
          <w:lang w:val="en-US"/>
        </w:rPr>
        <w:t>e</w:t>
      </w:r>
      <w:r w:rsidRPr="00866651">
        <w:rPr>
          <w:b/>
          <w:bCs/>
          <w:color w:val="000000" w:themeColor="text1"/>
          <w:sz w:val="32"/>
          <w:szCs w:val="28"/>
          <w:lang w:val="en-US"/>
        </w:rPr>
        <w:t xml:space="preserve">ggshell </w:t>
      </w:r>
      <w:r>
        <w:rPr>
          <w:b/>
          <w:bCs/>
          <w:color w:val="000000" w:themeColor="text1"/>
          <w:sz w:val="32"/>
          <w:szCs w:val="28"/>
          <w:lang w:val="en-US"/>
        </w:rPr>
        <w:t>household waste as biosorbent</w:t>
      </w:r>
    </w:p>
    <w:p w:rsidR="00325F8E" w:rsidRPr="00866651" w:rsidRDefault="00325F8E" w:rsidP="00325F8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ind w:left="851"/>
        <w:rPr>
          <w:color w:val="000000" w:themeColor="text1"/>
          <w:szCs w:val="24"/>
          <w:lang w:val="en-US"/>
        </w:rPr>
      </w:pPr>
    </w:p>
    <w:p w:rsidR="00430E18" w:rsidRPr="00A82BF3" w:rsidRDefault="00430E18" w:rsidP="00A82BF3">
      <w:pPr>
        <w:autoSpaceDE w:val="0"/>
        <w:autoSpaceDN w:val="0"/>
        <w:adjustRightInd w:val="0"/>
        <w:ind w:left="708"/>
        <w:jc w:val="center"/>
        <w:rPr>
          <w:lang w:val="en-GB"/>
        </w:rPr>
      </w:pPr>
      <w:r>
        <w:rPr>
          <w:lang w:val="en-GB"/>
        </w:rPr>
        <w:t>Eszter Rápó</w:t>
      </w:r>
      <w:r w:rsidR="0048736A">
        <w:rPr>
          <w:vertAlign w:val="superscript"/>
          <w:lang w:val="en-GB"/>
        </w:rPr>
        <w:t>1</w:t>
      </w:r>
      <w:r>
        <w:rPr>
          <w:lang w:val="en-GB"/>
        </w:rPr>
        <w:t>,</w:t>
      </w:r>
      <w:r w:rsidRPr="007D37B9">
        <w:rPr>
          <w:lang w:val="en-GB"/>
        </w:rPr>
        <w:t xml:space="preserve"> </w:t>
      </w:r>
      <w:r>
        <w:rPr>
          <w:lang w:val="en-GB"/>
        </w:rPr>
        <w:t>Robert SZÉP</w:t>
      </w:r>
      <w:r w:rsidR="0048736A">
        <w:rPr>
          <w:vertAlign w:val="superscript"/>
          <w:lang w:val="en-GB"/>
        </w:rPr>
        <w:t>2</w:t>
      </w:r>
      <w:r>
        <w:rPr>
          <w:lang w:val="en-GB"/>
        </w:rPr>
        <w:t xml:space="preserve">, </w:t>
      </w:r>
      <w:proofErr w:type="spellStart"/>
      <w:r>
        <w:rPr>
          <w:lang w:val="en-GB"/>
        </w:rPr>
        <w:t>Ágnes</w:t>
      </w:r>
      <w:proofErr w:type="spellEnd"/>
      <w:r>
        <w:rPr>
          <w:lang w:val="en-GB"/>
        </w:rPr>
        <w:t xml:space="preserve"> KERESZTESI</w:t>
      </w:r>
      <w:r w:rsidR="0048736A">
        <w:rPr>
          <w:vertAlign w:val="superscript"/>
          <w:lang w:val="en-GB"/>
        </w:rPr>
        <w:t>2</w:t>
      </w:r>
      <w:r>
        <w:rPr>
          <w:lang w:val="en-GB"/>
        </w:rPr>
        <w:t>, Maria</w:t>
      </w:r>
      <w:r w:rsidRPr="007D37B9">
        <w:rPr>
          <w:lang w:val="en-GB"/>
        </w:rPr>
        <w:t xml:space="preserve"> </w:t>
      </w:r>
      <w:r>
        <w:rPr>
          <w:lang w:val="en-GB"/>
        </w:rPr>
        <w:t>SUCIU</w:t>
      </w:r>
      <w:r w:rsidR="0048736A">
        <w:rPr>
          <w:vertAlign w:val="superscript"/>
          <w:lang w:val="en-GB"/>
        </w:rPr>
        <w:t>3</w:t>
      </w:r>
      <w:r>
        <w:rPr>
          <w:lang w:val="en-GB"/>
        </w:rPr>
        <w:t xml:space="preserve">, </w:t>
      </w:r>
      <w:r w:rsidRPr="007D37B9">
        <w:rPr>
          <w:lang w:val="en-GB"/>
        </w:rPr>
        <w:t>Szende TONK</w:t>
      </w:r>
      <w:r w:rsidR="0048736A">
        <w:rPr>
          <w:vertAlign w:val="superscript"/>
          <w:lang w:val="en-GB"/>
        </w:rPr>
        <w:t>1</w:t>
      </w:r>
      <w:r w:rsidR="00A82BF3">
        <w:rPr>
          <w:lang w:val="en-GB"/>
        </w:rPr>
        <w:t>*</w:t>
      </w:r>
    </w:p>
    <w:p w:rsidR="00430E18" w:rsidRPr="00A316C7" w:rsidRDefault="0048736A" w:rsidP="00A82BF3">
      <w:pPr>
        <w:spacing w:after="0" w:line="276" w:lineRule="auto"/>
        <w:jc w:val="center"/>
        <w:rPr>
          <w:color w:val="0D0D0D" w:themeColor="text1" w:themeTint="F2"/>
          <w:sz w:val="20"/>
          <w:szCs w:val="20"/>
          <w:lang w:val="en-GB"/>
        </w:rPr>
      </w:pPr>
      <w:r w:rsidRPr="00A316C7">
        <w:rPr>
          <w:color w:val="0D0D0D" w:themeColor="text1" w:themeTint="F2"/>
          <w:sz w:val="20"/>
          <w:szCs w:val="20"/>
          <w:vertAlign w:val="superscript"/>
          <w:lang w:val="en-GB"/>
        </w:rPr>
        <w:t>1</w:t>
      </w:r>
      <w:r w:rsidR="00430E18" w:rsidRPr="00A316C7">
        <w:rPr>
          <w:color w:val="0D0D0D" w:themeColor="text1" w:themeTint="F2"/>
          <w:sz w:val="20"/>
          <w:szCs w:val="20"/>
          <w:lang w:val="en-GB"/>
        </w:rPr>
        <w:t xml:space="preserve">Faculty of Sciences and Arts, </w:t>
      </w:r>
      <w:proofErr w:type="spellStart"/>
      <w:r w:rsidR="00430E18" w:rsidRPr="00A316C7">
        <w:rPr>
          <w:color w:val="0D0D0D" w:themeColor="text1" w:themeTint="F2"/>
          <w:sz w:val="20"/>
          <w:szCs w:val="20"/>
          <w:lang w:val="en-GB"/>
        </w:rPr>
        <w:t>Sapientia</w:t>
      </w:r>
      <w:proofErr w:type="spellEnd"/>
      <w:r w:rsidR="00430E18" w:rsidRPr="00A316C7">
        <w:rPr>
          <w:color w:val="0D0D0D" w:themeColor="text1" w:themeTint="F2"/>
          <w:sz w:val="20"/>
          <w:szCs w:val="20"/>
          <w:lang w:val="en-GB"/>
        </w:rPr>
        <w:t xml:space="preserve"> Hungarian University of Transylvania, </w:t>
      </w:r>
      <w:proofErr w:type="spellStart"/>
      <w:r w:rsidR="00430E18" w:rsidRPr="00A316C7">
        <w:rPr>
          <w:color w:val="0D0D0D" w:themeColor="text1" w:themeTint="F2"/>
          <w:sz w:val="20"/>
          <w:szCs w:val="20"/>
          <w:lang w:val="en-GB"/>
        </w:rPr>
        <w:t>Calea</w:t>
      </w:r>
      <w:proofErr w:type="spellEnd"/>
      <w:r w:rsidR="00430E18" w:rsidRPr="00A316C7">
        <w:rPr>
          <w:color w:val="0D0D0D" w:themeColor="text1" w:themeTint="F2"/>
          <w:sz w:val="20"/>
          <w:szCs w:val="20"/>
          <w:lang w:val="en-GB"/>
        </w:rPr>
        <w:t xml:space="preserve"> </w:t>
      </w:r>
      <w:proofErr w:type="spellStart"/>
      <w:r w:rsidR="00430E18" w:rsidRPr="00A316C7">
        <w:rPr>
          <w:color w:val="0D0D0D" w:themeColor="text1" w:themeTint="F2"/>
          <w:sz w:val="20"/>
          <w:szCs w:val="20"/>
          <w:lang w:val="en-GB"/>
        </w:rPr>
        <w:t>Turzii</w:t>
      </w:r>
      <w:proofErr w:type="spellEnd"/>
      <w:r w:rsidR="00430E18" w:rsidRPr="00A316C7">
        <w:rPr>
          <w:color w:val="0D0D0D" w:themeColor="text1" w:themeTint="F2"/>
          <w:sz w:val="20"/>
          <w:szCs w:val="20"/>
          <w:lang w:val="en-GB"/>
        </w:rPr>
        <w:t xml:space="preserve"> no. 4, RO-</w:t>
      </w:r>
      <w:r w:rsidR="00430E18" w:rsidRPr="00A316C7">
        <w:rPr>
          <w:color w:val="0D0D0D" w:themeColor="text1" w:themeTint="F2"/>
          <w:sz w:val="20"/>
          <w:szCs w:val="20"/>
          <w:shd w:val="clear" w:color="auto" w:fill="FFFFFF"/>
        </w:rPr>
        <w:t>400193,</w:t>
      </w:r>
      <w:r w:rsidR="00430E18" w:rsidRPr="00A316C7">
        <w:rPr>
          <w:color w:val="0D0D0D" w:themeColor="text1" w:themeTint="F2"/>
          <w:sz w:val="20"/>
          <w:szCs w:val="20"/>
          <w:lang w:val="en-GB"/>
        </w:rPr>
        <w:t xml:space="preserve"> Cluj-Napoca, Romania (corresponding author: tonkszende@gmail.com Tel.: +40 744 767 794)</w:t>
      </w:r>
    </w:p>
    <w:p w:rsidR="00430E18" w:rsidRPr="00A316C7" w:rsidRDefault="0048736A" w:rsidP="00A82BF3">
      <w:pPr>
        <w:spacing w:after="0" w:line="276" w:lineRule="auto"/>
        <w:jc w:val="center"/>
        <w:rPr>
          <w:b/>
          <w:color w:val="0D0D0D" w:themeColor="text1" w:themeTint="F2"/>
          <w:sz w:val="20"/>
          <w:szCs w:val="20"/>
          <w:lang w:val="en-GB"/>
        </w:rPr>
      </w:pPr>
      <w:r w:rsidRPr="00A316C7">
        <w:rPr>
          <w:color w:val="0D0D0D" w:themeColor="text1" w:themeTint="F2"/>
          <w:sz w:val="20"/>
          <w:szCs w:val="20"/>
          <w:shd w:val="clear" w:color="auto" w:fill="FFFFFF"/>
          <w:vertAlign w:val="superscript"/>
        </w:rPr>
        <w:t>2</w:t>
      </w:r>
      <w:r w:rsidR="00430E18" w:rsidRPr="00A316C7">
        <w:rPr>
          <w:color w:val="0D0D0D" w:themeColor="text1" w:themeTint="F2"/>
          <w:sz w:val="20"/>
          <w:szCs w:val="20"/>
          <w:shd w:val="clear" w:color="auto" w:fill="FFFFFF"/>
        </w:rPr>
        <w:t xml:space="preserve">Faculty of </w:t>
      </w:r>
      <w:proofErr w:type="spellStart"/>
      <w:r w:rsidR="00430E18" w:rsidRPr="00A316C7">
        <w:rPr>
          <w:color w:val="0D0D0D" w:themeColor="text1" w:themeTint="F2"/>
          <w:sz w:val="20"/>
          <w:szCs w:val="20"/>
          <w:shd w:val="clear" w:color="auto" w:fill="FFFFFF"/>
        </w:rPr>
        <w:t>Economics</w:t>
      </w:r>
      <w:proofErr w:type="spellEnd"/>
      <w:r w:rsidR="00430E18" w:rsidRPr="00A316C7">
        <w:rPr>
          <w:color w:val="0D0D0D" w:themeColor="text1" w:themeTint="F2"/>
          <w:sz w:val="20"/>
          <w:szCs w:val="20"/>
          <w:shd w:val="clear" w:color="auto" w:fill="FFFFFF"/>
        </w:rPr>
        <w:t xml:space="preserve">, </w:t>
      </w:r>
      <w:proofErr w:type="spellStart"/>
      <w:r w:rsidR="00430E18" w:rsidRPr="00A316C7">
        <w:rPr>
          <w:color w:val="0D0D0D" w:themeColor="text1" w:themeTint="F2"/>
          <w:sz w:val="20"/>
          <w:szCs w:val="20"/>
          <w:lang w:val="en-GB"/>
        </w:rPr>
        <w:t>Sapientia</w:t>
      </w:r>
      <w:proofErr w:type="spellEnd"/>
      <w:r w:rsidR="00430E18" w:rsidRPr="00A316C7">
        <w:rPr>
          <w:color w:val="0D0D0D" w:themeColor="text1" w:themeTint="F2"/>
          <w:sz w:val="20"/>
          <w:szCs w:val="20"/>
          <w:lang w:val="en-GB"/>
        </w:rPr>
        <w:t xml:space="preserve"> Hungarian University of Transylvania</w:t>
      </w:r>
      <w:r w:rsidR="00430E18" w:rsidRPr="00A316C7">
        <w:rPr>
          <w:color w:val="0D0D0D" w:themeColor="text1" w:themeTint="F2"/>
          <w:sz w:val="20"/>
          <w:szCs w:val="20"/>
          <w:shd w:val="clear" w:color="auto" w:fill="FFFFFF"/>
        </w:rPr>
        <w:t>,</w:t>
      </w:r>
      <w:r w:rsidR="00430E18" w:rsidRPr="00A316C7">
        <w:rPr>
          <w:iCs/>
          <w:color w:val="0D0D0D" w:themeColor="text1" w:themeTint="F2"/>
          <w:sz w:val="20"/>
          <w:szCs w:val="20"/>
          <w:shd w:val="clear" w:color="auto" w:fill="FFFFFF"/>
        </w:rPr>
        <w:t> </w:t>
      </w:r>
      <w:proofErr w:type="spellStart"/>
      <w:r w:rsidR="00430E18" w:rsidRPr="00A316C7">
        <w:rPr>
          <w:iCs/>
          <w:color w:val="0D0D0D" w:themeColor="text1" w:themeTint="F2"/>
          <w:sz w:val="20"/>
          <w:szCs w:val="20"/>
          <w:shd w:val="clear" w:color="auto" w:fill="FFFFFF"/>
        </w:rPr>
        <w:t>Piaţa</w:t>
      </w:r>
      <w:proofErr w:type="spellEnd"/>
      <w:r w:rsidR="00430E18" w:rsidRPr="00A316C7">
        <w:rPr>
          <w:iCs/>
          <w:color w:val="0D0D0D" w:themeColor="text1" w:themeTint="F2"/>
          <w:sz w:val="20"/>
          <w:szCs w:val="20"/>
          <w:shd w:val="clear" w:color="auto" w:fill="FFFFFF"/>
        </w:rPr>
        <w:t xml:space="preserve"> </w:t>
      </w:r>
      <w:proofErr w:type="spellStart"/>
      <w:r w:rsidR="00430E18" w:rsidRPr="00A316C7">
        <w:rPr>
          <w:iCs/>
          <w:color w:val="0D0D0D" w:themeColor="text1" w:themeTint="F2"/>
          <w:sz w:val="20"/>
          <w:szCs w:val="20"/>
          <w:shd w:val="clear" w:color="auto" w:fill="FFFFFF"/>
        </w:rPr>
        <w:t>Libertăţii</w:t>
      </w:r>
      <w:proofErr w:type="spellEnd"/>
      <w:r w:rsidR="00430E18" w:rsidRPr="00A316C7">
        <w:rPr>
          <w:iCs/>
          <w:color w:val="0D0D0D" w:themeColor="text1" w:themeTint="F2"/>
          <w:sz w:val="20"/>
          <w:szCs w:val="20"/>
          <w:shd w:val="clear" w:color="auto" w:fill="FFFFFF"/>
        </w:rPr>
        <w:t xml:space="preserve"> no. 1, RO-530104, </w:t>
      </w:r>
      <w:proofErr w:type="spellStart"/>
      <w:r w:rsidR="00430E18" w:rsidRPr="00A316C7">
        <w:rPr>
          <w:rStyle w:val="Kiemels2"/>
          <w:b w:val="0"/>
          <w:iCs/>
          <w:color w:val="0D0D0D" w:themeColor="text1" w:themeTint="F2"/>
          <w:sz w:val="20"/>
          <w:szCs w:val="20"/>
          <w:shd w:val="clear" w:color="auto" w:fill="FFFFFF"/>
        </w:rPr>
        <w:t>Miercurea-Ciuc</w:t>
      </w:r>
      <w:proofErr w:type="spellEnd"/>
      <w:r w:rsidR="00430E18" w:rsidRPr="00A316C7">
        <w:rPr>
          <w:rStyle w:val="Kiemels2"/>
          <w:b w:val="0"/>
          <w:iCs/>
          <w:color w:val="0D0D0D" w:themeColor="text1" w:themeTint="F2"/>
          <w:sz w:val="20"/>
          <w:szCs w:val="20"/>
          <w:shd w:val="clear" w:color="auto" w:fill="FFFFFF"/>
        </w:rPr>
        <w:t>,</w:t>
      </w:r>
      <w:r w:rsidR="00430E18" w:rsidRPr="00A316C7">
        <w:rPr>
          <w:rStyle w:val="apple-converted-space"/>
          <w:b/>
          <w:iCs/>
          <w:color w:val="0D0D0D" w:themeColor="text1" w:themeTint="F2"/>
          <w:sz w:val="20"/>
          <w:szCs w:val="20"/>
          <w:shd w:val="clear" w:color="auto" w:fill="FFFFFF"/>
        </w:rPr>
        <w:t> </w:t>
      </w:r>
      <w:proofErr w:type="spellStart"/>
      <w:r w:rsidR="00430E18" w:rsidRPr="00A316C7">
        <w:rPr>
          <w:rStyle w:val="Kiemels2"/>
          <w:b w:val="0"/>
          <w:iCs/>
          <w:color w:val="0D0D0D" w:themeColor="text1" w:themeTint="F2"/>
          <w:sz w:val="20"/>
          <w:szCs w:val="20"/>
          <w:shd w:val="clear" w:color="auto" w:fill="FFFFFF"/>
        </w:rPr>
        <w:t>Romania</w:t>
      </w:r>
      <w:proofErr w:type="spellEnd"/>
      <w:r w:rsidR="00430E18" w:rsidRPr="00A316C7">
        <w:rPr>
          <w:b/>
          <w:color w:val="0D0D0D" w:themeColor="text1" w:themeTint="F2"/>
          <w:sz w:val="20"/>
          <w:szCs w:val="20"/>
          <w:lang w:val="en-GB"/>
        </w:rPr>
        <w:t xml:space="preserve"> </w:t>
      </w:r>
    </w:p>
    <w:p w:rsidR="00430E18" w:rsidRPr="00A316C7" w:rsidRDefault="0048736A" w:rsidP="00A316C7">
      <w:pPr>
        <w:spacing w:after="0" w:line="276" w:lineRule="auto"/>
        <w:jc w:val="center"/>
        <w:rPr>
          <w:color w:val="0D0D0D" w:themeColor="text1" w:themeTint="F2"/>
          <w:sz w:val="20"/>
          <w:szCs w:val="20"/>
          <w:lang w:val="en-GB"/>
        </w:rPr>
      </w:pPr>
      <w:r w:rsidRPr="00A316C7">
        <w:rPr>
          <w:color w:val="0D0D0D" w:themeColor="text1" w:themeTint="F2"/>
          <w:sz w:val="20"/>
          <w:szCs w:val="20"/>
          <w:vertAlign w:val="superscript"/>
          <w:lang w:val="en-GB"/>
        </w:rPr>
        <w:t>3</w:t>
      </w:r>
      <w:r w:rsidR="00430E18" w:rsidRPr="00A316C7">
        <w:rPr>
          <w:color w:val="0D0D0D" w:themeColor="text1" w:themeTint="F2"/>
          <w:sz w:val="20"/>
          <w:szCs w:val="20"/>
          <w:lang w:val="en-GB"/>
        </w:rPr>
        <w:t>National Institute for Research and Development of Isotopic and Molecular Technologies,</w:t>
      </w:r>
      <w:r w:rsidR="00A316C7">
        <w:rPr>
          <w:color w:val="0D0D0D" w:themeColor="text1" w:themeTint="F2"/>
          <w:sz w:val="20"/>
          <w:szCs w:val="20"/>
          <w:lang w:val="en-GB"/>
        </w:rPr>
        <w:t xml:space="preserve"> Electron Microscopy Integrated </w:t>
      </w:r>
      <w:r w:rsidR="00430E18" w:rsidRPr="00A316C7">
        <w:rPr>
          <w:color w:val="0D0D0D" w:themeColor="text1" w:themeTint="F2"/>
          <w:sz w:val="20"/>
          <w:szCs w:val="20"/>
          <w:lang w:val="en-GB"/>
        </w:rPr>
        <w:t xml:space="preserve">Laboratory, 67-103 Donath Str., 400293, </w:t>
      </w:r>
      <w:proofErr w:type="spellStart"/>
      <w:r w:rsidR="00430E18" w:rsidRPr="00A316C7">
        <w:rPr>
          <w:color w:val="0D0D0D" w:themeColor="text1" w:themeTint="F2"/>
          <w:sz w:val="20"/>
          <w:szCs w:val="20"/>
          <w:lang w:val="en-GB"/>
        </w:rPr>
        <w:t>Cluj</w:t>
      </w:r>
      <w:proofErr w:type="spellEnd"/>
      <w:r w:rsidR="00430E18" w:rsidRPr="00A316C7">
        <w:rPr>
          <w:color w:val="0D0D0D" w:themeColor="text1" w:themeTint="F2"/>
          <w:sz w:val="20"/>
          <w:szCs w:val="20"/>
          <w:lang w:val="en-GB"/>
        </w:rPr>
        <w:t xml:space="preserve"> </w:t>
      </w:r>
      <w:proofErr w:type="spellStart"/>
      <w:r w:rsidR="00430E18" w:rsidRPr="00A316C7">
        <w:rPr>
          <w:color w:val="0D0D0D" w:themeColor="text1" w:themeTint="F2"/>
          <w:sz w:val="20"/>
          <w:szCs w:val="20"/>
          <w:lang w:val="en-GB"/>
        </w:rPr>
        <w:t>Napoca</w:t>
      </w:r>
      <w:proofErr w:type="spellEnd"/>
      <w:r w:rsidR="00430E18" w:rsidRPr="00A316C7">
        <w:rPr>
          <w:color w:val="0D0D0D" w:themeColor="text1" w:themeTint="F2"/>
          <w:sz w:val="20"/>
          <w:szCs w:val="20"/>
          <w:lang w:val="en-GB"/>
        </w:rPr>
        <w:t>, Romania</w:t>
      </w:r>
    </w:p>
    <w:p w:rsidR="00325F8E" w:rsidRPr="00866651" w:rsidRDefault="00325F8E" w:rsidP="00325F8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Pr>
          <w:color w:val="000000" w:themeColor="text1"/>
          <w:lang w:val="en-US"/>
        </w:rPr>
      </w:pPr>
    </w:p>
    <w:p w:rsidR="00325F8E" w:rsidRPr="00A82BF3" w:rsidRDefault="00325F8E" w:rsidP="00325F8E">
      <w:pPr>
        <w:tabs>
          <w:tab w:val="left" w:pos="-879"/>
          <w:tab w:val="left" w:pos="0"/>
          <w:tab w:val="left" w:pos="284"/>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284" w:right="851"/>
        <w:rPr>
          <w:b/>
          <w:bCs/>
          <w:color w:val="000000" w:themeColor="text1"/>
          <w:szCs w:val="24"/>
          <w:lang w:val="en-US"/>
        </w:rPr>
      </w:pPr>
      <w:r w:rsidRPr="00A82BF3">
        <w:rPr>
          <w:b/>
          <w:bCs/>
          <w:color w:val="000000" w:themeColor="text1"/>
          <w:szCs w:val="24"/>
          <w:lang w:val="en-US"/>
        </w:rPr>
        <w:t>Abstract</w:t>
      </w:r>
    </w:p>
    <w:p w:rsidR="00325F8E" w:rsidRPr="00026B89" w:rsidRDefault="00026B89" w:rsidP="00D94834">
      <w:pPr>
        <w:tabs>
          <w:tab w:val="left" w:pos="-879"/>
          <w:tab w:val="left" w:pos="0"/>
          <w:tab w:val="left" w:pos="284"/>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line="240" w:lineRule="auto"/>
        <w:ind w:left="284" w:right="851"/>
        <w:rPr>
          <w:bCs/>
          <w:color w:val="000000" w:themeColor="text1"/>
          <w:sz w:val="20"/>
          <w:szCs w:val="20"/>
          <w:lang w:val="en-US"/>
        </w:rPr>
      </w:pPr>
      <w:r w:rsidRPr="00026B89">
        <w:rPr>
          <w:bCs/>
          <w:color w:val="000000" w:themeColor="text1"/>
          <w:sz w:val="20"/>
          <w:szCs w:val="20"/>
          <w:lang w:val="en-US"/>
        </w:rPr>
        <w:t xml:space="preserve">In the last years the adsorption processes were proven </w:t>
      </w:r>
      <w:r w:rsidR="00D94834">
        <w:rPr>
          <w:bCs/>
          <w:color w:val="000000" w:themeColor="text1"/>
          <w:sz w:val="20"/>
          <w:szCs w:val="20"/>
          <w:lang w:val="en-US"/>
        </w:rPr>
        <w:t>to be</w:t>
      </w:r>
      <w:r>
        <w:rPr>
          <w:bCs/>
          <w:color w:val="000000" w:themeColor="text1"/>
          <w:sz w:val="20"/>
          <w:szCs w:val="20"/>
          <w:lang w:val="en-US"/>
        </w:rPr>
        <w:t xml:space="preserve"> effective and easy </w:t>
      </w:r>
      <w:r w:rsidRPr="00026B89">
        <w:rPr>
          <w:bCs/>
          <w:color w:val="000000" w:themeColor="text1"/>
          <w:sz w:val="20"/>
          <w:szCs w:val="20"/>
          <w:lang w:val="en-US"/>
        </w:rPr>
        <w:t>to use technique</w:t>
      </w:r>
      <w:r w:rsidR="00D94834">
        <w:rPr>
          <w:bCs/>
          <w:color w:val="000000" w:themeColor="text1"/>
          <w:sz w:val="20"/>
          <w:szCs w:val="20"/>
          <w:lang w:val="en-US"/>
        </w:rPr>
        <w:t>s</w:t>
      </w:r>
      <w:r w:rsidRPr="00026B89">
        <w:rPr>
          <w:bCs/>
          <w:color w:val="000000" w:themeColor="text1"/>
          <w:sz w:val="20"/>
          <w:szCs w:val="20"/>
          <w:lang w:val="en-US"/>
        </w:rPr>
        <w:t xml:space="preserve"> to clean the polluted waste water. The purpose of this research is to examine th</w:t>
      </w:r>
      <w:r>
        <w:rPr>
          <w:bCs/>
          <w:color w:val="000000" w:themeColor="text1"/>
          <w:sz w:val="20"/>
          <w:szCs w:val="20"/>
          <w:lang w:val="en-US"/>
        </w:rPr>
        <w:t xml:space="preserve">e biosorption method on organic </w:t>
      </w:r>
      <w:r w:rsidRPr="00026B89">
        <w:rPr>
          <w:bCs/>
          <w:color w:val="000000" w:themeColor="text1"/>
          <w:sz w:val="20"/>
          <w:szCs w:val="20"/>
          <w:lang w:val="en-US"/>
        </w:rPr>
        <w:t>indicators (</w:t>
      </w:r>
      <w:r w:rsidR="00BF0F3F" w:rsidRPr="00026B89">
        <w:rPr>
          <w:bCs/>
          <w:color w:val="000000" w:themeColor="text1"/>
          <w:sz w:val="20"/>
          <w:szCs w:val="20"/>
          <w:lang w:val="en-US"/>
        </w:rPr>
        <w:t>Methylene</w:t>
      </w:r>
      <w:r w:rsidRPr="00026B89">
        <w:rPr>
          <w:bCs/>
          <w:color w:val="000000" w:themeColor="text1"/>
          <w:sz w:val="20"/>
          <w:szCs w:val="20"/>
          <w:lang w:val="en-US"/>
        </w:rPr>
        <w:t xml:space="preserve"> Blue, </w:t>
      </w:r>
      <w:r w:rsidR="00BF0F3F" w:rsidRPr="00026B89">
        <w:rPr>
          <w:bCs/>
          <w:color w:val="000000" w:themeColor="text1"/>
          <w:sz w:val="20"/>
          <w:szCs w:val="20"/>
          <w:lang w:val="en-US"/>
        </w:rPr>
        <w:t>Malachite</w:t>
      </w:r>
      <w:r w:rsidRPr="00026B89">
        <w:rPr>
          <w:bCs/>
          <w:color w:val="000000" w:themeColor="text1"/>
          <w:sz w:val="20"/>
          <w:szCs w:val="20"/>
          <w:lang w:val="en-US"/>
        </w:rPr>
        <w:t xml:space="preserve"> Green, Congo Red </w:t>
      </w:r>
      <w:r>
        <w:rPr>
          <w:bCs/>
          <w:color w:val="000000" w:themeColor="text1"/>
          <w:sz w:val="20"/>
          <w:szCs w:val="20"/>
          <w:lang w:val="en-US"/>
        </w:rPr>
        <w:t xml:space="preserve">and Bromphenol Blue) in aqueous </w:t>
      </w:r>
      <w:r w:rsidRPr="00026B89">
        <w:rPr>
          <w:bCs/>
          <w:color w:val="000000" w:themeColor="text1"/>
          <w:sz w:val="20"/>
          <w:szCs w:val="20"/>
          <w:lang w:val="en-US"/>
        </w:rPr>
        <w:t>medium by using chicken eggshell. The adsorption process was investigat</w:t>
      </w:r>
      <w:r>
        <w:rPr>
          <w:bCs/>
          <w:color w:val="000000" w:themeColor="text1"/>
          <w:sz w:val="20"/>
          <w:szCs w:val="20"/>
          <w:lang w:val="en-US"/>
        </w:rPr>
        <w:t xml:space="preserve">ed in static </w:t>
      </w:r>
      <w:r w:rsidRPr="00026B89">
        <w:rPr>
          <w:bCs/>
          <w:color w:val="000000" w:themeColor="text1"/>
          <w:sz w:val="20"/>
          <w:szCs w:val="20"/>
          <w:lang w:val="en-US"/>
        </w:rPr>
        <w:t>circumstance. We examined the initial change of concentration</w:t>
      </w:r>
      <w:r>
        <w:rPr>
          <w:bCs/>
          <w:color w:val="000000" w:themeColor="text1"/>
          <w:sz w:val="20"/>
          <w:szCs w:val="20"/>
          <w:lang w:val="en-US"/>
        </w:rPr>
        <w:t xml:space="preserve"> (10-50 mg/l), the pH effect on </w:t>
      </w:r>
      <w:r w:rsidRPr="00026B89">
        <w:rPr>
          <w:bCs/>
          <w:color w:val="000000" w:themeColor="text1"/>
          <w:sz w:val="20"/>
          <w:szCs w:val="20"/>
          <w:lang w:val="en-US"/>
        </w:rPr>
        <w:t>the adsorption process, the equilibrium process, and the s</w:t>
      </w:r>
      <w:r>
        <w:rPr>
          <w:bCs/>
          <w:color w:val="000000" w:themeColor="text1"/>
          <w:sz w:val="20"/>
          <w:szCs w:val="20"/>
          <w:lang w:val="en-US"/>
        </w:rPr>
        <w:t xml:space="preserve">orption kinetics. With scanning </w:t>
      </w:r>
      <w:r w:rsidRPr="00026B89">
        <w:rPr>
          <w:bCs/>
          <w:color w:val="000000" w:themeColor="text1"/>
          <w:sz w:val="20"/>
          <w:szCs w:val="20"/>
          <w:lang w:val="en-US"/>
        </w:rPr>
        <w:t xml:space="preserve">electron microscope, we examined the morphology and texture </w:t>
      </w:r>
      <w:r>
        <w:rPr>
          <w:bCs/>
          <w:color w:val="000000" w:themeColor="text1"/>
          <w:sz w:val="20"/>
          <w:szCs w:val="20"/>
          <w:lang w:val="en-US"/>
        </w:rPr>
        <w:t xml:space="preserve">of the eggshell, furthermore we </w:t>
      </w:r>
      <w:r w:rsidRPr="00026B89">
        <w:rPr>
          <w:bCs/>
          <w:color w:val="000000" w:themeColor="text1"/>
          <w:sz w:val="20"/>
          <w:szCs w:val="20"/>
          <w:lang w:val="en-US"/>
        </w:rPr>
        <w:t>conducted EDX micro analysis and ecotoxicological tests. Our r</w:t>
      </w:r>
      <w:r>
        <w:rPr>
          <w:bCs/>
          <w:color w:val="000000" w:themeColor="text1"/>
          <w:sz w:val="20"/>
          <w:szCs w:val="20"/>
          <w:lang w:val="en-US"/>
        </w:rPr>
        <w:t xml:space="preserve">esults support the influence of </w:t>
      </w:r>
      <w:r w:rsidRPr="00026B89">
        <w:rPr>
          <w:bCs/>
          <w:color w:val="000000" w:themeColor="text1"/>
          <w:sz w:val="20"/>
          <w:szCs w:val="20"/>
          <w:lang w:val="en-US"/>
        </w:rPr>
        <w:t>the parameters on the sorption process.</w:t>
      </w:r>
    </w:p>
    <w:p w:rsidR="00325F8E" w:rsidRPr="00866651" w:rsidRDefault="00325F8E" w:rsidP="00325F8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rPr>
          <w:b/>
          <w:bCs/>
          <w:color w:val="000000" w:themeColor="text1"/>
          <w:szCs w:val="24"/>
          <w:lang w:val="en-US"/>
        </w:rPr>
      </w:pPr>
      <w:r w:rsidRPr="00866651">
        <w:rPr>
          <w:b/>
          <w:bCs/>
          <w:color w:val="000000" w:themeColor="text1"/>
          <w:szCs w:val="24"/>
          <w:lang w:val="en-US"/>
        </w:rPr>
        <w:t>Keywords</w:t>
      </w:r>
    </w:p>
    <w:p w:rsidR="00325F8E" w:rsidRPr="00866651" w:rsidRDefault="00325F8E" w:rsidP="00A316C7">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851" w:right="851"/>
        <w:rPr>
          <w:color w:val="000000" w:themeColor="text1"/>
          <w:szCs w:val="24"/>
          <w:lang w:val="en-US"/>
        </w:rPr>
      </w:pPr>
      <w:r w:rsidRPr="00866651">
        <w:rPr>
          <w:color w:val="000000" w:themeColor="text1"/>
          <w:szCs w:val="24"/>
          <w:lang w:val="en-US"/>
        </w:rPr>
        <w:t xml:space="preserve">adsorption; eggshell; </w:t>
      </w:r>
      <w:r w:rsidR="00585CA7">
        <w:rPr>
          <w:color w:val="000000" w:themeColor="text1"/>
          <w:szCs w:val="24"/>
          <w:lang w:val="en-US"/>
        </w:rPr>
        <w:t>cationic dye; anionic dye</w:t>
      </w:r>
      <w:r w:rsidRPr="00866651">
        <w:rPr>
          <w:color w:val="000000" w:themeColor="text1"/>
          <w:szCs w:val="24"/>
          <w:lang w:val="en-US"/>
        </w:rPr>
        <w:t xml:space="preserve"> </w:t>
      </w:r>
    </w:p>
    <w:p w:rsidR="00A316C7" w:rsidRDefault="00A316C7" w:rsidP="00325F8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color w:val="000000" w:themeColor="text1"/>
          <w:szCs w:val="24"/>
          <w:lang w:val="en-US"/>
        </w:rPr>
      </w:pPr>
    </w:p>
    <w:p w:rsidR="00325F8E" w:rsidRPr="00866651" w:rsidRDefault="00325F8E" w:rsidP="00325F8E">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rPr>
          <w:b/>
          <w:bCs/>
          <w:color w:val="000000" w:themeColor="text1"/>
          <w:szCs w:val="24"/>
          <w:lang w:val="en-US"/>
        </w:rPr>
      </w:pPr>
      <w:r w:rsidRPr="00866651">
        <w:rPr>
          <w:b/>
          <w:bCs/>
          <w:color w:val="000000" w:themeColor="text1"/>
          <w:szCs w:val="24"/>
          <w:lang w:val="en-US"/>
        </w:rPr>
        <w:t>INTRODUCTION</w:t>
      </w:r>
    </w:p>
    <w:p w:rsidR="000E5A8B" w:rsidRPr="00772016" w:rsidRDefault="00772016" w:rsidP="00772016">
      <w:pPr>
        <w:rPr>
          <w:lang w:val="en-US"/>
        </w:rPr>
      </w:pPr>
      <w:r w:rsidRPr="00772016">
        <w:rPr>
          <w:lang w:val="en-US"/>
        </w:rPr>
        <w:t>The World Economic Forum has consecutively assessed the wa</w:t>
      </w:r>
      <w:r>
        <w:rPr>
          <w:lang w:val="en-US"/>
        </w:rPr>
        <w:t xml:space="preserve">ter crisis as one of the major </w:t>
      </w:r>
      <w:r w:rsidRPr="00772016">
        <w:rPr>
          <w:lang w:val="en-US"/>
        </w:rPr>
        <w:t>global risks over the past five years. In 2016, the water crisi</w:t>
      </w:r>
      <w:r>
        <w:rPr>
          <w:lang w:val="en-US"/>
        </w:rPr>
        <w:t xml:space="preserve">s was determined as the global </w:t>
      </w:r>
      <w:r w:rsidRPr="00772016">
        <w:rPr>
          <w:lang w:val="en-US"/>
        </w:rPr>
        <w:t>risk of highest concern for people and economies for</w:t>
      </w:r>
      <w:r>
        <w:rPr>
          <w:lang w:val="en-US"/>
        </w:rPr>
        <w:t xml:space="preserve"> the next ten years</w:t>
      </w:r>
      <w:r w:rsidR="004834C5">
        <w:rPr>
          <w:lang w:val="en-US"/>
        </w:rPr>
        <w:t>.</w:t>
      </w:r>
      <w:r>
        <w:rPr>
          <w:lang w:val="en-US"/>
        </w:rPr>
        <w:fldChar w:fldCharType="begin"/>
      </w:r>
      <w:r w:rsidR="00F97D08">
        <w:rPr>
          <w:lang w:val="en-US"/>
        </w:rPr>
        <w:instrText xml:space="preserve"> ADDIN ZOTERO_ITEM CSL_CITATION {"citationID":"ajr2l3vak5","properties":{"formattedCitation":"\\super [1]\\nosupersub{}","plainCitation":"[1]","dontUpdate":true,"noteIndex":0},"citationItems":[{"id":963,"uris":["http://zotero.org/users/4017583/items/SE4QEB36"],"uri":["http://zotero.org/users/4017583/items/SE4QEB36"],"itemData":{"id":963,"type":"webpage","title":"The United Nations World Water Development Report - Facts and figures","container-title":"http://unesdoc.unesco.org/images/0024/002475/247553e.pdf","author":[{"literal":"UNESCO"}],"issued":{"date-parts":[["2017"]]}}}],"schema":"https://github.com/citation-style-language/schema/raw/master/csl-citation.json"} </w:instrText>
      </w:r>
      <w:r>
        <w:rPr>
          <w:lang w:val="en-US"/>
        </w:rPr>
        <w:fldChar w:fldCharType="separate"/>
      </w:r>
      <w:r w:rsidR="00F22D7A" w:rsidRPr="00F22D7A">
        <w:rPr>
          <w:rFonts w:cs="Times New Roman"/>
          <w:szCs w:val="24"/>
          <w:vertAlign w:val="superscript"/>
        </w:rPr>
        <w:t>1</w:t>
      </w:r>
      <w:r>
        <w:rPr>
          <w:lang w:val="en-US"/>
        </w:rPr>
        <w:fldChar w:fldCharType="end"/>
      </w:r>
      <w:r>
        <w:rPr>
          <w:lang w:val="en-US"/>
        </w:rPr>
        <w:t xml:space="preserve"> In global scale it is estimated that 80% of wastewater is released to the environment without adequate treatment</w:t>
      </w:r>
      <w:r w:rsidR="004834C5">
        <w:rPr>
          <w:lang w:val="en-US"/>
        </w:rPr>
        <w:t>.</w:t>
      </w:r>
      <w:r w:rsidR="00154ECD">
        <w:rPr>
          <w:lang w:val="en-US"/>
        </w:rPr>
        <w:fldChar w:fldCharType="begin"/>
      </w:r>
      <w:r w:rsidR="00F97D08">
        <w:rPr>
          <w:lang w:val="en-US"/>
        </w:rPr>
        <w:instrText xml:space="preserve"> ADDIN ZOTERO_ITEM CSL_CITATION {"citationID":"a2679gbp2sf","properties":{"formattedCitation":"\\super [2]\\nosupersub{}","plainCitation":"[2]","dontUpdate":true,"noteIndex":0},"citationItems":[{"id":970,"uris":["http://zotero.org/users/4017583/items/VTRJIFB3"],"uri":["http://zotero.org/users/4017583/items/VTRJIFB3"],"itemData":{"id":970,"type":"webpage","title":"The United Nations World Water Development Report - Executive summary","URL":"http://unesdoc.unesco.org/images/0024/002475/247552e.pdf","author":[{"literal":"UNESCO"}],"issued":{"date-parts":[["2017"]]}}}],"schema":"https://github.com/citation-style-language/schema/raw/master/csl-citation.json"} </w:instrText>
      </w:r>
      <w:r w:rsidR="00154ECD">
        <w:rPr>
          <w:lang w:val="en-US"/>
        </w:rPr>
        <w:fldChar w:fldCharType="separate"/>
      </w:r>
      <w:r w:rsidR="00F22D7A" w:rsidRPr="00F22D7A">
        <w:rPr>
          <w:rFonts w:cs="Times New Roman"/>
          <w:szCs w:val="24"/>
          <w:vertAlign w:val="superscript"/>
        </w:rPr>
        <w:t>2</w:t>
      </w:r>
      <w:r w:rsidR="00154ECD">
        <w:rPr>
          <w:lang w:val="en-US"/>
        </w:rPr>
        <w:fldChar w:fldCharType="end"/>
      </w:r>
      <w:r>
        <w:rPr>
          <w:lang w:val="en-US"/>
        </w:rPr>
        <w:t xml:space="preserve"> Water pollution is highly affected by industrial development. Textile industry uses dyes to color their products producing wastewater containing organic matter</w:t>
      </w:r>
      <w:r w:rsidR="00194336">
        <w:rPr>
          <w:lang w:val="en-US"/>
        </w:rPr>
        <w:t xml:space="preserve"> with strong color</w:t>
      </w:r>
      <w:r w:rsidR="004834C5">
        <w:rPr>
          <w:lang w:val="en-US"/>
        </w:rPr>
        <w:t>.</w:t>
      </w:r>
      <w:r w:rsidR="00194336">
        <w:rPr>
          <w:lang w:val="en-US"/>
        </w:rPr>
        <w:fldChar w:fldCharType="begin"/>
      </w:r>
      <w:r w:rsidR="00F97D08">
        <w:rPr>
          <w:lang w:val="en-US"/>
        </w:rPr>
        <w:instrText xml:space="preserve"> ADDIN ZOTERO_ITEM CSL_CITATION {"citationID":"as2aqs0ovf","properties":{"formattedCitation":"\\super [3]\\nosupersub{}","plainCitation":"[3]","dontUpdate":true,"noteIndex":0},"citationItems":[{"id":354,"uris":["http://zotero.org/users/4017583/items/GWHKUENP"],"uri":["http://zotero.org/users/4017583/items/GWHKUENP"],"itemData":{"id":354,"type":"article-journal","title":"Cationic and anionic dye adsorption by agricultural solid wastes: A comprehensive review","container-title":"Desalination","page":"1-13","volume":"280","issue":"1","source":"ScienceDirect","abstract":"Recently many researchers have proved the capability of agricultural solid wastes as adsorbents to remove many types of pollutants including dyes. This review represents the use of agricultural solid wastes to remove two classes of dye, cationic and anionic dyes and makes a simple comparison among cationic and anionic dye adsorption by the same adsorbent, thus possibly opening the door for a better understanding of the dye-classified adsorption process. Both these classes of dyes are toxic and cause severe problems to aquatic environment. Some agricultural solid wastes can remove both dye classes, although they need activation. The dye adsorption capacities of agricultural waste adsorbents vary, depending on the pH of solution, initial dye concentration, adsorbent dosage and process temperature. The pH of solution is directly related to the dye-classified adsorption, where it affects the surface charge of the adsorbent and the degree of ionization of the adsorbate.","DOI":"10.1016/j.desal.2011.07.019","ISSN":"0011-9164","shortTitle":"Cationic and anionic dye adsorption by agricultural solid wastes","journalAbbreviation":"Desalination","author":[{"family":"Salleh","given":"Mohamad Amran Mohd"},{"family":"Mahmoud","given":"Dalia Khalid"},{"family":"Karim","given":"Wan Azlina Wan Abdul"},{"family":"Idris","given":"Azni"}],"issued":{"date-parts":[["2011",10,3]]}}}],"schema":"https://github.com/citation-style-language/schema/raw/master/csl-citation.json"} </w:instrText>
      </w:r>
      <w:r w:rsidR="00194336">
        <w:rPr>
          <w:lang w:val="en-US"/>
        </w:rPr>
        <w:fldChar w:fldCharType="separate"/>
      </w:r>
      <w:r w:rsidR="00F22D7A" w:rsidRPr="00F22D7A">
        <w:rPr>
          <w:rFonts w:cs="Times New Roman"/>
          <w:szCs w:val="24"/>
          <w:vertAlign w:val="superscript"/>
        </w:rPr>
        <w:t>3</w:t>
      </w:r>
      <w:r w:rsidR="00194336">
        <w:rPr>
          <w:lang w:val="en-US"/>
        </w:rPr>
        <w:fldChar w:fldCharType="end"/>
      </w:r>
      <w:r w:rsidR="00194336">
        <w:rPr>
          <w:lang w:val="en-US"/>
        </w:rPr>
        <w:t xml:space="preserve"> Due to low level dye-fiber fixation approximately 15% of the total dyestuff produced annually is lost during the dyeing process and comes out with their waste water</w:t>
      </w:r>
      <w:r w:rsidR="004834C5">
        <w:rPr>
          <w:lang w:val="en-US"/>
        </w:rPr>
        <w:t>.</w:t>
      </w:r>
      <w:r w:rsidR="00194336">
        <w:rPr>
          <w:lang w:val="en-US"/>
        </w:rPr>
        <w:fldChar w:fldCharType="begin"/>
      </w:r>
      <w:r w:rsidR="00F97D08">
        <w:rPr>
          <w:lang w:val="en-US"/>
        </w:rPr>
        <w:instrText xml:space="preserve"> ADDIN ZOTERO_ITEM CSL_CITATION {"citationID":"a1p0a8rpjic","properties":{"formattedCitation":"\\super [4,5]\\nosupersub{}","plainCitation":"[4,5]","dontUpdate":true,"noteIndex":0},"citationItems":[{"id":957,"uris":["http://zotero.org/users/4017583/items/4TEBVW8F"],"uri":["http://zotero.org/users/4017583/items/4TEBVW8F"],"itemData":{"id":957,"type":"article-journal","title":"Ultrafast Removal of Cationic Dye Using Agrowaste-Derived Mesoporous Adsorbent","container-title":"Industrial &amp; Engineering Chemistry Research","page":"18558-18567","volume":"53","issue":"48","source":"ACS Publications","abstract":"High-purity amorphous silica extracted from rice husk ash (RHA) was utilized for synthesizing a low cost, novel mesoporous adsorbent (RHS-MCM-41) for removal of the cationic dye Brilliant Green (BG) from water. Transformation of the silica to a mesoporous aluminosilicate structure resulted in </w:instrText>
      </w:r>
      <w:r w:rsidR="00F97D08">
        <w:rPr>
          <w:rFonts w:ascii="Cambria Math" w:hAnsi="Cambria Math" w:cs="Cambria Math"/>
          <w:lang w:val="en-US"/>
        </w:rPr>
        <w:instrText>∼</w:instrText>
      </w:r>
      <w:r w:rsidR="00F97D08">
        <w:rPr>
          <w:lang w:val="en-US"/>
        </w:rPr>
        <w:instrText xml:space="preserve">9 fold enhancement of surface area generating negatively charged surface active sites. Adsorbent was characterized with small angle X-ray diffraction, scanning electron microscopy, energy dispersive spectroscopy, nitrogen adsorption–desorption analysis, and Fourier transform infrared spectroscopy. An equilibrium state was achieved very quickly (within 15 min) following pseudo-second-order kinetics (ks = 315 × 10–4 g/(mg min)) with a very high adsorption capacity of 250 mg/g. Variation in adsorbent surface functionality revealed that the presence of negative charge centers favor BG adsorption. The Elovich model fitting the system explicated involvement of the chemisorption process. Intraparticle diffusion model elucidates a two-step diffusion and saturation stage. Equilibrium batch adsorption data are best explained with Langmuir–Freundlich isotherm model.","DOI":"10.1021/ie5030003","ISSN":"0888-5885","journalAbbreviation":"Ind. Eng. Chem. Res.","author":[{"family":"Dutta","given":"Raju"},{"family":"Nagarjuna","given":"Tallam V."},{"family":"Mandavgane","given":"Sachin A."},{"family":"Ekhe","given":"Jayant D."}],"issued":{"date-parts":[["2014",0,3]]}}},{"id":559,"uris":["http://zotero.org/users/4017583/items/PPXU3HKI"],"uri":["http://zotero.org/users/4017583/items/PPXU3HKI"],"itemData":{"id":559,"type":"article-journal","title":"Adsorptive removal of cationic and anionic dyes from aqueous solution by utilizing almond shell as bioadsorbent","container-title":"Euro-Mediterranean Journal for Environmental Integration","page":"20","volume":"2","issue":"1","source":"link.springer.com","abstract":"Almond shell is a food waste that is utilized as bioadsorbent for the uptake of Eriochrome Black T (EBT) and Malachite Green (MG) dyes from aqueous solutions. The biomaterial was characterized by spec","DOI":"10.1007/s41207-017-0032-y","ISSN":"2365-6433, 2365-7448","journalAbbreviation":"Euro-Mediterr J Environ Integr","language":"en","author":[{"family":"Arfi","given":"Rim Ben"},{"family":"Karoui","given":"Sarra"},{"family":"Mougin","given":"Karine"},{"family":"Ghorbal","given":"Achraf"}],"issued":{"date-parts":[["2017",10,1]]}}}],"schema":"https://github.com/citation-style-language/schema/raw/master/csl-citation.json"} </w:instrText>
      </w:r>
      <w:r w:rsidR="00194336">
        <w:rPr>
          <w:lang w:val="en-US"/>
        </w:rPr>
        <w:fldChar w:fldCharType="separate"/>
      </w:r>
      <w:r w:rsidR="00F22D7A" w:rsidRPr="00F22D7A">
        <w:rPr>
          <w:rFonts w:cs="Times New Roman"/>
          <w:szCs w:val="24"/>
          <w:vertAlign w:val="superscript"/>
        </w:rPr>
        <w:t>4,5</w:t>
      </w:r>
      <w:r w:rsidR="00194336">
        <w:rPr>
          <w:lang w:val="en-US"/>
        </w:rPr>
        <w:fldChar w:fldCharType="end"/>
      </w:r>
      <w:r w:rsidR="00194336">
        <w:rPr>
          <w:lang w:val="en-US"/>
        </w:rPr>
        <w:t xml:space="preserve"> The removal of dyes from water becomes environmentally important because small quantities can be toxic to natural waters causing allergic reactions, skin irritation, cancer, mutations, its color is highly visible and inhibits sunlight penetration into waters like streams, rivers, lakes</w:t>
      </w:r>
      <w:r w:rsidR="00090636">
        <w:rPr>
          <w:lang w:val="en-US"/>
        </w:rPr>
        <w:t>.</w:t>
      </w:r>
      <w:r w:rsidR="00585CA7">
        <w:rPr>
          <w:lang w:val="en-US"/>
        </w:rPr>
        <w:fldChar w:fldCharType="begin"/>
      </w:r>
      <w:r w:rsidR="00F22D7A">
        <w:rPr>
          <w:lang w:val="en-US"/>
        </w:rPr>
        <w:instrText xml:space="preserve"> ADDIN ZOTERO_ITEM CSL_CITATION {"citationID":"ap7vd2k5k4","properties":{"formattedCitation":"\\super [6]\\nosupersub{}","plainCitation":"[6]","noteIndex":0},"citationItems":[{"id":964,"uris":["http://zotero.org/users/4017583/items/ZGCC6SSD"],"uri":["http://zotero.org/users/4017583/items/ZGCC6SSD"],"itemData":{"id":964,"type":"article-journal","title":"Adsorption of anionic dyes in acid solutions using chemically cross-linked chitosan beads","container-title":"Dyes and Pigments","page":"69-84","volume":"60","issue":"1","source":"ScienceDirect","abstract":"One kind of adsorbents with high adsorption capacity of anionic dyes was prepared using ionically and chemically cross-linked chitosan beads. A batch system was applied to study the adsorption of four reactive dyes (RB2, RR2, RY2, RY86), three acid dyes (AO12, AR14, AO7) and one direct dye (DR81) from aqueous solutions by the cross-linked chitosan beads. The adsorption capacities had very large values of 1911–2498 (g/kg) at pH 3–4, 30 °C, which were 3.4–15.0 and 2.7–27.4 times those of the commercial activated carbon and chitin, respectively. The Langmuir and Freundlich adsorption models were applied to describe the equilibrium isotherms. The Langmuir model agreed very well with experimental data (R2 &gt; 0.9893). The kinetics of adsorption, the ADMI color value and decolorization efficiency for different initial dye concentrations were evaluated by the pseudo first-order and second-order models. The data agreed very well with the pseudo second-order kinetic model. The adsorption capacity increased largely with decreasing solution pH and adsorbent dosage. The free energy changes ΔG0 for adsorption of anionic dyes in acidic solutions at 30 °C were evaluated. The negative values of ΔG0 indicate overall adsorption processes are spontaneous.","DOI":"10.1016/S0143-7208(03)00140-2","ISSN":"0143-7208","journalAbbreviation":"Dyes and Pigments","author":[{"family":"Chiou","given":"Ming-Shen"},{"family":"Ho","given":"Pang-Yen"},{"family":"Li","given":"Hsing-Ya"}],"issued":{"date-parts":[["2004",0,1]]}}}],"schema":"https://github.com/citation-style-language/schema/raw/master/csl-citation.json"} </w:instrText>
      </w:r>
      <w:r w:rsidR="00585CA7">
        <w:rPr>
          <w:lang w:val="en-US"/>
        </w:rPr>
        <w:fldChar w:fldCharType="separate"/>
      </w:r>
      <w:r w:rsidR="00F22D7A" w:rsidRPr="00F22D7A">
        <w:rPr>
          <w:rFonts w:cs="Times New Roman"/>
          <w:szCs w:val="24"/>
          <w:vertAlign w:val="superscript"/>
        </w:rPr>
        <w:t>6</w:t>
      </w:r>
      <w:r w:rsidR="00585CA7">
        <w:rPr>
          <w:lang w:val="en-US"/>
        </w:rPr>
        <w:fldChar w:fldCharType="end"/>
      </w:r>
      <w:r w:rsidR="00090636">
        <w:rPr>
          <w:lang w:val="en-US"/>
        </w:rPr>
        <w:t xml:space="preserve"> </w:t>
      </w:r>
      <w:r w:rsidR="00154ECD">
        <w:rPr>
          <w:lang w:val="en-US"/>
        </w:rPr>
        <w:t xml:space="preserve">For this </w:t>
      </w:r>
      <w:r w:rsidR="005B4CAE" w:rsidRPr="005B4CAE">
        <w:rPr>
          <w:lang w:val="en-US"/>
        </w:rPr>
        <w:t>reason,</w:t>
      </w:r>
      <w:r w:rsidR="00154ECD">
        <w:rPr>
          <w:lang w:val="en-US"/>
        </w:rPr>
        <w:t xml:space="preserve"> the effective removal of these dyes by using clean-up technologies is an outstanding task. Adsorption is a well-known equilibrium separation process and an effective method </w:t>
      </w:r>
      <w:r w:rsidR="00154ECD">
        <w:rPr>
          <w:lang w:val="en-US"/>
        </w:rPr>
        <w:lastRenderedPageBreak/>
        <w:t>for water decontamination applications</w:t>
      </w:r>
      <w:r w:rsidR="004834C5">
        <w:rPr>
          <w:lang w:val="en-US"/>
        </w:rPr>
        <w:t>.</w:t>
      </w:r>
      <w:r w:rsidR="005B4CAE">
        <w:rPr>
          <w:lang w:val="en-US"/>
        </w:rPr>
        <w:fldChar w:fldCharType="begin"/>
      </w:r>
      <w:r w:rsidR="00F97D08">
        <w:rPr>
          <w:lang w:val="en-US"/>
        </w:rPr>
        <w:instrText xml:space="preserve"> ADDIN ZOTERO_ITEM CSL_CITATION {"citationID":"a2pdslo4tr6","properties":{"formattedCitation":"\\super [7]\\nosupersub{}","plainCitation":"[7]","dontUpdate":true,"noteIndex":0},"citationItems":[{"id":590,"uris":["http://zotero.org/users/4017583/items/WNKVFWV8"],"uri":["http://zotero.org/users/4017583/items/WNKVFWV8"],"itemData":{"id":590,"type":"article-journal","title":"Adsorptive Removal of Malachite Green from Model Aqueous Solutions by Chemically Modified Waste Green Tea Biomass","container-title":"Acta Chimica Slovenica","page":"513-521","volume":"64","issue":"2","source":"journals.matheo.si","abstract":"The adsorption of malachite green (MG) from aqueous solution by waste green tea (WGT) biomass was investigated. A series of experiments in batch conditions were conducted in order to assess the MG removal on WGT, following adsorbent quantity and temperature influences. Maximum removal efficiency for untreated WGT was 89% (4 g biomass, 100 mL solution of 94 mg/L, 316 K). It was found that the adsorption of MG increased by increasing temperature from 296 to 316 K. Thermodynamic parameters (ΔHº, ΔSº, ΔGº) were calculated, and indicated that dye adsorption onto the studied biomass was endothermic and non-spontaneous. Six chemical treatments were tested (four acidic – H3PO4, H2SO4, HCl, and tartaric acid, one oxidant – H2O2, and one basic – NaOH) in order to study the chemical groups responsible for MG adsorption onto WGT biomass. The alkali and acidic treatments led to an increase of adsorption efficiency up to 92% and 95% (H2SO4) respectively. The FTIR spectroscopy results emphasized the modifications of the biomass surface and how these are influencing the adsorption process.","DOI":"10.17344/acsi.2017.3271","ISSN":"1580-3155","author":[{"family":"Indolean","given":"Cerasella"},{"family":"Burcă","given":"Silvia"},{"family":"Măicăneanu","given":"Andrada"}],"issued":{"date-parts":[["2017",6,16]]}}}],"schema":"https://github.com/citation-style-language/schema/raw/master/csl-citation.json"} </w:instrText>
      </w:r>
      <w:r w:rsidR="005B4CAE">
        <w:rPr>
          <w:lang w:val="en-US"/>
        </w:rPr>
        <w:fldChar w:fldCharType="separate"/>
      </w:r>
      <w:r w:rsidR="00F22D7A" w:rsidRPr="00F22D7A">
        <w:rPr>
          <w:rFonts w:cs="Times New Roman"/>
          <w:szCs w:val="24"/>
          <w:vertAlign w:val="superscript"/>
        </w:rPr>
        <w:t>7</w:t>
      </w:r>
      <w:r w:rsidR="005B4CAE">
        <w:rPr>
          <w:lang w:val="en-US"/>
        </w:rPr>
        <w:fldChar w:fldCharType="end"/>
      </w:r>
      <w:r w:rsidR="001B618A">
        <w:rPr>
          <w:lang w:val="en-US"/>
        </w:rPr>
        <w:t xml:space="preserve"> Eggshell could be a low-cost adsorbent for dye removal from wastewater because dye molecules can bind to the porous structure of eggshell (17000 pores) having large surface area</w:t>
      </w:r>
      <w:r w:rsidR="004834C5">
        <w:rPr>
          <w:lang w:val="en-US"/>
        </w:rPr>
        <w:t>.</w:t>
      </w:r>
      <w:r w:rsidR="001B618A">
        <w:rPr>
          <w:lang w:val="en-US"/>
        </w:rPr>
        <w:fldChar w:fldCharType="begin"/>
      </w:r>
      <w:r w:rsidR="00F97D08">
        <w:rPr>
          <w:lang w:val="en-US"/>
        </w:rPr>
        <w:instrText xml:space="preserve"> ADDIN ZOTERO_ITEM CSL_CITATION {"citationID":"3IvRayEZ","properties":{"formattedCitation":"\\super [8\\uc0\\u8211{}10]\\nosupersub{}","plainCitation":"[8–10]","dontUpdate":true,"noteIndex":0},"citationItems":[{"id":129,"uris":["http://zotero.org/users/4017583/items/I4HJQRXD"],"uri":["http://zotero.org/users/4017583/items/I4HJQRXD"],"itemData":{"id":129,"type":"article-journal","title":"Characterization and adsorption properties of eggshells and eggshell membrane","container-title":"Bioresource Technology","page":"488-493","volume":"97","issue":"3","source":"ScienceDirect","abstract":"The objective of this work was to study the chemical and physical characterization of eggshell and eggshell membrane particles prepared from the hen eggshell waste. Under the characterization measurements investigated, it was found that the pore structures of the two biomaterials belong to a typical Type II, indicating that they should be basically characteristic of nonporous materials or materials with macropores or open voids. Further, the chemical composition of the resulting eggshell particle was strongly associated with the presence of carbonate minerals from the Fourier transform infrared (FTIR) spectra. In contrast to the resulting eggshell membrane particle, the presence of functional groups of amines and amides was observable because of its chemical composition of fibrous proteins. From the isotherm data of methylene blue at 25 °C, the Freundlich model yielded a somewhat better fit than the Langmuir model. The adsorption isotherms revealed the eggshell biosorbents could only uptake the basic dye of less than 1.0 mg/g in aqueous medium, which was attributed to their poor pore properties.","DOI":"10.1016/j.biortech.2005.02.050","ISSN":"0960-8524","journalAbbreviation":"Bioresource Technology","author":[{"family":"Tsai","given":"W. T."},{"family":"Yang","given":"J. M."},{"family":"Lai","given":"C. W."},{"family":"Cheng","given":"Y. H."},{"family":"Lin","given":"C. C."},{"family":"Yeh","given":"C. W."}],"issued":{"date-parts":[["2006",0]]}}},{"id":38,"uris":["http://zotero.org/users/4017583/items/MF6RMR5D"],"uri":["http://zotero.org/users/4017583/items/MF6RMR5D"],"itemData":{"id":38,"type":"article-journal","title":"Sorption on eggshell waste--a review on ultrastructure, biomineralization and other applications","container-title":"Advances in Colloid and Interface Science","page":"49-67","volume":"209","source":"PubMed","abstract":"The structure, adsorption behavior and applications of eggshell waste materials have been reviewed. The ultrastructure of eggshell particles has been discussed to understand the pore structure as well as the surface geometry of the materials leading to its multifarious applicability. Besides, the ultrastructure studies give full information regarding the chemical constituents of egghell particles as well as eggshell membranes. The process of biomineralization in living organisms, their consequent effect of controlling the formation of inorganic-organic composites propelling their application in biomimetic designing of advanced composites with optimized novel properties leading to advances in materials design have been discussed. Utilization of eggshell waste materials for the removal of organic dyes and heavy inorganic ions has been reviewed with suitable models for understanding their adsorption quality and capacity. The applications of these materials in various fields of research have been extensively discussed.","DOI":"10.1016/j.cis.2013.12.013","ISSN":"1873-3727","note":"PMID: 24456801","journalAbbreviation":"Adv Colloid Interface Sci","language":"eng","author":[{"family":"Guru","given":"Partha Sarathi"},{"family":"Dash","given":"Sukalyan"}],"issued":{"date-parts":[["2014",7]]}}},{"id":751,"uris":["http://zotero.org/users/4017583/items/G9XAC443"],"uri":["http://zotero.org/users/4017583/items/G9XAC443"],"itemData":{"id":751,"type":"article-journal","title":"Biosorption of Cd(II) Ions from Aqueous Solution Onto Eggshell Waste Kinetic and equilibrium isotherm studies","container-title":"Revista de Chimie -Bucharest- Original Edition-","page":"1951-1958","volume":"68","source":"ResearchGate","abstract":"Eggshell waste as adsorbent was successfully used for the removal of Cd(II) ions from model synthetic aqueous solutions. Batch biosorption studies were conducted in order to evaluate the effect of various parameters, such as: contact time and initial metal ion concentration. The changes in the morphological structure were evaluated by TEM and SEM analysis. The experimental isotherm data were analysed using Langmuir, Freundlich, Dubinin-Radushkevich, and Temkin isotherm equations, using regression analysis linear and non-linear form. Langmuir model was found to be in better correlation with experimental data (R 2 =0.99). Biosorption kinetics data were tested using pseudo-first-order, pseudo-second-order, intra-particle and liquid film diffusion models. Kinetics studies showed that the biosorption followed a pseudo-second-order reaction. Removal efficiencies up to 92 % and a maximum adsorption capacity of 8.2 mg/g Cd(II) were obtained experimentally and 7.14 mg/g Cd(II) were obtained from Langmuir isotherm model. The percentage of metal sorption (C i =11 mg/L, E,(%)=92.42), EDS analyses, and bioconcentration factor were also calculated. The investigation findings suggested that the physical adsorption is controlling the adsorption rate. Results of this study indicate that eggshell waste can be effectively used for the removal of Cd(II) ions from aquatic environments. The process is feasible, reliable and eco-friendly.","author":[{"family":"Tonk","given":"Szende"},{"family":"Majdik","given":"Cornelia"},{"family":"Robert","given":"Szép"},{"family":"Suciu","given":"Maria"},{"family":"Rápó","given":"Eszter"},{"family":"Nagy","given":"Boldizsar"},{"family":"Gabriela Niculae","given":"Alexandra"}],"issued":{"date-parts":[["2017",10,18]]}}}],"schema":"https://github.com/citation-style-language/schema/raw/master/csl-citation.json"} </w:instrText>
      </w:r>
      <w:r w:rsidR="001B618A">
        <w:rPr>
          <w:lang w:val="en-US"/>
        </w:rPr>
        <w:fldChar w:fldCharType="separate"/>
      </w:r>
      <w:r w:rsidR="00F22D7A" w:rsidRPr="00F22D7A">
        <w:rPr>
          <w:rFonts w:cs="Times New Roman"/>
          <w:szCs w:val="24"/>
          <w:vertAlign w:val="superscript"/>
        </w:rPr>
        <w:t>8–10</w:t>
      </w:r>
      <w:r w:rsidR="001B618A">
        <w:rPr>
          <w:lang w:val="en-US"/>
        </w:rPr>
        <w:fldChar w:fldCharType="end"/>
      </w:r>
      <w:r w:rsidR="001B618A">
        <w:rPr>
          <w:lang w:val="en-US"/>
        </w:rPr>
        <w:t xml:space="preserve"> Eggs are the most common and widely used natural food on Earth, only in the US 50 billion eggs are consumed per year</w:t>
      </w:r>
      <w:r w:rsidR="004834C5">
        <w:rPr>
          <w:lang w:val="en-US"/>
        </w:rPr>
        <w:t>.</w:t>
      </w:r>
      <w:r w:rsidR="001B618A">
        <w:rPr>
          <w:lang w:val="en-US"/>
        </w:rPr>
        <w:fldChar w:fldCharType="begin"/>
      </w:r>
      <w:r w:rsidR="00F97D08">
        <w:rPr>
          <w:lang w:val="en-US"/>
        </w:rPr>
        <w:instrText xml:space="preserve"> ADDIN ZOTERO_ITEM CSL_CITATION {"citationID":"a241p606ga6","properties":{"formattedCitation":"\\super [11]\\nosupersub{}","plainCitation":"[11]","dontUpdate":true,"noteIndex":0},"citationItems":[{"id":788,"uris":["http://zotero.org/users/4017583/items/9GEEK78K"],"uri":["http://zotero.org/users/4017583/items/9GEEK78K"],"itemData":{"id":788,"type":"webpage","title":"How many chickena are there in the United States? How many eggs do they produce? Just the facts here.","URL":"http://www.ansc.purdue.edu/faen/poultry%20facts.html","author":[{"family":"Purdue University","given":""}],"issued":{"date-parts":[["2008"]]},"accessed":{"date-parts":[["2017",11,26]]}}}],"schema":"https://github.com/citation-style-language/schema/raw/master/csl-citation.json"} </w:instrText>
      </w:r>
      <w:r w:rsidR="001B618A">
        <w:rPr>
          <w:lang w:val="en-US"/>
        </w:rPr>
        <w:fldChar w:fldCharType="separate"/>
      </w:r>
      <w:r w:rsidR="00F22D7A" w:rsidRPr="00F22D7A">
        <w:rPr>
          <w:rFonts w:cs="Times New Roman"/>
          <w:szCs w:val="24"/>
          <w:vertAlign w:val="superscript"/>
        </w:rPr>
        <w:t>11</w:t>
      </w:r>
      <w:r w:rsidR="001B618A">
        <w:rPr>
          <w:lang w:val="en-US"/>
        </w:rPr>
        <w:fldChar w:fldCharType="end"/>
      </w:r>
    </w:p>
    <w:p w:rsidR="000E5A8B" w:rsidRPr="00811124" w:rsidRDefault="000E5A8B" w:rsidP="000E5A8B">
      <w:pPr>
        <w:rPr>
          <w:rFonts w:cstheme="minorHAnsi"/>
          <w:b/>
          <w:caps/>
          <w:lang w:val="en-US"/>
        </w:rPr>
      </w:pPr>
      <w:r w:rsidRPr="00811124">
        <w:rPr>
          <w:rFonts w:cstheme="minorHAnsi"/>
          <w:b/>
          <w:caps/>
          <w:lang w:val="en-US"/>
        </w:rPr>
        <w:t>Materials and Methods</w:t>
      </w:r>
    </w:p>
    <w:p w:rsidR="000E5A8B" w:rsidRPr="00811124" w:rsidRDefault="000E5A8B" w:rsidP="000E5A8B">
      <w:pPr>
        <w:rPr>
          <w:b/>
          <w:lang w:val="en-US"/>
        </w:rPr>
      </w:pPr>
      <w:r w:rsidRPr="00811124">
        <w:rPr>
          <w:b/>
          <w:lang w:val="en-US"/>
        </w:rPr>
        <w:t>Preparation of dye</w:t>
      </w:r>
    </w:p>
    <w:p w:rsidR="000E5A8B" w:rsidRDefault="000E5A8B" w:rsidP="000E5A8B">
      <w:pPr>
        <w:rPr>
          <w:color w:val="FF0000"/>
          <w:lang w:val="en-US"/>
        </w:rPr>
      </w:pPr>
      <w:r>
        <w:rPr>
          <w:lang w:val="en-US"/>
        </w:rPr>
        <w:t>Methylene Blue (MB)</w:t>
      </w:r>
      <w:r w:rsidRPr="004943CC">
        <w:rPr>
          <w:lang w:val="en-US"/>
        </w:rPr>
        <w:t xml:space="preserve"> and M</w:t>
      </w:r>
      <w:r>
        <w:rPr>
          <w:lang w:val="en-US"/>
        </w:rPr>
        <w:t xml:space="preserve">alachite </w:t>
      </w:r>
      <w:r w:rsidRPr="004943CC">
        <w:rPr>
          <w:lang w:val="en-US"/>
        </w:rPr>
        <w:t>G</w:t>
      </w:r>
      <w:r>
        <w:rPr>
          <w:lang w:val="en-US"/>
        </w:rPr>
        <w:t>reen (MG)</w:t>
      </w:r>
      <w:r w:rsidRPr="004943CC">
        <w:rPr>
          <w:lang w:val="en-US"/>
        </w:rPr>
        <w:t xml:space="preserve"> cationic dyes were purchased from Loch-</w:t>
      </w:r>
      <w:proofErr w:type="spellStart"/>
      <w:r w:rsidRPr="004943CC">
        <w:rPr>
          <w:lang w:val="en-US"/>
        </w:rPr>
        <w:t>Ner.s.r.o</w:t>
      </w:r>
      <w:proofErr w:type="spellEnd"/>
      <w:r w:rsidRPr="004943CC">
        <w:rPr>
          <w:lang w:val="en-US"/>
        </w:rPr>
        <w:t xml:space="preserve">., </w:t>
      </w:r>
      <w:proofErr w:type="spellStart"/>
      <w:r w:rsidRPr="004943CC">
        <w:rPr>
          <w:lang w:val="en-US"/>
        </w:rPr>
        <w:t>Chech</w:t>
      </w:r>
      <w:proofErr w:type="spellEnd"/>
      <w:r w:rsidRPr="004943CC">
        <w:rPr>
          <w:lang w:val="en-US"/>
        </w:rPr>
        <w:t xml:space="preserve"> Republic and </w:t>
      </w:r>
      <w:proofErr w:type="spellStart"/>
      <w:r w:rsidRPr="004943CC">
        <w:rPr>
          <w:lang w:val="en-US"/>
        </w:rPr>
        <w:t>Loba</w:t>
      </w:r>
      <w:proofErr w:type="spellEnd"/>
      <w:r>
        <w:rPr>
          <w:lang w:val="en-US"/>
        </w:rPr>
        <w:t xml:space="preserve"> </w:t>
      </w:r>
      <w:proofErr w:type="spellStart"/>
      <w:r>
        <w:rPr>
          <w:lang w:val="en-US"/>
        </w:rPr>
        <w:t>Chemie</w:t>
      </w:r>
      <w:proofErr w:type="spellEnd"/>
      <w:r>
        <w:rPr>
          <w:lang w:val="en-US"/>
        </w:rPr>
        <w:t>, Wien-</w:t>
      </w:r>
      <w:proofErr w:type="spellStart"/>
      <w:r>
        <w:rPr>
          <w:lang w:val="en-US"/>
        </w:rPr>
        <w:t>Fischamend</w:t>
      </w:r>
      <w:proofErr w:type="spellEnd"/>
      <w:r>
        <w:rPr>
          <w:lang w:val="en-US"/>
        </w:rPr>
        <w:t xml:space="preserve">, Austria, respectively and were used without any further purification treatment. Whereas anionic dyes Congo Red and Bromphenol Blue (BPB) were purchased from Merck </w:t>
      </w:r>
      <w:proofErr w:type="spellStart"/>
      <w:r>
        <w:rPr>
          <w:lang w:val="en-US"/>
        </w:rPr>
        <w:t>KGaA</w:t>
      </w:r>
      <w:proofErr w:type="spellEnd"/>
      <w:r>
        <w:rPr>
          <w:lang w:val="en-US"/>
        </w:rPr>
        <w:t xml:space="preserve">, </w:t>
      </w:r>
      <w:proofErr w:type="spellStart"/>
      <w:r>
        <w:rPr>
          <w:lang w:val="en-US"/>
        </w:rPr>
        <w:t>Germanz</w:t>
      </w:r>
      <w:proofErr w:type="spellEnd"/>
      <w:r>
        <w:rPr>
          <w:lang w:val="en-US"/>
        </w:rPr>
        <w:t xml:space="preserve"> and </w:t>
      </w:r>
      <w:proofErr w:type="spellStart"/>
      <w:r>
        <w:rPr>
          <w:lang w:val="en-US"/>
        </w:rPr>
        <w:t>Loba</w:t>
      </w:r>
      <w:proofErr w:type="spellEnd"/>
      <w:r>
        <w:rPr>
          <w:lang w:val="en-US"/>
        </w:rPr>
        <w:t xml:space="preserve"> </w:t>
      </w:r>
      <w:proofErr w:type="spellStart"/>
      <w:r>
        <w:rPr>
          <w:lang w:val="en-US"/>
        </w:rPr>
        <w:t>Chemie</w:t>
      </w:r>
      <w:proofErr w:type="spellEnd"/>
      <w:r>
        <w:rPr>
          <w:lang w:val="en-US"/>
        </w:rPr>
        <w:t xml:space="preserve"> Wien-</w:t>
      </w:r>
      <w:proofErr w:type="spellStart"/>
      <w:r>
        <w:rPr>
          <w:lang w:val="en-US"/>
        </w:rPr>
        <w:t>Fischamend</w:t>
      </w:r>
      <w:proofErr w:type="spellEnd"/>
      <w:r>
        <w:rPr>
          <w:lang w:val="en-US"/>
        </w:rPr>
        <w:t xml:space="preserve"> respectively. Chemical structures and characteristics of all four dyes are summarized in </w:t>
      </w:r>
      <w:r>
        <w:rPr>
          <w:color w:val="0D0D0D" w:themeColor="text1" w:themeTint="F2"/>
          <w:lang w:val="en-US"/>
        </w:rPr>
        <w:t>Table 1</w:t>
      </w:r>
      <w:r w:rsidRPr="00162F60">
        <w:rPr>
          <w:color w:val="0D0D0D" w:themeColor="text1" w:themeTint="F2"/>
          <w:lang w:val="en-US"/>
        </w:rPr>
        <w:t>.</w:t>
      </w:r>
    </w:p>
    <w:p w:rsidR="000E5A8B" w:rsidRDefault="000E5A8B" w:rsidP="000E5A8B">
      <w:pPr>
        <w:spacing w:after="0" w:line="240" w:lineRule="auto"/>
        <w:rPr>
          <w:color w:val="FF0000"/>
          <w:lang w:val="en-US"/>
        </w:rPr>
      </w:pPr>
      <w:r>
        <w:rPr>
          <w:b/>
          <w:sz w:val="22"/>
          <w:lang w:val="en-US"/>
        </w:rPr>
        <w:t>Table 1</w:t>
      </w:r>
      <w:r w:rsidRPr="003775B2">
        <w:rPr>
          <w:b/>
          <w:sz w:val="22"/>
          <w:lang w:val="en-US"/>
        </w:rPr>
        <w:t>.</w:t>
      </w:r>
      <w:r w:rsidRPr="003775B2">
        <w:rPr>
          <w:sz w:val="20"/>
          <w:szCs w:val="20"/>
          <w:lang w:val="en-US"/>
        </w:rPr>
        <w:t xml:space="preserve"> </w:t>
      </w:r>
      <w:r>
        <w:rPr>
          <w:sz w:val="20"/>
          <w:szCs w:val="20"/>
          <w:lang w:val="en-US"/>
        </w:rPr>
        <w:t>Description of indicators used in experiment</w:t>
      </w:r>
    </w:p>
    <w:tbl>
      <w:tblPr>
        <w:tblStyle w:val="Tblzategyszer2"/>
        <w:tblW w:w="9471" w:type="dxa"/>
        <w:tblLayout w:type="fixed"/>
        <w:tblLook w:val="04A0" w:firstRow="1" w:lastRow="0" w:firstColumn="1" w:lastColumn="0" w:noHBand="0" w:noVBand="1"/>
      </w:tblPr>
      <w:tblGrid>
        <w:gridCol w:w="1561"/>
        <w:gridCol w:w="2267"/>
        <w:gridCol w:w="1390"/>
        <w:gridCol w:w="2693"/>
        <w:gridCol w:w="1560"/>
      </w:tblGrid>
      <w:tr w:rsidR="000E5A8B" w:rsidRPr="006831C9" w:rsidTr="00027FF7">
        <w:trPr>
          <w:cnfStyle w:val="100000000000" w:firstRow="1" w:lastRow="0" w:firstColumn="0" w:lastColumn="0" w:oddVBand="0" w:evenVBand="0" w:oddHBand="0"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61" w:type="dxa"/>
            <w:vAlign w:val="center"/>
          </w:tcPr>
          <w:p w:rsidR="000E5A8B" w:rsidRPr="006831C9" w:rsidRDefault="000E5A8B" w:rsidP="00027FF7">
            <w:pPr>
              <w:spacing w:line="240" w:lineRule="auto"/>
              <w:jc w:val="center"/>
              <w:rPr>
                <w:sz w:val="20"/>
                <w:szCs w:val="20"/>
                <w:lang w:val="en-US"/>
              </w:rPr>
            </w:pPr>
            <w:r w:rsidRPr="006831C9">
              <w:rPr>
                <w:sz w:val="20"/>
                <w:szCs w:val="20"/>
                <w:lang w:val="en-US"/>
              </w:rPr>
              <w:t>Characteristics</w:t>
            </w:r>
          </w:p>
        </w:tc>
        <w:tc>
          <w:tcPr>
            <w:tcW w:w="2267" w:type="dxa"/>
            <w:vAlign w:val="center"/>
          </w:tcPr>
          <w:p w:rsidR="000E5A8B" w:rsidRPr="006831C9" w:rsidRDefault="000E5A8B" w:rsidP="00027FF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Congo Red</w:t>
            </w:r>
          </w:p>
        </w:tc>
        <w:tc>
          <w:tcPr>
            <w:tcW w:w="1390" w:type="dxa"/>
            <w:vAlign w:val="center"/>
          </w:tcPr>
          <w:p w:rsidR="000E5A8B" w:rsidRPr="006831C9" w:rsidRDefault="000E5A8B" w:rsidP="00027FF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Bromphenol Blue</w:t>
            </w:r>
          </w:p>
        </w:tc>
        <w:tc>
          <w:tcPr>
            <w:tcW w:w="2693" w:type="dxa"/>
            <w:vAlign w:val="center"/>
          </w:tcPr>
          <w:p w:rsidR="000E5A8B" w:rsidRPr="006831C9" w:rsidRDefault="000E5A8B" w:rsidP="00027FF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Methylene Blue</w:t>
            </w:r>
          </w:p>
        </w:tc>
        <w:tc>
          <w:tcPr>
            <w:tcW w:w="1560" w:type="dxa"/>
            <w:vAlign w:val="center"/>
          </w:tcPr>
          <w:p w:rsidR="000E5A8B" w:rsidRPr="006831C9" w:rsidRDefault="000E5A8B" w:rsidP="00027FF7">
            <w:pPr>
              <w:spacing w:line="240" w:lineRule="auto"/>
              <w:jc w:val="center"/>
              <w:cnfStyle w:val="100000000000" w:firstRow="1"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Malachite Green</w:t>
            </w:r>
          </w:p>
        </w:tc>
      </w:tr>
      <w:tr w:rsidR="000E5A8B" w:rsidRPr="006831C9" w:rsidTr="00027FF7">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1561" w:type="dxa"/>
          </w:tcPr>
          <w:p w:rsidR="000E5A8B" w:rsidRPr="006831C9" w:rsidRDefault="000E5A8B" w:rsidP="00027FF7">
            <w:pPr>
              <w:spacing w:line="240" w:lineRule="auto"/>
              <w:jc w:val="center"/>
              <w:rPr>
                <w:sz w:val="20"/>
                <w:szCs w:val="20"/>
                <w:lang w:val="en-US"/>
              </w:rPr>
            </w:pPr>
            <w:r w:rsidRPr="006831C9">
              <w:rPr>
                <w:sz w:val="20"/>
                <w:szCs w:val="20"/>
                <w:lang w:val="en-US"/>
              </w:rPr>
              <w:t>Chemical formula</w:t>
            </w:r>
          </w:p>
        </w:tc>
        <w:tc>
          <w:tcPr>
            <w:tcW w:w="2267" w:type="dxa"/>
            <w:vAlign w:val="center"/>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C</w:t>
            </w:r>
            <w:r w:rsidRPr="006831C9">
              <w:rPr>
                <w:sz w:val="20"/>
                <w:szCs w:val="20"/>
                <w:vertAlign w:val="subscript"/>
                <w:lang w:val="en-US"/>
              </w:rPr>
              <w:t>32</w:t>
            </w:r>
            <w:r w:rsidRPr="006831C9">
              <w:rPr>
                <w:sz w:val="20"/>
                <w:szCs w:val="20"/>
                <w:lang w:val="en-US"/>
              </w:rPr>
              <w:t>H</w:t>
            </w:r>
            <w:r w:rsidRPr="006831C9">
              <w:rPr>
                <w:sz w:val="20"/>
                <w:szCs w:val="20"/>
                <w:vertAlign w:val="subscript"/>
                <w:lang w:val="en-US"/>
              </w:rPr>
              <w:t>22</w:t>
            </w:r>
            <w:r w:rsidRPr="006831C9">
              <w:rPr>
                <w:sz w:val="20"/>
                <w:szCs w:val="20"/>
                <w:lang w:val="en-US"/>
              </w:rPr>
              <w:t>N</w:t>
            </w:r>
            <w:r w:rsidRPr="006831C9">
              <w:rPr>
                <w:sz w:val="20"/>
                <w:szCs w:val="20"/>
                <w:vertAlign w:val="subscript"/>
                <w:lang w:val="en-US"/>
              </w:rPr>
              <w:t>6</w:t>
            </w:r>
            <w:r w:rsidRPr="006831C9">
              <w:rPr>
                <w:sz w:val="20"/>
                <w:szCs w:val="20"/>
                <w:lang w:val="en-US"/>
              </w:rPr>
              <w:t>Na</w:t>
            </w:r>
            <w:r w:rsidRPr="006831C9">
              <w:rPr>
                <w:sz w:val="20"/>
                <w:szCs w:val="20"/>
                <w:vertAlign w:val="subscript"/>
                <w:lang w:val="en-US"/>
              </w:rPr>
              <w:t>2</w:t>
            </w:r>
            <w:r w:rsidRPr="006831C9">
              <w:rPr>
                <w:sz w:val="20"/>
                <w:szCs w:val="20"/>
                <w:lang w:val="en-US"/>
              </w:rPr>
              <w:t>O</w:t>
            </w:r>
            <w:r w:rsidRPr="006831C9">
              <w:rPr>
                <w:sz w:val="20"/>
                <w:szCs w:val="20"/>
                <w:vertAlign w:val="subscript"/>
                <w:lang w:val="en-US"/>
              </w:rPr>
              <w:t>6</w:t>
            </w:r>
            <w:r w:rsidRPr="006831C9">
              <w:rPr>
                <w:sz w:val="20"/>
                <w:szCs w:val="20"/>
                <w:lang w:val="en-US"/>
              </w:rPr>
              <w:t>S</w:t>
            </w:r>
            <w:r w:rsidRPr="006831C9">
              <w:rPr>
                <w:sz w:val="20"/>
                <w:szCs w:val="20"/>
                <w:vertAlign w:val="subscript"/>
                <w:lang w:val="en-US"/>
              </w:rPr>
              <w:t>2</w:t>
            </w:r>
          </w:p>
        </w:tc>
        <w:tc>
          <w:tcPr>
            <w:tcW w:w="1390" w:type="dxa"/>
            <w:vAlign w:val="center"/>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C</w:t>
            </w:r>
            <w:r w:rsidRPr="006831C9">
              <w:rPr>
                <w:sz w:val="20"/>
                <w:szCs w:val="20"/>
                <w:vertAlign w:val="subscript"/>
                <w:lang w:val="en-US"/>
              </w:rPr>
              <w:t>19</w:t>
            </w:r>
            <w:r w:rsidRPr="006831C9">
              <w:rPr>
                <w:sz w:val="20"/>
                <w:szCs w:val="20"/>
                <w:lang w:val="en-US"/>
              </w:rPr>
              <w:t>H</w:t>
            </w:r>
            <w:r w:rsidRPr="006831C9">
              <w:rPr>
                <w:sz w:val="20"/>
                <w:szCs w:val="20"/>
                <w:vertAlign w:val="subscript"/>
                <w:lang w:val="en-US"/>
              </w:rPr>
              <w:t>10</w:t>
            </w:r>
            <w:r w:rsidRPr="006831C9">
              <w:rPr>
                <w:sz w:val="20"/>
                <w:szCs w:val="20"/>
                <w:lang w:val="en-US"/>
              </w:rPr>
              <w:t>Br</w:t>
            </w:r>
            <w:r w:rsidRPr="006831C9">
              <w:rPr>
                <w:sz w:val="20"/>
                <w:szCs w:val="20"/>
                <w:vertAlign w:val="subscript"/>
                <w:lang w:val="en-US"/>
              </w:rPr>
              <w:t>4</w:t>
            </w:r>
            <w:r w:rsidRPr="006831C9">
              <w:rPr>
                <w:sz w:val="20"/>
                <w:szCs w:val="20"/>
                <w:lang w:val="en-US"/>
              </w:rPr>
              <w:t>O</w:t>
            </w:r>
            <w:r w:rsidRPr="006831C9">
              <w:rPr>
                <w:sz w:val="20"/>
                <w:szCs w:val="20"/>
                <w:vertAlign w:val="subscript"/>
                <w:lang w:val="en-US"/>
              </w:rPr>
              <w:t>5</w:t>
            </w:r>
            <w:r w:rsidRPr="006831C9">
              <w:rPr>
                <w:sz w:val="20"/>
                <w:szCs w:val="20"/>
                <w:lang w:val="en-US"/>
              </w:rPr>
              <w:t>S</w:t>
            </w:r>
          </w:p>
        </w:tc>
        <w:tc>
          <w:tcPr>
            <w:tcW w:w="2693" w:type="dxa"/>
            <w:vAlign w:val="center"/>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C</w:t>
            </w:r>
            <w:r w:rsidRPr="006831C9">
              <w:rPr>
                <w:sz w:val="20"/>
                <w:szCs w:val="20"/>
                <w:vertAlign w:val="subscript"/>
                <w:lang w:val="en-US"/>
              </w:rPr>
              <w:t>16</w:t>
            </w:r>
            <w:r w:rsidRPr="006831C9">
              <w:rPr>
                <w:sz w:val="20"/>
                <w:szCs w:val="20"/>
                <w:lang w:val="en-US"/>
              </w:rPr>
              <w:t>H</w:t>
            </w:r>
            <w:r w:rsidRPr="006831C9">
              <w:rPr>
                <w:sz w:val="20"/>
                <w:szCs w:val="20"/>
                <w:vertAlign w:val="subscript"/>
                <w:lang w:val="en-US"/>
              </w:rPr>
              <w:t>18</w:t>
            </w:r>
            <w:r w:rsidRPr="006831C9">
              <w:rPr>
                <w:sz w:val="20"/>
                <w:szCs w:val="20"/>
                <w:lang w:val="en-US"/>
              </w:rPr>
              <w:t>ClN</w:t>
            </w:r>
            <w:r w:rsidRPr="006831C9">
              <w:rPr>
                <w:sz w:val="20"/>
                <w:szCs w:val="20"/>
                <w:vertAlign w:val="subscript"/>
                <w:lang w:val="en-US"/>
              </w:rPr>
              <w:t>3</w:t>
            </w:r>
            <w:r w:rsidRPr="006831C9">
              <w:rPr>
                <w:sz w:val="20"/>
                <w:szCs w:val="20"/>
                <w:lang w:val="en-US"/>
              </w:rPr>
              <w:t>S</w:t>
            </w:r>
          </w:p>
        </w:tc>
        <w:tc>
          <w:tcPr>
            <w:tcW w:w="1560" w:type="dxa"/>
            <w:vAlign w:val="center"/>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C</w:t>
            </w:r>
            <w:r w:rsidRPr="006831C9">
              <w:rPr>
                <w:sz w:val="20"/>
                <w:szCs w:val="20"/>
                <w:vertAlign w:val="subscript"/>
                <w:lang w:val="en-US"/>
              </w:rPr>
              <w:t>23</w:t>
            </w:r>
            <w:r w:rsidRPr="006831C9">
              <w:rPr>
                <w:sz w:val="20"/>
                <w:szCs w:val="20"/>
                <w:lang w:val="en-US"/>
              </w:rPr>
              <w:t>H</w:t>
            </w:r>
            <w:r w:rsidRPr="006831C9">
              <w:rPr>
                <w:sz w:val="20"/>
                <w:szCs w:val="20"/>
                <w:vertAlign w:val="subscript"/>
                <w:lang w:val="en-US"/>
              </w:rPr>
              <w:t>25</w:t>
            </w:r>
            <w:r w:rsidRPr="006831C9">
              <w:rPr>
                <w:sz w:val="20"/>
                <w:szCs w:val="20"/>
                <w:lang w:val="en-US"/>
              </w:rPr>
              <w:t>ClN</w:t>
            </w:r>
            <w:r w:rsidRPr="006831C9">
              <w:rPr>
                <w:sz w:val="20"/>
                <w:szCs w:val="20"/>
                <w:vertAlign w:val="subscript"/>
                <w:lang w:val="en-US"/>
              </w:rPr>
              <w:t>2</w:t>
            </w:r>
          </w:p>
        </w:tc>
      </w:tr>
      <w:tr w:rsidR="000E5A8B" w:rsidRPr="006831C9" w:rsidTr="00027FF7">
        <w:trPr>
          <w:trHeight w:val="256"/>
        </w:trPr>
        <w:tc>
          <w:tcPr>
            <w:cnfStyle w:val="001000000000" w:firstRow="0" w:lastRow="0" w:firstColumn="1" w:lastColumn="0" w:oddVBand="0" w:evenVBand="0" w:oddHBand="0" w:evenHBand="0" w:firstRowFirstColumn="0" w:firstRowLastColumn="0" w:lastRowFirstColumn="0" w:lastRowLastColumn="0"/>
            <w:tcW w:w="1561" w:type="dxa"/>
          </w:tcPr>
          <w:p w:rsidR="000E5A8B" w:rsidRPr="006831C9" w:rsidRDefault="000E5A8B" w:rsidP="00027FF7">
            <w:pPr>
              <w:spacing w:line="240" w:lineRule="auto"/>
              <w:jc w:val="center"/>
              <w:rPr>
                <w:sz w:val="20"/>
                <w:szCs w:val="20"/>
                <w:lang w:val="en-US"/>
              </w:rPr>
            </w:pPr>
            <w:r w:rsidRPr="006831C9">
              <w:rPr>
                <w:sz w:val="20"/>
                <w:szCs w:val="20"/>
                <w:lang w:val="en-US"/>
              </w:rPr>
              <w:t>M (g/</w:t>
            </w:r>
            <w:proofErr w:type="spellStart"/>
            <w:r w:rsidRPr="006831C9">
              <w:rPr>
                <w:sz w:val="20"/>
                <w:szCs w:val="20"/>
                <w:lang w:val="en-US"/>
              </w:rPr>
              <w:t>mol</w:t>
            </w:r>
            <w:proofErr w:type="spellEnd"/>
            <w:r w:rsidRPr="006831C9">
              <w:rPr>
                <w:sz w:val="20"/>
                <w:szCs w:val="20"/>
                <w:lang w:val="en-US"/>
              </w:rPr>
              <w:t>)</w:t>
            </w:r>
          </w:p>
        </w:tc>
        <w:tc>
          <w:tcPr>
            <w:tcW w:w="2267" w:type="dxa"/>
          </w:tcPr>
          <w:p w:rsidR="000E5A8B" w:rsidRPr="006831C9" w:rsidRDefault="000E5A8B" w:rsidP="00027FF7">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696.66</w:t>
            </w:r>
          </w:p>
        </w:tc>
        <w:tc>
          <w:tcPr>
            <w:tcW w:w="1390" w:type="dxa"/>
          </w:tcPr>
          <w:p w:rsidR="000E5A8B" w:rsidRPr="006831C9" w:rsidRDefault="000E5A8B" w:rsidP="00027FF7">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669.96</w:t>
            </w:r>
          </w:p>
        </w:tc>
        <w:tc>
          <w:tcPr>
            <w:tcW w:w="2693" w:type="dxa"/>
          </w:tcPr>
          <w:p w:rsidR="000E5A8B" w:rsidRPr="006831C9" w:rsidRDefault="000E5A8B" w:rsidP="00027FF7">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373.91</w:t>
            </w:r>
          </w:p>
        </w:tc>
        <w:tc>
          <w:tcPr>
            <w:tcW w:w="1560" w:type="dxa"/>
          </w:tcPr>
          <w:p w:rsidR="000E5A8B" w:rsidRPr="006831C9" w:rsidRDefault="000E5A8B" w:rsidP="00027FF7">
            <w:pPr>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val="en-US"/>
              </w:rPr>
            </w:pPr>
            <w:r w:rsidRPr="006831C9">
              <w:rPr>
                <w:sz w:val="20"/>
                <w:szCs w:val="20"/>
                <w:lang w:val="en-US"/>
              </w:rPr>
              <w:t>364.91</w:t>
            </w:r>
          </w:p>
        </w:tc>
      </w:tr>
      <w:tr w:rsidR="000E5A8B" w:rsidRPr="006831C9" w:rsidTr="00027FF7">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561" w:type="dxa"/>
          </w:tcPr>
          <w:p w:rsidR="000E5A8B" w:rsidRPr="006831C9" w:rsidRDefault="000E5A8B" w:rsidP="00027FF7">
            <w:pPr>
              <w:spacing w:line="240" w:lineRule="auto"/>
              <w:jc w:val="center"/>
              <w:rPr>
                <w:sz w:val="20"/>
                <w:szCs w:val="20"/>
                <w:lang w:val="en-US"/>
              </w:rPr>
            </w:pPr>
            <w:r w:rsidRPr="006831C9">
              <w:rPr>
                <w:sz w:val="20"/>
                <w:szCs w:val="20"/>
                <w:lang w:val="en-US"/>
              </w:rPr>
              <w:t>anionic/cationic</w:t>
            </w:r>
          </w:p>
        </w:tc>
        <w:tc>
          <w:tcPr>
            <w:tcW w:w="2267"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anionic</w:t>
            </w:r>
          </w:p>
        </w:tc>
        <w:tc>
          <w:tcPr>
            <w:tcW w:w="1390"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anionic</w:t>
            </w:r>
          </w:p>
        </w:tc>
        <w:tc>
          <w:tcPr>
            <w:tcW w:w="2693"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cationic</w:t>
            </w:r>
          </w:p>
        </w:tc>
        <w:tc>
          <w:tcPr>
            <w:tcW w:w="1560"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val="en-US"/>
              </w:rPr>
            </w:pPr>
            <w:r w:rsidRPr="006831C9">
              <w:rPr>
                <w:sz w:val="20"/>
                <w:szCs w:val="20"/>
                <w:lang w:val="en-US"/>
              </w:rPr>
              <w:t>cationic</w:t>
            </w:r>
          </w:p>
        </w:tc>
      </w:tr>
      <w:tr w:rsidR="005A3C6C" w:rsidRPr="006831C9" w:rsidTr="005A3C6C">
        <w:trPr>
          <w:trHeight w:val="706"/>
        </w:trPr>
        <w:tc>
          <w:tcPr>
            <w:cnfStyle w:val="001000000000" w:firstRow="0" w:lastRow="0" w:firstColumn="1" w:lastColumn="0" w:oddVBand="0" w:evenVBand="0" w:oddHBand="0" w:evenHBand="0" w:firstRowFirstColumn="0" w:firstRowLastColumn="0" w:lastRowFirstColumn="0" w:lastRowLastColumn="0"/>
            <w:tcW w:w="1561" w:type="dxa"/>
          </w:tcPr>
          <w:p w:rsidR="005A3C6C" w:rsidRPr="005A3C6C" w:rsidRDefault="005A3C6C" w:rsidP="005A3C6C">
            <w:pPr>
              <w:spacing w:line="240" w:lineRule="auto"/>
              <w:jc w:val="center"/>
              <w:rPr>
                <w:sz w:val="20"/>
                <w:szCs w:val="20"/>
                <w:lang w:val="en-US"/>
              </w:rPr>
            </w:pPr>
            <w:r w:rsidRPr="005A3C6C">
              <w:rPr>
                <w:sz w:val="20"/>
                <w:szCs w:val="20"/>
                <w:lang w:val="en-US"/>
              </w:rPr>
              <w:t>Previous biosorption study</w:t>
            </w:r>
          </w:p>
        </w:tc>
        <w:tc>
          <w:tcPr>
            <w:tcW w:w="2267" w:type="dxa"/>
          </w:tcPr>
          <w:p w:rsidR="005A3C6C" w:rsidRPr="006831C9" w:rsidRDefault="005A3C6C" w:rsidP="00380D61">
            <w:pPr>
              <w:spacing w:line="240" w:lineRule="auto"/>
              <w:cnfStyle w:val="000000000000" w:firstRow="0" w:lastRow="0" w:firstColumn="0" w:lastColumn="0" w:oddVBand="0" w:evenVBand="0" w:oddHBand="0" w:evenHBand="0" w:firstRowFirstColumn="0" w:firstRowLastColumn="0" w:lastRowFirstColumn="0" w:lastRowLastColumn="0"/>
              <w:rPr>
                <w:noProof/>
                <w:szCs w:val="24"/>
                <w:lang w:eastAsia="hu-HU"/>
              </w:rPr>
            </w:pPr>
            <w:r>
              <w:rPr>
                <w:noProof/>
                <w:szCs w:val="24"/>
                <w:lang w:eastAsia="hu-HU"/>
              </w:rPr>
              <w:t xml:space="preserve">           </w:t>
            </w:r>
            <w:r>
              <w:rPr>
                <w:noProof/>
                <w:szCs w:val="24"/>
                <w:lang w:eastAsia="hu-HU"/>
              </w:rPr>
              <w:fldChar w:fldCharType="begin"/>
            </w:r>
            <w:r w:rsidR="00F22D7A">
              <w:rPr>
                <w:noProof/>
                <w:szCs w:val="24"/>
                <w:lang w:eastAsia="hu-HU"/>
              </w:rPr>
              <w:instrText xml:space="preserve"> ADDIN ZOTERO_ITEM CSL_CITATION {"citationID":"ah4s7rcmmc","properties":{"formattedCitation":"\\super [12,13]\\nosupersub{}","plainCitation":"[12,13]","noteIndex":0},"citationItems":[{"id":528,"uris":["http://zotero.org/users/4017583/items/GNAPVNAN"],"uri":["http://zotero.org/users/4017583/items/GNAPVNAN"],"itemData":{"id":528,"type":"article-journal","title":"Removal of toxic Congo red dye from water employing low-cost coconut residual fiber","container-title":"Water Science and Technology","page":"2225-2236","volume":"75","issue":"9","source":"wst.iwaponline.com","abstract":"Skip to Next Section\nThe coconut residual fiber (CRF) is the major byproduct obtained during production of virgin coconut oil. Its application as a biosorbent for adsorption of Congo red was investigated. The CRF was subjected to different pretreatments, namely, pressure cooking, hexane treatment, acid treatment and their combinations. The pretreatment of CRF with the combination of hexane, acid, and pressure cooking resulted in the highest degree of adsorption. The equilibrium data were analyzed and found to fit best to both Langmuir and Freundlich isotherms. Thermodynamic parameters such as standard free energy (ΔG0 kJ mol−1), standard enthalpy (ΔH0, kJ mol−1) and standard entropy (ΔS0, kJ mol−1 K−1) of the systems were calculated by using the Langmuir constant. The ΔG0, ΔH0 and ΔS0 were found to be 16.51 kJ mol−1, −19.39 kJ mol−1 and −0.12 kJ mol−1 K−1, respectively, at 300 K. These thermodynamic parameters suggest the present adsorption process to be non-spontaneous and exothermic. The adsorption process was observed to follow pseudo-second-order kinetics. The results suggest that CRF has potential to be a biosorbent for the removal of hazardous material (Congo red dye) with a maximum adsorption capacity of 128.94 mg g−1 at 300 K.","DOI":"10.2166/wst.2017.109","ISSN":"0273-1223, 1996-9732","language":"en","author":[{"family":"Rani","given":"K. C."},{"family":"Naik","given":"Aduja"},{"family":"Chaurasiya","given":"Ram Saran"},{"family":"Raghavarao","given":"K. S. M. S."}],"issued":{"date-parts":[["2017",5,12]]}}},{"id":855,"uris":["http://zotero.org/users/4017583/items/R6JIFEWJ"],"uri":["http://zotero.org/users/4017583/items/R6JIFEWJ"],"itemData":{"id":855,"type":"article-journal","title":"Adsorption of Congo red dye onto antimicrobial terephthaloyl thiourea cross-linked chitosan hydrogels","container-title":"Water Science and Technology","page":"2719-2732","volume":"76","issue":"10","source":"wst.iwaponline.com","abstract":"Skip to Next Section\nAdsorption capacity of three antimicrobial terephthaloyl thiourea cross-linked chitosan hydrogels for Congo red dye removal from its aqueous solution has been investigated for the first time in this work. These hydrogels were prepared by reacting chitosan with various amounts of terephthaloyl diisothiocyanate cross-linker. The effect of the hydrogel structural variations and several dye adsorption processing parameters to achieve the best adsorption capacity were investigated. The hydrogels' structural variations were obtained by varying their terephthaloyl thiourea moieties content. The processing variables included initial concentration of the dye solution, temperature and time of exposure to the dye. The adsorption kinetics and isotherms showed that the sorption processes were better fitted by the pseudo-second-order equation and the Langmuir equation, respectively. On the basis of the Langmuir analysis Congo red dye gave the maximum sorption capacity of 44.248 mg/g. The results obtained confirmed that the sorption phenomena are most likely to be controlled by chemisorption process. The adsorption reaction was endothermic and spontaneous according to the calculated results of adsorption thermodynamics.","DOI":"10.2166/wst.2017.442","ISSN":"0273-1223, 1996-9732","language":"en","author":[{"family":"El-Harby","given":"Nouf F."},{"family":"Ibrahim","given":"Shaimaa M. A."},{"family":"Mohamed","given":"Nadia A."}],"issued":{"date-parts":[["2017",11,23]]}}}],"schema":"https://github.com/citation-style-language/schema/raw/master/csl-citation.json"} </w:instrText>
            </w:r>
            <w:r>
              <w:rPr>
                <w:noProof/>
                <w:szCs w:val="24"/>
                <w:lang w:eastAsia="hu-HU"/>
              </w:rPr>
              <w:fldChar w:fldCharType="separate"/>
            </w:r>
            <w:r w:rsidR="00F22D7A" w:rsidRPr="00F22D7A">
              <w:rPr>
                <w:rFonts w:cs="Times New Roman"/>
                <w:szCs w:val="24"/>
                <w:vertAlign w:val="superscript"/>
              </w:rPr>
              <w:t>12,13</w:t>
            </w:r>
            <w:r>
              <w:rPr>
                <w:noProof/>
                <w:szCs w:val="24"/>
                <w:lang w:eastAsia="hu-HU"/>
              </w:rPr>
              <w:fldChar w:fldCharType="end"/>
            </w:r>
          </w:p>
        </w:tc>
        <w:tc>
          <w:tcPr>
            <w:tcW w:w="1390" w:type="dxa"/>
          </w:tcPr>
          <w:p w:rsidR="005A3C6C" w:rsidRPr="006831C9" w:rsidRDefault="005A3C6C" w:rsidP="00380D61">
            <w:pPr>
              <w:spacing w:line="240" w:lineRule="auto"/>
              <w:jc w:val="center"/>
              <w:cnfStyle w:val="000000000000" w:firstRow="0" w:lastRow="0" w:firstColumn="0" w:lastColumn="0" w:oddVBand="0" w:evenVBand="0" w:oddHBand="0" w:evenHBand="0" w:firstRowFirstColumn="0" w:firstRowLastColumn="0" w:lastRowFirstColumn="0" w:lastRowLastColumn="0"/>
              <w:rPr>
                <w:noProof/>
                <w:szCs w:val="24"/>
                <w:lang w:eastAsia="hu-HU"/>
              </w:rPr>
            </w:pPr>
            <w:r>
              <w:rPr>
                <w:noProof/>
                <w:szCs w:val="24"/>
                <w:lang w:eastAsia="hu-HU"/>
              </w:rPr>
              <w:fldChar w:fldCharType="begin"/>
            </w:r>
            <w:r w:rsidR="00F22D7A">
              <w:rPr>
                <w:noProof/>
                <w:szCs w:val="24"/>
                <w:lang w:eastAsia="hu-HU"/>
              </w:rPr>
              <w:instrText xml:space="preserve"> ADDIN ZOTERO_ITEM CSL_CITATION {"citationID":"a28ubvfnsnh","properties":{"formattedCitation":"\\super [14,15]\\nosupersub{}","plainCitation":"[14,15]","noteIndex":0},"citationItems":[{"id":621,"uris":["http://zotero.org/users/4017583/items/6X65QET9"],"uri":["http://zotero.org/users/4017583/items/6X65QET9"],"itemData":{"id":621,"type":"article-journal","title":"Adsorption Kinetics of Bromophenol Blue and Eriochrome Black T using Bentonite Carbon Composite Material, International Journal of Scientific &amp; Engineering Research, Volume 6, Issue 5, May-2015","container-title":"International Journal of Scientific and Engineering Research","source":"ResearchGate","abstract":"Abstract - The present study deals with the adsorption of Bromophenol blue (BB) and Erichrome black T (EBT) – two anionic dyes – onto bentonite carbon composite material (BCC). Batch studies were performed to evaluate the influence of various experimental parameters such as: pH, contact time, adsorbent dose and initial dye concentration. The optimal conditions for the dyes removal were found to be at pH = 1, applying a dose of 10 g.L-1 and 20 g.L-1 and for an equilibrium time of 40 mins for both dyes BB and EBT removal, respectively. The results also showed that process followed pseudo-second-order rate expression for dyes with a degree of intraparticle diffusion for BB and intraparticle and pore diffusion for EBT and it was found to be best represented by the Freundlich isotherm.","author":[{"family":"El-Dars","given":"Farida"},{"family":"M Ibrahim","given":"Hamed"},{"family":"A. B. Farag","given":"Heba"},{"family":"Zakaria Abdelwahhab","given":"M"},{"family":"Shalabi","given":"M"}],"issued":{"date-parts":[["2015",5,1]]}}},{"id":565,"uris":["http://zotero.org/users/4017583/items/NIIIH2ZU"],"uri":["http://zotero.org/users/4017583/items/NIIIH2ZU"],"itemData":{"id":565,"type":"article-journal","title":"Adsorption of Methylene Blue, Bromophenol Blue, and Coomassie Brilliant Blue by α-chitin nanoparticles","container-title":"Journal of Advanced Research","page":"113-124","volume":"7","issue":"1","source":"ScienceDirect","abstract":"Expelling of dyestuff into water resource system causes major thread to the environment. Adsorption is the cost effective and potential method to remove the dyes from the effluents. Therefore, an attempt was made to study the adsorption of dyestuff (Methylene Blue (MB), Bromophenol Blue (BPB) and Coomassie Brilliant Blue (CBB)) by α-chitin nanoparticles (CNP) prepared from Penaeus monodon (Fabricius, 1798) shell waste. On contrary to the most recognizable adsorption studies using chitin, this is the first study using unique nanoparticles of </w:instrText>
            </w:r>
            <w:r w:rsidR="00F22D7A">
              <w:rPr>
                <w:rFonts w:ascii="Cambria Math" w:hAnsi="Cambria Math" w:cs="Cambria Math"/>
                <w:noProof/>
                <w:szCs w:val="24"/>
                <w:lang w:eastAsia="hu-HU"/>
              </w:rPr>
              <w:instrText>⩽</w:instrText>
            </w:r>
            <w:r w:rsidR="00F22D7A">
              <w:rPr>
                <w:noProof/>
                <w:szCs w:val="24"/>
                <w:lang w:eastAsia="hu-HU"/>
              </w:rPr>
              <w:instrText xml:space="preserve">50nm used for the dye adsorption process. The results showed that the adsorption process increased with increase in the concentration of CNP, contact time and temperature with the dyestuff, whereas the adsorption process decreased with increase in the initial dye concentration and strong acidic pH. The results from Fourier transform infrared (FTIR) spectroscopy confirmed that the interaction between dyestuff and CNP involved physical adsorption. The adsorption process obeys Langmuir isotherm (R2 values were 0.992, 0.999 and 0.992 for MB, BPB and CBB, and RL value lies between 0 and 1 for all the three dyes) and pseudo second order kinetics (R2 values were 0.996, 0.999 and 0.996 for MB, BPB and CBB) more effectively. The isotherm and kinetic models confirmed that CNP can be used as a suitable adsorbent material for the removal of dyestuff from effluents.","DOI":"10.1016/j.jare.2015.03.003","ISSN":"2090-1232","journalAbbreviation":"Journal of Advanced Research","author":[{"family":"Dhananasekaran","given":"Solairaj"},{"family":"Palanivel","given":"Rameshthangam"},{"family":"Pappu","given":"Srinivasan"}],"issued":{"date-parts":[["2016",0,1]]}}}],"schema":"https://github.com/citation-style-language/schema/raw/master/csl-citation.json"} </w:instrText>
            </w:r>
            <w:r>
              <w:rPr>
                <w:noProof/>
                <w:szCs w:val="24"/>
                <w:lang w:eastAsia="hu-HU"/>
              </w:rPr>
              <w:fldChar w:fldCharType="separate"/>
            </w:r>
            <w:r w:rsidR="00F22D7A" w:rsidRPr="00F22D7A">
              <w:rPr>
                <w:rFonts w:cs="Times New Roman"/>
                <w:szCs w:val="24"/>
                <w:vertAlign w:val="superscript"/>
              </w:rPr>
              <w:t>14,15</w:t>
            </w:r>
            <w:r>
              <w:rPr>
                <w:noProof/>
                <w:szCs w:val="24"/>
                <w:lang w:eastAsia="hu-HU"/>
              </w:rPr>
              <w:fldChar w:fldCharType="end"/>
            </w:r>
          </w:p>
        </w:tc>
        <w:tc>
          <w:tcPr>
            <w:tcW w:w="2693" w:type="dxa"/>
          </w:tcPr>
          <w:p w:rsidR="005A3C6C" w:rsidRPr="006831C9" w:rsidRDefault="005A3C6C" w:rsidP="00380D61">
            <w:pPr>
              <w:spacing w:line="240" w:lineRule="auto"/>
              <w:jc w:val="center"/>
              <w:cnfStyle w:val="000000000000" w:firstRow="0" w:lastRow="0" w:firstColumn="0" w:lastColumn="0" w:oddVBand="0" w:evenVBand="0" w:oddHBand="0" w:evenHBand="0" w:firstRowFirstColumn="0" w:firstRowLastColumn="0" w:lastRowFirstColumn="0" w:lastRowLastColumn="0"/>
              <w:rPr>
                <w:noProof/>
                <w:szCs w:val="24"/>
                <w:lang w:eastAsia="hu-HU"/>
              </w:rPr>
            </w:pPr>
            <w:r>
              <w:rPr>
                <w:noProof/>
                <w:szCs w:val="24"/>
                <w:lang w:eastAsia="hu-HU"/>
              </w:rPr>
              <w:fldChar w:fldCharType="begin"/>
            </w:r>
            <w:r w:rsidR="00F22D7A">
              <w:rPr>
                <w:noProof/>
                <w:szCs w:val="24"/>
                <w:lang w:eastAsia="hu-HU"/>
              </w:rPr>
              <w:instrText xml:space="preserve"> ADDIN ZOTERO_ITEM CSL_CITATION {"citationID":"a1io51f7eo0","properties":{"formattedCitation":"\\super [16,17]\\nosupersub{}","plainCitation":"[16,17]","noteIndex":0},"citationItems":[{"id":972,"uris":["http://zotero.org/users/4017583/items/LBC6D4DW"],"uri":["http://zotero.org/users/4017583/items/LBC6D4DW"],"itemData":{"id":972,"type":"article-journal","title":"Removal of Methylene Blue from Aqueous Solutions by Wheat Bran","container-title":"Acta Chimica Slovenica","page":"407–418","volume":"54","source":"ResearchGate","abstract":"In this work, a fundamental investigation on the removal of methylene blue from aqueous solutions by wheat bran is conducted in batch conditions. Removal kinetic data are determined, and the effects of different experimental parameters, such as wheat bran mass, initial concentration of methylene blue, agitation speed, solution pH, particle size, temperature, and ionic strength on the kinetics of methylene blue removal are investigated. The cationic dye recovery increases with an increase of sorbent mass, solution pH, and temperature. Methylene blue removal decreases with an increase of initial concentration, particle size, and ionic strength. The agitation speed showed a limited influence on the removal kinetics. Modeling of kinetic results shows that sorption process is best described by the pseudo-second order model, with determination coefficients higher than 0.996 under all experimental conditions. The applicability of both internal and external diffusion models shows that liquid-film and particle diffusion are effective sorption mechanisms. The activation energy of sorption calculated using the pseudo-second order rate constants is found to be 13.41 kJ mol-1 from an Arrhenius plot. The low value of the activation energy indicates that sorption is an activated and physical process. Thus, wheat bran, a low cost and easily available biomaterial, can be efficiently used as an excellent sorbent for the removal of dyes from wastewater. It can be safely concluded that wheat bran is much economical, effectual, viable, and can be an alternative to more costly adsorbents.","author":[{"family":"Hamdaoui","given":"Oualid"},{"family":"Chiha","given":"Mahdi"}],"issued":{"date-parts":[["2007",0,1]]}}},{"id":973,"uris":["http://zotero.org/users/4017583/items/GTIEU7X3"],"uri":["http://zotero.org/users/4017583/items/GTIEU7X3"],"itemData":{"id":973,"type":"article-journal","title":"Biosorption of Methylene Blue by a Brown Alga Cystoseira barbatula Kutzing","container-title":"Acta Chimica Slovenica","volume":"55","source":"ResearchGate","abstract":"The brown alga Cystoseira barbatula Kützing which is widely distributed in the Mediterranean Sea was used to prepa-re an alternative low cost biosorbent to remove methylene blue (MB) from aqueous solutions. To determine the equili-brium adsorption capacity, the effects of contact time, temperature, pH and adsorbent dosage were studied. The contact time was studied at six hours but after 210 minutes the adsorption reached equilibrium in all concentrations (5–100 mg L –1). Pseudo-first and pseudo-second order kinetic models were applied to the adsorption data. Pseudo first order model was not fitted to data however pseudo second order model was well in line with the adsorption data. Langmuir, Freund-lich and Dubinin-Radushkevich isotherm models were also investigated. According to Langmuir isotherm, the maxi-mum adsorption capacity was estimated as 38.61 mg g –1 at 35 °C. Dubinin-Radushkevich equation was used to analyze the adsorption behaviour of the algal adsorbent in aqueous MB solutions. Thermodynamic parameters ∆G o , ∆H o and ∆-S o were also calculated by using Van't Hoff Equation. The positive enthalpy indicated that the adsorption was in endot-hermic nature. The adsorption enthalpy values were found as 72.464; 36.595; 33.974; 25.102 kJ mol –1 at different con-centrations of methylene blue (5, 20, 50, 100 mg/L, respectively). High negative values of Gibbs free energy revealed that adsorption was in a spontaneous nature.","author":[{"family":"Caparkaya","given":"Deniz"},{"family":"Cavas","given":"Levent"}],"issued":{"date-parts":[["2008",0,1]]}}}],"schema":"https://github.com/citation-style-language/schema/raw/master/csl-citation.json"} </w:instrText>
            </w:r>
            <w:r>
              <w:rPr>
                <w:noProof/>
                <w:szCs w:val="24"/>
                <w:lang w:eastAsia="hu-HU"/>
              </w:rPr>
              <w:fldChar w:fldCharType="separate"/>
            </w:r>
            <w:r w:rsidR="00F22D7A" w:rsidRPr="00F22D7A">
              <w:rPr>
                <w:rFonts w:cs="Times New Roman"/>
                <w:szCs w:val="24"/>
                <w:vertAlign w:val="superscript"/>
              </w:rPr>
              <w:t>16,17</w:t>
            </w:r>
            <w:r>
              <w:rPr>
                <w:noProof/>
                <w:szCs w:val="24"/>
                <w:lang w:eastAsia="hu-HU"/>
              </w:rPr>
              <w:fldChar w:fldCharType="end"/>
            </w:r>
          </w:p>
        </w:tc>
        <w:tc>
          <w:tcPr>
            <w:tcW w:w="1560" w:type="dxa"/>
          </w:tcPr>
          <w:p w:rsidR="005A3C6C" w:rsidRPr="006831C9" w:rsidRDefault="005A3C6C" w:rsidP="00380D61">
            <w:pPr>
              <w:spacing w:line="240" w:lineRule="auto"/>
              <w:jc w:val="center"/>
              <w:cnfStyle w:val="000000000000" w:firstRow="0" w:lastRow="0" w:firstColumn="0" w:lastColumn="0" w:oddVBand="0" w:evenVBand="0" w:oddHBand="0" w:evenHBand="0" w:firstRowFirstColumn="0" w:firstRowLastColumn="0" w:lastRowFirstColumn="0" w:lastRowLastColumn="0"/>
              <w:rPr>
                <w:noProof/>
                <w:szCs w:val="24"/>
                <w:lang w:eastAsia="hu-HU"/>
              </w:rPr>
            </w:pPr>
            <w:r>
              <w:rPr>
                <w:noProof/>
                <w:szCs w:val="24"/>
                <w:lang w:eastAsia="hu-HU"/>
              </w:rPr>
              <w:fldChar w:fldCharType="begin"/>
            </w:r>
            <w:r w:rsidR="00F22D7A">
              <w:rPr>
                <w:noProof/>
                <w:szCs w:val="24"/>
                <w:lang w:eastAsia="hu-HU"/>
              </w:rPr>
              <w:instrText xml:space="preserve"> ADDIN ZOTERO_ITEM CSL_CITATION {"citationID":"a199a79rm7d","properties":{"formattedCitation":"\\super [7,18]\\nosupersub{}","plainCitation":"[7,18]","noteIndex":0},"citationItems":[{"id":590,"uris":["http://zotero.org/users/4017583/items/WNKVFWV8"],"uri":["http://zotero.org/users/4017583/items/WNKVFWV8"],"itemData":{"id":590,"type":"article-journal","title":"Adsorptive Removal of Malachite Green from Model Aqueous Solutions by Chemically Modified Waste Green Tea Biomass","container-title":"Acta Chimica Slovenica","page":"513-521","volume":"64","issue":"2","source":"journals.matheo.si","abstract":"The adsorption of malachite green (MG) from aqueous solution by waste green tea (WGT) biomass was investigated. A series of experiments in batch conditions were conducted in order to assess the MG removal on WGT, following adsorbent quantity and temperature influences. Maximum removal efficiency for untreated WGT was 89% (4 g biomass, 100 mL solution of 94 mg/L, 316 K). It was found that the adsorption of MG increased by increasing temperature from 296 to 316 K. Thermodynamic parameters (ΔHº, ΔSº, ΔGº) were calculated, and indicated that dye adsorption onto the studied biomass was endothermic and non-spontaneous. Six chemical treatments were tested (four acidic – H3PO4, H2SO4, HCl, and tartaric acid, one oxidant – H2O2, and one basic – NaOH) in order to study the chemical groups responsible for MG adsorption onto WGT biomass. The alkali and acidic treatments led to an increase of adsorption efficiency up to 92% and 95% (H2SO4) respectively. The FTIR spectroscopy results emphasized the modifications of the biomass surface and how these are influencing the adsorption process.","DOI":"10.17344/acsi.2017.3271","ISSN":"1580-3155","author":[{"family":"Indolean","given":"Cerasella"},{"family":"Burcă","given":"Silvia"},{"family":"Măicăneanu","given":"Andrada"}],"issued":{"date-parts":[["2017",6,16]]}}},{"id":798,"uris":["http://zotero.org/users/4017583/items/QCDU83H6"],"uri":["http://zotero.org/users/4017583/items/QCDU83H6"],"itemData":{"id":798,"type":"article-journal","title":"Adsorption for the Removal of Malachite Green by Using Eggshell Membrane in Environment Water Samples","container-title":"Advanced Materials Research","page":"63-67","volume":"573-574","source":"ResearchGate","abstract":"The performance of native eggshell membrane in removing of malachite green (MG) from aqueous solution was investigate. The effect of pH, adsorbent concentration, temperature, and contact time were performed by static testing. The maximum biosorption was both observed at pH 6.0 on the eggshell membrane. Optimal adsorption capacity (89.72 mg g-1) at initial concentration 100 mg L-1 and rate (98.69%) was obtained at pH 5.5. Characterization of the biosorbent eggshell membrane was performed using scanning electron microscope (SEM), and Fourier transform-infrared (FTIR) spectroscopy. The kinetic and equilibrium studies suggest that the adsorption follows Langmuir isotherm model. Desorption studies revealed that MG could be well removed from wastewater.","DOI":"10.4028/www.scientific.net/AMR.573-574.63","author":[{"family":"Mei Chen","given":"Hong"},{"family":"Liu","given":"Jin"},{"family":"Zhong Cheng","given":"Xian"},{"family":"Peng","given":"Yuan"}],"issued":{"date-parts":[["2012",10,1]]}}}],"schema":"https://github.com/citation-style-language/schema/raw/master/csl-citation.json"} </w:instrText>
            </w:r>
            <w:r>
              <w:rPr>
                <w:noProof/>
                <w:szCs w:val="24"/>
                <w:lang w:eastAsia="hu-HU"/>
              </w:rPr>
              <w:fldChar w:fldCharType="separate"/>
            </w:r>
            <w:r w:rsidR="00F22D7A" w:rsidRPr="00F22D7A">
              <w:rPr>
                <w:rFonts w:cs="Times New Roman"/>
                <w:szCs w:val="24"/>
                <w:vertAlign w:val="superscript"/>
              </w:rPr>
              <w:t>7,18</w:t>
            </w:r>
            <w:r>
              <w:rPr>
                <w:noProof/>
                <w:szCs w:val="24"/>
                <w:lang w:eastAsia="hu-HU"/>
              </w:rPr>
              <w:fldChar w:fldCharType="end"/>
            </w:r>
          </w:p>
        </w:tc>
      </w:tr>
      <w:tr w:rsidR="000E5A8B" w:rsidRPr="006831C9" w:rsidTr="00234F39">
        <w:trPr>
          <w:cnfStyle w:val="000000100000" w:firstRow="0" w:lastRow="0" w:firstColumn="0" w:lastColumn="0" w:oddVBand="0" w:evenVBand="0" w:oddHBand="1"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1561" w:type="dxa"/>
          </w:tcPr>
          <w:p w:rsidR="000E5A8B" w:rsidRPr="006831C9" w:rsidRDefault="000E5A8B" w:rsidP="00027FF7">
            <w:pPr>
              <w:spacing w:line="240" w:lineRule="auto"/>
              <w:jc w:val="center"/>
              <w:rPr>
                <w:szCs w:val="24"/>
                <w:lang w:val="en-US"/>
              </w:rPr>
            </w:pPr>
          </w:p>
        </w:tc>
        <w:tc>
          <w:tcPr>
            <w:tcW w:w="2267" w:type="dxa"/>
          </w:tcPr>
          <w:p w:rsidR="000E5A8B" w:rsidRPr="006831C9" w:rsidRDefault="000E5A8B" w:rsidP="00027FF7">
            <w:pPr>
              <w:spacing w:line="240" w:lineRule="auto"/>
              <w:cnfStyle w:val="000000100000" w:firstRow="0" w:lastRow="0" w:firstColumn="0" w:lastColumn="0" w:oddVBand="0" w:evenVBand="0" w:oddHBand="1" w:evenHBand="0" w:firstRowFirstColumn="0" w:firstRowLastColumn="0" w:lastRowFirstColumn="0" w:lastRowLastColumn="0"/>
              <w:rPr>
                <w:szCs w:val="24"/>
                <w:lang w:val="en-US"/>
              </w:rPr>
            </w:pPr>
            <w:r w:rsidRPr="006831C9">
              <w:rPr>
                <w:noProof/>
                <w:szCs w:val="24"/>
                <w:lang w:val="en-US"/>
              </w:rPr>
              <w:drawing>
                <wp:anchor distT="0" distB="0" distL="114300" distR="114300" simplePos="0" relativeHeight="251659264" behindDoc="0" locked="0" layoutInCell="1" allowOverlap="1" wp14:anchorId="2BE2C4EF" wp14:editId="35A9D2E7">
                  <wp:simplePos x="0" y="0"/>
                  <wp:positionH relativeFrom="column">
                    <wp:posOffset>-68484</wp:posOffset>
                  </wp:positionH>
                  <wp:positionV relativeFrom="paragraph">
                    <wp:posOffset>114193</wp:posOffset>
                  </wp:positionV>
                  <wp:extent cx="1425575" cy="517525"/>
                  <wp:effectExtent l="0" t="0" r="0" b="0"/>
                  <wp:wrapThrough wrapText="bothSides">
                    <wp:wrapPolygon edited="0">
                      <wp:start x="3464" y="0"/>
                      <wp:lineTo x="577" y="795"/>
                      <wp:lineTo x="0" y="3180"/>
                      <wp:lineTo x="289" y="15902"/>
                      <wp:lineTo x="13566" y="19877"/>
                      <wp:lineTo x="16164" y="19877"/>
                      <wp:lineTo x="18762" y="18287"/>
                      <wp:lineTo x="20205" y="16697"/>
                      <wp:lineTo x="19628" y="13517"/>
                      <wp:lineTo x="21071" y="5566"/>
                      <wp:lineTo x="17607" y="2385"/>
                      <wp:lineTo x="5484" y="0"/>
                      <wp:lineTo x="3464" y="0"/>
                    </wp:wrapPolygon>
                  </wp:wrapThrough>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5575" cy="517525"/>
                          </a:xfrm>
                          <a:prstGeom prst="rect">
                            <a:avLst/>
                          </a:prstGeom>
                          <a:noFill/>
                        </pic:spPr>
                      </pic:pic>
                    </a:graphicData>
                  </a:graphic>
                  <wp14:sizeRelH relativeFrom="page">
                    <wp14:pctWidth>0</wp14:pctWidth>
                  </wp14:sizeRelH>
                  <wp14:sizeRelV relativeFrom="page">
                    <wp14:pctHeight>0</wp14:pctHeight>
                  </wp14:sizeRelV>
                </wp:anchor>
              </w:drawing>
            </w:r>
          </w:p>
        </w:tc>
        <w:tc>
          <w:tcPr>
            <w:tcW w:w="1390"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en-US"/>
              </w:rPr>
            </w:pPr>
            <w:r w:rsidRPr="006831C9">
              <w:rPr>
                <w:noProof/>
                <w:szCs w:val="24"/>
                <w:lang w:val="en-US"/>
              </w:rPr>
              <w:drawing>
                <wp:anchor distT="0" distB="0" distL="114300" distR="114300" simplePos="0" relativeHeight="251660288" behindDoc="0" locked="0" layoutInCell="1" allowOverlap="1" wp14:anchorId="4F0CA5BC" wp14:editId="333EF184">
                  <wp:simplePos x="0" y="0"/>
                  <wp:positionH relativeFrom="column">
                    <wp:posOffset>-13335</wp:posOffset>
                  </wp:positionH>
                  <wp:positionV relativeFrom="paragraph">
                    <wp:posOffset>142875</wp:posOffset>
                  </wp:positionV>
                  <wp:extent cx="1057275" cy="647700"/>
                  <wp:effectExtent l="0" t="0" r="9525" b="0"/>
                  <wp:wrapThrough wrapText="bothSides">
                    <wp:wrapPolygon edited="0">
                      <wp:start x="0" y="0"/>
                      <wp:lineTo x="0" y="20965"/>
                      <wp:lineTo x="21405" y="20965"/>
                      <wp:lineTo x="21405" y="0"/>
                      <wp:lineTo x="0" y="0"/>
                    </wp:wrapPolygon>
                  </wp:wrapThrough>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57275" cy="647700"/>
                          </a:xfrm>
                          <a:prstGeom prst="rect">
                            <a:avLst/>
                          </a:prstGeom>
                        </pic:spPr>
                      </pic:pic>
                    </a:graphicData>
                  </a:graphic>
                  <wp14:sizeRelH relativeFrom="page">
                    <wp14:pctWidth>0</wp14:pctWidth>
                  </wp14:sizeRelH>
                  <wp14:sizeRelV relativeFrom="page">
                    <wp14:pctHeight>0</wp14:pctHeight>
                  </wp14:sizeRelV>
                </wp:anchor>
              </w:drawing>
            </w:r>
          </w:p>
        </w:tc>
        <w:tc>
          <w:tcPr>
            <w:tcW w:w="2693"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en-US"/>
              </w:rPr>
            </w:pPr>
            <w:r w:rsidRPr="006831C9">
              <w:rPr>
                <w:noProof/>
                <w:szCs w:val="24"/>
                <w:lang w:val="en-US"/>
              </w:rPr>
              <w:drawing>
                <wp:anchor distT="0" distB="0" distL="114300" distR="114300" simplePos="0" relativeHeight="251661312" behindDoc="0" locked="0" layoutInCell="1" allowOverlap="1" wp14:anchorId="10C43517" wp14:editId="5235688E">
                  <wp:simplePos x="0" y="0"/>
                  <wp:positionH relativeFrom="column">
                    <wp:posOffset>172960</wp:posOffset>
                  </wp:positionH>
                  <wp:positionV relativeFrom="paragraph">
                    <wp:posOffset>157037</wp:posOffset>
                  </wp:positionV>
                  <wp:extent cx="1330960" cy="503555"/>
                  <wp:effectExtent l="0" t="0" r="2540" b="0"/>
                  <wp:wrapThrough wrapText="bothSides">
                    <wp:wrapPolygon edited="0">
                      <wp:start x="9584" y="0"/>
                      <wp:lineTo x="309" y="4903"/>
                      <wp:lineTo x="0" y="12257"/>
                      <wp:lineTo x="3092" y="13892"/>
                      <wp:lineTo x="2782" y="17160"/>
                      <wp:lineTo x="3710" y="19612"/>
                      <wp:lineTo x="4947" y="20429"/>
                      <wp:lineTo x="19477" y="20429"/>
                      <wp:lineTo x="19477" y="17160"/>
                      <wp:lineTo x="18240" y="13892"/>
                      <wp:lineTo x="21332" y="13074"/>
                      <wp:lineTo x="21023" y="4903"/>
                      <wp:lineTo x="11748" y="0"/>
                      <wp:lineTo x="9584" y="0"/>
                    </wp:wrapPolygon>
                  </wp:wrapThrough>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30960" cy="503555"/>
                          </a:xfrm>
                          <a:prstGeom prst="rect">
                            <a:avLst/>
                          </a:prstGeom>
                          <a:noFill/>
                        </pic:spPr>
                      </pic:pic>
                    </a:graphicData>
                  </a:graphic>
                  <wp14:sizeRelH relativeFrom="page">
                    <wp14:pctWidth>0</wp14:pctWidth>
                  </wp14:sizeRelH>
                  <wp14:sizeRelV relativeFrom="page">
                    <wp14:pctHeight>0</wp14:pctHeight>
                  </wp14:sizeRelV>
                </wp:anchor>
              </w:drawing>
            </w:r>
          </w:p>
        </w:tc>
        <w:tc>
          <w:tcPr>
            <w:tcW w:w="1560" w:type="dxa"/>
          </w:tcPr>
          <w:p w:rsidR="000E5A8B" w:rsidRPr="006831C9" w:rsidRDefault="000E5A8B" w:rsidP="00027FF7">
            <w:pPr>
              <w:spacing w:line="240" w:lineRule="auto"/>
              <w:jc w:val="center"/>
              <w:cnfStyle w:val="000000100000" w:firstRow="0" w:lastRow="0" w:firstColumn="0" w:lastColumn="0" w:oddVBand="0" w:evenVBand="0" w:oddHBand="1" w:evenHBand="0" w:firstRowFirstColumn="0" w:firstRowLastColumn="0" w:lastRowFirstColumn="0" w:lastRowLastColumn="0"/>
              <w:rPr>
                <w:szCs w:val="24"/>
                <w:lang w:val="en-US"/>
              </w:rPr>
            </w:pPr>
            <w:r w:rsidRPr="006831C9">
              <w:rPr>
                <w:noProof/>
                <w:szCs w:val="24"/>
                <w:lang w:val="en-US"/>
              </w:rPr>
              <w:drawing>
                <wp:anchor distT="0" distB="0" distL="114300" distR="114300" simplePos="0" relativeHeight="251662336" behindDoc="0" locked="0" layoutInCell="1" allowOverlap="1" wp14:anchorId="65F8E813" wp14:editId="18EC0E9A">
                  <wp:simplePos x="0" y="0"/>
                  <wp:positionH relativeFrom="column">
                    <wp:posOffset>-66040</wp:posOffset>
                  </wp:positionH>
                  <wp:positionV relativeFrom="paragraph">
                    <wp:posOffset>148590</wp:posOffset>
                  </wp:positionV>
                  <wp:extent cx="888365" cy="594995"/>
                  <wp:effectExtent l="0" t="0" r="6985" b="0"/>
                  <wp:wrapThrough wrapText="bothSides">
                    <wp:wrapPolygon edited="0">
                      <wp:start x="0" y="0"/>
                      <wp:lineTo x="0" y="20747"/>
                      <wp:lineTo x="21307" y="20747"/>
                      <wp:lineTo x="21307" y="0"/>
                      <wp:lineTo x="0" y="0"/>
                    </wp:wrapPolygon>
                  </wp:wrapThrough>
                  <wp:docPr id="9" name="Picture 8"/>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8365" cy="594995"/>
                          </a:xfrm>
                          <a:prstGeom prst="rect">
                            <a:avLst/>
                          </a:prstGeom>
                        </pic:spPr>
                      </pic:pic>
                    </a:graphicData>
                  </a:graphic>
                  <wp14:sizeRelH relativeFrom="page">
                    <wp14:pctWidth>0</wp14:pctWidth>
                  </wp14:sizeRelH>
                  <wp14:sizeRelV relativeFrom="page">
                    <wp14:pctHeight>0</wp14:pctHeight>
                  </wp14:sizeRelV>
                </wp:anchor>
              </w:drawing>
            </w:r>
          </w:p>
        </w:tc>
      </w:tr>
    </w:tbl>
    <w:p w:rsidR="000E5A8B" w:rsidRDefault="000E5A8B" w:rsidP="000E5A8B">
      <w:pPr>
        <w:rPr>
          <w:lang w:val="en-US"/>
        </w:rPr>
      </w:pPr>
    </w:p>
    <w:p w:rsidR="000E5A8B" w:rsidRDefault="000E5A8B" w:rsidP="000E5A8B">
      <w:pPr>
        <w:rPr>
          <w:lang w:val="en-US"/>
        </w:rPr>
      </w:pPr>
      <w:r>
        <w:rPr>
          <w:lang w:val="en-US"/>
        </w:rPr>
        <w:t>Stock solutions of dyes were prepared by dissolving 1 g of each dye in 1 L deionized water. During adsorption experiments 1g/L stock solution was diluted to obtain the needed concentration.</w:t>
      </w:r>
    </w:p>
    <w:p w:rsidR="000E5A8B" w:rsidRPr="00123864" w:rsidRDefault="000E5A8B" w:rsidP="000E5A8B">
      <w:pPr>
        <w:rPr>
          <w:b/>
          <w:lang w:val="en-US"/>
        </w:rPr>
      </w:pPr>
      <w:r w:rsidRPr="00123864">
        <w:rPr>
          <w:b/>
          <w:lang w:val="en-US"/>
        </w:rPr>
        <w:t>Preparation of adsorbent</w:t>
      </w:r>
    </w:p>
    <w:p w:rsidR="000E5A8B" w:rsidRDefault="000E5A8B" w:rsidP="000E5A8B">
      <w:pPr>
        <w:rPr>
          <w:lang w:val="en-US"/>
        </w:rPr>
      </w:pPr>
      <w:r>
        <w:rPr>
          <w:lang w:val="en-US"/>
        </w:rPr>
        <w:t>The used chicken eggshell as biosorbent was gathered in from household, kitchen waste. The shells were firstly washed in tap water than in deionized (MilliQ) water. The cleaned eggshell was dried in drying cabinet (Memmert UN75 PLUS) at 80</w:t>
      </w:r>
      <w:r w:rsidRPr="007E6B89">
        <w:rPr>
          <w:rFonts w:cs="Times New Roman"/>
          <w:lang w:val="en-US"/>
        </w:rPr>
        <w:t>º</w:t>
      </w:r>
      <w:r>
        <w:rPr>
          <w:lang w:val="en-US"/>
        </w:rPr>
        <w:t xml:space="preserve">C than powdered and sieved at 160 </w:t>
      </w:r>
      <w:r>
        <w:rPr>
          <w:rFonts w:cs="Times New Roman"/>
          <w:lang w:val="en-US"/>
        </w:rPr>
        <w:t>µ</w:t>
      </w:r>
      <w:r>
        <w:rPr>
          <w:lang w:val="en-US"/>
        </w:rPr>
        <w:t>m size fraction geologist sieve. During biosorption experiments 3-3 g of powdered shell was used without any chemical or physical treatment.</w:t>
      </w:r>
    </w:p>
    <w:p w:rsidR="000E5A8B" w:rsidRPr="007E6B89" w:rsidRDefault="000E5A8B" w:rsidP="000E5A8B">
      <w:pPr>
        <w:rPr>
          <w:b/>
          <w:lang w:val="en-US"/>
        </w:rPr>
      </w:pPr>
      <w:r w:rsidRPr="007E6B89">
        <w:rPr>
          <w:b/>
          <w:lang w:val="en-US"/>
        </w:rPr>
        <w:lastRenderedPageBreak/>
        <w:t>Effect of initial dye concentration</w:t>
      </w:r>
    </w:p>
    <w:p w:rsidR="000E5A8B" w:rsidRDefault="000E5A8B" w:rsidP="000E5A8B">
      <w:pPr>
        <w:rPr>
          <w:lang w:val="en-US"/>
        </w:rPr>
      </w:pPr>
      <w:r>
        <w:rPr>
          <w:lang w:val="en-US"/>
        </w:rPr>
        <w:t xml:space="preserve">The sorption of indicator dyes on chicken eggshell’s surface was studied in aqueous solutions using 250 mL Erlenmeyer flasks where 100 mL dye solutions were constantly mixed (VARIOMAG </w:t>
      </w:r>
      <w:proofErr w:type="spellStart"/>
      <w:r>
        <w:rPr>
          <w:lang w:val="en-US"/>
        </w:rPr>
        <w:t>Electronisher</w:t>
      </w:r>
      <w:proofErr w:type="spellEnd"/>
      <w:r>
        <w:rPr>
          <w:lang w:val="en-US"/>
        </w:rPr>
        <w:t xml:space="preserve"> MULTIPOINT HP multi-magnetic shaker) with 3 g of biosorbent (160 </w:t>
      </w:r>
      <w:r>
        <w:rPr>
          <w:rFonts w:cs="Times New Roman"/>
          <w:lang w:val="en-US"/>
        </w:rPr>
        <w:t>µ</w:t>
      </w:r>
      <w:r>
        <w:rPr>
          <w:lang w:val="en-US"/>
        </w:rPr>
        <w:t>m particle size) at 750 rpm, room temperature (T=20</w:t>
      </w:r>
      <w:r>
        <w:rPr>
          <w:rFonts w:cs="Times New Roman"/>
          <w:lang w:val="en-US"/>
        </w:rPr>
        <w:t>±</w:t>
      </w:r>
      <w:r>
        <w:rPr>
          <w:lang w:val="en-US"/>
        </w:rPr>
        <w:t>1</w:t>
      </w:r>
      <w:r>
        <w:rPr>
          <w:rFonts w:cs="Times New Roman"/>
          <w:lang w:val="en-US"/>
        </w:rPr>
        <w:t>º</w:t>
      </w:r>
      <w:r>
        <w:rPr>
          <w:lang w:val="en-US"/>
        </w:rPr>
        <w:t xml:space="preserve">C) and without initial pH adjustment. Spectrophotometer was used to periodically measured the dyes concentrations at </w:t>
      </w:r>
      <w:proofErr w:type="spellStart"/>
      <w:r>
        <w:rPr>
          <w:rFonts w:cs="Times New Roman"/>
          <w:lang w:val="en-US"/>
        </w:rPr>
        <w:t>λ</w:t>
      </w:r>
      <w:r w:rsidRPr="00957AF9">
        <w:rPr>
          <w:vertAlign w:val="subscript"/>
          <w:lang w:val="en-US"/>
        </w:rPr>
        <w:t>max</w:t>
      </w:r>
      <w:proofErr w:type="spellEnd"/>
      <w:r>
        <w:rPr>
          <w:lang w:val="en-US"/>
        </w:rPr>
        <w:t>=497,580,664,619 respectively for Congo Red, BPB, MB, MG using calibration curve as measuring technique for quantitative analysis.</w:t>
      </w:r>
    </w:p>
    <w:p w:rsidR="000E5A8B" w:rsidRDefault="000E5A8B" w:rsidP="000E5A8B">
      <w:pPr>
        <w:rPr>
          <w:lang w:val="en-US"/>
        </w:rPr>
      </w:pPr>
      <w:r>
        <w:rPr>
          <w:lang w:val="en-US"/>
        </w:rPr>
        <w:t>In each case the samples supernatant was centrifuged (</w:t>
      </w:r>
      <w:proofErr w:type="spellStart"/>
      <w:r>
        <w:rPr>
          <w:lang w:val="en-US"/>
        </w:rPr>
        <w:t>Hettick</w:t>
      </w:r>
      <w:proofErr w:type="spellEnd"/>
      <w:r>
        <w:rPr>
          <w:lang w:val="en-US"/>
        </w:rPr>
        <w:t xml:space="preserve"> </w:t>
      </w:r>
      <w:proofErr w:type="spellStart"/>
      <w:r>
        <w:rPr>
          <w:lang w:val="en-US"/>
        </w:rPr>
        <w:t>Zentrifugen</w:t>
      </w:r>
      <w:proofErr w:type="spellEnd"/>
      <w:r>
        <w:rPr>
          <w:lang w:val="en-US"/>
        </w:rPr>
        <w:t xml:space="preserve"> </w:t>
      </w:r>
      <w:proofErr w:type="spellStart"/>
      <w:r>
        <w:rPr>
          <w:lang w:val="en-US"/>
        </w:rPr>
        <w:t>Mikro</w:t>
      </w:r>
      <w:proofErr w:type="spellEnd"/>
      <w:r>
        <w:rPr>
          <w:lang w:val="en-US"/>
        </w:rPr>
        <w:t xml:space="preserve"> 20) for 5 minutes at 10000 </w:t>
      </w:r>
      <w:proofErr w:type="gramStart"/>
      <w:r>
        <w:rPr>
          <w:lang w:val="en-US"/>
        </w:rPr>
        <w:t>rotation</w:t>
      </w:r>
      <w:proofErr w:type="gramEnd"/>
      <w:r>
        <w:rPr>
          <w:lang w:val="en-US"/>
        </w:rPr>
        <w:t>/min. after which the maximum absorption was measured by spectrophotometer.</w:t>
      </w:r>
    </w:p>
    <w:p w:rsidR="00C02ECE" w:rsidRDefault="000E5A8B" w:rsidP="000E5A8B">
      <w:pPr>
        <w:rPr>
          <w:lang w:val="en-US"/>
        </w:rPr>
      </w:pPr>
      <w:r>
        <w:rPr>
          <w:lang w:val="en-US"/>
        </w:rPr>
        <w:t>In order to investigate the effect of concentration on adsorption, 100 mL of Congo Red, BPB, MB, MG solutions were mixed with 3 g of powdered eggshell at different initial concentrations between 10-50 mg/L. In each case three para</w:t>
      </w:r>
      <w:r w:rsidR="00C02ECE">
        <w:rPr>
          <w:lang w:val="en-US"/>
        </w:rPr>
        <w:t>llel experiments were executed.</w:t>
      </w:r>
    </w:p>
    <w:p w:rsidR="000E5A8B" w:rsidRPr="00C02ECE" w:rsidRDefault="000E5A8B" w:rsidP="000E5A8B">
      <w:pPr>
        <w:rPr>
          <w:lang w:val="en-US"/>
        </w:rPr>
      </w:pPr>
      <w:r w:rsidRPr="00953C0F">
        <w:rPr>
          <w:b/>
          <w:lang w:val="en-US"/>
        </w:rPr>
        <w:t xml:space="preserve"> Effect of pH</w:t>
      </w:r>
    </w:p>
    <w:p w:rsidR="000E5A8B" w:rsidRDefault="000E5A8B" w:rsidP="000E5A8B">
      <w:pPr>
        <w:rPr>
          <w:lang w:val="en-US"/>
        </w:rPr>
      </w:pPr>
      <w:r>
        <w:rPr>
          <w:lang w:val="en-US"/>
        </w:rPr>
        <w:t xml:space="preserve">Due to the fact that the solutions’ pH highly affects not only the aqueous chemistry but also the biosorbents’ active sites, the removal of Congo Red, BPB, MB, MG from aqueous solution was investigated at different pH between 2-10. pH was adjusted with 0.1N NaOH and 0.1N HCl. During the experiment constant parameters were: c=30 mg/L, 3 g of 160 </w:t>
      </w:r>
      <w:r>
        <w:rPr>
          <w:rFonts w:cs="Times New Roman"/>
          <w:lang w:val="en-US"/>
        </w:rPr>
        <w:t>µ</w:t>
      </w:r>
      <w:r>
        <w:rPr>
          <w:lang w:val="en-US"/>
        </w:rPr>
        <w:t>m particle sized biomass, 750 rpm, T=20</w:t>
      </w:r>
      <w:r>
        <w:rPr>
          <w:rFonts w:cs="Times New Roman"/>
          <w:lang w:val="en-US"/>
        </w:rPr>
        <w:t>±</w:t>
      </w:r>
      <w:r>
        <w:rPr>
          <w:lang w:val="en-US"/>
        </w:rPr>
        <w:t>2</w:t>
      </w:r>
      <w:r>
        <w:rPr>
          <w:rFonts w:cs="Times New Roman"/>
          <w:lang w:val="en-US"/>
        </w:rPr>
        <w:t>º</w:t>
      </w:r>
      <w:r>
        <w:rPr>
          <w:lang w:val="en-US"/>
        </w:rPr>
        <w:t>C.</w:t>
      </w:r>
    </w:p>
    <w:p w:rsidR="000E5A8B" w:rsidRPr="00A11BAB" w:rsidRDefault="000E5A8B" w:rsidP="000E5A8B">
      <w:pPr>
        <w:rPr>
          <w:b/>
          <w:lang w:val="en-US"/>
        </w:rPr>
      </w:pPr>
      <w:r w:rsidRPr="00A11BAB">
        <w:rPr>
          <w:b/>
          <w:lang w:val="en-US"/>
        </w:rPr>
        <w:t>SEM and EDX analytical measurement</w:t>
      </w:r>
    </w:p>
    <w:p w:rsidR="000E5A8B" w:rsidRDefault="000E5A8B" w:rsidP="000E5A8B">
      <w:pPr>
        <w:rPr>
          <w:lang w:val="en-US"/>
        </w:rPr>
      </w:pPr>
      <w:r>
        <w:rPr>
          <w:lang w:val="en-US"/>
        </w:rPr>
        <w:t xml:space="preserve">The texture and morphology of chicken eggshell before and after treatment with dyes was analyzed using Scanning electron microscopy (JEOL(USA)JSM5510 LV SEM). Elemental studies were also carried out using </w:t>
      </w:r>
      <w:r w:rsidR="00783DAA">
        <w:rPr>
          <w:lang w:val="en-US"/>
        </w:rPr>
        <w:t>Energy dispersive</w:t>
      </w:r>
      <w:r>
        <w:rPr>
          <w:lang w:val="en-US"/>
        </w:rPr>
        <w:t xml:space="preserve"> spectroscopy.</w:t>
      </w:r>
    </w:p>
    <w:p w:rsidR="000E5A8B" w:rsidRPr="00A11BAB" w:rsidRDefault="000E5A8B" w:rsidP="000E5A8B">
      <w:pPr>
        <w:rPr>
          <w:b/>
          <w:lang w:val="en-US"/>
        </w:rPr>
      </w:pPr>
      <w:r w:rsidRPr="00A11BAB">
        <w:rPr>
          <w:b/>
          <w:lang w:val="en-US"/>
        </w:rPr>
        <w:t>Bioconcentration factor</w:t>
      </w:r>
    </w:p>
    <w:p w:rsidR="000E5A8B" w:rsidRDefault="000E5A8B" w:rsidP="000E5A8B">
      <w:pPr>
        <w:rPr>
          <w:lang w:val="en-US"/>
        </w:rPr>
      </w:pPr>
      <w:r>
        <w:rPr>
          <w:lang w:val="en-US"/>
        </w:rPr>
        <w:t>BCF is a value that gives the dyes’ accumulation efficiency in eggshell. It was calculated based on the dye concentrations in the eggshell and the dissolved dye concentration of aquatic solution.</w:t>
      </w:r>
    </w:p>
    <w:p w:rsidR="000E5A8B" w:rsidRDefault="000E5A8B" w:rsidP="000E5A8B">
      <w:pPr>
        <w:rPr>
          <w:rFonts w:eastAsiaTheme="minorEastAsia"/>
          <w:lang w:val="en-US"/>
        </w:rPr>
      </w:pPr>
      <m:oMath>
        <m:r>
          <m:rPr>
            <m:nor/>
          </m:rPr>
          <w:rPr>
            <w:rFonts w:cs="Times New Roman"/>
            <w:sz w:val="28"/>
            <w:szCs w:val="28"/>
            <w:lang w:val="en-US"/>
          </w:rPr>
          <m:t>BCF=</m:t>
        </m:r>
        <m:f>
          <m:fPr>
            <m:ctrlPr>
              <w:rPr>
                <w:rFonts w:ascii="Cambria Math" w:hAnsi="Cambria Math" w:cs="Times New Roman"/>
                <w:i/>
                <w:sz w:val="28"/>
                <w:szCs w:val="28"/>
                <w:lang w:val="en-US"/>
              </w:rPr>
            </m:ctrlPr>
          </m:fPr>
          <m:num>
            <m:sSub>
              <m:sSubPr>
                <m:ctrlPr>
                  <w:rPr>
                    <w:rFonts w:ascii="Cambria Math" w:hAnsi="Cambria Math" w:cs="Times New Roman"/>
                    <w:i/>
                    <w:sz w:val="28"/>
                    <w:szCs w:val="28"/>
                    <w:lang w:val="en-US"/>
                  </w:rPr>
                </m:ctrlPr>
              </m:sSubPr>
              <m:e>
                <m:r>
                  <m:rPr>
                    <m:nor/>
                  </m:rPr>
                  <w:rPr>
                    <w:rFonts w:cs="Times New Roman"/>
                    <w:sz w:val="28"/>
                    <w:szCs w:val="28"/>
                    <w:lang w:val="en-US"/>
                  </w:rPr>
                  <m:t>c</m:t>
                </m:r>
              </m:e>
              <m:sub>
                <m:r>
                  <m:rPr>
                    <m:nor/>
                  </m:rPr>
                  <w:rPr>
                    <w:rFonts w:cs="Times New Roman"/>
                    <w:sz w:val="28"/>
                    <w:szCs w:val="28"/>
                    <w:lang w:val="en-US"/>
                  </w:rPr>
                  <m:t>indicator on eggshell</m:t>
                </m:r>
              </m:sub>
            </m:sSub>
          </m:num>
          <m:den>
            <m:sSub>
              <m:sSubPr>
                <m:ctrlPr>
                  <w:rPr>
                    <w:rFonts w:ascii="Cambria Math" w:hAnsi="Cambria Math" w:cs="Times New Roman"/>
                    <w:i/>
                    <w:sz w:val="28"/>
                    <w:szCs w:val="28"/>
                    <w:lang w:val="en-US"/>
                  </w:rPr>
                </m:ctrlPr>
              </m:sSubPr>
              <m:e>
                <m:r>
                  <m:rPr>
                    <m:nor/>
                  </m:rPr>
                  <w:rPr>
                    <w:rFonts w:cs="Times New Roman"/>
                    <w:sz w:val="28"/>
                    <w:szCs w:val="28"/>
                    <w:lang w:val="en-US"/>
                  </w:rPr>
                  <m:t>c</m:t>
                </m:r>
              </m:e>
              <m:sub>
                <m:r>
                  <m:rPr>
                    <m:nor/>
                  </m:rPr>
                  <w:rPr>
                    <w:rFonts w:cs="Times New Roman"/>
                    <w:sz w:val="28"/>
                    <w:szCs w:val="28"/>
                    <w:lang w:val="en-US"/>
                  </w:rPr>
                  <m:t>indicator in water</m:t>
                </m:r>
              </m:sub>
            </m:sSub>
          </m:den>
        </m:f>
      </m:oMath>
      <w:r>
        <w:rPr>
          <w:rFonts w:eastAsiaTheme="minorEastAsia"/>
          <w:lang w:val="en-US"/>
        </w:rPr>
        <w:tab/>
      </w:r>
      <w:r>
        <w:rPr>
          <w:rFonts w:eastAsiaTheme="minorEastAsia"/>
          <w:lang w:val="en-US"/>
        </w:rPr>
        <w:tab/>
      </w:r>
      <w:r w:rsidR="00A316C7">
        <w:rPr>
          <w:rFonts w:eastAsiaTheme="minorEastAsia"/>
          <w:lang w:val="en-US"/>
        </w:rPr>
        <w:tab/>
      </w:r>
      <w:r w:rsidR="00A316C7">
        <w:rPr>
          <w:rFonts w:eastAsiaTheme="minorEastAsia"/>
          <w:lang w:val="en-US"/>
        </w:rPr>
        <w:tab/>
      </w:r>
      <w:r w:rsidR="00A316C7">
        <w:rPr>
          <w:rFonts w:eastAsiaTheme="minorEastAsia"/>
          <w:lang w:val="en-US"/>
        </w:rPr>
        <w:tab/>
      </w:r>
      <w:r w:rsidR="00A316C7">
        <w:rPr>
          <w:rFonts w:eastAsiaTheme="minorEastAsia"/>
          <w:lang w:val="en-US"/>
        </w:rPr>
        <w:tab/>
      </w:r>
      <w:r w:rsidR="00A316C7">
        <w:rPr>
          <w:rFonts w:eastAsiaTheme="minorEastAsia"/>
          <w:lang w:val="en-US"/>
        </w:rPr>
        <w:tab/>
      </w:r>
      <w:r w:rsidR="00A316C7">
        <w:rPr>
          <w:rFonts w:eastAsiaTheme="minorEastAsia"/>
          <w:lang w:val="en-US"/>
        </w:rPr>
        <w:tab/>
      </w:r>
      <w:r w:rsidR="00A316C7">
        <w:rPr>
          <w:rFonts w:eastAsiaTheme="minorEastAsia"/>
          <w:lang w:val="en-US"/>
        </w:rPr>
        <w:tab/>
        <w:t xml:space="preserve">                (1</w:t>
      </w:r>
      <w:r w:rsidR="00783DAA">
        <w:rPr>
          <w:rFonts w:eastAsiaTheme="minorEastAsia"/>
          <w:lang w:val="en-US"/>
        </w:rPr>
        <w:t>)</w:t>
      </w:r>
    </w:p>
    <w:p w:rsidR="00A316C7" w:rsidRDefault="00A316C7" w:rsidP="00A316C7">
      <w:pPr>
        <w:rPr>
          <w:b/>
          <w:lang w:val="en-US"/>
        </w:rPr>
      </w:pPr>
    </w:p>
    <w:p w:rsidR="00A316C7" w:rsidRDefault="00A316C7" w:rsidP="00A316C7">
      <w:pPr>
        <w:rPr>
          <w:b/>
          <w:lang w:val="en-US"/>
        </w:rPr>
      </w:pPr>
    </w:p>
    <w:p w:rsidR="00A316C7" w:rsidRDefault="00A316C7" w:rsidP="00A316C7">
      <w:pPr>
        <w:rPr>
          <w:b/>
          <w:lang w:val="en-US"/>
        </w:rPr>
      </w:pPr>
      <w:r w:rsidRPr="000E2DF3">
        <w:rPr>
          <w:b/>
          <w:lang w:val="en-US"/>
        </w:rPr>
        <w:lastRenderedPageBreak/>
        <w:t>Ecotoxicological tests – the effect of dyes on seedling growth</w:t>
      </w:r>
    </w:p>
    <w:p w:rsidR="00A316C7" w:rsidRDefault="00A316C7" w:rsidP="00A316C7">
      <w:pPr>
        <w:rPr>
          <w:lang w:val="en-US"/>
        </w:rPr>
      </w:pPr>
      <w:r>
        <w:rPr>
          <w:lang w:val="en-US"/>
        </w:rPr>
        <w:t>Based on Hungarian standard MSZ 21978/8-85 the toxicological effect of Congo Red, BPB anionic and MB, MG cationic dyes was studied on lettuce and mustard seeds. During experiments 25 seeds were put in autoclaved (at 120</w:t>
      </w:r>
      <w:r>
        <w:rPr>
          <w:rFonts w:cs="Times New Roman"/>
          <w:lang w:val="en-US"/>
        </w:rPr>
        <w:t>º</w:t>
      </w:r>
      <w:r>
        <w:rPr>
          <w:lang w:val="en-US"/>
        </w:rPr>
        <w:t>C) Petri-dishes and 5-5 mL dye solution was added at different concentrations (10, 30, 50, 1000 mg/L). The two simultaneous set of samples were put in a dark chamber for 3 days, where the temperature was kept constant T=20</w:t>
      </w:r>
      <w:r>
        <w:rPr>
          <w:rFonts w:cs="Times New Roman"/>
          <w:lang w:val="en-US"/>
        </w:rPr>
        <w:t>±</w:t>
      </w:r>
      <w:r>
        <w:rPr>
          <w:lang w:val="en-US"/>
        </w:rPr>
        <w:t>2</w:t>
      </w:r>
      <w:r>
        <w:rPr>
          <w:rFonts w:cs="Times New Roman"/>
          <w:lang w:val="en-US"/>
        </w:rPr>
        <w:t>º</w:t>
      </w:r>
      <w:r>
        <w:rPr>
          <w:lang w:val="en-US"/>
        </w:rPr>
        <w:t>C. After the passing days the length of the seeds roots were measured and the number of seedling was also examined. With the help of the equation below, by knowing the length of the seeds (using the averages of the 25 seed length) the root growth inhibition was calculated.</w:t>
      </w:r>
    </w:p>
    <w:p w:rsidR="00A316C7" w:rsidRDefault="00A316C7" w:rsidP="00A316C7">
      <w:pPr>
        <w:rPr>
          <w:rFonts w:eastAsiaTheme="minorEastAsia"/>
          <w:lang w:val="en-US"/>
        </w:rPr>
      </w:pPr>
      <m:oMath>
        <m:r>
          <m:rPr>
            <m:nor/>
          </m:rPr>
          <w:rPr>
            <w:rFonts w:ascii="Cambria Math" w:hAnsi="Cambria Math"/>
            <w:lang w:val="en-US"/>
          </w:rPr>
          <m:t>X=</m:t>
        </m:r>
        <m:f>
          <m:fPr>
            <m:ctrlPr>
              <w:rPr>
                <w:rFonts w:ascii="Cambria Math" w:hAnsi="Cambria Math"/>
                <w:i/>
                <w:lang w:val="en-US"/>
              </w:rPr>
            </m:ctrlPr>
          </m:fPr>
          <m:num>
            <m:r>
              <m:rPr>
                <m:nor/>
              </m:rPr>
              <w:rPr>
                <w:rFonts w:ascii="Cambria Math" w:hAnsi="Cambria Math"/>
                <w:lang w:val="en-US"/>
              </w:rPr>
              <m:t>K-M</m:t>
            </m:r>
          </m:num>
          <m:den>
            <m:r>
              <m:rPr>
                <m:nor/>
              </m:rPr>
              <w:rPr>
                <w:rFonts w:ascii="Cambria Math" w:hAnsi="Cambria Math"/>
                <w:lang w:val="en-US"/>
              </w:rPr>
              <m:t>K</m:t>
            </m:r>
          </m:den>
        </m:f>
        <m:r>
          <m:rPr>
            <m:nor/>
          </m:rPr>
          <w:rPr>
            <w:rFonts w:ascii="Cambria Math" w:hAnsi="Cambria Math"/>
            <w:lang w:val="en-US"/>
          </w:rPr>
          <m:t>*100</m:t>
        </m:r>
      </m:oMath>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r>
      <w:r>
        <w:rPr>
          <w:rFonts w:eastAsiaTheme="minorEastAsia"/>
          <w:lang w:val="en-US"/>
        </w:rPr>
        <w:tab/>
        <w:t xml:space="preserve">                (2)</w:t>
      </w:r>
    </w:p>
    <w:p w:rsidR="000E5A8B" w:rsidRDefault="00A316C7" w:rsidP="000E5A8B">
      <w:pPr>
        <w:rPr>
          <w:rFonts w:eastAsiaTheme="minorEastAsia"/>
          <w:lang w:val="en-US"/>
        </w:rPr>
      </w:pPr>
      <w:r>
        <w:rPr>
          <w:rFonts w:eastAsiaTheme="minorEastAsia"/>
          <w:lang w:val="en-US"/>
        </w:rPr>
        <w:t>Where: X – Root growth inhibition, K – root length of control seeds (mm), M – root length of dye contaminated seeds (mm).</w:t>
      </w:r>
    </w:p>
    <w:p w:rsidR="000E5A8B" w:rsidRPr="00715BD6" w:rsidRDefault="000E5A8B" w:rsidP="000E5A8B">
      <w:pPr>
        <w:rPr>
          <w:rFonts w:cstheme="minorHAnsi"/>
          <w:b/>
          <w:caps/>
          <w:color w:val="FF0000"/>
        </w:rPr>
      </w:pPr>
      <w:r>
        <w:rPr>
          <w:rFonts w:cstheme="minorHAnsi"/>
          <w:b/>
          <w:caps/>
          <w:lang w:val="en-US"/>
        </w:rPr>
        <w:t xml:space="preserve">Results and discussions </w:t>
      </w:r>
    </w:p>
    <w:p w:rsidR="000E5A8B" w:rsidRPr="00811124" w:rsidRDefault="000E5A8B" w:rsidP="000E5A8B">
      <w:pPr>
        <w:rPr>
          <w:b/>
          <w:lang w:val="en-US"/>
        </w:rPr>
      </w:pPr>
      <w:r>
        <w:rPr>
          <w:b/>
          <w:lang w:val="en-US"/>
        </w:rPr>
        <w:t>Effects of initial indicator dye concentration</w:t>
      </w:r>
    </w:p>
    <w:p w:rsidR="000E5A8B" w:rsidRPr="001B657B" w:rsidRDefault="000E5A8B" w:rsidP="000E5A8B">
      <w:pPr>
        <w:rPr>
          <w:szCs w:val="24"/>
          <w:lang w:val="en-US"/>
        </w:rPr>
      </w:pPr>
      <w:r>
        <w:rPr>
          <w:lang w:val="en-US"/>
        </w:rPr>
        <w:t xml:space="preserve">During our research the effect of Congo Red, BPB </w:t>
      </w:r>
      <w:r w:rsidRPr="00C11BA3">
        <w:rPr>
          <w:color w:val="000000" w:themeColor="text1"/>
          <w:lang w:val="en-US"/>
        </w:rPr>
        <w:t xml:space="preserve">anionic and MB, MG cationic </w:t>
      </w:r>
      <w:r>
        <w:rPr>
          <w:lang w:val="en-US"/>
        </w:rPr>
        <w:t>indicators uptake by chicken eggshell household waste was examined using different initial dye concentrati</w:t>
      </w:r>
      <w:r w:rsidR="00DA24DB">
        <w:rPr>
          <w:lang w:val="en-US"/>
        </w:rPr>
        <w:t>ons between 10-50 mg/L. Figure 1</w:t>
      </w:r>
      <w:r>
        <w:rPr>
          <w:lang w:val="en-US"/>
        </w:rPr>
        <w:t xml:space="preserve"> shows the efficiency and quantity in equilibrium of various dyes at different initial concentration where 3 g eggshell powder of 160 </w:t>
      </w:r>
      <w:proofErr w:type="spellStart"/>
      <w:r>
        <w:rPr>
          <w:rFonts w:cs="Times New Roman"/>
          <w:lang w:val="en-US"/>
        </w:rPr>
        <w:t>μ</w:t>
      </w:r>
      <w:r>
        <w:rPr>
          <w:lang w:val="en-US"/>
        </w:rPr>
        <w:t>m</w:t>
      </w:r>
      <w:proofErr w:type="spellEnd"/>
      <w:r>
        <w:rPr>
          <w:lang w:val="en-US"/>
        </w:rPr>
        <w:t xml:space="preserve"> particle size was constantly shaken at 750rpm with 100 mL solution at room temperature (T=20</w:t>
      </w:r>
      <w:r>
        <w:rPr>
          <w:rFonts w:cs="Times New Roman"/>
          <w:lang w:val="en-US"/>
        </w:rPr>
        <w:t>±</w:t>
      </w:r>
      <w:r>
        <w:rPr>
          <w:lang w:val="en-US"/>
        </w:rPr>
        <w:t>2</w:t>
      </w:r>
      <w:r>
        <w:rPr>
          <w:rFonts w:cs="Times New Roman"/>
          <w:lang w:val="en-US"/>
        </w:rPr>
        <w:t>º</w:t>
      </w:r>
      <w:r>
        <w:rPr>
          <w:lang w:val="en-US"/>
        </w:rPr>
        <w:t xml:space="preserve">C) </w:t>
      </w:r>
      <w:r w:rsidRPr="001B657B">
        <w:rPr>
          <w:szCs w:val="24"/>
          <w:lang w:val="en-US"/>
        </w:rPr>
        <w:t>without pH adjustment (</w:t>
      </w:r>
      <w:proofErr w:type="spellStart"/>
      <w:r w:rsidRPr="001B657B">
        <w:rPr>
          <w:szCs w:val="24"/>
          <w:lang w:val="en-US"/>
        </w:rPr>
        <w:t>pH</w:t>
      </w:r>
      <w:r w:rsidRPr="001B657B">
        <w:rPr>
          <w:szCs w:val="24"/>
          <w:vertAlign w:val="subscript"/>
          <w:lang w:val="en-US"/>
        </w:rPr>
        <w:t>CR</w:t>
      </w:r>
      <w:proofErr w:type="spellEnd"/>
      <w:r w:rsidRPr="001B657B">
        <w:rPr>
          <w:szCs w:val="24"/>
          <w:lang w:val="en-US"/>
        </w:rPr>
        <w:t xml:space="preserve">=8.05, </w:t>
      </w:r>
      <w:proofErr w:type="spellStart"/>
      <w:r w:rsidRPr="001B657B">
        <w:rPr>
          <w:szCs w:val="24"/>
          <w:lang w:val="en-US"/>
        </w:rPr>
        <w:t>pH</w:t>
      </w:r>
      <w:r w:rsidRPr="001B657B">
        <w:rPr>
          <w:szCs w:val="24"/>
          <w:vertAlign w:val="subscript"/>
          <w:lang w:val="en-US"/>
        </w:rPr>
        <w:t>BPB</w:t>
      </w:r>
      <w:proofErr w:type="spellEnd"/>
      <w:r w:rsidRPr="001B657B">
        <w:rPr>
          <w:szCs w:val="24"/>
          <w:lang w:val="en-US"/>
        </w:rPr>
        <w:t xml:space="preserve">=2.7, </w:t>
      </w:r>
      <w:proofErr w:type="spellStart"/>
      <w:r w:rsidRPr="001B657B">
        <w:rPr>
          <w:szCs w:val="24"/>
          <w:lang w:val="en-US"/>
        </w:rPr>
        <w:t>pH</w:t>
      </w:r>
      <w:r w:rsidRPr="001B657B">
        <w:rPr>
          <w:szCs w:val="24"/>
          <w:vertAlign w:val="subscript"/>
          <w:lang w:val="en-US"/>
        </w:rPr>
        <w:t>MB</w:t>
      </w:r>
      <w:proofErr w:type="spellEnd"/>
      <w:r w:rsidRPr="001B657B">
        <w:rPr>
          <w:szCs w:val="24"/>
          <w:lang w:val="en-US"/>
        </w:rPr>
        <w:t xml:space="preserve">=3.95, </w:t>
      </w:r>
      <w:proofErr w:type="spellStart"/>
      <w:r w:rsidRPr="001B657B">
        <w:rPr>
          <w:szCs w:val="24"/>
          <w:lang w:val="en-US"/>
        </w:rPr>
        <w:t>pH</w:t>
      </w:r>
      <w:r w:rsidRPr="001B657B">
        <w:rPr>
          <w:szCs w:val="24"/>
          <w:vertAlign w:val="subscript"/>
          <w:lang w:val="en-US"/>
        </w:rPr>
        <w:t>MG</w:t>
      </w:r>
      <w:proofErr w:type="spellEnd"/>
      <w:r>
        <w:rPr>
          <w:szCs w:val="24"/>
          <w:lang w:val="en-US"/>
        </w:rPr>
        <w:t xml:space="preserve">=2.76). </w:t>
      </w:r>
      <w:r w:rsidRPr="001B657B">
        <w:rPr>
          <w:szCs w:val="24"/>
          <w:lang w:val="en-US"/>
        </w:rPr>
        <w:t xml:space="preserve">With the increase of initial dye concentration in case of Congo Red, MB and MG, the adsorption capacity also increased, whereas in case of BPB there is no such trend. </w:t>
      </w:r>
    </w:p>
    <w:p w:rsidR="000E5A8B" w:rsidRDefault="000E5A8B" w:rsidP="00090636">
      <w:pPr>
        <w:spacing w:after="0" w:line="240" w:lineRule="auto"/>
        <w:rPr>
          <w:lang w:val="en-US"/>
        </w:rPr>
      </w:pPr>
      <w:r>
        <w:rPr>
          <w:noProof/>
          <w:lang w:val="en-US"/>
        </w:rPr>
        <w:drawing>
          <wp:inline distT="0" distB="0" distL="0" distR="0" wp14:anchorId="01DD92BE" wp14:editId="2C532C9D">
            <wp:extent cx="2700000" cy="2160000"/>
            <wp:effectExtent l="38100" t="38100" r="43815" b="3111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noProof/>
          <w:lang w:val="en-US"/>
        </w:rPr>
        <w:drawing>
          <wp:inline distT="0" distB="0" distL="0" distR="0" wp14:anchorId="0DE33ABF" wp14:editId="615162F3">
            <wp:extent cx="2700000" cy="2160000"/>
            <wp:effectExtent l="38100" t="38100" r="43815" b="31115"/>
            <wp:docPr id="12" name="Diagram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E5A8B" w:rsidRDefault="000E5A8B" w:rsidP="00090636">
      <w:pPr>
        <w:spacing w:after="0" w:line="240" w:lineRule="auto"/>
        <w:rPr>
          <w:lang w:val="en-US"/>
        </w:rPr>
      </w:pPr>
      <w:r>
        <w:rPr>
          <w:noProof/>
          <w:lang w:val="en-US"/>
        </w:rPr>
        <w:lastRenderedPageBreak/>
        <w:drawing>
          <wp:inline distT="0" distB="0" distL="0" distR="0" wp14:anchorId="0A4DF742" wp14:editId="6C135B37">
            <wp:extent cx="2700000" cy="2160000"/>
            <wp:effectExtent l="38100" t="38100" r="43815" b="31115"/>
            <wp:docPr id="13" name="Diagram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Pr>
          <w:noProof/>
          <w:lang w:val="en-US"/>
        </w:rPr>
        <w:drawing>
          <wp:inline distT="0" distB="0" distL="0" distR="0" wp14:anchorId="3D9F4EAF" wp14:editId="239A533D">
            <wp:extent cx="2700000" cy="2160000"/>
            <wp:effectExtent l="38100" t="38100" r="43815" b="31115"/>
            <wp:docPr id="14" name="Diagram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E5A8B" w:rsidRPr="00B36164" w:rsidRDefault="00DA24DB" w:rsidP="00090636">
      <w:pPr>
        <w:pStyle w:val="Cmsor2"/>
        <w:spacing w:line="240" w:lineRule="auto"/>
        <w:jc w:val="both"/>
        <w:rPr>
          <w:b w:val="0"/>
          <w:sz w:val="20"/>
          <w:szCs w:val="20"/>
        </w:rPr>
      </w:pPr>
      <w:r>
        <w:rPr>
          <w:bCs w:val="0"/>
          <w:sz w:val="20"/>
          <w:szCs w:val="20"/>
        </w:rPr>
        <w:t>Figure 1</w:t>
      </w:r>
      <w:r w:rsidR="000E5A8B" w:rsidRPr="00B36164">
        <w:rPr>
          <w:sz w:val="20"/>
          <w:szCs w:val="20"/>
        </w:rPr>
        <w:t xml:space="preserve">. </w:t>
      </w:r>
      <w:r w:rsidR="000E5A8B" w:rsidRPr="00B36164">
        <w:rPr>
          <w:b w:val="0"/>
          <w:sz w:val="20"/>
          <w:szCs w:val="20"/>
        </w:rPr>
        <w:t xml:space="preserve">Effect of initial dye concentration </w:t>
      </w:r>
      <w:r w:rsidR="000E5A8B">
        <w:rPr>
          <w:b w:val="0"/>
          <w:sz w:val="20"/>
          <w:szCs w:val="20"/>
        </w:rPr>
        <w:t xml:space="preserve">for Congo Red (a), BPB (b), MB (c), MG (d) </w:t>
      </w:r>
      <w:r w:rsidR="000E5A8B" w:rsidRPr="00B36164">
        <w:rPr>
          <w:b w:val="0"/>
          <w:sz w:val="20"/>
          <w:szCs w:val="20"/>
        </w:rPr>
        <w:t>(C</w:t>
      </w:r>
      <w:r w:rsidR="000E5A8B" w:rsidRPr="00B36164">
        <w:rPr>
          <w:b w:val="0"/>
          <w:sz w:val="20"/>
          <w:szCs w:val="20"/>
          <w:vertAlign w:val="subscript"/>
        </w:rPr>
        <w:t>i</w:t>
      </w:r>
      <w:r w:rsidR="000E5A8B">
        <w:rPr>
          <w:b w:val="0"/>
          <w:sz w:val="20"/>
          <w:szCs w:val="20"/>
        </w:rPr>
        <w:t>=0-5</w:t>
      </w:r>
      <w:r w:rsidR="000E5A8B" w:rsidRPr="00B36164">
        <w:rPr>
          <w:b w:val="0"/>
          <w:sz w:val="20"/>
          <w:szCs w:val="20"/>
        </w:rPr>
        <w:t>0 mg/L</w:t>
      </w:r>
      <w:r w:rsidR="000E5A8B">
        <w:rPr>
          <w:b w:val="0"/>
          <w:sz w:val="20"/>
          <w:szCs w:val="20"/>
        </w:rPr>
        <w:t>, 3</w:t>
      </w:r>
      <w:r w:rsidR="000E5A8B" w:rsidRPr="00B36164">
        <w:rPr>
          <w:b w:val="0"/>
          <w:sz w:val="20"/>
          <w:szCs w:val="20"/>
        </w:rPr>
        <w:t xml:space="preserve"> g biomass</w:t>
      </w:r>
      <w:r w:rsidR="000E5A8B">
        <w:rPr>
          <w:b w:val="0"/>
          <w:sz w:val="20"/>
          <w:szCs w:val="20"/>
        </w:rPr>
        <w:t>, 160 µm, 700 rpm</w:t>
      </w:r>
      <w:r w:rsidR="000E5A8B" w:rsidRPr="00B36164">
        <w:rPr>
          <w:b w:val="0"/>
          <w:sz w:val="20"/>
          <w:szCs w:val="20"/>
        </w:rPr>
        <w:t xml:space="preserve">, </w:t>
      </w:r>
      <w:proofErr w:type="spellStart"/>
      <w:r w:rsidR="000E5A8B">
        <w:rPr>
          <w:b w:val="0"/>
          <w:sz w:val="20"/>
          <w:szCs w:val="20"/>
        </w:rPr>
        <w:t>pH</w:t>
      </w:r>
      <w:r w:rsidR="000E5A8B" w:rsidRPr="00244428">
        <w:rPr>
          <w:b w:val="0"/>
          <w:sz w:val="20"/>
          <w:szCs w:val="20"/>
          <w:vertAlign w:val="subscript"/>
        </w:rPr>
        <w:t>Congo</w:t>
      </w:r>
      <w:proofErr w:type="spellEnd"/>
      <w:r w:rsidR="000E5A8B">
        <w:rPr>
          <w:b w:val="0"/>
          <w:sz w:val="20"/>
          <w:szCs w:val="20"/>
        </w:rPr>
        <w:t>=8.</w:t>
      </w:r>
      <w:r w:rsidR="000E5A8B" w:rsidRPr="00244428">
        <w:rPr>
          <w:b w:val="0"/>
          <w:sz w:val="20"/>
          <w:szCs w:val="20"/>
        </w:rPr>
        <w:t>05;</w:t>
      </w:r>
      <w:r w:rsidR="000E5A8B">
        <w:rPr>
          <w:b w:val="0"/>
          <w:sz w:val="20"/>
          <w:szCs w:val="20"/>
        </w:rPr>
        <w:t xml:space="preserve"> </w:t>
      </w:r>
      <w:proofErr w:type="spellStart"/>
      <w:r w:rsidR="000E5A8B" w:rsidRPr="00244428">
        <w:rPr>
          <w:b w:val="0"/>
          <w:sz w:val="20"/>
          <w:szCs w:val="20"/>
        </w:rPr>
        <w:t>pH</w:t>
      </w:r>
      <w:r w:rsidR="000E5A8B" w:rsidRPr="00244428">
        <w:rPr>
          <w:b w:val="0"/>
          <w:sz w:val="20"/>
          <w:szCs w:val="20"/>
          <w:vertAlign w:val="subscript"/>
        </w:rPr>
        <w:t>BPB</w:t>
      </w:r>
      <w:proofErr w:type="spellEnd"/>
      <w:r w:rsidR="000E5A8B">
        <w:rPr>
          <w:b w:val="0"/>
          <w:sz w:val="20"/>
          <w:szCs w:val="20"/>
        </w:rPr>
        <w:t xml:space="preserve">= 2.70; </w:t>
      </w:r>
      <w:proofErr w:type="spellStart"/>
      <w:r w:rsidR="000E5A8B">
        <w:rPr>
          <w:b w:val="0"/>
          <w:sz w:val="20"/>
          <w:szCs w:val="20"/>
        </w:rPr>
        <w:t>pH</w:t>
      </w:r>
      <w:r w:rsidR="000E5A8B" w:rsidRPr="00244428">
        <w:rPr>
          <w:b w:val="0"/>
          <w:sz w:val="20"/>
          <w:szCs w:val="20"/>
          <w:vertAlign w:val="subscript"/>
        </w:rPr>
        <w:t>MB</w:t>
      </w:r>
      <w:proofErr w:type="spellEnd"/>
      <w:r w:rsidR="000E5A8B">
        <w:rPr>
          <w:b w:val="0"/>
          <w:sz w:val="20"/>
          <w:szCs w:val="20"/>
        </w:rPr>
        <w:t xml:space="preserve">=3.95; </w:t>
      </w:r>
      <w:proofErr w:type="spellStart"/>
      <w:r w:rsidR="000E5A8B">
        <w:rPr>
          <w:b w:val="0"/>
          <w:sz w:val="20"/>
          <w:szCs w:val="20"/>
        </w:rPr>
        <w:t>pH</w:t>
      </w:r>
      <w:r w:rsidR="000E5A8B" w:rsidRPr="00244428">
        <w:rPr>
          <w:b w:val="0"/>
          <w:sz w:val="20"/>
          <w:szCs w:val="20"/>
          <w:vertAlign w:val="subscript"/>
        </w:rPr>
        <w:t>MG</w:t>
      </w:r>
      <w:proofErr w:type="spellEnd"/>
      <w:r w:rsidR="000E5A8B">
        <w:rPr>
          <w:b w:val="0"/>
          <w:sz w:val="20"/>
          <w:szCs w:val="20"/>
        </w:rPr>
        <w:t xml:space="preserve">=2.76, </w:t>
      </w:r>
      <w:r w:rsidR="000E5A8B" w:rsidRPr="00B36164">
        <w:rPr>
          <w:b w:val="0"/>
          <w:sz w:val="20"/>
          <w:szCs w:val="20"/>
        </w:rPr>
        <w:t>T=20±1</w:t>
      </w:r>
      <w:r w:rsidR="000E5A8B" w:rsidRPr="00B36164">
        <w:rPr>
          <w:b w:val="0"/>
          <w:sz w:val="20"/>
          <w:szCs w:val="20"/>
          <w:vertAlign w:val="superscript"/>
        </w:rPr>
        <w:t>o</w:t>
      </w:r>
      <w:r w:rsidR="000E5A8B" w:rsidRPr="00B36164">
        <w:rPr>
          <w:b w:val="0"/>
          <w:sz w:val="20"/>
          <w:szCs w:val="20"/>
        </w:rPr>
        <w:t>C)</w:t>
      </w:r>
    </w:p>
    <w:p w:rsidR="000E5A8B" w:rsidRDefault="000E5A8B" w:rsidP="000E5A8B">
      <w:pPr>
        <w:rPr>
          <w:lang w:val="en-US"/>
        </w:rPr>
      </w:pPr>
    </w:p>
    <w:p w:rsidR="000E5A8B" w:rsidRDefault="000E5A8B" w:rsidP="000E5A8B">
      <w:pPr>
        <w:rPr>
          <w:b/>
          <w:lang w:val="en-US"/>
        </w:rPr>
      </w:pPr>
      <w:r w:rsidRPr="00CE5B2A">
        <w:rPr>
          <w:b/>
          <w:lang w:val="en-US"/>
        </w:rPr>
        <w:t>Effect of solution pH</w:t>
      </w:r>
    </w:p>
    <w:p w:rsidR="000E5A8B" w:rsidRDefault="000E5A8B" w:rsidP="000E5A8B">
      <w:pPr>
        <w:rPr>
          <w:lang w:val="en-US"/>
        </w:rPr>
      </w:pPr>
      <w:r>
        <w:rPr>
          <w:lang w:val="en-US"/>
        </w:rPr>
        <w:t>The pH of aqueous solution can highly affect the biosorbents’ (eggshell) surface charge. In acidic media, the surface of the adsorbent is protonated while in a basic medium its surface deprotonates. During our research the adsorption processes were studied by varying the aqueous solutions’ pH, ranging b</w:t>
      </w:r>
      <w:r w:rsidR="00DA24DB">
        <w:rPr>
          <w:lang w:val="en-US"/>
        </w:rPr>
        <w:t>etween 2-10. As seen in f</w:t>
      </w:r>
      <w:r w:rsidR="00C02ECE">
        <w:rPr>
          <w:lang w:val="en-US"/>
        </w:rPr>
        <w:t xml:space="preserve">igure </w:t>
      </w:r>
      <w:r w:rsidR="00DA24DB">
        <w:rPr>
          <w:lang w:val="en-US"/>
        </w:rPr>
        <w:t>2.</w:t>
      </w:r>
      <w:r>
        <w:rPr>
          <w:lang w:val="en-US"/>
        </w:rPr>
        <w:t xml:space="preserve"> Congo Red dyes’ highest adsorption efficiency was obtained at pH=2, but in all cases E was above 93%. BPB dyes’ highest efficiency was also at pH=2 (E=67%). For MB the adsorption was most efficient at pH=10, achieving 75% efficiency, while the lowest was at pH=2 where E=14%. MG is similar to Congo Red dye, with a high percentage efficiency at all </w:t>
      </w:r>
      <w:proofErr w:type="spellStart"/>
      <w:r>
        <w:rPr>
          <w:lang w:val="en-US"/>
        </w:rPr>
        <w:t>pHs</w:t>
      </w:r>
      <w:proofErr w:type="spellEnd"/>
      <w:r>
        <w:rPr>
          <w:lang w:val="en-US"/>
        </w:rPr>
        <w:t xml:space="preserve">. Thus it can be said that BPB anionic dye preferred acidic medium, while MB cationic dye preferred the basic medium. Whereas there is no significant change in case of Congo Red and MG, because the efficiency was high at all </w:t>
      </w:r>
      <w:proofErr w:type="spellStart"/>
      <w:r>
        <w:rPr>
          <w:lang w:val="en-US"/>
        </w:rPr>
        <w:t>pHs</w:t>
      </w:r>
      <w:proofErr w:type="spellEnd"/>
      <w:r>
        <w:rPr>
          <w:lang w:val="en-US"/>
        </w:rPr>
        <w:t>. Similar results were obtained by</w:t>
      </w:r>
      <w:r w:rsidR="00D77FCB">
        <w:rPr>
          <w:lang w:val="en-US"/>
        </w:rPr>
        <w:t xml:space="preserve"> </w:t>
      </w:r>
      <w:r w:rsidR="00D77FCB">
        <w:rPr>
          <w:lang w:val="en-US"/>
        </w:rPr>
        <w:fldChar w:fldCharType="begin"/>
      </w:r>
      <w:r w:rsidR="00D77FCB">
        <w:rPr>
          <w:lang w:val="en-US"/>
        </w:rPr>
        <w:instrText xml:space="preserve"> ADDIN ZOTERO_ITEM CSL_CITATION {"citationID":"ZOK1Ohyg","properties":{"unsorted":true,"formattedCitation":"(Zeroual et al., 2006; Iqbal and Ashiq, 2010; Salleh et al., 2011; Zulfikar and Setiyanto, 2013; Tiwari et al., 2015; El-Dars et al., 2015)","plainCitation":"(Zeroual et al., 2006; Iqbal and Ashiq, 2010; Salleh et al., 2011; Zulfikar and Setiyanto, 2013; Tiwari et al., 2015; El-Dars et al., 2015)","dontUpdate":true,"noteIndex":0},"citationItems":[{"id":568,"uris":["http://zotero.org/users/4017583/items/DRVRJ28X"],"uri":["http://zotero.org/users/4017583/items/DRVRJ28X"],"itemData":{"id":568,"type":"article-journal","title":"Biosorption of Bromophenol Blue from Aqueous Solutions by Rhizopus Stolonifer Biomass","container-title":"Water, Air, and Soil Pollution","page":"135-146","volume":"177","issue":"1-4","source":"link.springer.com","abstract":"The removal of bromophenol blue dye (BPB), from aqueous solutions, by biosorption on a non-living biomass of Rhizopus stolonifer was investigated in a batch system. Pretreatment of the biomass with NaOH was found to be the most effective means to enhance the biosorption of BPB. The fungal biomass exhibited the highest dye sorption capacity at pH 2 and the uptake process followed the pseudo-second order reaction model. The equilibrium sorption capacity of the biomass increased as the initial dye concentration increased, and the maximum uptake value was estimated at 1111 mg/g according to Langmuir adsorption isotherm. The adsorbed dye was easily desorbed from a fungal biomass with 0.1 M NaOH solution and the regenerated biomass could be reused for other biosorption essays with similar performances.","DOI":"10.1007/s11270-006-9112-3","ISSN":"0049-6979, 1573-2932","journalAbbreviation":"Water Air Soil Pollut","language":"en","author":[{"family":"Zeroual","given":"Y."},{"family":"Kim","given":"B. S."},{"family":"Kim","given":"C. S."},{"family":"Blaghen","given":"M."},{"family":"Lee","given":"K. M."}],"issued":{"date-parts":[["2006",11,1]]}},"label":"page"},{"id":657,"uris":["http://zotero.org/users/4017583/items/IDIERUNE"],"uri":["http://zotero.org/users/4017583/items/IDIERUNE"],"itemData":{"id":657,"type":"article-journal","title":"Thermodynamics and kinetics of adsorption of dyes from aqueous media onto alumina","container-title":"Journal of the Chemical Society of Pakistan","page":"419-428","volume":"32","issue":"4","source":"inis.iaea.org","ISSN":"ISSN 0253-5106","language":"English","author":[{"family":"Iqbal","given":"M. J."},{"family":"Ashiq","given":"M. N."}],"issued":{"date-parts":[["2010"]]}},"label":"page"},{"id":354,"uris":["http://zotero.org/users/4017583/items/GWHKUENP"],"uri":["http://zotero.org/users/4017583/items/GWHKUENP"],"itemData":{"id":354,"type":"article-journal","title":"Cationic and anionic dye adsorption by agricultural solid wastes: A comprehensive review","container-title":"Desalination","page":"1-13","volume":"280","issue":"1","source":"ScienceDirect","abstract":"Recently many researchers have proved the capability of agricultural solid wastes as adsorbents to remove many types of pollutants including dyes. This review represents the use of agricultural solid wastes to remove two classes of dye, cationic and anionic dyes and makes a simple comparison among cationic and anionic dye adsorption by the same adsorbent, thus possibly opening the door for a better understanding of the dye-classified adsorption process. Both these classes of dyes are toxic and cause severe problems to aquatic environment. Some agricultural solid wastes can remove both dye classes, although they need activation. The dye adsorption capacities of agricultural waste adsorbents vary, depending on the pH of solution, initial dye concentration, adsorbent dosage and process temperature. The pH of solution is directly related to the dye-classified adsorption, where it affects the surface charge of the adsorbent and the degree of ionization of the adsorbate.","DOI":"10.1016/j.desal.2011.07.019","ISSN":"0011-9164","shortTitle":"Cationic and anionic dye adsorption by agricultural solid wastes","journalAbbreviation":"Desalination","author":[{"family":"Salleh","given":"Mohamad Amran Mohd"},{"family":"Mahmoud","given":"Dalia Khalid"},{"family":"Karim","given":"Wan Azlina Wan Abdul"},{"family":"Idris","given":"Azni"}],"issued":{"date-parts":[["2011",10,3]]}},"label":"page"},{"id":664,"uris":["http://zotero.org/users/4017583/items/DM6PMACT"],"uri":["http://zotero.org/users/4017583/items/DM6PMACT"],"itemData":{"id":664,"type":"book","title":"Study of the adsorption kinetics and thermodynamic for the removal of Congo Red from aqueous solution using powdered eggshell","volume":"5","number-of-pages":"1671","source":"ResearchGate","abstract":"The adsorption of congo red (CR) from aqueous solution using untreated powdered eggshell by varying the parameters such as agitation time, dye concentration, adsorbent dose, pH and temperature was investigated. Adsorption isotherms of CR onto powdered eggshell were analyzed by Langmuir, Freundlich and Sips models. It was observed that\nthe optimum CR adsorption onto powdered eggshell occurred at contact time of 20 minutes, the adsorbent dosage of 20 g, initial concentration of 20 mg/L and pH 2. In addition, the particle size of powdered eg gshell has no significant effect on the adsorption of CR. Adsorption isotherms studied through the use of graphical methods revealed that the adsorption of CR onto powdered eggshell follows the Langmuir model, with the maximum adsorption capacity was 95.25 mg g-1. The powdered eggshell investigated in this study thus exhibited as a high potential adsorbent for the removal of CR from aqueous solution.\nKeywords: adsorption; congo red; dye; eggshell;isotherm","author":[{"family":"Zulfikar","given":"Muhammad Ali"},{"family":"Setiyanto","given":"Henry"}],"issued":{"date-parts":[["2013",5,1]]}},"label":"page"},{"id":659,"uris":["http://zotero.org/users/4017583/items/MIQSWTRM"],"uri":["http://zotero.org/users/4017583/items/MIQSWTRM"],"itemData":{"id":659,"type":"article-journal","title":"Sorption of methylene blue on treated agricultural adsorbents: equilibrium and kinetic studies","container-title":"Applied Water Science","page":"81-88","volume":"5","issue":"1","source":"link.springer.com","abstract":"Agricultural adsorbents are reported to have a remarkable performance for adsorption of dyes. In the present study, formaldehyde and sulphuric acid treated two agricultural adsorbents; potato peel and neem bark are used to adsorb methylene blue. On the whole, the acid-treated adsorbents are investigated to have high sorption efficiency compared to HCHO treated adsorbents. The percentage removal efficiency of H2SO4 treated potato peel (APP) increases considerably high from 75 to 100 % with increase in adsorbent dose, whereas the removal efficiency of H2SO4 treated neem bark (ANB) is found to be 98 % after adding the first dose only. The monolayer sorption behaviour of HCHO treated potato peel (PP) and APP is well defined by Langmuir, whereas the chemisorptions behaviour of HCHO treated neem bark (NB) and ANB is suggested by Temkin’s isotherm model. The maximum adsorption capacity measured is highest in ANB followed by NB, PP and APP with the values of 1000, 90, 47.62 and 40.0 mg/g, respectively. The pseudo-second-order kinetic model fitted well with the observed data of all the four adsorbents. The results obtained reveal that NB and ANB both are good adsorbents compared to PP and APP.","DOI":"10.1007/s13201-014-0171-0","ISSN":"2190-5487, 2190-5495","shortTitle":"Sorption of methylene blue on treated agricultural adsorbents","journalAbbreviation":"Appl Water Sci","language":"en","author":[{"family":"Tiwari","given":"D. P."},{"family":"Singh","given":"S. K."},{"family":"Sharma","given":"Neetu"}],"issued":{"date-parts":[["2015",3,1]]}},"label":"page"},{"id":621,"uris":["http://zotero.org/users/4017583/items/6X65QET9"],"uri":["http://zotero.org/users/4017583/items/6X65QET9"],"itemData":{"id":621,"type":"article-journal","title":"Adsorption Kinetics of Bromophenol Blue and Eriochrome Black T using Bentonite Carbon Composite Material, International Journal of Scientific &amp; Engineering Research, Volume 6, Issue 5, May-2015","container-title":"International Journal of Scientific and Engineering Research","source":"ResearchGate","abstract":"Abstract - The present study deals with the adsorption of Bromophenol blue (BB) and Erichrome black T (EBT) – two anionic dyes – onto bentonite carbon composite material (BCC). Batch studies were performed to evaluate the influence of various experimental parameters such as: pH, contact time, adsorbent dose and initial dye concentration. The optimal conditions for the dyes removal were found to be at pH = 1, applying a dose of 10 g.L-1 and 20 g.L-1 and for an equilibrium time of 40 mins for both dyes BB and EBT removal, respectively. The results also showed that process followed pseudo-second-order rate expression for dyes with a degree of intraparticle diffusion for BB and intraparticle and pore diffusion for EBT and it was found to be best represented by the Freundlich isotherm.","author":[{"family":"El-Dars","given":"Farida"},{"family":"M Ibrahim","given":"Hamed"},{"family":"A. B. Farag","given":"Heba"},{"family":"Zakaria Abdelwahhab","given":"M"},{"family":"Shalabi","given":"M"}],"issued":{"date-parts":[["2015",5,1]]}},"label":"page"}],"schema":"https://github.com/citation-style-language/schema/raw/master/csl-citation.json"} </w:instrText>
      </w:r>
      <w:r w:rsidR="00D77FCB">
        <w:rPr>
          <w:lang w:val="en-US"/>
        </w:rPr>
        <w:fldChar w:fldCharType="separate"/>
      </w:r>
      <w:r w:rsidR="00D77FCB" w:rsidRPr="00110EA6">
        <w:rPr>
          <w:rFonts w:cs="Times New Roman"/>
        </w:rPr>
        <w:t>Zeroual et al., 2006; Iqbal and Ashiq, 2010; Salleh et al., 2011; Zulfikar and Setiyanto, 2013; Tiwari et al., 2015; El-Dars et al., 2015</w:t>
      </w:r>
      <w:r w:rsidR="00D77FCB">
        <w:rPr>
          <w:rFonts w:cs="Times New Roman"/>
        </w:rPr>
        <w:t>.</w:t>
      </w:r>
      <w:r w:rsidR="00D77FCB">
        <w:rPr>
          <w:lang w:val="en-US"/>
        </w:rPr>
        <w:fldChar w:fldCharType="end"/>
      </w:r>
      <w:r w:rsidR="00EA1C49">
        <w:rPr>
          <w:lang w:val="en-US"/>
        </w:rPr>
        <w:fldChar w:fldCharType="begin"/>
      </w:r>
      <w:r w:rsidR="00F97D08">
        <w:rPr>
          <w:lang w:val="en-US"/>
        </w:rPr>
        <w:instrText xml:space="preserve"> ADDIN ZOTERO_ITEM CSL_CITATION {"citationID":"sKPfx4B1","properties":{"formattedCitation":"\\super [3,14,19\\uc0\\u8211{}22]\\nosupersub{}","plainCitation":"[3,14,19–22]","dontUpdate":true,"noteIndex":0},"citationItems":[{"id":354,"uris":["http://zotero.org/users/4017583/items/GWHKUENP"],"uri":["http://zotero.org/users/4017583/items/GWHKUENP"],"itemData":{"id":354,"type":"article-journal","title":"Cationic and anionic dye adsorption by agricultural solid wastes: A comprehensive review","container-title":"Desalination","page":"1-13","volume":"280","issue":"1","source":"ScienceDirect","abstract":"Recently many researchers have proved the capability of agricultural solid wastes as adsorbents to remove many types of pollutants including dyes. This review represents the use of agricultural solid wastes to remove two classes of dye, cationic and anionic dyes and makes a simple comparison among cationic and anionic dye adsorption by the same adsorbent, thus possibly opening the door for a better understanding of the dye-classified adsorption process. Both these classes of dyes are toxic and cause severe problems to aquatic environment. Some agricultural solid wastes can remove both dye classes, although they need activation. The dye adsorption capacities of agricultural waste adsorbents vary, depending on the pH of solution, initial dye concentration, adsorbent dosage and process temperature. The pH of solution is directly related to the dye-classified adsorption, where it affects the surface charge of the adsorbent and the degree of ionization of the adsorbate.","DOI":"10.1016/j.desal.2011.07.019","ISSN":"0011-9164","shortTitle":"Cationic and anionic dye adsorption by agricultural solid wastes","journalAbbreviation":"Desalination","author":[{"family":"Salleh","given":"Mohamad Amran Mohd"},{"family":"Mahmoud","given":"Dalia Khalid"},{"family":"Karim","given":"Wan Azlina Wan Abdul"},{"family":"Idris","given":"Azni"}],"issued":{"date-parts":[["2011",10,3]]}}},{"id":621,"uris":["http://zotero.org/users/4017583/items/6X65QET9"],"uri":["http://zotero.org/users/4017583/items/6X65QET9"],"itemData":{"id":621,"type":"article-journal","title":"Adsorption Kinetics of Bromophenol Blue and Eriochrome Black T using Bentonite Carbon Composite Material, International Journal of Scientific &amp; Engineering Research, Volume 6, Issue 5, May-2015","container-title":"International Journal of Scientific and Engineering Research","source":"ResearchGate","abstract":"Abstract - The present study deals with the adsorption of Bromophenol blue (BB) and Erichrome black T (EBT) – two anionic dyes – onto bentonite carbon composite material (BCC). Batch studies were performed to evaluate the influence of various experimental parameters such as: pH, contact time, adsorbent dose and initial dye concentration. The optimal conditions for the dyes removal were found to be at pH = 1, applying a dose of 10 g.L-1 and 20 g.L-1 and for an equilibrium time of 40 mins for both dyes BB and EBT removal, respectively. The results also showed that process followed pseudo-second-order rate expression for dyes with a degree of intraparticle diffusion for BB and intraparticle and pore diffusion for EBT and it was found to be best represented by the Freundlich isotherm.","author":[{"family":"El-Dars","given":"Farida"},{"family":"M Ibrahim","given":"Hamed"},{"family":"A. B. Farag","given":"Heba"},{"family":"Zakaria Abdelwahhab","given":"M"},{"family":"Shalabi","given":"M"}],"issued":{"date-parts":[["2015",5,1]]}}},{"id":568,"uris":["http://zotero.org/users/4017583/items/DRVRJ28X"],"uri":["http://zotero.org/users/4017583/items/DRVRJ28X"],"itemData":{"id":568,"type":"article-journal","title":"Biosorption of Bromophenol Blue from Aqueous Solutions by Rhizopus Stolonifer Biomass","container-title":"Water, Air, and Soil Pollution","page":"135-146","volume":"177","issue":"1-4","source":"link.springer.com","abstract":"The removal of bromophenol blue dye (BPB), from aqueous solutions, by biosorption on a non-living biomass of Rhizopus stolonifer was investigated in a batch system. Pretreatment of the biomass with NaOH was found to be the most effective means to enhance the biosorption of BPB. The fungal biomass exhibited the highest dye sorption capacity at pH 2 and the uptake process followed the pseudo-second order reaction model. The equilibrium sorption capacity of the biomass increased as the initial dye concentration increased, and the maximum uptake value was estimated at 1111 mg/g according to Langmuir adsorption isotherm. The adsorbed dye was easily desorbed from a fungal biomass with 0.1 M NaOH solution and the regenerated biomass could be reused for other biosorption essays with similar performances.","DOI":"10.1007/s11270-006-9112-3","ISSN":"0049-6979, 1573-2932","journalAbbreviation":"Water Air Soil Pollut","language":"en","author":[{"family":"Zeroual","given":"Y."},{"family":"Kim","given":"B. S."},{"family":"Kim","given":"C. S."},{"family":"Blaghen","given":"M."},{"family":"Lee","given":"K. M."}],"issued":{"date-parts":[["2006",11,1]]}}},{"id":657,"uris":["http://zotero.org/users/4017583/items/IDIERUNE"],"uri":["http://zotero.org/users/4017583/items/IDIERUNE"],"itemData":{"id":657,"type":"article-journal","title":"Thermodynamics and kinetics of adsorption of dyes from aqueous media onto alumina","container-title":"Journal of the Chemical Society of Pakistan","page":"419-428","volume":"32","issue":"4","source":"inis.iaea.org","ISSN":"ISSN 0253-5106","language":"English","author":[{"family":"Iqbal","given":"M. J."},{"family":"Ashiq","given":"M. N."}],"issued":{"date-parts":[["2010"]]}}},{"id":664,"uris":["http://zotero.org/users/4017583/items/DM6PMACT"],"uri":["http://zotero.org/users/4017583/items/DM6PMACT"],"itemData":{"id":664,"type":"book","title":"Study of the adsorption kinetics and thermodynamic for the removal of Congo Red from aqueous solution using powdered eggshell","volume":"5","number-of-pages":"1671","source":"ResearchGate","abstract":"The adsorption of congo red (CR) from aqueous solution using untreated powdered eggshell by varying the parameters such as agitation time, dye concentration, adsorbent dose, pH and temperature was investigated. Adsorption isotherms of CR onto powdered eggshell were analyzed by Langmuir, Freundlich and Sips models. It was observed that\nthe optimum CR adsorption onto powdered eggshell occurred at contact time of 20 minutes, the adsorbent dosage of 20 g, initial concentration of 20 mg/L and pH 2. In addition, the particle size of powdered eg gshell has no significant effect on the adsorption of CR. Adsorption isotherms studied through the use of graphical methods revealed that the adsorption of CR onto powdered eggshell follows the Langmuir model, with the maximum adsorption capacity was 95.25 mg g-1. The powdered eggshell investigated in this study thus exhibited as a high potential adsorbent for the removal of CR from aqueous solution.\nKeywords: adsorption; congo red; dye; eggshell;isotherm","author":[{"family":"Zulfikar","given":"Muhammad Ali"},{"family":"Setiyanto","given":"Henry"}],"issued":{"date-parts":[["2013",5,1]]}}},{"id":659,"uris":["http://zotero.org/users/4017583/items/MIQSWTRM"],"uri":["http://zotero.org/users/4017583/items/MIQSWTRM"],"itemData":{"id":659,"type":"article-journal","title":"Sorption of methylene blue on treated agricultural adsorbents: equilibrium and kinetic studies","container-title":"Applied Water Science","page":"81-88","volume":"5","issue":"1","source":"link.springer.com","abstract":"Agricultural adsorbents are reported to have a remarkable performance for adsorption of dyes. In the present study, formaldehyde and sulphuric acid treated two agricultural adsorbents; potato peel and neem bark are used to adsorb methylene blue. On the whole, the acid-treated adsorbents are investigated to have high sorption efficiency compared to HCHO treated adsorbents. The percentage removal efficiency of H2SO4 treated potato peel (APP) increases considerably high from 75 to 100 % with increase in adsorbent dose, whereas the removal efficiency of H2SO4 treated neem bark (ANB) is found to be 98 % after adding the first dose only. The monolayer sorption behaviour of HCHO treated potato peel (PP) and APP is well defined by Langmuir, whereas the chemisorptions behaviour of HCHO treated neem bark (NB) and ANB is suggested by Temkin’s isotherm model. The maximum adsorption capacity measured is highest in ANB followed by NB, PP and APP with the values of 1000, 90, 47.62 and 40.0 mg/g, respectively. The pseudo-second-order kinetic model fitted well with the observed data of all the four adsorbents. The results obtained reveal that NB and ANB both are good adsorbents compared to PP and APP.","DOI":"10.1007/s13201-014-0171-0","ISSN":"2190-5487, 2190-5495","shortTitle":"Sorption of methylene blue on treated agricultural adsorbents","journalAbbreviation":"Appl Water Sci","language":"en","author":[{"family":"Tiwari","given":"D. P."},{"family":"Singh","given":"S. K."},{"family":"Sharma","given":"Neetu"}],"issued":{"date-parts":[["2015",3,1]]}}}],"schema":"https://github.com/citation-style-language/schema/raw/master/csl-citation.json"} </w:instrText>
      </w:r>
      <w:r w:rsidR="00EA1C49">
        <w:rPr>
          <w:lang w:val="en-US"/>
        </w:rPr>
        <w:fldChar w:fldCharType="separate"/>
      </w:r>
      <w:r w:rsidR="00F22D7A" w:rsidRPr="00F22D7A">
        <w:rPr>
          <w:rFonts w:cs="Times New Roman"/>
          <w:szCs w:val="24"/>
          <w:vertAlign w:val="superscript"/>
        </w:rPr>
        <w:t>3,14,19–22</w:t>
      </w:r>
      <w:r w:rsidR="00EA1C49">
        <w:rPr>
          <w:lang w:val="en-US"/>
        </w:rPr>
        <w:fldChar w:fldCharType="end"/>
      </w:r>
      <w:r w:rsidR="00EA1C49">
        <w:rPr>
          <w:lang w:val="en-US"/>
        </w:rPr>
        <w:t xml:space="preserve"> </w:t>
      </w:r>
    </w:p>
    <w:p w:rsidR="000E5A8B" w:rsidRPr="00333863" w:rsidRDefault="000E5A8B" w:rsidP="00090636">
      <w:pPr>
        <w:autoSpaceDE w:val="0"/>
        <w:autoSpaceDN w:val="0"/>
        <w:adjustRightInd w:val="0"/>
        <w:spacing w:after="0" w:line="240" w:lineRule="auto"/>
        <w:ind w:left="-57" w:right="-57"/>
        <w:jc w:val="left"/>
        <w:rPr>
          <w:lang w:val="en-US"/>
        </w:rPr>
      </w:pPr>
      <w:r>
        <w:rPr>
          <w:noProof/>
          <w:lang w:val="en-US"/>
        </w:rPr>
        <w:drawing>
          <wp:inline distT="0" distB="0" distL="0" distR="0" wp14:anchorId="7277FF75" wp14:editId="00902378">
            <wp:extent cx="2700000" cy="2160000"/>
            <wp:effectExtent l="38100" t="38100" r="43815" b="31115"/>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090636">
        <w:rPr>
          <w:rFonts w:ascii="Arial" w:hAnsi="Arial" w:cs="Arial"/>
          <w:noProof/>
          <w:sz w:val="16"/>
          <w:szCs w:val="16"/>
          <w:lang w:val="en-US"/>
        </w:rPr>
        <w:drawing>
          <wp:inline distT="0" distB="0" distL="0" distR="0" wp14:anchorId="34AD5EBA" wp14:editId="7A17DEE2">
            <wp:extent cx="2700000" cy="2160000"/>
            <wp:effectExtent l="0" t="0" r="0" b="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5A8B" w:rsidRDefault="000E5A8B" w:rsidP="00090636">
      <w:pPr>
        <w:autoSpaceDE w:val="0"/>
        <w:autoSpaceDN w:val="0"/>
        <w:adjustRightInd w:val="0"/>
        <w:spacing w:after="0" w:line="240" w:lineRule="auto"/>
        <w:ind w:left="-57" w:right="-57"/>
        <w:jc w:val="left"/>
        <w:rPr>
          <w:rFonts w:cs="Times New Roman"/>
          <w:szCs w:val="24"/>
        </w:rPr>
      </w:pPr>
      <w:r w:rsidRPr="00090636">
        <w:rPr>
          <w:rFonts w:ascii="Arial" w:hAnsi="Arial" w:cs="Arial"/>
          <w:noProof/>
          <w:sz w:val="16"/>
          <w:szCs w:val="16"/>
          <w:lang w:val="en-US"/>
        </w:rPr>
        <w:lastRenderedPageBreak/>
        <w:drawing>
          <wp:inline distT="0" distB="0" distL="0" distR="0" wp14:anchorId="00CE7D3A" wp14:editId="0CA6D258">
            <wp:extent cx="2700000" cy="2160000"/>
            <wp:effectExtent l="0" t="0" r="0" b="0"/>
            <wp:docPr id="4" name="Diagra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noProof/>
          <w:lang w:val="en-US"/>
        </w:rPr>
        <w:drawing>
          <wp:inline distT="0" distB="0" distL="0" distR="0" wp14:anchorId="76E03D41" wp14:editId="139AD04D">
            <wp:extent cx="2700000" cy="2160000"/>
            <wp:effectExtent l="0" t="0" r="0" b="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E5A8B" w:rsidRPr="00B36164" w:rsidRDefault="00DA24DB" w:rsidP="00F05DFA">
      <w:pPr>
        <w:pStyle w:val="Cmsor2"/>
        <w:spacing w:line="240" w:lineRule="auto"/>
        <w:ind w:left="142" w:right="-57"/>
        <w:jc w:val="both"/>
        <w:rPr>
          <w:sz w:val="20"/>
          <w:szCs w:val="20"/>
        </w:rPr>
      </w:pPr>
      <w:r>
        <w:rPr>
          <w:bCs w:val="0"/>
          <w:sz w:val="20"/>
          <w:szCs w:val="20"/>
        </w:rPr>
        <w:t>Figure 2</w:t>
      </w:r>
      <w:r w:rsidR="000E5A8B" w:rsidRPr="00B36164">
        <w:rPr>
          <w:b w:val="0"/>
          <w:sz w:val="20"/>
          <w:szCs w:val="20"/>
        </w:rPr>
        <w:t xml:space="preserve">. Effect of pH </w:t>
      </w:r>
      <w:r w:rsidR="000E5A8B">
        <w:rPr>
          <w:b w:val="0"/>
          <w:sz w:val="20"/>
          <w:szCs w:val="20"/>
        </w:rPr>
        <w:t xml:space="preserve">for indicators: Congo Red (a), BPB (b), MB (c), MG (d) </w:t>
      </w:r>
      <w:r w:rsidR="000E5A8B" w:rsidRPr="00B36164">
        <w:rPr>
          <w:b w:val="0"/>
          <w:sz w:val="20"/>
          <w:szCs w:val="20"/>
        </w:rPr>
        <w:t>(C</w:t>
      </w:r>
      <w:r w:rsidR="000E5A8B" w:rsidRPr="00B36164">
        <w:rPr>
          <w:b w:val="0"/>
          <w:sz w:val="20"/>
          <w:szCs w:val="20"/>
          <w:vertAlign w:val="subscript"/>
        </w:rPr>
        <w:t>i</w:t>
      </w:r>
      <w:r w:rsidR="000E5A8B">
        <w:rPr>
          <w:b w:val="0"/>
          <w:sz w:val="20"/>
          <w:szCs w:val="20"/>
        </w:rPr>
        <w:t>=3</w:t>
      </w:r>
      <w:r w:rsidR="000E5A8B" w:rsidRPr="00B36164">
        <w:rPr>
          <w:b w:val="0"/>
          <w:sz w:val="20"/>
          <w:szCs w:val="20"/>
        </w:rPr>
        <w:t>0 mg/L, 1.5 g biomass, 160 µm, 700 rpm, T=20±1</w:t>
      </w:r>
      <w:r w:rsidR="000E5A8B" w:rsidRPr="00B36164">
        <w:rPr>
          <w:b w:val="0"/>
          <w:sz w:val="20"/>
          <w:szCs w:val="20"/>
          <w:vertAlign w:val="superscript"/>
        </w:rPr>
        <w:t>o</w:t>
      </w:r>
      <w:r w:rsidR="000E5A8B" w:rsidRPr="00B36164">
        <w:rPr>
          <w:b w:val="0"/>
          <w:sz w:val="20"/>
          <w:szCs w:val="20"/>
        </w:rPr>
        <w:t>C)</w:t>
      </w:r>
    </w:p>
    <w:p w:rsidR="000E5A8B" w:rsidRDefault="000E5A8B" w:rsidP="000E5A8B">
      <w:pPr>
        <w:autoSpaceDE w:val="0"/>
        <w:autoSpaceDN w:val="0"/>
        <w:adjustRightInd w:val="0"/>
        <w:spacing w:after="0" w:line="240" w:lineRule="auto"/>
        <w:jc w:val="left"/>
        <w:rPr>
          <w:rFonts w:cs="Times New Roman"/>
          <w:szCs w:val="24"/>
        </w:rPr>
      </w:pPr>
    </w:p>
    <w:p w:rsidR="000E5A8B" w:rsidRDefault="000E5A8B" w:rsidP="000E5A8B">
      <w:pPr>
        <w:rPr>
          <w:rFonts w:cs="Times New Roman"/>
          <w:szCs w:val="24"/>
        </w:rPr>
      </w:pPr>
    </w:p>
    <w:p w:rsidR="000E5A8B" w:rsidRPr="00D72D3B" w:rsidRDefault="000E5A8B" w:rsidP="000E5A8B">
      <w:pPr>
        <w:rPr>
          <w:b/>
          <w:lang w:val="en-US"/>
        </w:rPr>
      </w:pPr>
      <w:r w:rsidRPr="00D72D3B">
        <w:rPr>
          <w:b/>
          <w:lang w:val="en-US"/>
        </w:rPr>
        <w:t>SEM and EDX</w:t>
      </w:r>
    </w:p>
    <w:p w:rsidR="000E5A8B" w:rsidRDefault="000E5A8B" w:rsidP="000E5A8B">
      <w:pPr>
        <w:rPr>
          <w:lang w:val="en-US"/>
        </w:rPr>
      </w:pPr>
      <w:r>
        <w:rPr>
          <w:lang w:val="en-US"/>
        </w:rPr>
        <w:t xml:space="preserve">Scanning electron microscopy photographs were taken in order to examine the shape of the samples’ particle, size of appeared aggregates, porosity and texture before and after adsorption with eggshell biomass. Figure X shows the SEM of the control sample (160 </w:t>
      </w:r>
      <w:proofErr w:type="spellStart"/>
      <w:r>
        <w:rPr>
          <w:rFonts w:cs="Times New Roman"/>
          <w:lang w:val="en-US"/>
        </w:rPr>
        <w:t>μ</w:t>
      </w:r>
      <w:r>
        <w:rPr>
          <w:lang w:val="en-US"/>
        </w:rPr>
        <w:t>m</w:t>
      </w:r>
      <w:proofErr w:type="spellEnd"/>
      <w:r>
        <w:rPr>
          <w:lang w:val="en-US"/>
        </w:rPr>
        <w:t xml:space="preserve"> sized eggshell without adsorption) and four dye treated samples with 50 mg/L dye solutions. It can be seen that the porous, cross-linked structure of eggshell disappears in compariso</w:t>
      </w:r>
      <w:r w:rsidR="00C02ECE">
        <w:rPr>
          <w:lang w:val="en-US"/>
        </w:rPr>
        <w:t>n to the control sample (Figure</w:t>
      </w:r>
      <w:r w:rsidR="00DA24DB">
        <w:rPr>
          <w:lang w:val="en-US"/>
        </w:rPr>
        <w:t xml:space="preserve"> 3</w:t>
      </w:r>
      <w:r>
        <w:rPr>
          <w:lang w:val="en-US"/>
        </w:rPr>
        <w:t>.a) in case of MB, MG, Congo Red, this is due to the fact that the eggshell has incorporated the color into its “caverns”. On the othe</w:t>
      </w:r>
      <w:r w:rsidR="00DA24DB">
        <w:rPr>
          <w:lang w:val="en-US"/>
        </w:rPr>
        <w:t>r hand, in case of BPB (Figure 3</w:t>
      </w:r>
      <w:r>
        <w:rPr>
          <w:lang w:val="en-US"/>
        </w:rPr>
        <w:t>.e) some of the cross-linked structure is saturated, in other parts smaller or larger aggregates have appeared, but the cross-linked structure, characteristic to eggshell structure, is still visible. This can be explained in the following way: when comparing the result with the amount of bounded material, we can see that BPB has the smallest value (c</w:t>
      </w:r>
      <w:r w:rsidRPr="00BD53B5">
        <w:rPr>
          <w:vertAlign w:val="subscript"/>
          <w:lang w:val="en-US"/>
        </w:rPr>
        <w:t>i</w:t>
      </w:r>
      <w:r>
        <w:rPr>
          <w:lang w:val="en-US"/>
        </w:rPr>
        <w:t xml:space="preserve">=50 mg/L, </w:t>
      </w:r>
      <w:proofErr w:type="spellStart"/>
      <w:r>
        <w:rPr>
          <w:lang w:val="en-US"/>
        </w:rPr>
        <w:t>q</w:t>
      </w:r>
      <w:r w:rsidRPr="00BD53B5">
        <w:rPr>
          <w:vertAlign w:val="subscript"/>
          <w:lang w:val="en-US"/>
        </w:rPr>
        <w:t>e</w:t>
      </w:r>
      <w:proofErr w:type="spellEnd"/>
      <w:r>
        <w:rPr>
          <w:lang w:val="en-US"/>
        </w:rPr>
        <w:t>=0.06 mg/g), so we can conclude that there are still free binders and the eggshells’ crystal grid structure is still visible.</w:t>
      </w:r>
    </w:p>
    <w:p w:rsidR="000E5A8B" w:rsidRDefault="000E5A8B" w:rsidP="00A82BF3">
      <w:pPr>
        <w:spacing w:after="0" w:line="240" w:lineRule="auto"/>
        <w:jc w:val="left"/>
        <w:rPr>
          <w:lang w:val="en-US"/>
        </w:rPr>
      </w:pPr>
      <w:r w:rsidRPr="0049115F">
        <w:rPr>
          <w:noProof/>
          <w:lang w:val="en-US"/>
        </w:rPr>
        <w:lastRenderedPageBreak/>
        <w:drawing>
          <wp:inline distT="0" distB="0" distL="0" distR="0" wp14:anchorId="3535E893" wp14:editId="702817A1">
            <wp:extent cx="4432214" cy="5040000"/>
            <wp:effectExtent l="0" t="0" r="6985" b="8255"/>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32214" cy="5040000"/>
                    </a:xfrm>
                    <a:prstGeom prst="rect">
                      <a:avLst/>
                    </a:prstGeom>
                    <a:noFill/>
                    <a:ln>
                      <a:noFill/>
                    </a:ln>
                  </pic:spPr>
                </pic:pic>
              </a:graphicData>
            </a:graphic>
          </wp:inline>
        </w:drawing>
      </w:r>
    </w:p>
    <w:p w:rsidR="000E5A8B" w:rsidRDefault="00DA24DB" w:rsidP="00A82BF3">
      <w:pPr>
        <w:autoSpaceDE w:val="0"/>
        <w:autoSpaceDN w:val="0"/>
        <w:adjustRightInd w:val="0"/>
        <w:spacing w:after="0" w:line="240" w:lineRule="auto"/>
        <w:jc w:val="left"/>
        <w:rPr>
          <w:rFonts w:cs="Times New Roman"/>
          <w:b/>
          <w:bCs/>
          <w:sz w:val="20"/>
          <w:szCs w:val="20"/>
          <w:lang w:val="en-US"/>
        </w:rPr>
      </w:pPr>
      <w:r>
        <w:rPr>
          <w:b/>
          <w:sz w:val="20"/>
          <w:szCs w:val="20"/>
          <w:lang w:val="en-US"/>
        </w:rPr>
        <w:t>Figure 3</w:t>
      </w:r>
      <w:r w:rsidR="000E5A8B" w:rsidRPr="00244428">
        <w:rPr>
          <w:b/>
          <w:sz w:val="20"/>
          <w:szCs w:val="20"/>
          <w:lang w:val="en-US"/>
        </w:rPr>
        <w:t>.</w:t>
      </w:r>
      <w:r w:rsidR="000E5A8B" w:rsidRPr="00244428">
        <w:rPr>
          <w:sz w:val="20"/>
          <w:szCs w:val="20"/>
          <w:lang w:val="en-US"/>
        </w:rPr>
        <w:t xml:space="preserve"> </w:t>
      </w:r>
      <w:r w:rsidR="000E5A8B" w:rsidRPr="00244428">
        <w:rPr>
          <w:rFonts w:cs="Times New Roman"/>
          <w:b/>
          <w:bCs/>
          <w:sz w:val="20"/>
          <w:szCs w:val="20"/>
          <w:lang w:val="en-US"/>
        </w:rPr>
        <w:t xml:space="preserve">a. </w:t>
      </w:r>
      <w:r w:rsidR="000E5A8B" w:rsidRPr="00244428">
        <w:rPr>
          <w:rFonts w:cs="Times New Roman"/>
          <w:sz w:val="20"/>
          <w:szCs w:val="20"/>
          <w:lang w:val="en-US"/>
        </w:rPr>
        <w:t xml:space="preserve">control eggshell, 50 mg/L </w:t>
      </w:r>
      <w:r w:rsidR="000E5A8B" w:rsidRPr="00244428">
        <w:rPr>
          <w:rFonts w:cs="Times New Roman"/>
          <w:b/>
          <w:bCs/>
          <w:sz w:val="20"/>
          <w:szCs w:val="20"/>
          <w:lang w:val="en-US"/>
        </w:rPr>
        <w:t xml:space="preserve">b. </w:t>
      </w:r>
      <w:r w:rsidR="000E5A8B" w:rsidRPr="00244428">
        <w:rPr>
          <w:rFonts w:cs="Times New Roman"/>
          <w:sz w:val="20"/>
          <w:szCs w:val="20"/>
          <w:lang w:val="en-US"/>
        </w:rPr>
        <w:t xml:space="preserve">MB, </w:t>
      </w:r>
      <w:r w:rsidR="000E5A8B" w:rsidRPr="00244428">
        <w:rPr>
          <w:rFonts w:cs="Times New Roman"/>
          <w:b/>
          <w:bCs/>
          <w:sz w:val="20"/>
          <w:szCs w:val="20"/>
          <w:lang w:val="en-US"/>
        </w:rPr>
        <w:t xml:space="preserve">c. </w:t>
      </w:r>
      <w:r w:rsidR="000E5A8B" w:rsidRPr="00244428">
        <w:rPr>
          <w:rFonts w:cs="Times New Roman"/>
          <w:sz w:val="20"/>
          <w:szCs w:val="20"/>
          <w:lang w:val="en-US"/>
        </w:rPr>
        <w:t xml:space="preserve">MG, </w:t>
      </w:r>
      <w:r w:rsidR="000E5A8B" w:rsidRPr="00244428">
        <w:rPr>
          <w:rFonts w:cs="Times New Roman"/>
          <w:b/>
          <w:bCs/>
          <w:sz w:val="20"/>
          <w:szCs w:val="20"/>
          <w:lang w:val="en-US"/>
        </w:rPr>
        <w:t xml:space="preserve">d. </w:t>
      </w:r>
      <w:r w:rsidR="000E5A8B" w:rsidRPr="00244428">
        <w:rPr>
          <w:rFonts w:cs="Times New Roman"/>
          <w:sz w:val="20"/>
          <w:szCs w:val="20"/>
          <w:lang w:val="en-US"/>
        </w:rPr>
        <w:t xml:space="preserve">Congo Red, </w:t>
      </w:r>
      <w:r w:rsidR="000E5A8B" w:rsidRPr="00244428">
        <w:rPr>
          <w:rFonts w:cs="Times New Roman"/>
          <w:b/>
          <w:bCs/>
          <w:sz w:val="20"/>
          <w:szCs w:val="20"/>
          <w:lang w:val="en-US"/>
        </w:rPr>
        <w:t xml:space="preserve">e. </w:t>
      </w:r>
      <w:r w:rsidR="000E5A8B" w:rsidRPr="00244428">
        <w:rPr>
          <w:rFonts w:cs="Times New Roman"/>
          <w:sz w:val="20"/>
          <w:szCs w:val="20"/>
          <w:lang w:val="en-US"/>
        </w:rPr>
        <w:t>BPB adsorbed eggshell household waste</w:t>
      </w:r>
    </w:p>
    <w:p w:rsidR="000E5A8B" w:rsidRDefault="000E5A8B" w:rsidP="000E5A8B">
      <w:pPr>
        <w:autoSpaceDE w:val="0"/>
        <w:autoSpaceDN w:val="0"/>
        <w:adjustRightInd w:val="0"/>
        <w:spacing w:after="0" w:line="240" w:lineRule="auto"/>
        <w:jc w:val="center"/>
        <w:rPr>
          <w:rFonts w:cs="Times New Roman"/>
          <w:b/>
          <w:bCs/>
          <w:sz w:val="20"/>
          <w:szCs w:val="20"/>
          <w:lang w:val="en-US"/>
        </w:rPr>
      </w:pPr>
    </w:p>
    <w:p w:rsidR="000E5A8B" w:rsidRDefault="000E5A8B" w:rsidP="000E5A8B">
      <w:pPr>
        <w:autoSpaceDE w:val="0"/>
        <w:autoSpaceDN w:val="0"/>
        <w:adjustRightInd w:val="0"/>
        <w:spacing w:after="0" w:line="240" w:lineRule="auto"/>
        <w:rPr>
          <w:szCs w:val="24"/>
          <w:lang w:val="en-US"/>
        </w:rPr>
      </w:pPr>
      <w:r>
        <w:rPr>
          <w:lang w:val="en-US"/>
        </w:rPr>
        <w:t>In order to examine the elemental composition of the eggshell both for control and dye adsorbed samples X-ray spectroscopy (ED</w:t>
      </w:r>
      <w:r w:rsidR="00DA24DB">
        <w:rPr>
          <w:lang w:val="en-US"/>
        </w:rPr>
        <w:t>X) was carried out. From Table 2</w:t>
      </w:r>
      <w:r>
        <w:rPr>
          <w:lang w:val="en-US"/>
        </w:rPr>
        <w:t xml:space="preserve"> it can be assumed that the control sample contains mostly carbon, oxygen and calcium. This was expected because eggshell is made of calcium carbonate (approx. 94%). Samples contaminated with dye not only contain elements specific to eggshell but also elements gained from the dye they were adsorbed with, we can see that new elements appeared, some completely disappeared while others only decreased.  </w:t>
      </w:r>
      <w:r w:rsidRPr="00B36164">
        <w:rPr>
          <w:szCs w:val="24"/>
          <w:lang w:val="en-US"/>
        </w:rPr>
        <w:t xml:space="preserve"> </w:t>
      </w:r>
    </w:p>
    <w:p w:rsidR="000E5A8B" w:rsidRPr="001B657B" w:rsidRDefault="000E5A8B" w:rsidP="000E5A8B">
      <w:pPr>
        <w:autoSpaceDE w:val="0"/>
        <w:autoSpaceDN w:val="0"/>
        <w:adjustRightInd w:val="0"/>
        <w:spacing w:after="0" w:line="240" w:lineRule="auto"/>
        <w:rPr>
          <w:rFonts w:cs="Times New Roman"/>
          <w:b/>
          <w:bCs/>
          <w:sz w:val="20"/>
          <w:szCs w:val="20"/>
          <w:lang w:val="en-US"/>
        </w:rPr>
      </w:pPr>
    </w:p>
    <w:p w:rsidR="000E5A8B" w:rsidRPr="003775B2" w:rsidRDefault="00DA24DB" w:rsidP="000E5A8B">
      <w:pPr>
        <w:spacing w:after="0" w:line="240" w:lineRule="auto"/>
        <w:ind w:right="-142"/>
        <w:rPr>
          <w:sz w:val="20"/>
          <w:szCs w:val="20"/>
          <w:lang w:val="en-US"/>
        </w:rPr>
      </w:pPr>
      <w:r>
        <w:rPr>
          <w:b/>
          <w:sz w:val="22"/>
          <w:lang w:val="en-US"/>
        </w:rPr>
        <w:t>Table 2</w:t>
      </w:r>
      <w:r w:rsidR="000E5A8B" w:rsidRPr="003775B2">
        <w:rPr>
          <w:b/>
          <w:sz w:val="22"/>
          <w:lang w:val="en-US"/>
        </w:rPr>
        <w:t>.</w:t>
      </w:r>
      <w:r w:rsidR="000E5A8B" w:rsidRPr="003775B2">
        <w:rPr>
          <w:sz w:val="20"/>
          <w:szCs w:val="20"/>
          <w:lang w:val="en-US"/>
        </w:rPr>
        <w:t xml:space="preserve"> Eggshells’ elemental composition, results obtained were computed from 9 data (</w:t>
      </w:r>
      <w:proofErr w:type="spellStart"/>
      <w:r w:rsidR="000E5A8B" w:rsidRPr="003775B2">
        <w:rPr>
          <w:sz w:val="20"/>
          <w:szCs w:val="20"/>
          <w:lang w:val="en-US"/>
        </w:rPr>
        <w:t>C</w:t>
      </w:r>
      <w:r w:rsidR="000E5A8B" w:rsidRPr="003775B2">
        <w:rPr>
          <w:rFonts w:eastAsia="MS Mincho"/>
          <w:color w:val="000000"/>
          <w:sz w:val="20"/>
          <w:szCs w:val="20"/>
          <w:vertAlign w:val="subscript"/>
          <w:lang w:val="en-US"/>
        </w:rPr>
        <w:t>dye</w:t>
      </w:r>
      <w:proofErr w:type="spellEnd"/>
      <w:r w:rsidR="000E5A8B" w:rsidRPr="003775B2">
        <w:rPr>
          <w:rFonts w:eastAsia="MS Mincho"/>
          <w:color w:val="000000"/>
          <w:sz w:val="20"/>
          <w:szCs w:val="20"/>
          <w:lang w:val="en-US"/>
        </w:rPr>
        <w:t xml:space="preserve">= </w:t>
      </w:r>
      <w:r w:rsidR="000E5A8B" w:rsidRPr="003775B2">
        <w:rPr>
          <w:rFonts w:eastAsia="TimesNewRomanPSMT"/>
          <w:color w:val="000000"/>
          <w:sz w:val="20"/>
          <w:szCs w:val="20"/>
          <w:lang w:val="en-US"/>
        </w:rPr>
        <w:t xml:space="preserve">50 mg/L, 160 </w:t>
      </w:r>
      <w:proofErr w:type="spellStart"/>
      <w:r w:rsidR="000E5A8B" w:rsidRPr="003775B2">
        <w:rPr>
          <w:rFonts w:eastAsia="TimesNewRomanPSMT"/>
          <w:color w:val="000000"/>
          <w:sz w:val="20"/>
          <w:szCs w:val="20"/>
          <w:lang w:val="en-US"/>
        </w:rPr>
        <w:t>μm</w:t>
      </w:r>
      <w:proofErr w:type="spellEnd"/>
      <w:r w:rsidR="000E5A8B" w:rsidRPr="003775B2">
        <w:rPr>
          <w:rFonts w:eastAsia="MS Mincho"/>
          <w:color w:val="000000"/>
          <w:sz w:val="20"/>
          <w:szCs w:val="20"/>
          <w:lang w:val="en-US"/>
        </w:rPr>
        <w:t>)</w:t>
      </w:r>
    </w:p>
    <w:tbl>
      <w:tblPr>
        <w:tblW w:w="9257" w:type="dxa"/>
        <w:tblCellMar>
          <w:left w:w="70" w:type="dxa"/>
          <w:right w:w="70" w:type="dxa"/>
        </w:tblCellMar>
        <w:tblLook w:val="04A0" w:firstRow="1" w:lastRow="0" w:firstColumn="1" w:lastColumn="0" w:noHBand="0" w:noVBand="1"/>
      </w:tblPr>
      <w:tblGrid>
        <w:gridCol w:w="994"/>
        <w:gridCol w:w="1698"/>
        <w:gridCol w:w="1680"/>
        <w:gridCol w:w="1663"/>
        <w:gridCol w:w="1559"/>
        <w:gridCol w:w="1663"/>
      </w:tblGrid>
      <w:tr w:rsidR="000E5A8B" w:rsidRPr="00462196" w:rsidTr="00027FF7">
        <w:trPr>
          <w:trHeight w:val="584"/>
        </w:trPr>
        <w:tc>
          <w:tcPr>
            <w:tcW w:w="994" w:type="dxa"/>
            <w:tcBorders>
              <w:top w:val="single" w:sz="4" w:space="0" w:color="auto"/>
              <w:left w:val="nil"/>
              <w:bottom w:val="single" w:sz="4" w:space="0" w:color="auto"/>
              <w:right w:val="nil"/>
            </w:tcBorders>
            <w:shd w:val="clear" w:color="000000" w:fill="FFFFFF"/>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Elements</w:t>
            </w:r>
            <w:proofErr w:type="spellEnd"/>
          </w:p>
        </w:tc>
        <w:tc>
          <w:tcPr>
            <w:tcW w:w="1698" w:type="dxa"/>
            <w:tcBorders>
              <w:top w:val="single" w:sz="4" w:space="0" w:color="auto"/>
              <w:left w:val="nil"/>
              <w:bottom w:val="single" w:sz="4" w:space="0" w:color="auto"/>
              <w:right w:val="nil"/>
            </w:tcBorders>
            <w:shd w:val="clear" w:color="000000" w:fill="FFFFFF"/>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gramStart"/>
            <w:r w:rsidRPr="00B63BD5">
              <w:rPr>
                <w:rFonts w:eastAsia="Times New Roman" w:cs="Times New Roman"/>
                <w:b/>
                <w:bCs/>
                <w:color w:val="000000"/>
                <w:sz w:val="18"/>
                <w:szCs w:val="18"/>
                <w:lang w:eastAsia="hu-HU"/>
              </w:rPr>
              <w:t>Wt(</w:t>
            </w:r>
            <w:proofErr w:type="gramEnd"/>
            <w:r w:rsidRPr="00B63BD5">
              <w:rPr>
                <w:rFonts w:eastAsia="Times New Roman" w:cs="Times New Roman"/>
                <w:b/>
                <w:bCs/>
                <w:color w:val="000000"/>
                <w:sz w:val="18"/>
                <w:szCs w:val="18"/>
                <w:lang w:eastAsia="hu-HU"/>
              </w:rPr>
              <w:t>%)</w:t>
            </w:r>
          </w:p>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control</w:t>
            </w:r>
            <w:proofErr w:type="spellEnd"/>
            <w:r w:rsidRPr="00B63BD5">
              <w:rPr>
                <w:rFonts w:eastAsia="Times New Roman" w:cs="Times New Roman"/>
                <w:b/>
                <w:bCs/>
                <w:color w:val="000000"/>
                <w:sz w:val="18"/>
                <w:szCs w:val="18"/>
                <w:lang w:eastAsia="hu-HU"/>
              </w:rPr>
              <w:t xml:space="preserve"> </w:t>
            </w:r>
            <w:proofErr w:type="spellStart"/>
            <w:r w:rsidRPr="00B63BD5">
              <w:rPr>
                <w:rFonts w:eastAsia="Times New Roman" w:cs="Times New Roman"/>
                <w:b/>
                <w:bCs/>
                <w:color w:val="000000"/>
                <w:sz w:val="18"/>
                <w:szCs w:val="18"/>
                <w:lang w:eastAsia="hu-HU"/>
              </w:rPr>
              <w:t>eggshell</w:t>
            </w:r>
            <w:proofErr w:type="spellEnd"/>
          </w:p>
        </w:tc>
        <w:tc>
          <w:tcPr>
            <w:tcW w:w="1680" w:type="dxa"/>
            <w:tcBorders>
              <w:top w:val="single" w:sz="4" w:space="0" w:color="auto"/>
              <w:left w:val="nil"/>
              <w:bottom w:val="single" w:sz="4" w:space="0" w:color="auto"/>
              <w:right w:val="nil"/>
            </w:tcBorders>
            <w:shd w:val="clear" w:color="000000" w:fill="FFFFFF"/>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gramStart"/>
            <w:r w:rsidRPr="00B63BD5">
              <w:rPr>
                <w:rFonts w:eastAsia="Times New Roman" w:cs="Times New Roman"/>
                <w:b/>
                <w:bCs/>
                <w:color w:val="000000"/>
                <w:sz w:val="18"/>
                <w:szCs w:val="18"/>
                <w:lang w:eastAsia="hu-HU"/>
              </w:rPr>
              <w:t>Wt(</w:t>
            </w:r>
            <w:proofErr w:type="gramEnd"/>
            <w:r w:rsidRPr="00B63BD5">
              <w:rPr>
                <w:rFonts w:eastAsia="Times New Roman" w:cs="Times New Roman"/>
                <w:b/>
                <w:bCs/>
                <w:color w:val="000000"/>
                <w:sz w:val="18"/>
                <w:szCs w:val="18"/>
                <w:lang w:eastAsia="hu-HU"/>
              </w:rPr>
              <w:t xml:space="preserve">%) </w:t>
            </w:r>
          </w:p>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MB</w:t>
            </w:r>
          </w:p>
        </w:tc>
        <w:tc>
          <w:tcPr>
            <w:tcW w:w="1663" w:type="dxa"/>
            <w:tcBorders>
              <w:top w:val="single" w:sz="4" w:space="0" w:color="auto"/>
              <w:left w:val="nil"/>
              <w:bottom w:val="single" w:sz="4" w:space="0" w:color="auto"/>
              <w:right w:val="nil"/>
            </w:tcBorders>
            <w:shd w:val="clear" w:color="000000" w:fill="FFFFFF"/>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gramStart"/>
            <w:r w:rsidRPr="00B63BD5">
              <w:rPr>
                <w:rFonts w:eastAsia="Times New Roman" w:cs="Times New Roman"/>
                <w:b/>
                <w:bCs/>
                <w:color w:val="000000"/>
                <w:sz w:val="18"/>
                <w:szCs w:val="18"/>
                <w:lang w:eastAsia="hu-HU"/>
              </w:rPr>
              <w:t>Wt(</w:t>
            </w:r>
            <w:proofErr w:type="gramEnd"/>
            <w:r w:rsidRPr="00B63BD5">
              <w:rPr>
                <w:rFonts w:eastAsia="Times New Roman" w:cs="Times New Roman"/>
                <w:b/>
                <w:bCs/>
                <w:color w:val="000000"/>
                <w:sz w:val="18"/>
                <w:szCs w:val="18"/>
                <w:lang w:eastAsia="hu-HU"/>
              </w:rPr>
              <w:t>%)</w:t>
            </w:r>
          </w:p>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MG</w:t>
            </w:r>
          </w:p>
        </w:tc>
        <w:tc>
          <w:tcPr>
            <w:tcW w:w="1559" w:type="dxa"/>
            <w:tcBorders>
              <w:top w:val="single" w:sz="4" w:space="0" w:color="auto"/>
              <w:left w:val="nil"/>
              <w:bottom w:val="single" w:sz="4" w:space="0" w:color="auto"/>
              <w:right w:val="nil"/>
            </w:tcBorders>
            <w:shd w:val="clear" w:color="000000" w:fill="FFFFFF"/>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gramStart"/>
            <w:r w:rsidRPr="00B63BD5">
              <w:rPr>
                <w:rFonts w:eastAsia="Times New Roman" w:cs="Times New Roman"/>
                <w:b/>
                <w:bCs/>
                <w:color w:val="000000"/>
                <w:sz w:val="18"/>
                <w:szCs w:val="18"/>
                <w:lang w:eastAsia="hu-HU"/>
              </w:rPr>
              <w:t>Wt(</w:t>
            </w:r>
            <w:proofErr w:type="gramEnd"/>
            <w:r w:rsidRPr="00B63BD5">
              <w:rPr>
                <w:rFonts w:eastAsia="Times New Roman" w:cs="Times New Roman"/>
                <w:b/>
                <w:bCs/>
                <w:color w:val="000000"/>
                <w:sz w:val="18"/>
                <w:szCs w:val="18"/>
                <w:lang w:eastAsia="hu-HU"/>
              </w:rPr>
              <w:t>%)</w:t>
            </w:r>
          </w:p>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Congo</w:t>
            </w:r>
            <w:proofErr w:type="spellEnd"/>
            <w:r w:rsidRPr="00B63BD5">
              <w:rPr>
                <w:rFonts w:eastAsia="Times New Roman" w:cs="Times New Roman"/>
                <w:b/>
                <w:bCs/>
                <w:color w:val="000000"/>
                <w:sz w:val="18"/>
                <w:szCs w:val="18"/>
                <w:lang w:eastAsia="hu-HU"/>
              </w:rPr>
              <w:t xml:space="preserve"> Red</w:t>
            </w:r>
          </w:p>
        </w:tc>
        <w:tc>
          <w:tcPr>
            <w:tcW w:w="1663" w:type="dxa"/>
            <w:tcBorders>
              <w:top w:val="single" w:sz="4" w:space="0" w:color="auto"/>
              <w:left w:val="nil"/>
              <w:bottom w:val="single" w:sz="4" w:space="0" w:color="auto"/>
              <w:right w:val="nil"/>
            </w:tcBorders>
            <w:shd w:val="clear" w:color="000000" w:fill="FFFFFF"/>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gramStart"/>
            <w:r w:rsidRPr="00B63BD5">
              <w:rPr>
                <w:rFonts w:eastAsia="Times New Roman" w:cs="Times New Roman"/>
                <w:b/>
                <w:bCs/>
                <w:color w:val="000000"/>
                <w:sz w:val="18"/>
                <w:szCs w:val="18"/>
                <w:lang w:eastAsia="hu-HU"/>
              </w:rPr>
              <w:t>Wt(</w:t>
            </w:r>
            <w:proofErr w:type="gramEnd"/>
            <w:r w:rsidRPr="00B63BD5">
              <w:rPr>
                <w:rFonts w:eastAsia="Times New Roman" w:cs="Times New Roman"/>
                <w:b/>
                <w:bCs/>
                <w:color w:val="000000"/>
                <w:sz w:val="18"/>
                <w:szCs w:val="18"/>
                <w:lang w:eastAsia="hu-HU"/>
              </w:rPr>
              <w:t>%)</w:t>
            </w:r>
          </w:p>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BPB</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C</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22.944 ± 9,144</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25.169 ± 2.617</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24.662 ± 6.016</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23.504 ± 5.877</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25.092 ± 6.607</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N</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0.314 ± 0.735</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O</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43.990 ± 10.782</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46.110 ± 1.241</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47.633 ± 6.553</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45.058 ± 2.076</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47.050 ± 8.348</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Na</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0.063 ± 0.108</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0.046 ± 0.044</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0.063± 0.067</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0.096± 0.046</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0.050 ± 0.079</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F</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0.870 ± 0.688</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1.763 ± 1.693</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2.390 ± 0.805</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1.520 ± 1.726</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Mg</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0.445 ± 0.237</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0.328 ± 0.036</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0.312 ± 0.040</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0.358 ± 0.034</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0.192 ± 0.217</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Al</w:t>
            </w:r>
            <w:proofErr w:type="spellEnd"/>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0.429 ± 0.541</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0.340 ± 0.072</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0.403 ± 0.180</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0.366 ± 0.111</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0.690 ± 0.720</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Si</w:t>
            </w:r>
            <w:proofErr w:type="spellEnd"/>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0.008 ± 0.020</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0.018 ± 0.040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P</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0.084 ± 0.219</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0.084 ± 0.051</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0.107± 0.045</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0.096 ± 0.026</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0.085 ± 0.069</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t>S</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0.175 ± 0.328</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0.236 ± 0.030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0.2370 ± 0.213</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0.238 ± 0.058</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0.385 ± 0.196</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Ca</w:t>
            </w:r>
            <w:proofErr w:type="spellEnd"/>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29.245 ± 9.553</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26.750 ± 1.265</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28.765 ± 5.136</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27.864 ± 3.337</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28.973 ± 5.117</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Cu</w:t>
            </w:r>
            <w:proofErr w:type="spellEnd"/>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0.020 ± 0.020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0.015 ± 0.023</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0.008 ± 0.018</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r>
      <w:tr w:rsidR="000E5A8B" w:rsidRPr="00462196" w:rsidTr="00027FF7">
        <w:trPr>
          <w:trHeight w:val="229"/>
        </w:trPr>
        <w:tc>
          <w:tcPr>
            <w:tcW w:w="994"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r w:rsidRPr="00B63BD5">
              <w:rPr>
                <w:rFonts w:eastAsia="Times New Roman" w:cs="Times New Roman"/>
                <w:b/>
                <w:bCs/>
                <w:color w:val="000000"/>
                <w:sz w:val="18"/>
                <w:szCs w:val="18"/>
                <w:lang w:eastAsia="hu-HU"/>
              </w:rPr>
              <w:lastRenderedPageBreak/>
              <w:t>K</w:t>
            </w:r>
          </w:p>
        </w:tc>
        <w:tc>
          <w:tcPr>
            <w:tcW w:w="1698"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0.015 ± 0.048</w:t>
            </w:r>
          </w:p>
        </w:tc>
        <w:tc>
          <w:tcPr>
            <w:tcW w:w="1680"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559"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c>
          <w:tcPr>
            <w:tcW w:w="1663" w:type="dxa"/>
            <w:tcBorders>
              <w:top w:val="nil"/>
              <w:left w:val="nil"/>
              <w:bottom w:val="nil"/>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r>
      <w:tr w:rsidR="000E5A8B" w:rsidRPr="00462196" w:rsidTr="00027FF7">
        <w:trPr>
          <w:trHeight w:val="229"/>
        </w:trPr>
        <w:tc>
          <w:tcPr>
            <w:tcW w:w="994" w:type="dxa"/>
            <w:tcBorders>
              <w:top w:val="nil"/>
              <w:left w:val="nil"/>
              <w:bottom w:val="single" w:sz="4" w:space="0" w:color="auto"/>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b/>
                <w:bCs/>
                <w:color w:val="000000"/>
                <w:sz w:val="18"/>
                <w:szCs w:val="18"/>
                <w:lang w:eastAsia="hu-HU"/>
              </w:rPr>
            </w:pPr>
            <w:proofErr w:type="spellStart"/>
            <w:r w:rsidRPr="00B63BD5">
              <w:rPr>
                <w:rFonts w:eastAsia="Times New Roman" w:cs="Times New Roman"/>
                <w:b/>
                <w:bCs/>
                <w:color w:val="000000"/>
                <w:sz w:val="18"/>
                <w:szCs w:val="18"/>
                <w:lang w:eastAsia="hu-HU"/>
              </w:rPr>
              <w:t>Br</w:t>
            </w:r>
            <w:proofErr w:type="spellEnd"/>
          </w:p>
        </w:tc>
        <w:tc>
          <w:tcPr>
            <w:tcW w:w="1698" w:type="dxa"/>
            <w:tcBorders>
              <w:top w:val="nil"/>
              <w:left w:val="nil"/>
              <w:bottom w:val="single" w:sz="4" w:space="0" w:color="auto"/>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80" w:type="dxa"/>
            <w:tcBorders>
              <w:top w:val="nil"/>
              <w:left w:val="nil"/>
              <w:bottom w:val="single" w:sz="4" w:space="0" w:color="auto"/>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663" w:type="dxa"/>
            <w:tcBorders>
              <w:top w:val="nil"/>
              <w:left w:val="nil"/>
              <w:bottom w:val="single" w:sz="4" w:space="0" w:color="auto"/>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00000"/>
                <w:sz w:val="18"/>
                <w:szCs w:val="18"/>
                <w:lang w:eastAsia="hu-HU"/>
              </w:rPr>
            </w:pPr>
            <w:r w:rsidRPr="00B63BD5">
              <w:rPr>
                <w:rFonts w:eastAsia="Times New Roman" w:cs="Times New Roman"/>
                <w:color w:val="000000"/>
                <w:sz w:val="18"/>
                <w:szCs w:val="18"/>
                <w:lang w:eastAsia="hu-HU"/>
              </w:rPr>
              <w:t>0</w:t>
            </w:r>
          </w:p>
        </w:tc>
        <w:tc>
          <w:tcPr>
            <w:tcW w:w="1559" w:type="dxa"/>
            <w:tcBorders>
              <w:top w:val="nil"/>
              <w:left w:val="nil"/>
              <w:bottom w:val="single" w:sz="4" w:space="0" w:color="auto"/>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w:t>
            </w:r>
          </w:p>
        </w:tc>
        <w:tc>
          <w:tcPr>
            <w:tcW w:w="1663" w:type="dxa"/>
            <w:tcBorders>
              <w:top w:val="nil"/>
              <w:left w:val="nil"/>
              <w:bottom w:val="single" w:sz="4" w:space="0" w:color="auto"/>
              <w:right w:val="nil"/>
            </w:tcBorders>
            <w:shd w:val="clear" w:color="000000" w:fill="FFFFFF"/>
            <w:noWrap/>
            <w:vAlign w:val="center"/>
            <w:hideMark/>
          </w:tcPr>
          <w:p w:rsidR="000E5A8B" w:rsidRPr="00B63BD5" w:rsidRDefault="000E5A8B" w:rsidP="00027FF7">
            <w:pPr>
              <w:spacing w:after="0" w:line="240" w:lineRule="auto"/>
              <w:jc w:val="center"/>
              <w:rPr>
                <w:rFonts w:eastAsia="Times New Roman" w:cs="Times New Roman"/>
                <w:color w:val="0D0D0D"/>
                <w:sz w:val="18"/>
                <w:szCs w:val="18"/>
                <w:lang w:eastAsia="hu-HU"/>
              </w:rPr>
            </w:pPr>
            <w:r w:rsidRPr="00B63BD5">
              <w:rPr>
                <w:rFonts w:eastAsia="Times New Roman" w:cs="Times New Roman"/>
                <w:color w:val="0D0D0D"/>
                <w:sz w:val="18"/>
                <w:szCs w:val="18"/>
                <w:lang w:eastAsia="hu-HU"/>
              </w:rPr>
              <w:t>0.130 ± 0.162</w:t>
            </w:r>
          </w:p>
        </w:tc>
      </w:tr>
    </w:tbl>
    <w:p w:rsidR="000E5A8B" w:rsidRDefault="000E5A8B" w:rsidP="000E5A8B">
      <w:pPr>
        <w:rPr>
          <w:lang w:val="en-US"/>
        </w:rPr>
      </w:pPr>
    </w:p>
    <w:p w:rsidR="000E5A8B" w:rsidRDefault="00DA24DB" w:rsidP="000E5A8B">
      <w:pPr>
        <w:rPr>
          <w:lang w:val="en-US"/>
        </w:rPr>
      </w:pPr>
      <w:r>
        <w:rPr>
          <w:lang w:val="en-US"/>
        </w:rPr>
        <w:t>Figure 4</w:t>
      </w:r>
      <w:r w:rsidR="000E5A8B">
        <w:rPr>
          <w:lang w:val="en-US"/>
        </w:rPr>
        <w:t xml:space="preserve"> is a graphical representation of the distribution of trac</w:t>
      </w:r>
      <w:r>
        <w:rPr>
          <w:lang w:val="en-US"/>
        </w:rPr>
        <w:t>e elements summarized in Table 2</w:t>
      </w:r>
      <w:r w:rsidR="000E5A8B">
        <w:rPr>
          <w:lang w:val="en-US"/>
        </w:rPr>
        <w:t>. We can see clearly the decrease of Mg while the increase of Sulphur. Furthermore, Sulphur as keystone of dyes can be seen in each sample, while nitrogen is eliminated. In the case of BPB, the presence of bromine proves the eggshells’ adsorption ability. Results obtained demonstrate that even in small concentrations (50 mg/L) the elemental composition of the eggshell can change when is used for dye adsorption.</w:t>
      </w:r>
    </w:p>
    <w:p w:rsidR="000E5A8B" w:rsidRDefault="000E5A8B" w:rsidP="00A82BF3">
      <w:pPr>
        <w:spacing w:after="0" w:line="240" w:lineRule="auto"/>
        <w:jc w:val="left"/>
        <w:rPr>
          <w:lang w:val="en-US"/>
        </w:rPr>
      </w:pPr>
      <w:r>
        <w:rPr>
          <w:noProof/>
          <w:lang w:val="en-US"/>
        </w:rPr>
        <w:drawing>
          <wp:inline distT="0" distB="0" distL="0" distR="0" wp14:anchorId="4D1F7F96" wp14:editId="4C6E8052">
            <wp:extent cx="2880000" cy="2160000"/>
            <wp:effectExtent l="0" t="0" r="0" b="0"/>
            <wp:docPr id="6" name="Diagram 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E5A8B" w:rsidRPr="00B63BD5" w:rsidRDefault="00DA24DB" w:rsidP="00A82BF3">
      <w:pPr>
        <w:spacing w:after="0" w:line="240" w:lineRule="auto"/>
        <w:jc w:val="left"/>
        <w:rPr>
          <w:sz w:val="20"/>
          <w:szCs w:val="20"/>
          <w:lang w:val="en-US"/>
        </w:rPr>
      </w:pPr>
      <w:r>
        <w:rPr>
          <w:b/>
          <w:sz w:val="20"/>
          <w:szCs w:val="20"/>
          <w:lang w:val="en-US"/>
        </w:rPr>
        <w:t>Figure 4</w:t>
      </w:r>
      <w:r w:rsidR="000E5A8B" w:rsidRPr="00244428">
        <w:rPr>
          <w:b/>
          <w:sz w:val="20"/>
          <w:szCs w:val="20"/>
          <w:lang w:val="en-US"/>
        </w:rPr>
        <w:t>.</w:t>
      </w:r>
      <w:r w:rsidR="000E5A8B" w:rsidRPr="00244428">
        <w:rPr>
          <w:sz w:val="20"/>
          <w:szCs w:val="20"/>
          <w:lang w:val="en-US"/>
        </w:rPr>
        <w:t xml:space="preserve"> Appearance of trace elements in eggsh</w:t>
      </w:r>
      <w:r w:rsidR="000E5A8B">
        <w:rPr>
          <w:sz w:val="20"/>
          <w:szCs w:val="20"/>
          <w:lang w:val="en-US"/>
        </w:rPr>
        <w:t>ell before and after adsorption</w:t>
      </w:r>
    </w:p>
    <w:p w:rsidR="000E5A8B" w:rsidRDefault="000E5A8B" w:rsidP="000E5A8B">
      <w:pPr>
        <w:rPr>
          <w:b/>
          <w:lang w:val="en-US"/>
        </w:rPr>
      </w:pPr>
    </w:p>
    <w:p w:rsidR="000E5A8B" w:rsidRDefault="000E5A8B" w:rsidP="000E5A8B">
      <w:pPr>
        <w:rPr>
          <w:b/>
          <w:lang w:val="en-US"/>
        </w:rPr>
      </w:pPr>
      <w:r w:rsidRPr="00B144DB">
        <w:rPr>
          <w:b/>
          <w:lang w:val="en-US"/>
        </w:rPr>
        <w:t>Bioconcentration factor</w:t>
      </w:r>
    </w:p>
    <w:p w:rsidR="000E5A8B" w:rsidRPr="006502A2" w:rsidRDefault="00DA24DB" w:rsidP="000E5A8B">
      <w:pPr>
        <w:rPr>
          <w:color w:val="FF0000"/>
          <w:lang w:val="en-US"/>
        </w:rPr>
      </w:pPr>
      <w:r>
        <w:rPr>
          <w:lang w:val="en-US"/>
        </w:rPr>
        <w:t>Figure 5</w:t>
      </w:r>
      <w:r w:rsidR="000E5A8B">
        <w:rPr>
          <w:lang w:val="en-US"/>
        </w:rPr>
        <w:t xml:space="preserve"> shows that BCF decreases with the in</w:t>
      </w:r>
      <w:r w:rsidR="000E5A8B" w:rsidRPr="00500465">
        <w:rPr>
          <w:lang w:val="en-US"/>
        </w:rPr>
        <w:t>crease of dye concent</w:t>
      </w:r>
      <w:r w:rsidR="000E5A8B">
        <w:rPr>
          <w:lang w:val="en-US"/>
        </w:rPr>
        <w:t>ration in case of Congo Red while BCF increases in case of M</w:t>
      </w:r>
      <w:r w:rsidR="000E5A8B" w:rsidRPr="00500465">
        <w:rPr>
          <w:lang w:val="en-US"/>
        </w:rPr>
        <w:t>G</w:t>
      </w:r>
      <w:r w:rsidR="000E5A8B" w:rsidRPr="006502A2">
        <w:rPr>
          <w:color w:val="0D0D0D" w:themeColor="text1" w:themeTint="F2"/>
          <w:lang w:val="en-US"/>
        </w:rPr>
        <w:t>, clearly demonstrating that eggshell is a promising biosorbent to remove indicators</w:t>
      </w:r>
      <w:r w:rsidR="00F97D08">
        <w:rPr>
          <w:color w:val="0D0D0D" w:themeColor="text1" w:themeTint="F2"/>
          <w:lang w:val="en-US"/>
        </w:rPr>
        <w:t>.</w:t>
      </w:r>
      <w:r w:rsidR="006502A2">
        <w:rPr>
          <w:color w:val="0D0D0D" w:themeColor="text1" w:themeTint="F2"/>
          <w:lang w:val="en-US"/>
        </w:rPr>
        <w:fldChar w:fldCharType="begin"/>
      </w:r>
      <w:r w:rsidR="00F97D08">
        <w:rPr>
          <w:color w:val="0D0D0D" w:themeColor="text1" w:themeTint="F2"/>
          <w:lang w:val="en-US"/>
        </w:rPr>
        <w:instrText xml:space="preserve"> ADDIN ZOTERO_ITEM CSL_CITATION {"citationID":"abst1sd0gd","properties":{"formattedCitation":"\\super [10]\\nosupersub{}","plainCitation":"[10]","dontUpdate":true,"noteIndex":0},"citationItems":[{"id":751,"uris":["http://zotero.org/users/4017583/items/G9XAC443"],"uri":["http://zotero.org/users/4017583/items/G9XAC443"],"itemData":{"id":751,"type":"article-journal","title":"Biosorption of Cd(II) Ions from Aqueous Solution Onto Eggshell Waste Kinetic and equilibrium isotherm studies","container-title":"Revista de Chimie -Bucharest- Original Edition-","page":"1951-1958","volume":"68","source":"ResearchGate","abstract":"Eggshell waste as adsorbent was successfully used for the removal of Cd(II) ions from model synthetic aqueous solutions. Batch biosorption studies were conducted in order to evaluate the effect of various parameters, such as: contact time and initial metal ion concentration. The changes in the morphological structure were evaluated by TEM and SEM analysis. The experimental isotherm data were analysed using Langmuir, Freundlich, Dubinin-Radushkevich, and Temkin isotherm equations, using regression analysis linear and non-linear form. Langmuir model was found to be in better correlation with experimental data (R 2 =0.99). Biosorption kinetics data were tested using pseudo-first-order, pseudo-second-order, intra-particle and liquid film diffusion models. Kinetics studies showed that the biosorption followed a pseudo-second-order reaction. Removal efficiencies up to 92 % and a maximum adsorption capacity of 8.2 mg/g Cd(II) were obtained experimentally and 7.14 mg/g Cd(II) were obtained from Langmuir isotherm model. The percentage of metal sorption (C i =11 mg/L, E,(%)=92.42), EDS analyses, and bioconcentration factor were also calculated. The investigation findings suggested that the physical adsorption is controlling the adsorption rate. Results of this study indicate that eggshell waste can be effectively used for the removal of Cd(II) ions from aquatic environments. The process is feasible, reliable and eco-friendly.","author":[{"family":"Tonk","given":"Szende"},{"family":"Majdik","given":"Cornelia"},{"family":"Robert","given":"Szép"},{"family":"Suciu","given":"Maria"},{"family":"Rápó","given":"Eszter"},{"family":"Nagy","given":"Boldizsar"},{"family":"Gabriela Niculae","given":"Alexandra"}],"issued":{"date-parts":[["2017",10,18]]}}}],"schema":"https://github.com/citation-style-language/schema/raw/master/csl-citation.json"} </w:instrText>
      </w:r>
      <w:r w:rsidR="006502A2">
        <w:rPr>
          <w:color w:val="0D0D0D" w:themeColor="text1" w:themeTint="F2"/>
          <w:lang w:val="en-US"/>
        </w:rPr>
        <w:fldChar w:fldCharType="separate"/>
      </w:r>
      <w:r w:rsidR="00F22D7A" w:rsidRPr="00F22D7A">
        <w:rPr>
          <w:rFonts w:cs="Times New Roman"/>
          <w:szCs w:val="24"/>
          <w:vertAlign w:val="superscript"/>
        </w:rPr>
        <w:t>10</w:t>
      </w:r>
      <w:r w:rsidR="006502A2">
        <w:rPr>
          <w:color w:val="0D0D0D" w:themeColor="text1" w:themeTint="F2"/>
          <w:lang w:val="en-US"/>
        </w:rPr>
        <w:fldChar w:fldCharType="end"/>
      </w:r>
      <w:r w:rsidR="000E5A8B" w:rsidRPr="006502A2">
        <w:rPr>
          <w:color w:val="0D0D0D" w:themeColor="text1" w:themeTint="F2"/>
          <w:lang w:val="en-US"/>
        </w:rPr>
        <w:t xml:space="preserve"> </w:t>
      </w:r>
      <w:r w:rsidR="000E5A8B">
        <w:rPr>
          <w:lang w:val="en-US"/>
        </w:rPr>
        <w:t>On t</w:t>
      </w:r>
      <w:r w:rsidR="000E5A8B" w:rsidRPr="00500465">
        <w:rPr>
          <w:lang w:val="en-US"/>
        </w:rPr>
        <w:t>he other hand, there is no significant change in the presence of BPB and MB.</w:t>
      </w:r>
    </w:p>
    <w:p w:rsidR="000E5A8B" w:rsidRDefault="000E5A8B" w:rsidP="00A82BF3">
      <w:pPr>
        <w:spacing w:after="0" w:line="240" w:lineRule="auto"/>
        <w:jc w:val="left"/>
        <w:rPr>
          <w:lang w:val="en-US"/>
        </w:rPr>
      </w:pPr>
      <w:r>
        <w:rPr>
          <w:noProof/>
          <w:lang w:val="en-US"/>
        </w:rPr>
        <w:drawing>
          <wp:inline distT="0" distB="0" distL="0" distR="0" wp14:anchorId="463DBA08" wp14:editId="4916A27E">
            <wp:extent cx="2880000" cy="2160000"/>
            <wp:effectExtent l="0" t="0" r="0" b="0"/>
            <wp:docPr id="15" name="Diagra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Start w:id="0" w:name="_GoBack"/>
      <w:bookmarkEnd w:id="0"/>
    </w:p>
    <w:p w:rsidR="000E5A8B" w:rsidRPr="00244428" w:rsidRDefault="00DA24DB" w:rsidP="00A82BF3">
      <w:pPr>
        <w:spacing w:after="0" w:line="240" w:lineRule="auto"/>
        <w:jc w:val="left"/>
        <w:rPr>
          <w:sz w:val="20"/>
          <w:szCs w:val="20"/>
          <w:lang w:val="en-US"/>
        </w:rPr>
      </w:pPr>
      <w:r>
        <w:rPr>
          <w:b/>
          <w:sz w:val="20"/>
          <w:szCs w:val="20"/>
          <w:lang w:val="en-US"/>
        </w:rPr>
        <w:t>Figure 5</w:t>
      </w:r>
      <w:r w:rsidR="000E5A8B" w:rsidRPr="00244428">
        <w:rPr>
          <w:b/>
          <w:sz w:val="20"/>
          <w:szCs w:val="20"/>
          <w:lang w:val="en-US"/>
        </w:rPr>
        <w:t>.</w:t>
      </w:r>
      <w:r w:rsidR="000E5A8B">
        <w:rPr>
          <w:sz w:val="20"/>
          <w:szCs w:val="20"/>
          <w:lang w:val="en-US"/>
        </w:rPr>
        <w:t xml:space="preserve"> Bioconcentration</w:t>
      </w:r>
      <w:r w:rsidR="000E5A8B" w:rsidRPr="00244428">
        <w:rPr>
          <w:sz w:val="20"/>
          <w:szCs w:val="20"/>
          <w:lang w:val="en-US"/>
        </w:rPr>
        <w:t xml:space="preserve"> factor </w:t>
      </w:r>
    </w:p>
    <w:p w:rsidR="000E5A8B" w:rsidRDefault="000E5A8B" w:rsidP="000E5A8B">
      <w:pPr>
        <w:rPr>
          <w:lang w:val="en-US"/>
        </w:rPr>
      </w:pPr>
    </w:p>
    <w:p w:rsidR="000E5A8B" w:rsidRPr="00FE5094" w:rsidRDefault="000E5A8B" w:rsidP="000E5A8B">
      <w:pPr>
        <w:rPr>
          <w:b/>
          <w:lang w:val="en-US"/>
        </w:rPr>
      </w:pPr>
      <w:r w:rsidRPr="00FE5094">
        <w:rPr>
          <w:b/>
          <w:lang w:val="en-US"/>
        </w:rPr>
        <w:lastRenderedPageBreak/>
        <w:t>Ecotoxicological test</w:t>
      </w:r>
    </w:p>
    <w:p w:rsidR="000E5A8B" w:rsidRDefault="000E5A8B" w:rsidP="000E5A8B">
      <w:pPr>
        <w:rPr>
          <w:lang w:val="en-US"/>
        </w:rPr>
      </w:pPr>
      <w:r>
        <w:rPr>
          <w:lang w:val="en-US"/>
        </w:rPr>
        <w:t>During research the toxicity of each indicator was studied by carrying out seed germination, seedling growth test for salad (lettuce) and mustard seeds. Four different concentrations were used beside the control sample. After 72 h. the length of each seeds’ root was measured and 2x25 measurements’ arithmetic mean was calculated and summarized in tables.</w:t>
      </w:r>
    </w:p>
    <w:p w:rsidR="000E5A8B" w:rsidRDefault="00DA24DB" w:rsidP="000E5A8B">
      <w:pPr>
        <w:rPr>
          <w:lang w:val="en-US"/>
        </w:rPr>
      </w:pPr>
      <w:r>
        <w:rPr>
          <w:lang w:val="en-US"/>
        </w:rPr>
        <w:t>For Congo Red in Table 3</w:t>
      </w:r>
      <w:r w:rsidR="000E5A8B">
        <w:rPr>
          <w:lang w:val="en-US"/>
        </w:rPr>
        <w:t xml:space="preserve"> it is obvious that for lettuce seed the inhibition of germination can reach 80%, while for mustard seed negative values were obtained. The growth of the seed roots can be explained by the presence of nitrogen in the dye. Moreover, from the 25 seeds more were germinated in case of mustard than in case of lettuce.</w:t>
      </w:r>
    </w:p>
    <w:p w:rsidR="000E5A8B" w:rsidRDefault="000E5A8B" w:rsidP="000E5A8B">
      <w:pPr>
        <w:rPr>
          <w:lang w:val="en-US"/>
        </w:rPr>
      </w:pPr>
      <w:r>
        <w:rPr>
          <w:lang w:val="en-US"/>
        </w:rPr>
        <w:t xml:space="preserve">Table </w:t>
      </w:r>
      <w:r w:rsidR="00DA24DB">
        <w:rPr>
          <w:lang w:val="en-US"/>
        </w:rPr>
        <w:t>3</w:t>
      </w:r>
      <w:r>
        <w:rPr>
          <w:lang w:val="en-US"/>
        </w:rPr>
        <w:t xml:space="preserve"> shows that the degree of germination is increased by increasing the concentration in case of BPB. The inhibition grows with concentration increase, in high concentrations (1 g/L) for lettuce reaches 100% and for mustard 99.85%.</w:t>
      </w:r>
    </w:p>
    <w:p w:rsidR="000E5A8B" w:rsidRDefault="000E5A8B" w:rsidP="000E5A8B">
      <w:pPr>
        <w:rPr>
          <w:lang w:val="en-US"/>
        </w:rPr>
      </w:pPr>
      <w:r>
        <w:rPr>
          <w:lang w:val="en-US"/>
        </w:rPr>
        <w:t>In case of MB for lettuce seed the inhibition is around 30% for 10 mg/L concentration, the inhibition increases with the increase of dye concentration. For mustard seed, the values are much lower. During experiments the mustard seed became blue and the seeds also discolored.</w:t>
      </w:r>
    </w:p>
    <w:p w:rsidR="000E5A8B" w:rsidRDefault="000E5A8B" w:rsidP="000E5A8B">
      <w:pPr>
        <w:rPr>
          <w:lang w:val="en-US"/>
        </w:rPr>
      </w:pPr>
      <w:r>
        <w:rPr>
          <w:lang w:val="en-US"/>
        </w:rPr>
        <w:t>Both for the mustard and lettuce seed the inhibition was high in case of MG, more than 88% was obtained even at low concentration (10 mg/L) for mustard seed, whereas in case of lettuce seed more seeds germinated. Mustard seeds have become colored and around them (in the inhibition zone) the dye was discolored.</w:t>
      </w:r>
    </w:p>
    <w:p w:rsidR="000E5A8B" w:rsidRPr="00244428" w:rsidRDefault="000E5A8B" w:rsidP="000E5A8B">
      <w:pPr>
        <w:spacing w:after="0" w:line="240" w:lineRule="auto"/>
        <w:ind w:right="-142"/>
        <w:rPr>
          <w:sz w:val="20"/>
          <w:szCs w:val="20"/>
          <w:lang w:val="en-US"/>
        </w:rPr>
      </w:pPr>
      <w:r w:rsidRPr="00244428">
        <w:rPr>
          <w:b/>
          <w:sz w:val="20"/>
          <w:szCs w:val="20"/>
          <w:lang w:val="en-US"/>
        </w:rPr>
        <w:t xml:space="preserve">Table </w:t>
      </w:r>
      <w:r w:rsidR="00DA24DB">
        <w:rPr>
          <w:b/>
          <w:sz w:val="20"/>
          <w:szCs w:val="20"/>
          <w:lang w:val="en-US"/>
        </w:rPr>
        <w:t>3</w:t>
      </w:r>
      <w:r w:rsidRPr="00244428">
        <w:rPr>
          <w:b/>
          <w:sz w:val="20"/>
          <w:szCs w:val="20"/>
          <w:lang w:val="en-US"/>
        </w:rPr>
        <w:t>.</w:t>
      </w:r>
      <w:r w:rsidRPr="00244428">
        <w:rPr>
          <w:sz w:val="20"/>
          <w:szCs w:val="20"/>
          <w:lang w:val="en-US"/>
        </w:rPr>
        <w:t xml:space="preserve"> Seedling growth test containing root growth inhibition data, as the standard method required results obtained were computed from 2 parallel experiments (C</w:t>
      </w:r>
      <w:r w:rsidRPr="00244428">
        <w:rPr>
          <w:rFonts w:eastAsia="MS Mincho"/>
          <w:color w:val="000000"/>
          <w:sz w:val="20"/>
          <w:szCs w:val="20"/>
          <w:vertAlign w:val="subscript"/>
          <w:lang w:val="en-US"/>
        </w:rPr>
        <w:t>i</w:t>
      </w:r>
      <w:r w:rsidRPr="00244428">
        <w:rPr>
          <w:rFonts w:eastAsia="MS Mincho"/>
          <w:color w:val="000000"/>
          <w:sz w:val="20"/>
          <w:szCs w:val="20"/>
          <w:lang w:val="en-US"/>
        </w:rPr>
        <w:t>= 10-</w:t>
      </w:r>
      <w:r w:rsidRPr="00244428">
        <w:rPr>
          <w:rFonts w:eastAsia="TimesNewRomanPSMT"/>
          <w:color w:val="000000"/>
          <w:sz w:val="20"/>
          <w:szCs w:val="20"/>
          <w:lang w:val="en-US"/>
        </w:rPr>
        <w:t>1000 mg/L, T=20</w:t>
      </w:r>
      <w:r w:rsidRPr="00244428">
        <w:rPr>
          <w:rFonts w:eastAsia="TimesNewRomanPSMT"/>
          <w:color w:val="000000"/>
          <w:sz w:val="20"/>
          <w:szCs w:val="20"/>
          <w:vertAlign w:val="superscript"/>
          <w:lang w:val="en-US"/>
        </w:rPr>
        <w:t>o</w:t>
      </w:r>
      <w:r w:rsidRPr="00244428">
        <w:rPr>
          <w:rFonts w:eastAsia="TimesNewRomanPSMT"/>
          <w:color w:val="000000"/>
          <w:sz w:val="20"/>
          <w:szCs w:val="20"/>
          <w:lang w:val="en-US"/>
        </w:rPr>
        <w:t>C, t=72h</w:t>
      </w:r>
      <w:r w:rsidRPr="00244428">
        <w:rPr>
          <w:rFonts w:eastAsia="MS Mincho"/>
          <w:color w:val="000000"/>
          <w:sz w:val="20"/>
          <w:szCs w:val="20"/>
          <w:lang w:val="en-US"/>
        </w:rPr>
        <w:t>)</w:t>
      </w:r>
    </w:p>
    <w:tbl>
      <w:tblPr>
        <w:tblW w:w="9160" w:type="dxa"/>
        <w:tblCellMar>
          <w:left w:w="70" w:type="dxa"/>
          <w:right w:w="70" w:type="dxa"/>
        </w:tblCellMar>
        <w:tblLook w:val="0420" w:firstRow="1" w:lastRow="0" w:firstColumn="0" w:lastColumn="0" w:noHBand="0" w:noVBand="1"/>
      </w:tblPr>
      <w:tblGrid>
        <w:gridCol w:w="1510"/>
        <w:gridCol w:w="953"/>
        <w:gridCol w:w="958"/>
        <w:gridCol w:w="954"/>
        <w:gridCol w:w="959"/>
        <w:gridCol w:w="954"/>
        <w:gridCol w:w="959"/>
        <w:gridCol w:w="954"/>
        <w:gridCol w:w="959"/>
      </w:tblGrid>
      <w:tr w:rsidR="000E5A8B" w:rsidRPr="00E75387" w:rsidTr="00027FF7">
        <w:trPr>
          <w:trHeight w:val="425"/>
        </w:trPr>
        <w:tc>
          <w:tcPr>
            <w:tcW w:w="1510" w:type="dxa"/>
            <w:tcBorders>
              <w:top w:val="single" w:sz="4" w:space="0" w:color="auto"/>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Dye</w:t>
            </w:r>
            <w:proofErr w:type="spellEnd"/>
          </w:p>
        </w:tc>
        <w:tc>
          <w:tcPr>
            <w:tcW w:w="1911" w:type="dxa"/>
            <w:gridSpan w:val="2"/>
            <w:tcBorders>
              <w:top w:val="single" w:sz="4" w:space="0" w:color="auto"/>
              <w:left w:val="nil"/>
              <w:bottom w:val="single" w:sz="4" w:space="0" w:color="auto"/>
              <w:right w:val="single" w:sz="4" w:space="0" w:color="000000"/>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Congo</w:t>
            </w:r>
            <w:proofErr w:type="spellEnd"/>
            <w:r w:rsidRPr="003A5278">
              <w:rPr>
                <w:rFonts w:eastAsia="Times New Roman" w:cs="Times New Roman"/>
                <w:b/>
                <w:bCs/>
                <w:color w:val="000000"/>
                <w:sz w:val="18"/>
                <w:szCs w:val="18"/>
                <w:lang w:eastAsia="hu-HU"/>
              </w:rPr>
              <w:t xml:space="preserve"> Red</w:t>
            </w:r>
          </w:p>
        </w:tc>
        <w:tc>
          <w:tcPr>
            <w:tcW w:w="1913" w:type="dxa"/>
            <w:gridSpan w:val="2"/>
            <w:tcBorders>
              <w:top w:val="single" w:sz="4" w:space="0" w:color="auto"/>
              <w:left w:val="nil"/>
              <w:bottom w:val="single" w:sz="4" w:space="0" w:color="auto"/>
              <w:right w:val="single" w:sz="4" w:space="0" w:color="000000"/>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BPB</w:t>
            </w:r>
          </w:p>
        </w:tc>
        <w:tc>
          <w:tcPr>
            <w:tcW w:w="1913" w:type="dxa"/>
            <w:gridSpan w:val="2"/>
            <w:tcBorders>
              <w:top w:val="single" w:sz="4" w:space="0" w:color="auto"/>
              <w:left w:val="nil"/>
              <w:bottom w:val="single" w:sz="4" w:space="0" w:color="auto"/>
              <w:right w:val="single" w:sz="4" w:space="0" w:color="000000"/>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MB</w:t>
            </w:r>
          </w:p>
        </w:tc>
        <w:tc>
          <w:tcPr>
            <w:tcW w:w="1913" w:type="dxa"/>
            <w:gridSpan w:val="2"/>
            <w:tcBorders>
              <w:top w:val="single" w:sz="4" w:space="0" w:color="auto"/>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MG</w:t>
            </w:r>
          </w:p>
        </w:tc>
      </w:tr>
      <w:tr w:rsidR="000E5A8B" w:rsidRPr="00E75387" w:rsidTr="00027FF7">
        <w:trPr>
          <w:trHeight w:val="559"/>
        </w:trPr>
        <w:tc>
          <w:tcPr>
            <w:tcW w:w="1510"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Concentration (mg/L)</w:t>
            </w:r>
          </w:p>
        </w:tc>
        <w:tc>
          <w:tcPr>
            <w:tcW w:w="953"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Lettuce</w:t>
            </w:r>
            <w:proofErr w:type="spellEnd"/>
            <w:r w:rsidRPr="003A5278">
              <w:rPr>
                <w:rFonts w:eastAsia="Times New Roman" w:cs="Times New Roman"/>
                <w:b/>
                <w:bCs/>
                <w:color w:val="000000"/>
                <w:sz w:val="18"/>
                <w:szCs w:val="18"/>
                <w:lang w:eastAsia="hu-HU"/>
              </w:rPr>
              <w:t xml:space="preserve"> (%)</w:t>
            </w:r>
          </w:p>
        </w:tc>
        <w:tc>
          <w:tcPr>
            <w:tcW w:w="958" w:type="dxa"/>
            <w:tcBorders>
              <w:top w:val="nil"/>
              <w:left w:val="nil"/>
              <w:bottom w:val="single" w:sz="4" w:space="0" w:color="auto"/>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Mustard</w:t>
            </w:r>
            <w:proofErr w:type="spellEnd"/>
            <w:r w:rsidRPr="003A5278">
              <w:rPr>
                <w:rFonts w:eastAsia="Times New Roman" w:cs="Times New Roman"/>
                <w:b/>
                <w:bCs/>
                <w:color w:val="000000"/>
                <w:sz w:val="18"/>
                <w:szCs w:val="18"/>
                <w:lang w:eastAsia="hu-HU"/>
              </w:rPr>
              <w:t xml:space="preserve"> (%)</w:t>
            </w:r>
          </w:p>
        </w:tc>
        <w:tc>
          <w:tcPr>
            <w:tcW w:w="954"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Lettuce</w:t>
            </w:r>
            <w:proofErr w:type="spellEnd"/>
            <w:r w:rsidRPr="003A5278">
              <w:rPr>
                <w:rFonts w:eastAsia="Times New Roman" w:cs="Times New Roman"/>
                <w:b/>
                <w:bCs/>
                <w:color w:val="000000"/>
                <w:sz w:val="18"/>
                <w:szCs w:val="18"/>
                <w:lang w:eastAsia="hu-HU"/>
              </w:rPr>
              <w:t xml:space="preserve"> (%)</w:t>
            </w:r>
          </w:p>
        </w:tc>
        <w:tc>
          <w:tcPr>
            <w:tcW w:w="959" w:type="dxa"/>
            <w:tcBorders>
              <w:top w:val="nil"/>
              <w:left w:val="nil"/>
              <w:bottom w:val="single" w:sz="4" w:space="0" w:color="auto"/>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Mustard</w:t>
            </w:r>
            <w:proofErr w:type="spellEnd"/>
            <w:r w:rsidRPr="003A5278">
              <w:rPr>
                <w:rFonts w:eastAsia="Times New Roman" w:cs="Times New Roman"/>
                <w:b/>
                <w:bCs/>
                <w:color w:val="000000"/>
                <w:sz w:val="18"/>
                <w:szCs w:val="18"/>
                <w:lang w:eastAsia="hu-HU"/>
              </w:rPr>
              <w:t xml:space="preserve"> (%)</w:t>
            </w:r>
          </w:p>
        </w:tc>
        <w:tc>
          <w:tcPr>
            <w:tcW w:w="954"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Lettuce</w:t>
            </w:r>
            <w:proofErr w:type="spellEnd"/>
            <w:r w:rsidRPr="003A5278">
              <w:rPr>
                <w:rFonts w:eastAsia="Times New Roman" w:cs="Times New Roman"/>
                <w:b/>
                <w:bCs/>
                <w:color w:val="000000"/>
                <w:sz w:val="18"/>
                <w:szCs w:val="18"/>
                <w:lang w:eastAsia="hu-HU"/>
              </w:rPr>
              <w:t xml:space="preserve"> (%)</w:t>
            </w:r>
          </w:p>
        </w:tc>
        <w:tc>
          <w:tcPr>
            <w:tcW w:w="959" w:type="dxa"/>
            <w:tcBorders>
              <w:top w:val="nil"/>
              <w:left w:val="nil"/>
              <w:bottom w:val="single" w:sz="4" w:space="0" w:color="auto"/>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Mustard</w:t>
            </w:r>
            <w:proofErr w:type="spellEnd"/>
            <w:r w:rsidRPr="003A5278">
              <w:rPr>
                <w:rFonts w:eastAsia="Times New Roman" w:cs="Times New Roman"/>
                <w:b/>
                <w:bCs/>
                <w:color w:val="000000"/>
                <w:sz w:val="18"/>
                <w:szCs w:val="18"/>
                <w:lang w:eastAsia="hu-HU"/>
              </w:rPr>
              <w:t xml:space="preserve"> (%)</w:t>
            </w:r>
          </w:p>
        </w:tc>
        <w:tc>
          <w:tcPr>
            <w:tcW w:w="954"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Lettuce</w:t>
            </w:r>
            <w:proofErr w:type="spellEnd"/>
            <w:r w:rsidRPr="003A5278">
              <w:rPr>
                <w:rFonts w:eastAsia="Times New Roman" w:cs="Times New Roman"/>
                <w:b/>
                <w:bCs/>
                <w:color w:val="000000"/>
                <w:sz w:val="18"/>
                <w:szCs w:val="18"/>
                <w:lang w:eastAsia="hu-HU"/>
              </w:rPr>
              <w:t xml:space="preserve"> (%)</w:t>
            </w:r>
          </w:p>
        </w:tc>
        <w:tc>
          <w:tcPr>
            <w:tcW w:w="959"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proofErr w:type="spellStart"/>
            <w:r w:rsidRPr="003A5278">
              <w:rPr>
                <w:rFonts w:eastAsia="Times New Roman" w:cs="Times New Roman"/>
                <w:b/>
                <w:bCs/>
                <w:color w:val="000000"/>
                <w:sz w:val="18"/>
                <w:szCs w:val="18"/>
                <w:lang w:eastAsia="hu-HU"/>
              </w:rPr>
              <w:t>Mustard</w:t>
            </w:r>
            <w:proofErr w:type="spellEnd"/>
            <w:r w:rsidRPr="003A5278">
              <w:rPr>
                <w:rFonts w:eastAsia="Times New Roman" w:cs="Times New Roman"/>
                <w:b/>
                <w:bCs/>
                <w:color w:val="000000"/>
                <w:sz w:val="18"/>
                <w:szCs w:val="18"/>
                <w:lang w:eastAsia="hu-HU"/>
              </w:rPr>
              <w:t xml:space="preserve"> (%)</w:t>
            </w:r>
          </w:p>
        </w:tc>
      </w:tr>
      <w:tr w:rsidR="000E5A8B" w:rsidRPr="00E75387" w:rsidTr="00027FF7">
        <w:trPr>
          <w:trHeight w:val="315"/>
        </w:trPr>
        <w:tc>
          <w:tcPr>
            <w:tcW w:w="1510"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10</w:t>
            </w:r>
          </w:p>
        </w:tc>
        <w:tc>
          <w:tcPr>
            <w:tcW w:w="953"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-35,75</w:t>
            </w:r>
          </w:p>
        </w:tc>
        <w:tc>
          <w:tcPr>
            <w:tcW w:w="958"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-5,31</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24,84</w:t>
            </w:r>
          </w:p>
        </w:tc>
        <w:tc>
          <w:tcPr>
            <w:tcW w:w="959"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45,75</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30,37</w:t>
            </w:r>
          </w:p>
        </w:tc>
        <w:tc>
          <w:tcPr>
            <w:tcW w:w="959"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20,25</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88,68</w:t>
            </w:r>
          </w:p>
        </w:tc>
        <w:tc>
          <w:tcPr>
            <w:tcW w:w="959"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63,36</w:t>
            </w:r>
          </w:p>
        </w:tc>
      </w:tr>
      <w:tr w:rsidR="000E5A8B" w:rsidRPr="00E75387" w:rsidTr="00027FF7">
        <w:trPr>
          <w:trHeight w:val="315"/>
        </w:trPr>
        <w:tc>
          <w:tcPr>
            <w:tcW w:w="1510"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30</w:t>
            </w:r>
          </w:p>
        </w:tc>
        <w:tc>
          <w:tcPr>
            <w:tcW w:w="953"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68,88</w:t>
            </w:r>
          </w:p>
        </w:tc>
        <w:tc>
          <w:tcPr>
            <w:tcW w:w="958"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-25,74</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43,43</w:t>
            </w:r>
          </w:p>
        </w:tc>
        <w:tc>
          <w:tcPr>
            <w:tcW w:w="959"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69,42</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49,09</w:t>
            </w:r>
          </w:p>
        </w:tc>
        <w:tc>
          <w:tcPr>
            <w:tcW w:w="959"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10,81</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93,67</w:t>
            </w:r>
          </w:p>
        </w:tc>
        <w:tc>
          <w:tcPr>
            <w:tcW w:w="959"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83,44</w:t>
            </w:r>
          </w:p>
        </w:tc>
      </w:tr>
      <w:tr w:rsidR="000E5A8B" w:rsidRPr="00E75387" w:rsidTr="00027FF7">
        <w:trPr>
          <w:trHeight w:val="315"/>
        </w:trPr>
        <w:tc>
          <w:tcPr>
            <w:tcW w:w="1510"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50</w:t>
            </w:r>
          </w:p>
        </w:tc>
        <w:tc>
          <w:tcPr>
            <w:tcW w:w="953"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82,62</w:t>
            </w:r>
          </w:p>
        </w:tc>
        <w:tc>
          <w:tcPr>
            <w:tcW w:w="958"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-21,87</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54,97</w:t>
            </w:r>
          </w:p>
        </w:tc>
        <w:tc>
          <w:tcPr>
            <w:tcW w:w="959"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78,79</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79,66</w:t>
            </w:r>
          </w:p>
        </w:tc>
        <w:tc>
          <w:tcPr>
            <w:tcW w:w="959" w:type="dxa"/>
            <w:tcBorders>
              <w:top w:val="nil"/>
              <w:left w:val="nil"/>
              <w:bottom w:val="nil"/>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17,43</w:t>
            </w:r>
          </w:p>
        </w:tc>
        <w:tc>
          <w:tcPr>
            <w:tcW w:w="954"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97,17</w:t>
            </w:r>
          </w:p>
        </w:tc>
        <w:tc>
          <w:tcPr>
            <w:tcW w:w="959" w:type="dxa"/>
            <w:tcBorders>
              <w:top w:val="nil"/>
              <w:left w:val="nil"/>
              <w:bottom w:val="nil"/>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83,16</w:t>
            </w:r>
          </w:p>
        </w:tc>
      </w:tr>
      <w:tr w:rsidR="000E5A8B" w:rsidRPr="00E75387" w:rsidTr="00027FF7">
        <w:trPr>
          <w:trHeight w:val="315"/>
        </w:trPr>
        <w:tc>
          <w:tcPr>
            <w:tcW w:w="1510"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b/>
                <w:bCs/>
                <w:color w:val="000000"/>
                <w:sz w:val="18"/>
                <w:szCs w:val="18"/>
                <w:lang w:eastAsia="hu-HU"/>
              </w:rPr>
            </w:pPr>
            <w:r w:rsidRPr="003A5278">
              <w:rPr>
                <w:rFonts w:eastAsia="Times New Roman" w:cs="Times New Roman"/>
                <w:b/>
                <w:bCs/>
                <w:color w:val="000000"/>
                <w:sz w:val="18"/>
                <w:szCs w:val="18"/>
                <w:lang w:eastAsia="hu-HU"/>
              </w:rPr>
              <w:t>1000</w:t>
            </w:r>
          </w:p>
        </w:tc>
        <w:tc>
          <w:tcPr>
            <w:tcW w:w="953"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36,83</w:t>
            </w:r>
          </w:p>
        </w:tc>
        <w:tc>
          <w:tcPr>
            <w:tcW w:w="958" w:type="dxa"/>
            <w:tcBorders>
              <w:top w:val="nil"/>
              <w:left w:val="nil"/>
              <w:bottom w:val="single" w:sz="4" w:space="0" w:color="auto"/>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18,28</w:t>
            </w:r>
          </w:p>
        </w:tc>
        <w:tc>
          <w:tcPr>
            <w:tcW w:w="954"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100</w:t>
            </w:r>
          </w:p>
        </w:tc>
        <w:tc>
          <w:tcPr>
            <w:tcW w:w="959" w:type="dxa"/>
            <w:tcBorders>
              <w:top w:val="nil"/>
              <w:left w:val="nil"/>
              <w:bottom w:val="single" w:sz="4" w:space="0" w:color="auto"/>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99,85</w:t>
            </w:r>
          </w:p>
        </w:tc>
        <w:tc>
          <w:tcPr>
            <w:tcW w:w="954"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99,19</w:t>
            </w:r>
          </w:p>
        </w:tc>
        <w:tc>
          <w:tcPr>
            <w:tcW w:w="959" w:type="dxa"/>
            <w:tcBorders>
              <w:top w:val="nil"/>
              <w:left w:val="nil"/>
              <w:bottom w:val="single" w:sz="4" w:space="0" w:color="auto"/>
              <w:right w:val="single" w:sz="4" w:space="0" w:color="auto"/>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74,14</w:t>
            </w:r>
          </w:p>
        </w:tc>
        <w:tc>
          <w:tcPr>
            <w:tcW w:w="954"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100</w:t>
            </w:r>
          </w:p>
        </w:tc>
        <w:tc>
          <w:tcPr>
            <w:tcW w:w="959" w:type="dxa"/>
            <w:tcBorders>
              <w:top w:val="nil"/>
              <w:left w:val="nil"/>
              <w:bottom w:val="single" w:sz="4" w:space="0" w:color="auto"/>
              <w:right w:val="nil"/>
            </w:tcBorders>
            <w:shd w:val="clear" w:color="000000" w:fill="FFFFFF"/>
            <w:vAlign w:val="center"/>
            <w:hideMark/>
          </w:tcPr>
          <w:p w:rsidR="000E5A8B" w:rsidRPr="003A5278" w:rsidRDefault="000E5A8B" w:rsidP="00027FF7">
            <w:pPr>
              <w:spacing w:after="0" w:line="240" w:lineRule="auto"/>
              <w:jc w:val="center"/>
              <w:rPr>
                <w:rFonts w:eastAsia="Times New Roman" w:cs="Times New Roman"/>
                <w:color w:val="000000"/>
                <w:sz w:val="18"/>
                <w:szCs w:val="18"/>
                <w:lang w:eastAsia="hu-HU"/>
              </w:rPr>
            </w:pPr>
            <w:r w:rsidRPr="003A5278">
              <w:rPr>
                <w:rFonts w:eastAsia="Times New Roman" w:cs="Times New Roman"/>
                <w:color w:val="000000"/>
                <w:sz w:val="18"/>
                <w:szCs w:val="18"/>
                <w:lang w:eastAsia="hu-HU"/>
              </w:rPr>
              <w:t>97,25</w:t>
            </w:r>
          </w:p>
        </w:tc>
      </w:tr>
    </w:tbl>
    <w:p w:rsidR="000E5A8B" w:rsidRDefault="000E5A8B" w:rsidP="000E5A8B">
      <w:pPr>
        <w:rPr>
          <w:lang w:val="en-US"/>
        </w:rPr>
      </w:pPr>
    </w:p>
    <w:p w:rsidR="000E5A8B" w:rsidRDefault="00DA24DB" w:rsidP="000E5A8B">
      <w:pPr>
        <w:rPr>
          <w:lang w:val="en-US"/>
        </w:rPr>
      </w:pPr>
      <w:r>
        <w:rPr>
          <w:lang w:val="en-US"/>
        </w:rPr>
        <w:t xml:space="preserve"> Figure 5</w:t>
      </w:r>
      <w:r w:rsidR="000E5A8B">
        <w:rPr>
          <w:lang w:val="en-US"/>
        </w:rPr>
        <w:t xml:space="preserve"> shows mustard and lettuce see</w:t>
      </w:r>
      <w:r w:rsidR="00CB6304">
        <w:rPr>
          <w:lang w:val="en-US"/>
        </w:rPr>
        <w:t xml:space="preserve">d sprouts. On the left (Figure </w:t>
      </w:r>
      <w:proofErr w:type="gramStart"/>
      <w:r w:rsidR="00CB6304">
        <w:rPr>
          <w:lang w:val="en-US"/>
        </w:rPr>
        <w:t>6</w:t>
      </w:r>
      <w:r>
        <w:rPr>
          <w:lang w:val="en-US"/>
        </w:rPr>
        <w:t>.</w:t>
      </w:r>
      <w:r w:rsidR="000E5A8B">
        <w:rPr>
          <w:lang w:val="en-US"/>
        </w:rPr>
        <w:t>a,d</w:t>
      </w:r>
      <w:proofErr w:type="gramEnd"/>
      <w:r w:rsidR="000E5A8B">
        <w:rPr>
          <w:lang w:val="en-US"/>
        </w:rPr>
        <w:t>) side seeds were in control solution while on the r</w:t>
      </w:r>
      <w:r w:rsidR="00CB6304">
        <w:rPr>
          <w:lang w:val="en-US"/>
        </w:rPr>
        <w:t>ight (Figure 6</w:t>
      </w:r>
      <w:r>
        <w:rPr>
          <w:lang w:val="en-US"/>
        </w:rPr>
        <w:t>.</w:t>
      </w:r>
      <w:r w:rsidR="000E5A8B">
        <w:rPr>
          <w:lang w:val="en-US"/>
        </w:rPr>
        <w:t xml:space="preserve">b,c) side seeds were placed in 50 mg/L MG solution. It can be seen that the sprouts are healthy and long (lettuce 40 mm, mustard 70 mm), while in the dye solution the seeds were colorful and small (barely 10 mm). It is also noteworthy that the control had at least 20 </w:t>
      </w:r>
      <w:r w:rsidR="000E5A8B">
        <w:rPr>
          <w:lang w:val="en-US"/>
        </w:rPr>
        <w:lastRenderedPageBreak/>
        <w:t>sprouts out of 25 seeds, while in the dye solution it was much less. These observations apply in each case. All in all, we can conclude that seed germination is dye and plant dependent.</w:t>
      </w:r>
    </w:p>
    <w:p w:rsidR="006502A2" w:rsidRDefault="000E5A8B" w:rsidP="00A82BF3">
      <w:pPr>
        <w:spacing w:after="0" w:line="240" w:lineRule="auto"/>
        <w:jc w:val="left"/>
        <w:rPr>
          <w:b/>
          <w:sz w:val="20"/>
          <w:szCs w:val="20"/>
          <w:lang w:val="en-US"/>
        </w:rPr>
      </w:pPr>
      <w:r w:rsidRPr="002B3B31">
        <w:rPr>
          <w:noProof/>
          <w:lang w:val="en-US"/>
        </w:rPr>
        <w:drawing>
          <wp:inline distT="0" distB="0" distL="0" distR="0" wp14:anchorId="04649099" wp14:editId="210BE260">
            <wp:extent cx="4842374" cy="1440000"/>
            <wp:effectExtent l="0" t="0" r="0" b="825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42374" cy="1440000"/>
                    </a:xfrm>
                    <a:prstGeom prst="rect">
                      <a:avLst/>
                    </a:prstGeom>
                    <a:noFill/>
                    <a:ln>
                      <a:noFill/>
                    </a:ln>
                  </pic:spPr>
                </pic:pic>
              </a:graphicData>
            </a:graphic>
          </wp:inline>
        </w:drawing>
      </w:r>
    </w:p>
    <w:p w:rsidR="000E5A8B" w:rsidRDefault="00CB6304" w:rsidP="00A82BF3">
      <w:pPr>
        <w:spacing w:after="0" w:line="240" w:lineRule="auto"/>
        <w:jc w:val="left"/>
        <w:rPr>
          <w:lang w:val="en-US"/>
        </w:rPr>
      </w:pPr>
      <w:r>
        <w:rPr>
          <w:b/>
          <w:sz w:val="20"/>
          <w:szCs w:val="20"/>
          <w:lang w:val="en-US"/>
        </w:rPr>
        <w:t>Figure 6</w:t>
      </w:r>
      <w:r w:rsidR="000E5A8B" w:rsidRPr="00244428">
        <w:rPr>
          <w:b/>
          <w:sz w:val="20"/>
          <w:szCs w:val="20"/>
          <w:lang w:val="en-US"/>
        </w:rPr>
        <w:t>.</w:t>
      </w:r>
      <w:r w:rsidR="000E5A8B" w:rsidRPr="00244428">
        <w:rPr>
          <w:sz w:val="20"/>
          <w:szCs w:val="20"/>
          <w:lang w:val="en-US"/>
        </w:rPr>
        <w:t xml:space="preserve"> Mustard (a, b) and lettuce (c, d) seeds before (a, d) and after (b, c) seed growth test</w:t>
      </w:r>
    </w:p>
    <w:p w:rsidR="000E5A8B" w:rsidRDefault="000E5A8B" w:rsidP="000E5A8B">
      <w:pPr>
        <w:rPr>
          <w:b/>
          <w:lang w:val="en-US"/>
        </w:rPr>
      </w:pPr>
    </w:p>
    <w:p w:rsidR="000E5A8B" w:rsidRPr="00552069" w:rsidRDefault="000E5A8B" w:rsidP="000E5A8B">
      <w:pPr>
        <w:rPr>
          <w:b/>
          <w:lang w:val="en-US"/>
        </w:rPr>
      </w:pPr>
      <w:r w:rsidRPr="00552069">
        <w:rPr>
          <w:b/>
          <w:lang w:val="en-US"/>
        </w:rPr>
        <w:t>Adsorption kinetic models</w:t>
      </w:r>
    </w:p>
    <w:p w:rsidR="000E5A8B" w:rsidRDefault="000E5A8B" w:rsidP="000E5A8B">
      <w:pPr>
        <w:rPr>
          <w:lang w:val="en-US"/>
        </w:rPr>
      </w:pPr>
      <w:r>
        <w:rPr>
          <w:lang w:val="en-US"/>
        </w:rPr>
        <w:t>Experimental data were analyzed using various kinetic models to describe the mechanism of adsorption process of Congo Red, BPB anionic and MB, MG cationic dyes on chicken eggshell household waste. Linearized graphics are only present in case of MB, but the others show similar trends. The pseudo-first-order (</w:t>
      </w:r>
      <w:proofErr w:type="spellStart"/>
      <w:r>
        <w:rPr>
          <w:lang w:val="en-US"/>
        </w:rPr>
        <w:t>Lag</w:t>
      </w:r>
      <w:r w:rsidR="00DA24DB">
        <w:rPr>
          <w:lang w:val="en-US"/>
        </w:rPr>
        <w:t>ergen</w:t>
      </w:r>
      <w:proofErr w:type="spellEnd"/>
      <w:r w:rsidR="00DA24DB">
        <w:rPr>
          <w:lang w:val="en-US"/>
        </w:rPr>
        <w:t>) plot is shown in Figure 6</w:t>
      </w:r>
      <w:r>
        <w:rPr>
          <w:lang w:val="en-US"/>
        </w:rPr>
        <w:t xml:space="preserve">.a. From the intercept and slope of the straight lines’ plot </w:t>
      </w:r>
      <w:proofErr w:type="spellStart"/>
      <w:r>
        <w:rPr>
          <w:lang w:val="en-US"/>
        </w:rPr>
        <w:t>q</w:t>
      </w:r>
      <w:r w:rsidRPr="00707019">
        <w:rPr>
          <w:vertAlign w:val="subscript"/>
          <w:lang w:val="en-US"/>
        </w:rPr>
        <w:t>e</w:t>
      </w:r>
      <w:proofErr w:type="spellEnd"/>
      <w:r>
        <w:rPr>
          <w:lang w:val="en-US"/>
        </w:rPr>
        <w:t xml:space="preserve"> (quantity in equilibrium) and k</w:t>
      </w:r>
      <w:r w:rsidRPr="00707019">
        <w:rPr>
          <w:vertAlign w:val="subscript"/>
          <w:lang w:val="en-US"/>
        </w:rPr>
        <w:t>1</w:t>
      </w:r>
      <w:r>
        <w:rPr>
          <w:lang w:val="en-US"/>
        </w:rPr>
        <w:t xml:space="preserve"> (</w:t>
      </w:r>
      <w:proofErr w:type="spellStart"/>
      <w:r>
        <w:rPr>
          <w:lang w:val="en-US"/>
        </w:rPr>
        <w:t>Lagergen</w:t>
      </w:r>
      <w:proofErr w:type="spellEnd"/>
      <w:r>
        <w:rPr>
          <w:lang w:val="en-US"/>
        </w:rPr>
        <w:t xml:space="preserve"> rate constant) was </w:t>
      </w:r>
      <w:r w:rsidR="00DA24DB">
        <w:rPr>
          <w:lang w:val="en-US"/>
        </w:rPr>
        <w:t>calculated and listed in table 4</w:t>
      </w:r>
      <w:r>
        <w:rPr>
          <w:lang w:val="en-US"/>
        </w:rPr>
        <w:t xml:space="preserve"> for all four indicators.</w:t>
      </w:r>
    </w:p>
    <w:p w:rsidR="00A316C7" w:rsidRDefault="000E5A8B" w:rsidP="00A316C7">
      <w:pPr>
        <w:rPr>
          <w:lang w:val="en-US"/>
        </w:rPr>
      </w:pPr>
      <w:r>
        <w:rPr>
          <w:lang w:val="en-US"/>
        </w:rPr>
        <w:t>Pseudo-second-order (</w:t>
      </w:r>
      <w:proofErr w:type="spellStart"/>
      <w:r>
        <w:rPr>
          <w:lang w:val="en-US"/>
        </w:rPr>
        <w:t>Ho&amp;</w:t>
      </w:r>
      <w:r w:rsidR="00DA24DB">
        <w:rPr>
          <w:lang w:val="en-US"/>
        </w:rPr>
        <w:t>McKay</w:t>
      </w:r>
      <w:proofErr w:type="spellEnd"/>
      <w:r w:rsidR="00DA24DB">
        <w:rPr>
          <w:lang w:val="en-US"/>
        </w:rPr>
        <w:t>) plot is shown in figure 6</w:t>
      </w:r>
      <w:r>
        <w:rPr>
          <w:lang w:val="en-US"/>
        </w:rPr>
        <w:t xml:space="preserve">. b. an as in case of pseudo-first- order kinetic model </w:t>
      </w:r>
      <w:proofErr w:type="spellStart"/>
      <w:r>
        <w:rPr>
          <w:lang w:val="en-US"/>
        </w:rPr>
        <w:t>q</w:t>
      </w:r>
      <w:r w:rsidRPr="00707019">
        <w:rPr>
          <w:vertAlign w:val="subscript"/>
          <w:lang w:val="en-US"/>
        </w:rPr>
        <w:t>e</w:t>
      </w:r>
      <w:proofErr w:type="spellEnd"/>
      <w:r>
        <w:rPr>
          <w:lang w:val="en-US"/>
        </w:rPr>
        <w:t xml:space="preserve"> (quantity in equilibrium) and k</w:t>
      </w:r>
      <w:r>
        <w:rPr>
          <w:vertAlign w:val="subscript"/>
          <w:lang w:val="en-US"/>
        </w:rPr>
        <w:t>2</w:t>
      </w:r>
      <w:r>
        <w:rPr>
          <w:lang w:val="en-US"/>
        </w:rPr>
        <w:t xml:space="preserve"> (equilibrium rate constant) was calculated from strait lines</w:t>
      </w:r>
      <w:r w:rsidR="00DA24DB">
        <w:rPr>
          <w:lang w:val="en-US"/>
        </w:rPr>
        <w:t>’ intercepts and slopes. Table 4</w:t>
      </w:r>
      <w:r>
        <w:rPr>
          <w:lang w:val="en-US"/>
        </w:rPr>
        <w:t xml:space="preserve"> not only shows the kinetic models’ specific parameters but also the linear regression coefficients. Based on received data in all cases pseudo-second-order kinetic model de</w:t>
      </w:r>
      <w:r w:rsidR="00A316C7">
        <w:rPr>
          <w:lang w:val="en-US"/>
        </w:rPr>
        <w:t>scribes the adsorption process.</w:t>
      </w:r>
    </w:p>
    <w:p w:rsidR="00A316C7" w:rsidRDefault="00197C79" w:rsidP="00A82BF3">
      <w:pPr>
        <w:spacing w:after="0" w:line="240" w:lineRule="auto"/>
        <w:jc w:val="left"/>
        <w:rPr>
          <w:lang w:val="en-US"/>
        </w:rPr>
      </w:pPr>
      <w:r>
        <w:rPr>
          <w:noProof/>
          <w:lang w:val="en-US"/>
        </w:rPr>
        <w:drawing>
          <wp:inline distT="0" distB="0" distL="0" distR="0" wp14:anchorId="45404188" wp14:editId="4D1ED9D1">
            <wp:extent cx="2880000" cy="2520000"/>
            <wp:effectExtent l="0" t="0" r="0" b="13970"/>
            <wp:docPr id="17" name="Diagra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noProof/>
          <w:lang w:val="en-US"/>
        </w:rPr>
        <w:drawing>
          <wp:inline distT="0" distB="0" distL="0" distR="0" wp14:anchorId="6BDB2E68" wp14:editId="5290398D">
            <wp:extent cx="2880000" cy="2520000"/>
            <wp:effectExtent l="0" t="0" r="0" b="0"/>
            <wp:docPr id="18" name="Diagra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316C7" w:rsidRDefault="00CB6304" w:rsidP="00A316C7">
      <w:pPr>
        <w:jc w:val="left"/>
        <w:rPr>
          <w:sz w:val="20"/>
          <w:szCs w:val="20"/>
          <w:lang w:val="en-US"/>
        </w:rPr>
      </w:pPr>
      <w:r>
        <w:rPr>
          <w:b/>
          <w:sz w:val="20"/>
          <w:szCs w:val="20"/>
          <w:lang w:val="en-US"/>
        </w:rPr>
        <w:t>Figure 7</w:t>
      </w:r>
      <w:r w:rsidR="000E5A8B" w:rsidRPr="00244428">
        <w:rPr>
          <w:b/>
          <w:sz w:val="20"/>
          <w:szCs w:val="20"/>
          <w:lang w:val="en-US"/>
        </w:rPr>
        <w:t>.</w:t>
      </w:r>
      <w:r w:rsidR="000E5A8B" w:rsidRPr="00244428">
        <w:rPr>
          <w:sz w:val="20"/>
          <w:szCs w:val="20"/>
          <w:lang w:val="en-US"/>
        </w:rPr>
        <w:t xml:space="preserve"> Pseudo-first (a) and pseudo-second (b) order kinetic models in case of MB</w:t>
      </w:r>
    </w:p>
    <w:p w:rsidR="000E5A8B" w:rsidRPr="00A0222A" w:rsidRDefault="00DA24DB" w:rsidP="00A316C7">
      <w:pPr>
        <w:jc w:val="left"/>
        <w:rPr>
          <w:sz w:val="20"/>
          <w:szCs w:val="20"/>
          <w:lang w:val="en-US"/>
        </w:rPr>
      </w:pPr>
      <w:r>
        <w:rPr>
          <w:b/>
          <w:sz w:val="22"/>
          <w:lang w:val="en-US"/>
        </w:rPr>
        <w:lastRenderedPageBreak/>
        <w:t>Table 4</w:t>
      </w:r>
      <w:r w:rsidR="000E5A8B" w:rsidRPr="003775B2">
        <w:rPr>
          <w:b/>
          <w:sz w:val="22"/>
          <w:lang w:val="en-US"/>
        </w:rPr>
        <w:t>.</w:t>
      </w:r>
      <w:r w:rsidR="000E5A8B" w:rsidRPr="003775B2">
        <w:rPr>
          <w:sz w:val="20"/>
          <w:szCs w:val="20"/>
          <w:lang w:val="en-US"/>
        </w:rPr>
        <w:t xml:space="preserve"> </w:t>
      </w:r>
      <w:r w:rsidR="000E5A8B" w:rsidRPr="00A0222A">
        <w:rPr>
          <w:sz w:val="20"/>
          <w:szCs w:val="20"/>
          <w:lang w:val="en-US"/>
        </w:rPr>
        <w:t>Adsorption kinetics (C</w:t>
      </w:r>
      <w:r w:rsidR="000E5A8B" w:rsidRPr="00A0222A">
        <w:rPr>
          <w:sz w:val="20"/>
          <w:szCs w:val="20"/>
          <w:vertAlign w:val="subscript"/>
          <w:lang w:val="en-US"/>
        </w:rPr>
        <w:t>i</w:t>
      </w:r>
      <w:r w:rsidR="000E5A8B">
        <w:rPr>
          <w:sz w:val="20"/>
          <w:szCs w:val="20"/>
          <w:lang w:val="en-US"/>
        </w:rPr>
        <w:t>=10-50 mg/L, 3</w:t>
      </w:r>
      <w:r w:rsidR="000E5A8B" w:rsidRPr="00A0222A">
        <w:rPr>
          <w:sz w:val="20"/>
          <w:szCs w:val="20"/>
          <w:lang w:val="en-US"/>
        </w:rPr>
        <w:t xml:space="preserve"> g biomass, 160 </w:t>
      </w:r>
      <w:proofErr w:type="spellStart"/>
      <w:r w:rsidR="000E5A8B" w:rsidRPr="00A0222A">
        <w:rPr>
          <w:sz w:val="20"/>
          <w:szCs w:val="20"/>
          <w:lang w:val="en-US"/>
        </w:rPr>
        <w:t>μm</w:t>
      </w:r>
      <w:proofErr w:type="spellEnd"/>
      <w:r w:rsidR="000E5A8B" w:rsidRPr="00A0222A">
        <w:rPr>
          <w:sz w:val="20"/>
          <w:szCs w:val="20"/>
          <w:lang w:val="en-US"/>
        </w:rPr>
        <w:t>, 700 rpm, T=20±2</w:t>
      </w:r>
      <w:r w:rsidR="000E5A8B" w:rsidRPr="00A0222A">
        <w:rPr>
          <w:sz w:val="20"/>
          <w:szCs w:val="20"/>
          <w:vertAlign w:val="superscript"/>
          <w:lang w:val="en-US"/>
        </w:rPr>
        <w:t>o</w:t>
      </w:r>
      <w:r w:rsidR="000E5A8B" w:rsidRPr="00A0222A">
        <w:rPr>
          <w:sz w:val="20"/>
          <w:szCs w:val="20"/>
          <w:lang w:val="en-US"/>
        </w:rPr>
        <w:t>C).</w:t>
      </w:r>
    </w:p>
    <w:tbl>
      <w:tblPr>
        <w:tblW w:w="10548" w:type="dxa"/>
        <w:tblInd w:w="-728" w:type="dxa"/>
        <w:tblCellMar>
          <w:left w:w="70" w:type="dxa"/>
          <w:right w:w="70" w:type="dxa"/>
        </w:tblCellMar>
        <w:tblLook w:val="04A0" w:firstRow="1" w:lastRow="0" w:firstColumn="1" w:lastColumn="0" w:noHBand="0" w:noVBand="1"/>
      </w:tblPr>
      <w:tblGrid>
        <w:gridCol w:w="670"/>
        <w:gridCol w:w="640"/>
        <w:gridCol w:w="627"/>
        <w:gridCol w:w="640"/>
        <w:gridCol w:w="627"/>
        <w:gridCol w:w="803"/>
        <w:gridCol w:w="640"/>
        <w:gridCol w:w="627"/>
        <w:gridCol w:w="670"/>
        <w:gridCol w:w="640"/>
        <w:gridCol w:w="627"/>
        <w:gridCol w:w="640"/>
        <w:gridCol w:w="627"/>
        <w:gridCol w:w="803"/>
        <w:gridCol w:w="640"/>
        <w:gridCol w:w="627"/>
      </w:tblGrid>
      <w:tr w:rsidR="000E5A8B" w:rsidRPr="00A0222A" w:rsidTr="00027FF7">
        <w:trPr>
          <w:trHeight w:val="259"/>
        </w:trPr>
        <w:tc>
          <w:tcPr>
            <w:tcW w:w="1310" w:type="dxa"/>
            <w:gridSpan w:val="2"/>
            <w:tcBorders>
              <w:top w:val="single" w:sz="4" w:space="0" w:color="auto"/>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b/>
                <w:bCs/>
                <w:i/>
                <w:iCs/>
                <w:color w:val="000000"/>
                <w:sz w:val="18"/>
                <w:szCs w:val="18"/>
                <w:lang w:eastAsia="hu-HU"/>
              </w:rPr>
            </w:pPr>
            <w:r w:rsidRPr="00A0222A">
              <w:rPr>
                <w:rFonts w:eastAsia="Times New Roman" w:cs="Times New Roman"/>
                <w:b/>
                <w:bCs/>
                <w:i/>
                <w:iCs/>
                <w:color w:val="000000"/>
                <w:sz w:val="18"/>
                <w:szCs w:val="18"/>
                <w:lang w:eastAsia="hu-HU"/>
              </w:rPr>
              <w:t>MB</w:t>
            </w:r>
          </w:p>
        </w:tc>
        <w:tc>
          <w:tcPr>
            <w:tcW w:w="1894" w:type="dxa"/>
            <w:gridSpan w:val="3"/>
            <w:tcBorders>
              <w:top w:val="single" w:sz="4" w:space="0" w:color="auto"/>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Pseudo-first-order</w:t>
            </w:r>
            <w:proofErr w:type="spellEnd"/>
          </w:p>
        </w:tc>
        <w:tc>
          <w:tcPr>
            <w:tcW w:w="2070" w:type="dxa"/>
            <w:gridSpan w:val="3"/>
            <w:tcBorders>
              <w:top w:val="single" w:sz="4" w:space="0" w:color="auto"/>
              <w:left w:val="nil"/>
              <w:bottom w:val="single" w:sz="4" w:space="0" w:color="auto"/>
              <w:right w:val="single" w:sz="4" w:space="0" w:color="000000"/>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Pseudo-second-order</w:t>
            </w:r>
            <w:proofErr w:type="spellEnd"/>
          </w:p>
        </w:tc>
        <w:tc>
          <w:tcPr>
            <w:tcW w:w="1310" w:type="dxa"/>
            <w:gridSpan w:val="2"/>
            <w:tcBorders>
              <w:top w:val="single" w:sz="4" w:space="0" w:color="auto"/>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b/>
                <w:bCs/>
                <w:i/>
                <w:iCs/>
                <w:color w:val="000000"/>
                <w:sz w:val="18"/>
                <w:szCs w:val="18"/>
                <w:lang w:eastAsia="hu-HU"/>
              </w:rPr>
            </w:pPr>
            <w:r w:rsidRPr="00A0222A">
              <w:rPr>
                <w:rFonts w:eastAsia="Times New Roman" w:cs="Times New Roman"/>
                <w:b/>
                <w:bCs/>
                <w:i/>
                <w:iCs/>
                <w:color w:val="000000"/>
                <w:sz w:val="18"/>
                <w:szCs w:val="18"/>
                <w:lang w:eastAsia="hu-HU"/>
              </w:rPr>
              <w:t>CongoRed</w:t>
            </w:r>
          </w:p>
        </w:tc>
        <w:tc>
          <w:tcPr>
            <w:tcW w:w="1894" w:type="dxa"/>
            <w:gridSpan w:val="3"/>
            <w:tcBorders>
              <w:top w:val="single" w:sz="4" w:space="0" w:color="auto"/>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Pseudo-first-order</w:t>
            </w:r>
            <w:proofErr w:type="spellEnd"/>
          </w:p>
        </w:tc>
        <w:tc>
          <w:tcPr>
            <w:tcW w:w="2070" w:type="dxa"/>
            <w:gridSpan w:val="3"/>
            <w:tcBorders>
              <w:top w:val="single" w:sz="4" w:space="0" w:color="auto"/>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Pseudo-second-order</w:t>
            </w:r>
            <w:proofErr w:type="spellEnd"/>
          </w:p>
        </w:tc>
      </w:tr>
      <w:tr w:rsidR="000E5A8B" w:rsidRPr="00A0222A" w:rsidTr="00027FF7">
        <w:trPr>
          <w:trHeight w:val="284"/>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C</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1</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2</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single" w:sz="4" w:space="0" w:color="auto"/>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C</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1</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2</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Pr>
                <w:rFonts w:eastAsia="Times New Roman" w:cs="Times New Roman"/>
                <w:b/>
                <w:bCs/>
                <w:color w:val="000000"/>
                <w:sz w:val="18"/>
                <w:szCs w:val="18"/>
                <w:lang w:eastAsia="hu-HU"/>
              </w:rPr>
              <w:t>(mg/L</w:t>
            </w:r>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exp</w:t>
            </w:r>
            <w:proofErr w:type="spellEnd"/>
            <w:r w:rsidRPr="00A0222A">
              <w:rPr>
                <w:rFonts w:eastAsia="Times New Roman" w:cs="Times New Roman"/>
                <w:b/>
                <w:bCs/>
                <w:color w:val="000000"/>
                <w:sz w:val="18"/>
                <w:szCs w:val="18"/>
                <w:lang w:eastAsia="hu-HU"/>
              </w:rPr>
              <w:t>)</w:t>
            </w:r>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Pr>
                <w:rFonts w:eastAsia="Times New Roman" w:cs="Times New Roman"/>
                <w:b/>
                <w:bCs/>
                <w:color w:val="000000"/>
                <w:sz w:val="18"/>
                <w:szCs w:val="18"/>
                <w:lang w:eastAsia="hu-HU"/>
              </w:rPr>
              <w:t>(1</w:t>
            </w:r>
            <w:r w:rsidRPr="00A0222A">
              <w:rPr>
                <w:rFonts w:eastAsia="Times New Roman" w:cs="Times New Roman"/>
                <w:b/>
                <w:bCs/>
                <w:color w:val="000000"/>
                <w:sz w:val="18"/>
                <w:szCs w:val="18"/>
                <w:lang w:eastAsia="hu-HU"/>
              </w:rPr>
              <w:t>/t)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(g/</w:t>
            </w:r>
            <w:proofErr w:type="spellStart"/>
            <w:r w:rsidRPr="00A0222A">
              <w:rPr>
                <w:rFonts w:eastAsia="Times New Roman" w:cs="Times New Roman"/>
                <w:b/>
                <w:bCs/>
                <w:color w:val="000000"/>
                <w:sz w:val="18"/>
                <w:szCs w:val="18"/>
                <w:lang w:eastAsia="hu-HU"/>
              </w:rPr>
              <w:t>mg×t</w:t>
            </w:r>
            <w:proofErr w:type="spellEnd"/>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single" w:sz="4" w:space="0" w:color="auto"/>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Pr>
                <w:rFonts w:eastAsia="Times New Roman" w:cs="Times New Roman"/>
                <w:b/>
                <w:bCs/>
                <w:color w:val="000000"/>
                <w:sz w:val="18"/>
                <w:szCs w:val="18"/>
                <w:lang w:eastAsia="hu-HU"/>
              </w:rPr>
              <w:t>(mg/L</w:t>
            </w:r>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exp</w:t>
            </w:r>
            <w:proofErr w:type="spellEnd"/>
            <w:r w:rsidRPr="00A0222A">
              <w:rPr>
                <w:rFonts w:eastAsia="Times New Roman" w:cs="Times New Roman"/>
                <w:b/>
                <w:bCs/>
                <w:color w:val="000000"/>
                <w:sz w:val="18"/>
                <w:szCs w:val="18"/>
                <w:lang w:eastAsia="hu-HU"/>
              </w:rPr>
              <w:t>)</w:t>
            </w:r>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Pr>
                <w:rFonts w:eastAsia="Times New Roman" w:cs="Times New Roman"/>
                <w:b/>
                <w:bCs/>
                <w:color w:val="000000"/>
                <w:sz w:val="18"/>
                <w:szCs w:val="18"/>
                <w:lang w:eastAsia="hu-HU"/>
              </w:rPr>
              <w:t>(1</w:t>
            </w:r>
            <w:r w:rsidRPr="00A0222A">
              <w:rPr>
                <w:rFonts w:eastAsia="Times New Roman" w:cs="Times New Roman"/>
                <w:b/>
                <w:bCs/>
                <w:color w:val="000000"/>
                <w:sz w:val="18"/>
                <w:szCs w:val="18"/>
                <w:lang w:eastAsia="hu-HU"/>
              </w:rPr>
              <w:t>/t)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(g/</w:t>
            </w:r>
            <w:proofErr w:type="spellStart"/>
            <w:r w:rsidRPr="00A0222A">
              <w:rPr>
                <w:rFonts w:eastAsia="Times New Roman" w:cs="Times New Roman"/>
                <w:b/>
                <w:bCs/>
                <w:color w:val="000000"/>
                <w:sz w:val="18"/>
                <w:szCs w:val="18"/>
                <w:lang w:eastAsia="hu-HU"/>
              </w:rPr>
              <w:t>mg×t</w:t>
            </w:r>
            <w:proofErr w:type="spellEnd"/>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r>
      <w:tr w:rsidR="000E5A8B" w:rsidRPr="00A0222A" w:rsidTr="00027FF7">
        <w:trPr>
          <w:trHeight w:val="259"/>
        </w:trPr>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single" w:sz="4" w:space="0" w:color="auto"/>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20</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04</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118</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-5</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59</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61</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997</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33</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06</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36</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604</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71</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996</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44</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09</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159</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91</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63</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04</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53</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847</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76</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714</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24</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75</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92</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65</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742</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24</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75</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88</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08</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33</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292</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18</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73</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24</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844</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18</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73</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r>
      <w:tr w:rsidR="000E5A8B" w:rsidRPr="00A0222A" w:rsidTr="00027FF7">
        <w:trPr>
          <w:trHeight w:val="259"/>
        </w:trPr>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50</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07</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07</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29</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144</w:t>
            </w:r>
          </w:p>
        </w:tc>
        <w:tc>
          <w:tcPr>
            <w:tcW w:w="803"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12</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67</w:t>
            </w:r>
          </w:p>
        </w:tc>
        <w:tc>
          <w:tcPr>
            <w:tcW w:w="627" w:type="dxa"/>
            <w:tcBorders>
              <w:top w:val="nil"/>
              <w:left w:val="nil"/>
              <w:bottom w:val="single" w:sz="4" w:space="0" w:color="auto"/>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50</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53</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01</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77</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555</w:t>
            </w:r>
          </w:p>
        </w:tc>
        <w:tc>
          <w:tcPr>
            <w:tcW w:w="803"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12</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67</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r>
      <w:tr w:rsidR="000E5A8B" w:rsidRPr="00A0222A" w:rsidTr="00027FF7">
        <w:trPr>
          <w:trHeight w:val="259"/>
        </w:trPr>
        <w:tc>
          <w:tcPr>
            <w:tcW w:w="1310" w:type="dxa"/>
            <w:gridSpan w:val="2"/>
            <w:tcBorders>
              <w:top w:val="single" w:sz="4" w:space="0" w:color="auto"/>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b/>
                <w:bCs/>
                <w:i/>
                <w:iCs/>
                <w:color w:val="000000"/>
                <w:sz w:val="18"/>
                <w:szCs w:val="18"/>
                <w:lang w:eastAsia="hu-HU"/>
              </w:rPr>
            </w:pPr>
            <w:r w:rsidRPr="00A0222A">
              <w:rPr>
                <w:rFonts w:eastAsia="Times New Roman" w:cs="Times New Roman"/>
                <w:b/>
                <w:bCs/>
                <w:i/>
                <w:iCs/>
                <w:color w:val="000000"/>
                <w:sz w:val="18"/>
                <w:szCs w:val="18"/>
                <w:lang w:eastAsia="hu-HU"/>
              </w:rPr>
              <w:t>MG</w:t>
            </w:r>
          </w:p>
        </w:tc>
        <w:tc>
          <w:tcPr>
            <w:tcW w:w="1894" w:type="dxa"/>
            <w:gridSpan w:val="3"/>
            <w:tcBorders>
              <w:top w:val="single" w:sz="4" w:space="0" w:color="auto"/>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Pseudo-first-order</w:t>
            </w:r>
            <w:proofErr w:type="spellEnd"/>
          </w:p>
        </w:tc>
        <w:tc>
          <w:tcPr>
            <w:tcW w:w="2070" w:type="dxa"/>
            <w:gridSpan w:val="3"/>
            <w:tcBorders>
              <w:top w:val="single" w:sz="4" w:space="0" w:color="auto"/>
              <w:left w:val="nil"/>
              <w:bottom w:val="single" w:sz="4" w:space="0" w:color="auto"/>
              <w:right w:val="single" w:sz="4" w:space="0" w:color="000000"/>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Pseudo-second-order</w:t>
            </w:r>
            <w:proofErr w:type="spellEnd"/>
          </w:p>
        </w:tc>
        <w:tc>
          <w:tcPr>
            <w:tcW w:w="1310" w:type="dxa"/>
            <w:gridSpan w:val="2"/>
            <w:tcBorders>
              <w:top w:val="single" w:sz="4" w:space="0" w:color="auto"/>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b/>
                <w:bCs/>
                <w:i/>
                <w:iCs/>
                <w:color w:val="000000"/>
                <w:sz w:val="18"/>
                <w:szCs w:val="18"/>
                <w:lang w:eastAsia="hu-HU"/>
              </w:rPr>
            </w:pPr>
            <w:r w:rsidRPr="00A0222A">
              <w:rPr>
                <w:rFonts w:eastAsia="Times New Roman" w:cs="Times New Roman"/>
                <w:b/>
                <w:bCs/>
                <w:i/>
                <w:iCs/>
                <w:color w:val="000000"/>
                <w:sz w:val="18"/>
                <w:szCs w:val="18"/>
                <w:lang w:eastAsia="hu-HU"/>
              </w:rPr>
              <w:t>BPB</w:t>
            </w:r>
          </w:p>
        </w:tc>
        <w:tc>
          <w:tcPr>
            <w:tcW w:w="1894" w:type="dxa"/>
            <w:gridSpan w:val="3"/>
            <w:tcBorders>
              <w:top w:val="single" w:sz="4" w:space="0" w:color="auto"/>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Pseudo-first-order</w:t>
            </w:r>
            <w:proofErr w:type="spellEnd"/>
          </w:p>
        </w:tc>
        <w:tc>
          <w:tcPr>
            <w:tcW w:w="2070" w:type="dxa"/>
            <w:gridSpan w:val="3"/>
            <w:tcBorders>
              <w:top w:val="single" w:sz="4" w:space="0" w:color="auto"/>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Pseudo-second-order</w:t>
            </w:r>
            <w:proofErr w:type="spellEnd"/>
          </w:p>
        </w:tc>
      </w:tr>
      <w:tr w:rsidR="000E5A8B" w:rsidRPr="00A0222A" w:rsidTr="00027FF7">
        <w:trPr>
          <w:trHeight w:val="284"/>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C</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1</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2</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single" w:sz="4" w:space="0" w:color="auto"/>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C</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1</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k</w:t>
            </w:r>
            <w:r w:rsidRPr="00A0222A">
              <w:rPr>
                <w:rFonts w:eastAsia="Times New Roman" w:cs="Times New Roman"/>
                <w:b/>
                <w:bCs/>
                <w:color w:val="000000"/>
                <w:sz w:val="18"/>
                <w:szCs w:val="18"/>
                <w:vertAlign w:val="subscript"/>
                <w:lang w:eastAsia="hu-HU"/>
              </w:rPr>
              <w:t>2</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proofErr w:type="spellStart"/>
            <w:r w:rsidRPr="00A0222A">
              <w:rPr>
                <w:rFonts w:eastAsia="Times New Roman" w:cs="Times New Roman"/>
                <w:b/>
                <w:bCs/>
                <w:color w:val="000000"/>
                <w:sz w:val="18"/>
                <w:szCs w:val="18"/>
                <w:lang w:eastAsia="hu-HU"/>
              </w:rPr>
              <w:t>q</w:t>
            </w:r>
            <w:r w:rsidRPr="00A0222A">
              <w:rPr>
                <w:rFonts w:eastAsia="Times New Roman" w:cs="Times New Roman"/>
                <w:b/>
                <w:bCs/>
                <w:color w:val="000000"/>
                <w:sz w:val="18"/>
                <w:szCs w:val="18"/>
                <w:vertAlign w:val="subscript"/>
                <w:lang w:eastAsia="hu-HU"/>
              </w:rPr>
              <w:t>e</w:t>
            </w:r>
            <w:proofErr w:type="spellEnd"/>
          </w:p>
        </w:tc>
        <w:tc>
          <w:tcPr>
            <w:tcW w:w="627" w:type="dxa"/>
            <w:vMerge w:val="restart"/>
            <w:tcBorders>
              <w:top w:val="nil"/>
              <w:left w:val="nil"/>
              <w:bottom w:val="single" w:sz="4" w:space="0" w:color="000000"/>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R</w:t>
            </w:r>
            <w:r w:rsidRPr="00A0222A">
              <w:rPr>
                <w:rFonts w:eastAsia="Times New Roman" w:cs="Times New Roman"/>
                <w:b/>
                <w:bCs/>
                <w:color w:val="000000"/>
                <w:sz w:val="18"/>
                <w:szCs w:val="18"/>
                <w:vertAlign w:val="superscript"/>
                <w:lang w:eastAsia="hu-HU"/>
              </w:rPr>
              <w:t>2</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Pr>
                <w:rFonts w:eastAsia="Times New Roman" w:cs="Times New Roman"/>
                <w:b/>
                <w:bCs/>
                <w:color w:val="000000"/>
                <w:sz w:val="18"/>
                <w:szCs w:val="18"/>
                <w:lang w:eastAsia="hu-HU"/>
              </w:rPr>
              <w:t>(mg/L</w:t>
            </w:r>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exp</w:t>
            </w:r>
            <w:proofErr w:type="spellEnd"/>
            <w:r w:rsidRPr="00A0222A">
              <w:rPr>
                <w:rFonts w:eastAsia="Times New Roman" w:cs="Times New Roman"/>
                <w:b/>
                <w:bCs/>
                <w:color w:val="000000"/>
                <w:sz w:val="18"/>
                <w:szCs w:val="18"/>
                <w:lang w:eastAsia="hu-HU"/>
              </w:rPr>
              <w:t>)</w:t>
            </w:r>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(1/t)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(g/</w:t>
            </w:r>
            <w:proofErr w:type="spellStart"/>
            <w:r w:rsidRPr="00A0222A">
              <w:rPr>
                <w:rFonts w:eastAsia="Times New Roman" w:cs="Times New Roman"/>
                <w:b/>
                <w:bCs/>
                <w:color w:val="000000"/>
                <w:sz w:val="18"/>
                <w:szCs w:val="18"/>
                <w:lang w:eastAsia="hu-HU"/>
              </w:rPr>
              <w:t>mg×t</w:t>
            </w:r>
            <w:proofErr w:type="spellEnd"/>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single" w:sz="4" w:space="0" w:color="auto"/>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Pr>
                <w:rFonts w:eastAsia="Times New Roman" w:cs="Times New Roman"/>
                <w:b/>
                <w:bCs/>
                <w:color w:val="000000"/>
                <w:sz w:val="18"/>
                <w:szCs w:val="18"/>
                <w:lang w:eastAsia="hu-HU"/>
              </w:rPr>
              <w:t>(mg/L</w:t>
            </w:r>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exp</w:t>
            </w:r>
            <w:proofErr w:type="spellEnd"/>
            <w:r w:rsidRPr="00A0222A">
              <w:rPr>
                <w:rFonts w:eastAsia="Times New Roman" w:cs="Times New Roman"/>
                <w:b/>
                <w:bCs/>
                <w:color w:val="000000"/>
                <w:sz w:val="18"/>
                <w:szCs w:val="18"/>
                <w:lang w:eastAsia="hu-HU"/>
              </w:rPr>
              <w:t>)</w:t>
            </w:r>
          </w:p>
        </w:tc>
        <w:tc>
          <w:tcPr>
            <w:tcW w:w="627"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(1/t)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(g/</w:t>
            </w:r>
            <w:proofErr w:type="spellStart"/>
            <w:r w:rsidRPr="00A0222A">
              <w:rPr>
                <w:rFonts w:eastAsia="Times New Roman" w:cs="Times New Roman"/>
                <w:b/>
                <w:bCs/>
                <w:color w:val="000000"/>
                <w:sz w:val="18"/>
                <w:szCs w:val="18"/>
                <w:lang w:eastAsia="hu-HU"/>
              </w:rPr>
              <w:t>mg×t</w:t>
            </w:r>
            <w:proofErr w:type="spellEnd"/>
            <w:r w:rsidRPr="00A0222A">
              <w:rPr>
                <w:rFonts w:eastAsia="Times New Roman" w:cs="Times New Roman"/>
                <w:b/>
                <w:bCs/>
                <w:color w:val="000000"/>
                <w:sz w:val="18"/>
                <w:szCs w:val="18"/>
                <w:lang w:eastAsia="hu-HU"/>
              </w:rPr>
              <w:t>)</w:t>
            </w:r>
          </w:p>
        </w:tc>
        <w:tc>
          <w:tcPr>
            <w:tcW w:w="64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w:t>
            </w:r>
            <w:proofErr w:type="spellStart"/>
            <w:r w:rsidRPr="00A0222A">
              <w:rPr>
                <w:rFonts w:eastAsia="Times New Roman" w:cs="Times New Roman"/>
                <w:b/>
                <w:bCs/>
                <w:color w:val="000000"/>
                <w:sz w:val="18"/>
                <w:szCs w:val="18"/>
                <w:lang w:eastAsia="hu-HU"/>
              </w:rPr>
              <w:t>calc</w:t>
            </w:r>
            <w:proofErr w:type="spellEnd"/>
            <w:r w:rsidRPr="00A0222A">
              <w:rPr>
                <w:rFonts w:eastAsia="Times New Roman" w:cs="Times New Roman"/>
                <w:b/>
                <w:bCs/>
                <w:color w:val="000000"/>
                <w:sz w:val="18"/>
                <w:szCs w:val="18"/>
                <w:lang w:eastAsia="hu-HU"/>
              </w:rPr>
              <w:t>)</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r>
      <w:tr w:rsidR="000E5A8B" w:rsidRPr="00A0222A" w:rsidTr="00027FF7">
        <w:trPr>
          <w:trHeight w:val="259"/>
        </w:trPr>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single" w:sz="4" w:space="0" w:color="auto"/>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c>
          <w:tcPr>
            <w:tcW w:w="803"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 </w:t>
            </w:r>
          </w:p>
        </w:tc>
        <w:tc>
          <w:tcPr>
            <w:tcW w:w="64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b/>
                <w:bCs/>
                <w:color w:val="000000"/>
                <w:sz w:val="18"/>
                <w:szCs w:val="18"/>
                <w:lang w:eastAsia="hu-HU"/>
              </w:rPr>
            </w:pPr>
            <w:r w:rsidRPr="00A0222A">
              <w:rPr>
                <w:rFonts w:eastAsia="Times New Roman" w:cs="Times New Roman"/>
                <w:b/>
                <w:bCs/>
                <w:color w:val="000000"/>
                <w:sz w:val="18"/>
                <w:szCs w:val="18"/>
                <w:lang w:eastAsia="hu-HU"/>
              </w:rPr>
              <w:t>(mg/g)</w:t>
            </w:r>
          </w:p>
        </w:tc>
        <w:tc>
          <w:tcPr>
            <w:tcW w:w="627" w:type="dxa"/>
            <w:vMerge/>
            <w:tcBorders>
              <w:top w:val="nil"/>
              <w:left w:val="nil"/>
              <w:bottom w:val="single" w:sz="4" w:space="0" w:color="000000"/>
              <w:right w:val="nil"/>
            </w:tcBorders>
            <w:vAlign w:val="center"/>
            <w:hideMark/>
          </w:tcPr>
          <w:p w:rsidR="000E5A8B" w:rsidRPr="00A0222A" w:rsidRDefault="000E5A8B" w:rsidP="00027FF7">
            <w:pPr>
              <w:spacing w:after="0" w:line="240" w:lineRule="auto"/>
              <w:jc w:val="left"/>
              <w:rPr>
                <w:rFonts w:eastAsia="Times New Roman" w:cs="Times New Roman"/>
                <w:b/>
                <w:bCs/>
                <w:color w:val="000000"/>
                <w:sz w:val="18"/>
                <w:szCs w:val="18"/>
                <w:lang w:eastAsia="hu-HU"/>
              </w:rPr>
            </w:pP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39</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05</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022</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-5</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07</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04</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06</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731</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45</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995</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02</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12</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137</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-36</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46</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14</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20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07</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29</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262</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21</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42</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919</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08</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25</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276</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8</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89</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30</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09</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07</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55</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935</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25</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68</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991</w:t>
            </w:r>
          </w:p>
        </w:tc>
      </w:tr>
      <w:tr w:rsidR="000E5A8B" w:rsidRPr="00A0222A" w:rsidTr="00027FF7">
        <w:trPr>
          <w:trHeight w:val="259"/>
        </w:trPr>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48</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28</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050</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-18</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31</w:t>
            </w:r>
          </w:p>
        </w:tc>
        <w:tc>
          <w:tcPr>
            <w:tcW w:w="627" w:type="dxa"/>
            <w:tcBorders>
              <w:top w:val="nil"/>
              <w:left w:val="nil"/>
              <w:bottom w:val="nil"/>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nil"/>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40</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08</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03</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61</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946</w:t>
            </w:r>
          </w:p>
        </w:tc>
        <w:tc>
          <w:tcPr>
            <w:tcW w:w="803"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11</w:t>
            </w:r>
          </w:p>
        </w:tc>
        <w:tc>
          <w:tcPr>
            <w:tcW w:w="640"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73</w:t>
            </w:r>
          </w:p>
        </w:tc>
        <w:tc>
          <w:tcPr>
            <w:tcW w:w="627" w:type="dxa"/>
            <w:tcBorders>
              <w:top w:val="nil"/>
              <w:left w:val="nil"/>
              <w:bottom w:val="nil"/>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997</w:t>
            </w:r>
          </w:p>
        </w:tc>
      </w:tr>
      <w:tr w:rsidR="000E5A8B" w:rsidRPr="00A0222A" w:rsidTr="00027FF7">
        <w:trPr>
          <w:trHeight w:val="259"/>
        </w:trPr>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50</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59</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05</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18</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073</w:t>
            </w:r>
          </w:p>
        </w:tc>
        <w:tc>
          <w:tcPr>
            <w:tcW w:w="803"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-34</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70</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4</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71</w:t>
            </w:r>
          </w:p>
        </w:tc>
        <w:tc>
          <w:tcPr>
            <w:tcW w:w="627" w:type="dxa"/>
            <w:tcBorders>
              <w:top w:val="nil"/>
              <w:left w:val="nil"/>
              <w:bottom w:val="single" w:sz="4" w:space="0" w:color="auto"/>
              <w:right w:val="single" w:sz="4" w:space="0" w:color="auto"/>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999</w:t>
            </w:r>
          </w:p>
        </w:tc>
        <w:tc>
          <w:tcPr>
            <w:tcW w:w="670" w:type="dxa"/>
            <w:tcBorders>
              <w:top w:val="nil"/>
              <w:left w:val="nil"/>
              <w:bottom w:val="single" w:sz="4" w:space="0" w:color="auto"/>
              <w:right w:val="nil"/>
            </w:tcBorders>
            <w:shd w:val="clear" w:color="000000" w:fill="FFFFFF"/>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50</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06</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06</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39</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978</w:t>
            </w:r>
          </w:p>
        </w:tc>
        <w:tc>
          <w:tcPr>
            <w:tcW w:w="803"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40</w:t>
            </w:r>
          </w:p>
        </w:tc>
        <w:tc>
          <w:tcPr>
            <w:tcW w:w="640"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52</w:t>
            </w:r>
          </w:p>
        </w:tc>
        <w:tc>
          <w:tcPr>
            <w:tcW w:w="627" w:type="dxa"/>
            <w:tcBorders>
              <w:top w:val="nil"/>
              <w:left w:val="nil"/>
              <w:bottom w:val="single" w:sz="4" w:space="0" w:color="auto"/>
              <w:right w:val="nil"/>
            </w:tcBorders>
            <w:shd w:val="clear" w:color="000000" w:fill="FFFFFF"/>
            <w:noWrap/>
            <w:vAlign w:val="center"/>
            <w:hideMark/>
          </w:tcPr>
          <w:p w:rsidR="000E5A8B" w:rsidRPr="00A0222A" w:rsidRDefault="000E5A8B" w:rsidP="00027FF7">
            <w:pPr>
              <w:spacing w:after="0" w:line="240" w:lineRule="auto"/>
              <w:jc w:val="center"/>
              <w:rPr>
                <w:rFonts w:eastAsia="Times New Roman" w:cs="Times New Roman"/>
                <w:color w:val="000000"/>
                <w:sz w:val="18"/>
                <w:szCs w:val="18"/>
                <w:lang w:eastAsia="hu-HU"/>
              </w:rPr>
            </w:pPr>
            <w:r w:rsidRPr="00A0222A">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A0222A">
              <w:rPr>
                <w:rFonts w:eastAsia="Times New Roman" w:cs="Times New Roman"/>
                <w:color w:val="000000"/>
                <w:sz w:val="18"/>
                <w:szCs w:val="18"/>
                <w:lang w:eastAsia="hu-HU"/>
              </w:rPr>
              <w:t>976</w:t>
            </w:r>
          </w:p>
        </w:tc>
      </w:tr>
    </w:tbl>
    <w:p w:rsidR="000E5A8B" w:rsidRDefault="000E5A8B" w:rsidP="000E5A8B">
      <w:pPr>
        <w:jc w:val="center"/>
        <w:rPr>
          <w:lang w:val="en-US"/>
        </w:rPr>
      </w:pPr>
    </w:p>
    <w:p w:rsidR="00F97D08" w:rsidRDefault="000E5A8B" w:rsidP="000E5A8B">
      <w:pPr>
        <w:rPr>
          <w:lang w:val="en-US"/>
        </w:rPr>
      </w:pPr>
      <w:r>
        <w:rPr>
          <w:lang w:val="en-US"/>
        </w:rPr>
        <w:t xml:space="preserve">Similar results were obtained </w:t>
      </w:r>
      <w:r w:rsidR="00F97D08">
        <w:rPr>
          <w:lang w:val="en-US"/>
        </w:rPr>
        <w:t xml:space="preserve">by Rani et al. </w:t>
      </w:r>
      <w:r>
        <w:rPr>
          <w:lang w:val="en-US"/>
        </w:rPr>
        <w:t>where they studied Congo Red biosorption on coconut residual fiber.</w:t>
      </w:r>
      <w:r w:rsidR="00F97D08">
        <w:rPr>
          <w:lang w:val="en-US"/>
        </w:rPr>
        <w:fldChar w:fldCharType="begin"/>
      </w:r>
      <w:r w:rsidR="00F97D08">
        <w:rPr>
          <w:lang w:val="en-US"/>
        </w:rPr>
        <w:instrText xml:space="preserve"> ADDIN ZOTERO_ITEM CSL_CITATION {"citationID":"dJYxMrMH","properties":{"formattedCitation":"\\super [12,23]\\nosupersub{}","plainCitation":"[12,23]","dontUpdate":true,"noteIndex":0},"citationItems":[{"id":528,"uris":["http://zotero.org/users/4017583/items/GNAPVNAN"],"uri":["http://zotero.org/users/4017583/items/GNAPVNAN"],"itemData":{"id":528,"type":"article-journal","title":"Removal of toxic Congo red dye from water employing low-cost coconut residual fiber","container-title":"Water Science and Technology","page":"2225-2236","volume":"75","issue":"9","source":"wst.iwaponline.com","abstract":"Skip to Next Section\nThe coconut residual fiber (CRF) is the major byproduct obtained during production of virgin coconut oil. Its application as a biosorbent for adsorption of Congo red was investigated. The CRF was subjected to different pretreatments, namely, pressure cooking, hexane treatment, acid treatment and their combinations. The pretreatment of CRF with the combination of hexane, acid, and pressure cooking resulted in the highest degree of adsorption. The equilibrium data were analyzed and found to fit best to both Langmuir and Freundlich isotherms. Thermodynamic parameters such as standard free energy (ΔG0 kJ mol−1), standard enthalpy (ΔH0, kJ mol−1) and standard entropy (ΔS0, kJ mol−1 K−1) of the systems were calculated by using the Langmuir constant. The ΔG0, ΔH0 and ΔS0 were found to be 16.51 kJ mol−1, −19.39 kJ mol−1 and −0.12 kJ mol−1 K−1, respectively, at 300 K. These thermodynamic parameters suggest the present adsorption process to be non-spontaneous and exothermic. The adsorption process was observed to follow pseudo-second-order kinetics. The results suggest that CRF has potential to be a biosorbent for the removal of hazardous material (Congo red dye) with a maximum adsorption capacity of 128.94 mg g−1 at 300 K.","DOI":"10.2166/wst.2017.109","ISSN":"0273-1223, 1996-9732","language":"en","author":[{"family":"Rani","given":"K. C."},{"family":"Naik","given":"Aduja"},{"family":"Chaurasiya","given":"Ram Saran"},{"family":"Raghavarao","given":"K. S. M. S."}],"issued":{"date-parts":[["2017",5,12]]}}},{"id":548,"uris":["http://zotero.org/users/4017583/items/SNHRV7CR"],"uri":["http://zotero.org/users/4017583/items/SNHRV7CR"],"itemData":{"id":548,"type":"article-journal","title":"Methylene blue removal using a low-cost activated carbon adsorbent from tobacco stems: kinetic and equilibrium studies","container-title":"Water Science and Technology","page":"2390-2402","volume":"75","issue":"10","source":"wst.iwaponline.com","abstract":"Skip to Next Section\nThe aim of this study was to prepare activated carbon from tobacco stalks using microwave heating. The prepared activated carbon was applied as an adsorbent in methylene blue (MB) removal from water. The optimum conditions for activated carbon preparation were a radiation power of 280 W for a period of 6 minutes after the impregnation of the precursor material with 30% ZnCl2 for 24 hours. The activated carbon yield and iodine number were 49.43% and 1,264.51 mg/g respectively. The activated carbon also had a point of zero charge of 5.81 with an adsorption capacity of 123.45 mg/g for MB. The optimum conditions for MB adsorption were a pH of 6.5 with an adsorbent dosage of 0.2 g/50 mL at 25 °C. The MB adsorption kinetics followed the pseudo second order kinetic model with the intra-particle diffusion model suggesting a two-step adsorption mechanism. The adsorption data also fitted well within the Langmuir adsorption isotherm model. Tobacco stalks can successfully be turned into an economically important product.","DOI":"10.2166/wst.2017.041","ISSN":"0273-1223, 1996-9732","shortTitle":"Methylene blue removal using a low-cost activated carbon adsorbent from tobacco stems","language":"en","author":[{"family":"Mudyawabikwa","given":"Bellington"},{"family":"Mungondori","given":"Henry H."},{"family":"Tichagwa","given":"Lilian"},{"family":"Katwire","given":"David M."}],"issued":{"date-parts":[["2017",5,25]]}}}],"schema":"https://github.com/citation-style-language/schema/raw/master/csl-citation.json"} </w:instrText>
      </w:r>
      <w:r w:rsidR="00F97D08">
        <w:rPr>
          <w:lang w:val="en-US"/>
        </w:rPr>
        <w:fldChar w:fldCharType="separate"/>
      </w:r>
      <w:r w:rsidR="00F97D08" w:rsidRPr="00F97D08">
        <w:rPr>
          <w:rFonts w:cs="Times New Roman"/>
          <w:szCs w:val="24"/>
          <w:vertAlign w:val="superscript"/>
        </w:rPr>
        <w:t>12</w:t>
      </w:r>
      <w:r w:rsidR="00F97D08">
        <w:rPr>
          <w:lang w:val="en-US"/>
        </w:rPr>
        <w:fldChar w:fldCharType="end"/>
      </w:r>
      <w:r w:rsidR="00F97D08">
        <w:rPr>
          <w:lang w:val="en-US"/>
        </w:rPr>
        <w:t xml:space="preserve"> </w:t>
      </w:r>
      <w:proofErr w:type="spellStart"/>
      <w:r w:rsidR="00F97D08" w:rsidRPr="00F22D7A">
        <w:rPr>
          <w:rFonts w:cs="Times New Roman"/>
          <w:szCs w:val="24"/>
        </w:rPr>
        <w:t>Mudyawabikwa</w:t>
      </w:r>
      <w:proofErr w:type="spellEnd"/>
      <w:r w:rsidR="00F97D08">
        <w:rPr>
          <w:lang w:val="en-US"/>
        </w:rPr>
        <w:t xml:space="preserve"> et al. </w:t>
      </w:r>
      <w:r>
        <w:rPr>
          <w:lang w:val="en-US"/>
        </w:rPr>
        <w:t>studied MB removal by activated carbon made from tobacco stems.</w:t>
      </w:r>
      <w:r w:rsidR="00F97D08">
        <w:rPr>
          <w:lang w:val="en-US"/>
        </w:rPr>
        <w:fldChar w:fldCharType="begin"/>
      </w:r>
      <w:r w:rsidR="00F97D08">
        <w:rPr>
          <w:lang w:val="en-US"/>
        </w:rPr>
        <w:instrText xml:space="preserve"> ADDIN ZOTERO_ITEM CSL_CITATION {"citationID":"c4nSsK60","properties":{"formattedCitation":"\\super [23]\\nosupersub{}","plainCitation":"[23]","dontUpdate":true,"noteIndex":0},"citationItems":[{"id":548,"uris":["http://zotero.org/users/4017583/items/SNHRV7CR"],"uri":["http://zotero.org/users/4017583/items/SNHRV7CR"],"itemData":{"id":548,"type":"article-journal","title":"Methylene blue removal using a low-cost activated carbon adsorbent from tobacco stems: kinetic and equilibrium studies","container-title":"Water Science and Technology","page":"2390-2402","volume":"75","issue":"10","source":"wst.iwaponline.com","abstract":"Skip to Next Section\nThe aim of this study was to prepare activated carbon from tobacco stalks using microwave heating. The prepared activated carbon was applied as an adsorbent in methylene blue (MB) removal from water. The optimum conditions for activated carbon preparation were a radiation power of 280 W for a period of 6 minutes after the impregnation of the precursor material with 30% ZnCl2 for 24 hours. The activated carbon yield and iodine number were 49.43% and 1,264.51 mg/g respectively. The activated carbon also had a point of zero charge of 5.81 with an adsorption capacity of 123.45 mg/g for MB. The optimum conditions for MB adsorption were a pH of 6.5 with an adsorbent dosage of 0.2 g/50 mL at 25 °C. The MB adsorption kinetics followed the pseudo second order kinetic model with the intra-particle diffusion model suggesting a two-step adsorption mechanism. The adsorption data also fitted well within the Langmuir adsorption isotherm model. Tobacco stalks can successfully be turned into an economically important product.","DOI":"10.2166/wst.2017.041","ISSN":"0273-1223, 1996-9732","shortTitle":"Methylene blue removal using a low-cost activated carbon adsorbent from tobacco stems","language":"en","author":[{"family":"Mudyawabikwa","given":"Bellington"},{"family":"Mungondori","given":"Henry H."},{"family":"Tichagwa","given":"Lilian"},{"family":"Katwire","given":"David M."}],"issued":{"date-parts":[["2017",5,25]]}}}],"schema":"https://github.com/citation-style-language/schema/raw/master/csl-citation.json"} </w:instrText>
      </w:r>
      <w:r w:rsidR="00F97D08">
        <w:rPr>
          <w:lang w:val="en-US"/>
        </w:rPr>
        <w:fldChar w:fldCharType="separate"/>
      </w:r>
      <w:r w:rsidR="00F97D08" w:rsidRPr="00F97D08">
        <w:rPr>
          <w:rFonts w:cs="Times New Roman"/>
          <w:szCs w:val="24"/>
          <w:vertAlign w:val="superscript"/>
        </w:rPr>
        <w:t>23</w:t>
      </w:r>
      <w:r w:rsidR="00F97D08">
        <w:rPr>
          <w:lang w:val="en-US"/>
        </w:rPr>
        <w:fldChar w:fldCharType="end"/>
      </w:r>
      <w:r>
        <w:rPr>
          <w:lang w:val="en-US"/>
        </w:rPr>
        <w:t xml:space="preserve"> They affirm that the study of kinetics of this process is really important </w:t>
      </w:r>
      <w:r w:rsidRPr="00BB525E">
        <w:rPr>
          <w:i/>
          <w:lang w:val="en-US"/>
        </w:rPr>
        <w:t>“since it is a depiction of adsorbate uptake rate and also controlling parameter to the adsorption process residual time”.</w:t>
      </w:r>
      <w:r>
        <w:rPr>
          <w:i/>
          <w:lang w:val="en-US"/>
        </w:rPr>
        <w:t xml:space="preserve"> </w:t>
      </w:r>
      <w:r>
        <w:rPr>
          <w:lang w:val="en-US"/>
        </w:rPr>
        <w:t>Pseudo-second-order kinetic model described the adsorption process in case of</w:t>
      </w:r>
      <w:r w:rsidR="00DC6921">
        <w:rPr>
          <w:lang w:val="en-US"/>
        </w:rPr>
        <w:t xml:space="preserve"> MG</w:t>
      </w:r>
      <w:r>
        <w:rPr>
          <w:lang w:val="en-US"/>
        </w:rPr>
        <w:t xml:space="preserve"> using nanowires loaded activated carbon a</w:t>
      </w:r>
      <w:r w:rsidR="00F97D08">
        <w:rPr>
          <w:lang w:val="en-US"/>
        </w:rPr>
        <w:t>s biosorbent and in case of BPB</w:t>
      </w:r>
      <w:r>
        <w:rPr>
          <w:lang w:val="en-US"/>
        </w:rPr>
        <w:t xml:space="preserve"> using bentonite carbon composite material.</w:t>
      </w:r>
      <w:r w:rsidR="00F97D08">
        <w:rPr>
          <w:lang w:val="en-US"/>
        </w:rPr>
        <w:fldChar w:fldCharType="begin"/>
      </w:r>
      <w:r w:rsidR="00F97D08">
        <w:rPr>
          <w:lang w:val="en-US"/>
        </w:rPr>
        <w:instrText xml:space="preserve"> ADDIN ZOTERO_ITEM CSL_CITATION {"citationID":"RWgBpemX","properties":{"formattedCitation":"\\super [14,24]\\nosupersub{}","plainCitation":"[14,24]","noteIndex":0},"citationItems":[{"id":621,"uris":["http://zotero.org/users/4017583/items/6X65QET9"],"uri":["http://zotero.org/users/4017583/items/6X65QET9"],"itemData":{"id":621,"type":"article-journal","title":"Adsorption Kinetics of Bromophenol Blue and Eriochrome Black T using Bentonite Carbon Composite Material, International Journal of Scientific &amp; Engineering Research, Volume 6, Issue 5, May-2015","container-title":"International Journal of Scientific and Engineering Research","source":"ResearchGate","abstract":"Abstract - The present study deals with the adsorption of Bromophenol blue (BB) and Erichrome black T (EBT) – two anionic dyes – onto bentonite carbon composite material (BCC). Batch studies were performed to evaluate the influence of various experimental parameters such as: pH, contact time, adsorbent dose and initial dye concentration. The optimal conditions for the dyes removal were found to be at pH = 1, applying a dose of 10 g.L-1 and 20 g.L-1 and for an equilibrium time of 40 mins for both dyes BB and EBT removal, respectively. The results also showed that process followed pseudo-second-order rate expression for dyes with a degree of intraparticle diffusion for BB and intraparticle and pore diffusion for EBT and it was found to be best represented by the Freundlich isotherm.","author":[{"family":"El-Dars","given":"Farida"},{"family":"M Ibrahim","given":"Hamed"},{"family":"A. B. Farag","given":"Heba"},{"family":"Zakaria Abdelwahhab","given":"M"},{"family":"Shalabi","given":"M"}],"issued":{"date-parts":[["2015",5,1]]}}},{"id":593,"uris":["http://zotero.org/users/4017583/items/I7NB9JMD"],"uri":["http://zotero.org/users/4017583/items/I7NB9JMD"],"itemData":{"id":593,"type":"article-journal","title":"Isotherm and kinetics study of malachite green adsorption onto copper nanowires loaded on activated carbon: Artificial neural network modeling and genetic algorithm optimization","container-title":"Spectrochimica Acta Part A: Molecular and Biomolecular Spectroscopy","page":"135-149","volume":"142","source":"ScienceDirect","abstract":"In this study, copper nanowires loaded on activated carbon (Cu-NWs-AC) was used as novel efficient adsorbent for the removal of malachite green (MG) from aqueous solution. This new material was synthesized through simple protocol and its surface properties such as surface area, pore volume and functional groups were characterized with different techniques such XRD, BET and FESEM analysis. The relation between removal percentages with variables such as solution pH, adsorbent dosage (0.005, 0.01, 0.015, 0.02 and 0.1g), contact time (1–40min) and initial MG concentration (5, 10, 20, 70 and 100mg/L) was investigated and optimized. A three-layer artificial neural network (ANN) model was utilized to predict the malachite green dye removal (%) by Cu-NWs-AC following conduction of 248 experiments. When the training of the ANN was performed, the parameters of ANN model were as follows: linear transfer function (purelin) at output layer, Levenberg–Marquardt algorithm (LMA), and a tangent sigmoid transfer function (tansig) at the hidden layer with 11 neurons. The minimum mean squared error (MSE) of 0.0017 and coefficient of determination (R2) of 0.9658 were found for prediction and modeling of dye removal using testing data set. A good agreement between experimental data and predicted data using the ANN model was obtained. Fitting the experimental data on previously optimized condition confirm the suitability of Langmuir isotherm models for their explanation with maximum adsorption capacity of 434.8mg/g at 25°C. Kinetic studies at various adsorbent mass and initial MG concentration show that the MG maximum removal percentage was achieved within 20min. The adsorption of MG follows the pseudo-second-order with a combination of intraparticle diffusion model.","DOI":"10.1016/j.saa.2015.01.086","ISSN":"1386-1425","shortTitle":"Isotherm and kinetics study of malachite green adsorption onto copper nanowires loaded on activated carbon","journalAbbreviation":"Spectrochimica Acta Part A: Molecular and Biomolecular Spectroscopy","author":[{"family":"Ghaedi","given":"M."},{"family":"Shojaeipour","given":"E."},{"family":"Ghaedi","given":"A. M."},{"family":"Sahraei","given":"Reza"}],"issued":{"date-parts":[["2015",5,5]]}}}],"schema":"https://github.com/citation-style-language/schema/raw/master/csl-citation.json"} </w:instrText>
      </w:r>
      <w:r w:rsidR="00F97D08">
        <w:rPr>
          <w:lang w:val="en-US"/>
        </w:rPr>
        <w:fldChar w:fldCharType="separate"/>
      </w:r>
      <w:r w:rsidR="00F97D08" w:rsidRPr="00F97D08">
        <w:rPr>
          <w:rFonts w:cs="Times New Roman"/>
          <w:szCs w:val="24"/>
          <w:vertAlign w:val="superscript"/>
        </w:rPr>
        <w:t>14,24</w:t>
      </w:r>
      <w:r w:rsidR="00F97D08">
        <w:rPr>
          <w:lang w:val="en-US"/>
        </w:rPr>
        <w:fldChar w:fldCharType="end"/>
      </w:r>
    </w:p>
    <w:p w:rsidR="000E5A8B" w:rsidRPr="00552069" w:rsidRDefault="000E5A8B" w:rsidP="000E5A8B">
      <w:pPr>
        <w:rPr>
          <w:b/>
          <w:lang w:val="en-US"/>
        </w:rPr>
      </w:pPr>
      <w:r w:rsidRPr="00552069">
        <w:rPr>
          <w:b/>
          <w:lang w:val="en-US"/>
        </w:rPr>
        <w:t xml:space="preserve">Adsorption </w:t>
      </w:r>
      <w:r>
        <w:rPr>
          <w:b/>
          <w:lang w:val="en-US"/>
        </w:rPr>
        <w:t>isotherm</w:t>
      </w:r>
      <w:r w:rsidRPr="00552069">
        <w:rPr>
          <w:b/>
          <w:lang w:val="en-US"/>
        </w:rPr>
        <w:t xml:space="preserve"> models</w:t>
      </w:r>
    </w:p>
    <w:p w:rsidR="000E5A8B" w:rsidRDefault="000E5A8B" w:rsidP="000E5A8B">
      <w:pPr>
        <w:rPr>
          <w:lang w:val="en-US"/>
        </w:rPr>
      </w:pPr>
      <w:r>
        <w:rPr>
          <w:lang w:val="en-US"/>
        </w:rPr>
        <w:t xml:space="preserve">Equilibrium processes can be characterized by adsorption isotherm models. In order to characterize the adsorption process and to determine the amount of adsorption, four different isotherm models (Langmuir, Freundlich, Temkin, Dubinin-Radushkevich) were used for all four dyes’ equilibrium data, obtained after adsorption with eggshell. </w:t>
      </w:r>
    </w:p>
    <w:p w:rsidR="000E5A8B" w:rsidRPr="00762A1D" w:rsidRDefault="00DA24DB" w:rsidP="000E5A8B">
      <w:pPr>
        <w:rPr>
          <w:color w:val="FF0000"/>
          <w:lang w:val="en-US"/>
        </w:rPr>
      </w:pPr>
      <w:r>
        <w:rPr>
          <w:lang w:val="en-US"/>
        </w:rPr>
        <w:t>Table 5</w:t>
      </w:r>
      <w:r w:rsidR="000E5A8B">
        <w:rPr>
          <w:lang w:val="en-US"/>
        </w:rPr>
        <w:t xml:space="preserve"> contains the calculated parameters characteristic to each isotherm model. Due to the fact that B – Temkin constant is less than 20 kJ/</w:t>
      </w:r>
      <w:proofErr w:type="spellStart"/>
      <w:r w:rsidR="000E5A8B">
        <w:rPr>
          <w:lang w:val="en-US"/>
        </w:rPr>
        <w:t>mol</w:t>
      </w:r>
      <w:proofErr w:type="spellEnd"/>
      <w:r w:rsidR="000E5A8B">
        <w:rPr>
          <w:lang w:val="en-US"/>
        </w:rPr>
        <w:t xml:space="preserve"> and E – energy is less than 8 kJ/</w:t>
      </w:r>
      <w:proofErr w:type="spellStart"/>
      <w:r w:rsidR="000E5A8B">
        <w:rPr>
          <w:lang w:val="en-US"/>
        </w:rPr>
        <w:t>mol</w:t>
      </w:r>
      <w:proofErr w:type="spellEnd"/>
      <w:r w:rsidR="000E5A8B">
        <w:rPr>
          <w:lang w:val="en-US"/>
        </w:rPr>
        <w:t xml:space="preserve"> the adsorption is mostly physical in nature.</w:t>
      </w:r>
    </w:p>
    <w:p w:rsidR="000E5A8B" w:rsidRDefault="000E5A8B" w:rsidP="000E5A8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b/>
          <w:bCs/>
          <w:sz w:val="20"/>
          <w:szCs w:val="20"/>
          <w:lang w:val="en-US"/>
        </w:rPr>
      </w:pPr>
    </w:p>
    <w:p w:rsidR="000E5A8B" w:rsidRDefault="000E5A8B" w:rsidP="000E5A8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b/>
          <w:bCs/>
          <w:sz w:val="20"/>
          <w:szCs w:val="20"/>
          <w:lang w:val="en-US"/>
        </w:rPr>
      </w:pPr>
    </w:p>
    <w:p w:rsidR="00A316C7" w:rsidRDefault="00A316C7" w:rsidP="000E5A8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b/>
          <w:bCs/>
          <w:sz w:val="20"/>
          <w:szCs w:val="20"/>
          <w:lang w:val="en-US"/>
        </w:rPr>
      </w:pPr>
    </w:p>
    <w:p w:rsidR="00A316C7" w:rsidRDefault="00A316C7" w:rsidP="000E5A8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b/>
          <w:bCs/>
          <w:sz w:val="20"/>
          <w:szCs w:val="20"/>
          <w:lang w:val="en-US"/>
        </w:rPr>
      </w:pPr>
    </w:p>
    <w:p w:rsidR="000E5A8B" w:rsidRDefault="000E5A8B" w:rsidP="000E5A8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b/>
          <w:bCs/>
          <w:sz w:val="20"/>
          <w:szCs w:val="20"/>
          <w:lang w:val="en-US"/>
        </w:rPr>
      </w:pPr>
    </w:p>
    <w:p w:rsidR="000E5A8B" w:rsidRPr="00244428" w:rsidRDefault="000E5A8B" w:rsidP="000E5A8B">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after="0" w:line="240" w:lineRule="auto"/>
        <w:rPr>
          <w:bCs/>
          <w:sz w:val="20"/>
          <w:szCs w:val="20"/>
          <w:lang w:val="en-US"/>
        </w:rPr>
      </w:pPr>
      <w:r w:rsidRPr="00244428">
        <w:rPr>
          <w:b/>
          <w:bCs/>
          <w:sz w:val="20"/>
          <w:szCs w:val="20"/>
          <w:lang w:val="en-US"/>
        </w:rPr>
        <w:lastRenderedPageBreak/>
        <w:t xml:space="preserve">Table </w:t>
      </w:r>
      <w:r w:rsidR="00DA24DB">
        <w:rPr>
          <w:b/>
          <w:bCs/>
          <w:sz w:val="20"/>
          <w:szCs w:val="20"/>
          <w:lang w:val="en-US"/>
        </w:rPr>
        <w:t>5</w:t>
      </w:r>
      <w:r w:rsidRPr="00244428">
        <w:rPr>
          <w:sz w:val="20"/>
          <w:szCs w:val="20"/>
          <w:lang w:val="en-US"/>
        </w:rPr>
        <w:t xml:space="preserve">. Adsorption isotherm models calculated constants for </w:t>
      </w:r>
      <w:r>
        <w:rPr>
          <w:sz w:val="20"/>
          <w:szCs w:val="20"/>
          <w:lang w:val="en-US"/>
        </w:rPr>
        <w:t>indicator</w:t>
      </w:r>
      <w:r w:rsidRPr="00244428">
        <w:rPr>
          <w:sz w:val="20"/>
          <w:szCs w:val="20"/>
          <w:lang w:val="en-US"/>
        </w:rPr>
        <w:t xml:space="preserve"> adsorption onto eggshell surface (C</w:t>
      </w:r>
      <w:r w:rsidRPr="00244428">
        <w:rPr>
          <w:rFonts w:eastAsia="MS Mincho"/>
          <w:color w:val="000000"/>
          <w:sz w:val="20"/>
          <w:szCs w:val="20"/>
          <w:vertAlign w:val="subscript"/>
          <w:lang w:val="en-US"/>
        </w:rPr>
        <w:t>i</w:t>
      </w:r>
      <w:r>
        <w:rPr>
          <w:rFonts w:eastAsia="MS Mincho"/>
          <w:color w:val="000000"/>
          <w:sz w:val="20"/>
          <w:szCs w:val="20"/>
          <w:lang w:val="en-US"/>
        </w:rPr>
        <w:t>=1</w:t>
      </w:r>
      <w:r w:rsidRPr="00244428">
        <w:rPr>
          <w:rFonts w:eastAsia="MS Mincho"/>
          <w:color w:val="000000"/>
          <w:sz w:val="20"/>
          <w:szCs w:val="20"/>
          <w:lang w:val="en-US"/>
        </w:rPr>
        <w:t>0-</w:t>
      </w:r>
      <w:r w:rsidRPr="00244428">
        <w:rPr>
          <w:rFonts w:eastAsia="TimesNewRomanPSMT"/>
          <w:color w:val="000000"/>
          <w:sz w:val="20"/>
          <w:szCs w:val="20"/>
          <w:lang w:val="en-US"/>
        </w:rPr>
        <w:t>100 mg/L</w:t>
      </w:r>
      <w:r>
        <w:rPr>
          <w:rFonts w:eastAsia="TimesNewRomanPSMT"/>
          <w:color w:val="000000"/>
          <w:sz w:val="20"/>
          <w:szCs w:val="20"/>
          <w:lang w:val="en-US"/>
        </w:rPr>
        <w:t>, 3</w:t>
      </w:r>
      <w:r w:rsidRPr="00244428">
        <w:rPr>
          <w:rFonts w:eastAsia="TimesNewRomanPSMT"/>
          <w:color w:val="000000"/>
          <w:sz w:val="20"/>
          <w:szCs w:val="20"/>
          <w:lang w:val="en-US"/>
        </w:rPr>
        <w:t xml:space="preserve"> g biomass, 160 </w:t>
      </w:r>
      <w:proofErr w:type="spellStart"/>
      <w:r w:rsidRPr="00244428">
        <w:rPr>
          <w:rFonts w:eastAsia="TimesNewRomanPSMT"/>
          <w:color w:val="000000"/>
          <w:sz w:val="20"/>
          <w:szCs w:val="20"/>
          <w:lang w:val="en-US"/>
        </w:rPr>
        <w:t>μm</w:t>
      </w:r>
      <w:proofErr w:type="spellEnd"/>
      <w:r w:rsidRPr="00244428">
        <w:rPr>
          <w:rFonts w:eastAsia="TimesNewRomanPSMT"/>
          <w:color w:val="000000"/>
          <w:sz w:val="20"/>
          <w:szCs w:val="20"/>
          <w:lang w:val="en-US"/>
        </w:rPr>
        <w:t xml:space="preserve">, 700 rpm, </w:t>
      </w:r>
      <w:r w:rsidRPr="00244428">
        <w:rPr>
          <w:rFonts w:eastAsia="TimesNewRomanPSMT"/>
          <w:color w:val="0D0D0D"/>
          <w:sz w:val="20"/>
          <w:szCs w:val="20"/>
          <w:lang w:val="en-US"/>
        </w:rPr>
        <w:t>T=20±2</w:t>
      </w:r>
      <w:r w:rsidRPr="00244428">
        <w:rPr>
          <w:rFonts w:eastAsia="TimesNewRomanPSMT"/>
          <w:color w:val="0D0D0D"/>
          <w:sz w:val="20"/>
          <w:szCs w:val="20"/>
          <w:vertAlign w:val="superscript"/>
          <w:lang w:val="en-US"/>
        </w:rPr>
        <w:t>o</w:t>
      </w:r>
      <w:r w:rsidRPr="00244428">
        <w:rPr>
          <w:rFonts w:eastAsia="MS Mincho"/>
          <w:color w:val="0D0D0D"/>
          <w:sz w:val="20"/>
          <w:szCs w:val="20"/>
          <w:lang w:val="en-US"/>
        </w:rPr>
        <w:t>C</w:t>
      </w:r>
      <w:r w:rsidRPr="00244428">
        <w:rPr>
          <w:rFonts w:eastAsia="MS Mincho"/>
          <w:color w:val="000000"/>
          <w:sz w:val="20"/>
          <w:szCs w:val="20"/>
          <w:lang w:val="en-US"/>
        </w:rPr>
        <w:t>)</w:t>
      </w:r>
    </w:p>
    <w:tbl>
      <w:tblPr>
        <w:tblW w:w="10360" w:type="dxa"/>
        <w:tblInd w:w="-640" w:type="dxa"/>
        <w:tblCellMar>
          <w:left w:w="70" w:type="dxa"/>
          <w:right w:w="70" w:type="dxa"/>
        </w:tblCellMar>
        <w:tblLook w:val="04A0" w:firstRow="1" w:lastRow="0" w:firstColumn="1" w:lastColumn="0" w:noHBand="0" w:noVBand="1"/>
      </w:tblPr>
      <w:tblGrid>
        <w:gridCol w:w="1094"/>
        <w:gridCol w:w="820"/>
        <w:gridCol w:w="820"/>
        <w:gridCol w:w="660"/>
        <w:gridCol w:w="600"/>
        <w:gridCol w:w="1300"/>
        <w:gridCol w:w="720"/>
        <w:gridCol w:w="950"/>
        <w:gridCol w:w="820"/>
        <w:gridCol w:w="560"/>
        <w:gridCol w:w="600"/>
        <w:gridCol w:w="776"/>
        <w:gridCol w:w="640"/>
      </w:tblGrid>
      <w:tr w:rsidR="000E5A8B" w:rsidRPr="00CD6623" w:rsidTr="00027FF7">
        <w:trPr>
          <w:trHeight w:val="300"/>
        </w:trPr>
        <w:tc>
          <w:tcPr>
            <w:tcW w:w="1094" w:type="dxa"/>
            <w:tcBorders>
              <w:top w:val="single" w:sz="4" w:space="0" w:color="auto"/>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left"/>
              <w:rPr>
                <w:rFonts w:eastAsia="Times New Roman" w:cs="Times New Roman"/>
                <w:color w:val="000000"/>
                <w:szCs w:val="24"/>
                <w:lang w:eastAsia="hu-HU"/>
              </w:rPr>
            </w:pPr>
            <w:r w:rsidRPr="00CD6623">
              <w:rPr>
                <w:rFonts w:eastAsia="Times New Roman" w:cs="Times New Roman"/>
                <w:color w:val="000000"/>
                <w:szCs w:val="24"/>
                <w:lang w:eastAsia="hu-HU"/>
              </w:rPr>
              <w:t> </w:t>
            </w:r>
          </w:p>
        </w:tc>
        <w:tc>
          <w:tcPr>
            <w:tcW w:w="2300" w:type="dxa"/>
            <w:gridSpan w:val="3"/>
            <w:tcBorders>
              <w:top w:val="single" w:sz="4" w:space="0" w:color="auto"/>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20"/>
                <w:szCs w:val="20"/>
                <w:lang w:eastAsia="hu-HU"/>
              </w:rPr>
            </w:pPr>
            <w:proofErr w:type="spellStart"/>
            <w:r w:rsidRPr="00CD6623">
              <w:rPr>
                <w:rFonts w:eastAsia="Times New Roman" w:cs="Times New Roman"/>
                <w:b/>
                <w:bCs/>
                <w:color w:val="000000"/>
                <w:sz w:val="20"/>
                <w:szCs w:val="20"/>
                <w:lang w:eastAsia="hu-HU"/>
              </w:rPr>
              <w:t>Langmuir</w:t>
            </w:r>
            <w:proofErr w:type="spellEnd"/>
          </w:p>
        </w:tc>
        <w:tc>
          <w:tcPr>
            <w:tcW w:w="2620" w:type="dxa"/>
            <w:gridSpan w:val="3"/>
            <w:tcBorders>
              <w:top w:val="single" w:sz="4" w:space="0" w:color="auto"/>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20"/>
                <w:szCs w:val="20"/>
                <w:lang w:eastAsia="hu-HU"/>
              </w:rPr>
            </w:pPr>
            <w:r w:rsidRPr="00CD6623">
              <w:rPr>
                <w:rFonts w:eastAsia="Times New Roman" w:cs="Times New Roman"/>
                <w:b/>
                <w:bCs/>
                <w:color w:val="000000"/>
                <w:sz w:val="20"/>
                <w:szCs w:val="20"/>
                <w:lang w:eastAsia="hu-HU"/>
              </w:rPr>
              <w:t>Freundlich</w:t>
            </w:r>
          </w:p>
        </w:tc>
        <w:tc>
          <w:tcPr>
            <w:tcW w:w="2330" w:type="dxa"/>
            <w:gridSpan w:val="3"/>
            <w:tcBorders>
              <w:top w:val="single" w:sz="4" w:space="0" w:color="auto"/>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20"/>
                <w:szCs w:val="20"/>
                <w:lang w:eastAsia="hu-HU"/>
              </w:rPr>
            </w:pPr>
            <w:r w:rsidRPr="00CD6623">
              <w:rPr>
                <w:rFonts w:eastAsia="Times New Roman" w:cs="Times New Roman"/>
                <w:b/>
                <w:bCs/>
                <w:color w:val="000000"/>
                <w:sz w:val="20"/>
                <w:szCs w:val="20"/>
                <w:lang w:eastAsia="hu-HU"/>
              </w:rPr>
              <w:t>Dubinin-Radushkevich</w:t>
            </w:r>
          </w:p>
        </w:tc>
        <w:tc>
          <w:tcPr>
            <w:tcW w:w="2016" w:type="dxa"/>
            <w:gridSpan w:val="3"/>
            <w:tcBorders>
              <w:top w:val="single" w:sz="4" w:space="0" w:color="auto"/>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20"/>
                <w:szCs w:val="20"/>
                <w:lang w:eastAsia="hu-HU"/>
              </w:rPr>
            </w:pPr>
            <w:r w:rsidRPr="00CD6623">
              <w:rPr>
                <w:rFonts w:eastAsia="Times New Roman" w:cs="Times New Roman"/>
                <w:b/>
                <w:bCs/>
                <w:color w:val="000000"/>
                <w:sz w:val="20"/>
                <w:szCs w:val="20"/>
                <w:lang w:eastAsia="hu-HU"/>
              </w:rPr>
              <w:t>Temkin</w:t>
            </w:r>
          </w:p>
        </w:tc>
      </w:tr>
      <w:tr w:rsidR="000E5A8B" w:rsidRPr="00CD6623" w:rsidTr="00027FF7">
        <w:trPr>
          <w:trHeight w:val="300"/>
        </w:trPr>
        <w:tc>
          <w:tcPr>
            <w:tcW w:w="1094"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left"/>
              <w:rPr>
                <w:rFonts w:eastAsia="Times New Roman" w:cs="Times New Roman"/>
                <w:color w:val="000000"/>
                <w:szCs w:val="24"/>
                <w:lang w:eastAsia="hu-HU"/>
              </w:rPr>
            </w:pPr>
            <w:r w:rsidRPr="00CD6623">
              <w:rPr>
                <w:rFonts w:eastAsia="Times New Roman" w:cs="Times New Roman"/>
                <w:color w:val="000000"/>
                <w:szCs w:val="24"/>
                <w:lang w:eastAsia="hu-HU"/>
              </w:rPr>
              <w:t> </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K</w:t>
            </w:r>
            <w:r w:rsidRPr="00CD6623">
              <w:rPr>
                <w:rFonts w:eastAsia="Times New Roman" w:cs="Times New Roman"/>
                <w:b/>
                <w:bCs/>
                <w:color w:val="000000"/>
                <w:sz w:val="16"/>
                <w:szCs w:val="16"/>
                <w:vertAlign w:val="subscript"/>
                <w:lang w:eastAsia="hu-HU"/>
              </w:rPr>
              <w:t xml:space="preserve">L </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proofErr w:type="spellStart"/>
            <w:r w:rsidRPr="00CD6623">
              <w:rPr>
                <w:rFonts w:eastAsia="Times New Roman" w:cs="Times New Roman"/>
                <w:b/>
                <w:bCs/>
                <w:color w:val="000000"/>
                <w:sz w:val="16"/>
                <w:szCs w:val="16"/>
                <w:lang w:eastAsia="hu-HU"/>
              </w:rPr>
              <w:t>q</w:t>
            </w:r>
            <w:r w:rsidRPr="00CD6623">
              <w:rPr>
                <w:rFonts w:eastAsia="Times New Roman" w:cs="Times New Roman"/>
                <w:b/>
                <w:bCs/>
                <w:color w:val="000000"/>
                <w:sz w:val="16"/>
                <w:szCs w:val="16"/>
                <w:vertAlign w:val="subscript"/>
                <w:lang w:eastAsia="hu-HU"/>
              </w:rPr>
              <w:t>max</w:t>
            </w:r>
            <w:proofErr w:type="spellEnd"/>
            <w:r w:rsidRPr="00CD6623">
              <w:rPr>
                <w:rFonts w:eastAsia="Times New Roman" w:cs="Times New Roman"/>
                <w:b/>
                <w:bCs/>
                <w:color w:val="000000"/>
                <w:sz w:val="16"/>
                <w:szCs w:val="16"/>
                <w:vertAlign w:val="subscript"/>
                <w:lang w:eastAsia="hu-HU"/>
              </w:rPr>
              <w:t xml:space="preserve"> </w:t>
            </w:r>
          </w:p>
        </w:tc>
        <w:tc>
          <w:tcPr>
            <w:tcW w:w="660" w:type="dxa"/>
            <w:vMerge w:val="restart"/>
            <w:tcBorders>
              <w:top w:val="nil"/>
              <w:left w:val="nil"/>
              <w:bottom w:val="single" w:sz="4" w:space="0" w:color="000000"/>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R</w:t>
            </w:r>
            <w:r w:rsidRPr="00CD6623">
              <w:rPr>
                <w:rFonts w:eastAsia="Times New Roman" w:cs="Times New Roman"/>
                <w:b/>
                <w:bCs/>
                <w:color w:val="000000"/>
                <w:sz w:val="16"/>
                <w:szCs w:val="16"/>
                <w:vertAlign w:val="superscript"/>
                <w:lang w:eastAsia="hu-HU"/>
              </w:rPr>
              <w:t>2</w:t>
            </w:r>
          </w:p>
        </w:tc>
        <w:tc>
          <w:tcPr>
            <w:tcW w:w="600" w:type="dxa"/>
            <w:vMerge w:val="restart"/>
            <w:tcBorders>
              <w:top w:val="nil"/>
              <w:left w:val="nil"/>
              <w:bottom w:val="single" w:sz="4" w:space="0" w:color="000000"/>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n</w:t>
            </w:r>
          </w:p>
        </w:tc>
        <w:tc>
          <w:tcPr>
            <w:tcW w:w="130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proofErr w:type="spellStart"/>
            <w:r w:rsidRPr="00CD6623">
              <w:rPr>
                <w:rFonts w:eastAsia="Times New Roman" w:cs="Times New Roman"/>
                <w:b/>
                <w:bCs/>
                <w:color w:val="000000"/>
                <w:sz w:val="16"/>
                <w:szCs w:val="16"/>
                <w:lang w:eastAsia="hu-HU"/>
              </w:rPr>
              <w:t>K</w:t>
            </w:r>
            <w:r w:rsidRPr="00CD6623">
              <w:rPr>
                <w:rFonts w:eastAsia="Times New Roman" w:cs="Times New Roman"/>
                <w:b/>
                <w:bCs/>
                <w:color w:val="000000"/>
                <w:sz w:val="16"/>
                <w:szCs w:val="16"/>
                <w:vertAlign w:val="subscript"/>
                <w:lang w:eastAsia="hu-HU"/>
              </w:rPr>
              <w:t>f</w:t>
            </w:r>
            <w:proofErr w:type="spellEnd"/>
            <w:r w:rsidRPr="00CD6623">
              <w:rPr>
                <w:rFonts w:eastAsia="Times New Roman" w:cs="Times New Roman"/>
                <w:b/>
                <w:bCs/>
                <w:color w:val="000000"/>
                <w:sz w:val="16"/>
                <w:szCs w:val="16"/>
                <w:vertAlign w:val="subscript"/>
                <w:lang w:eastAsia="hu-HU"/>
              </w:rPr>
              <w:t xml:space="preserve"> </w:t>
            </w:r>
          </w:p>
        </w:tc>
        <w:tc>
          <w:tcPr>
            <w:tcW w:w="720" w:type="dxa"/>
            <w:vMerge w:val="restart"/>
            <w:tcBorders>
              <w:top w:val="nil"/>
              <w:left w:val="nil"/>
              <w:bottom w:val="single" w:sz="4" w:space="0" w:color="000000"/>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R</w:t>
            </w:r>
            <w:r w:rsidRPr="00CD6623">
              <w:rPr>
                <w:rFonts w:eastAsia="Times New Roman" w:cs="Times New Roman"/>
                <w:b/>
                <w:bCs/>
                <w:color w:val="000000"/>
                <w:sz w:val="16"/>
                <w:szCs w:val="16"/>
                <w:vertAlign w:val="superscript"/>
                <w:lang w:eastAsia="hu-HU"/>
              </w:rPr>
              <w:t>2</w:t>
            </w:r>
          </w:p>
        </w:tc>
        <w:tc>
          <w:tcPr>
            <w:tcW w:w="95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β</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 xml:space="preserve">E </w:t>
            </w:r>
          </w:p>
        </w:tc>
        <w:tc>
          <w:tcPr>
            <w:tcW w:w="560" w:type="dxa"/>
            <w:vMerge w:val="restart"/>
            <w:tcBorders>
              <w:top w:val="nil"/>
              <w:left w:val="nil"/>
              <w:bottom w:val="single" w:sz="4" w:space="0" w:color="000000"/>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R</w:t>
            </w:r>
            <w:r w:rsidRPr="00CD6623">
              <w:rPr>
                <w:rFonts w:eastAsia="Times New Roman" w:cs="Times New Roman"/>
                <w:b/>
                <w:bCs/>
                <w:color w:val="000000"/>
                <w:sz w:val="16"/>
                <w:szCs w:val="16"/>
                <w:vertAlign w:val="superscript"/>
                <w:lang w:eastAsia="hu-HU"/>
              </w:rPr>
              <w:t>2</w:t>
            </w:r>
          </w:p>
        </w:tc>
        <w:tc>
          <w:tcPr>
            <w:tcW w:w="60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A</w:t>
            </w:r>
            <w:r w:rsidRPr="00CD6623">
              <w:rPr>
                <w:rFonts w:eastAsia="Times New Roman" w:cs="Times New Roman"/>
                <w:b/>
                <w:bCs/>
                <w:color w:val="000000"/>
                <w:sz w:val="16"/>
                <w:szCs w:val="16"/>
                <w:vertAlign w:val="subscript"/>
                <w:lang w:eastAsia="hu-HU"/>
              </w:rPr>
              <w:t xml:space="preserve">T </w:t>
            </w:r>
          </w:p>
        </w:tc>
        <w:tc>
          <w:tcPr>
            <w:tcW w:w="776"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 xml:space="preserve">B </w:t>
            </w:r>
          </w:p>
        </w:tc>
        <w:tc>
          <w:tcPr>
            <w:tcW w:w="640" w:type="dxa"/>
            <w:vMerge w:val="restart"/>
            <w:tcBorders>
              <w:top w:val="nil"/>
              <w:left w:val="nil"/>
              <w:bottom w:val="single" w:sz="4" w:space="0" w:color="000000"/>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R</w:t>
            </w:r>
            <w:r w:rsidRPr="00CD6623">
              <w:rPr>
                <w:rFonts w:eastAsia="Times New Roman" w:cs="Times New Roman"/>
                <w:b/>
                <w:bCs/>
                <w:color w:val="000000"/>
                <w:sz w:val="16"/>
                <w:szCs w:val="16"/>
                <w:vertAlign w:val="superscript"/>
                <w:lang w:eastAsia="hu-HU"/>
              </w:rPr>
              <w:t>2</w:t>
            </w:r>
          </w:p>
        </w:tc>
      </w:tr>
      <w:tr w:rsidR="000E5A8B" w:rsidRPr="00CD6623" w:rsidTr="00027FF7">
        <w:trPr>
          <w:trHeight w:val="300"/>
        </w:trPr>
        <w:tc>
          <w:tcPr>
            <w:tcW w:w="1094"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left"/>
              <w:rPr>
                <w:rFonts w:eastAsia="Times New Roman" w:cs="Times New Roman"/>
                <w:color w:val="000000"/>
                <w:szCs w:val="24"/>
                <w:lang w:eastAsia="hu-HU"/>
              </w:rPr>
            </w:pPr>
            <w:r w:rsidRPr="00CD6623">
              <w:rPr>
                <w:rFonts w:eastAsia="Times New Roman" w:cs="Times New Roman"/>
                <w:color w:val="000000"/>
                <w:szCs w:val="24"/>
                <w:lang w:eastAsia="hu-HU"/>
              </w:rPr>
              <w:t> </w:t>
            </w:r>
          </w:p>
        </w:tc>
        <w:tc>
          <w:tcPr>
            <w:tcW w:w="82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(L/mg)</w:t>
            </w:r>
          </w:p>
        </w:tc>
        <w:tc>
          <w:tcPr>
            <w:tcW w:w="82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(mg/g)</w:t>
            </w:r>
          </w:p>
        </w:tc>
        <w:tc>
          <w:tcPr>
            <w:tcW w:w="660" w:type="dxa"/>
            <w:vMerge/>
            <w:tcBorders>
              <w:top w:val="nil"/>
              <w:left w:val="nil"/>
              <w:bottom w:val="single" w:sz="4" w:space="0" w:color="000000"/>
              <w:right w:val="nil"/>
            </w:tcBorders>
            <w:vAlign w:val="center"/>
            <w:hideMark/>
          </w:tcPr>
          <w:p w:rsidR="000E5A8B" w:rsidRPr="00CD6623" w:rsidRDefault="000E5A8B" w:rsidP="00027FF7">
            <w:pPr>
              <w:spacing w:after="0" w:line="240" w:lineRule="auto"/>
              <w:jc w:val="left"/>
              <w:rPr>
                <w:rFonts w:eastAsia="Times New Roman" w:cs="Times New Roman"/>
                <w:b/>
                <w:bCs/>
                <w:color w:val="000000"/>
                <w:sz w:val="16"/>
                <w:szCs w:val="16"/>
                <w:lang w:eastAsia="hu-HU"/>
              </w:rPr>
            </w:pPr>
          </w:p>
        </w:tc>
        <w:tc>
          <w:tcPr>
            <w:tcW w:w="600" w:type="dxa"/>
            <w:vMerge/>
            <w:tcBorders>
              <w:top w:val="nil"/>
              <w:left w:val="nil"/>
              <w:bottom w:val="single" w:sz="4" w:space="0" w:color="000000"/>
              <w:right w:val="nil"/>
            </w:tcBorders>
            <w:vAlign w:val="center"/>
            <w:hideMark/>
          </w:tcPr>
          <w:p w:rsidR="000E5A8B" w:rsidRPr="00CD6623" w:rsidRDefault="000E5A8B" w:rsidP="00027FF7">
            <w:pPr>
              <w:spacing w:after="0" w:line="240" w:lineRule="auto"/>
              <w:jc w:val="left"/>
              <w:rPr>
                <w:rFonts w:eastAsia="Times New Roman" w:cs="Times New Roman"/>
                <w:b/>
                <w:bCs/>
                <w:color w:val="000000"/>
                <w:sz w:val="16"/>
                <w:szCs w:val="16"/>
                <w:lang w:eastAsia="hu-HU"/>
              </w:rPr>
            </w:pPr>
          </w:p>
        </w:tc>
        <w:tc>
          <w:tcPr>
            <w:tcW w:w="130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w:t>
            </w:r>
            <w:proofErr w:type="gramStart"/>
            <w:r w:rsidRPr="00CD6623">
              <w:rPr>
                <w:rFonts w:eastAsia="Times New Roman" w:cs="Times New Roman"/>
                <w:b/>
                <w:bCs/>
                <w:color w:val="000000"/>
                <w:sz w:val="16"/>
                <w:szCs w:val="16"/>
                <w:lang w:eastAsia="hu-HU"/>
              </w:rPr>
              <w:t>mg</w:t>
            </w:r>
            <w:r w:rsidRPr="00CD6623">
              <w:rPr>
                <w:rFonts w:eastAsia="Times New Roman" w:cs="Times New Roman"/>
                <w:b/>
                <w:bCs/>
                <w:color w:val="000000"/>
                <w:sz w:val="16"/>
                <w:szCs w:val="16"/>
                <w:vertAlign w:val="superscript"/>
                <w:lang w:eastAsia="hu-HU"/>
              </w:rPr>
              <w:t>(</w:t>
            </w:r>
            <w:proofErr w:type="gramEnd"/>
            <w:r w:rsidRPr="00CD6623">
              <w:rPr>
                <w:rFonts w:eastAsia="Times New Roman" w:cs="Times New Roman"/>
                <w:b/>
                <w:bCs/>
                <w:color w:val="000000"/>
                <w:sz w:val="16"/>
                <w:szCs w:val="16"/>
                <w:vertAlign w:val="superscript"/>
                <w:lang w:eastAsia="hu-HU"/>
              </w:rPr>
              <w:t>1−1/n)</w:t>
            </w:r>
            <w:r w:rsidRPr="00CD6623">
              <w:rPr>
                <w:rFonts w:eastAsia="Times New Roman" w:cs="Times New Roman"/>
                <w:b/>
                <w:bCs/>
                <w:color w:val="000000"/>
                <w:sz w:val="16"/>
                <w:szCs w:val="16"/>
                <w:lang w:eastAsia="hu-HU"/>
              </w:rPr>
              <w:t>L</w:t>
            </w:r>
            <w:r w:rsidRPr="00CD6623">
              <w:rPr>
                <w:rFonts w:eastAsia="Times New Roman" w:cs="Times New Roman"/>
                <w:b/>
                <w:bCs/>
                <w:color w:val="000000"/>
                <w:sz w:val="16"/>
                <w:szCs w:val="16"/>
                <w:vertAlign w:val="superscript"/>
                <w:lang w:eastAsia="hu-HU"/>
              </w:rPr>
              <w:t>1/n</w:t>
            </w:r>
            <w:r w:rsidRPr="00CD6623">
              <w:rPr>
                <w:rFonts w:eastAsia="Times New Roman" w:cs="Times New Roman"/>
                <w:b/>
                <w:bCs/>
                <w:color w:val="000000"/>
                <w:sz w:val="16"/>
                <w:szCs w:val="16"/>
                <w:lang w:eastAsia="hu-HU"/>
              </w:rPr>
              <w:t>/g)</w:t>
            </w:r>
          </w:p>
        </w:tc>
        <w:tc>
          <w:tcPr>
            <w:tcW w:w="720" w:type="dxa"/>
            <w:vMerge/>
            <w:tcBorders>
              <w:top w:val="nil"/>
              <w:left w:val="nil"/>
              <w:bottom w:val="single" w:sz="4" w:space="0" w:color="000000"/>
              <w:right w:val="nil"/>
            </w:tcBorders>
            <w:vAlign w:val="center"/>
            <w:hideMark/>
          </w:tcPr>
          <w:p w:rsidR="000E5A8B" w:rsidRPr="00CD6623" w:rsidRDefault="000E5A8B" w:rsidP="00027FF7">
            <w:pPr>
              <w:spacing w:after="0" w:line="240" w:lineRule="auto"/>
              <w:jc w:val="left"/>
              <w:rPr>
                <w:rFonts w:eastAsia="Times New Roman" w:cs="Times New Roman"/>
                <w:b/>
                <w:bCs/>
                <w:color w:val="000000"/>
                <w:sz w:val="16"/>
                <w:szCs w:val="16"/>
                <w:lang w:eastAsia="hu-HU"/>
              </w:rPr>
            </w:pPr>
          </w:p>
        </w:tc>
        <w:tc>
          <w:tcPr>
            <w:tcW w:w="95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 xml:space="preserve"> (mol</w:t>
            </w:r>
            <w:r w:rsidRPr="00CD6623">
              <w:rPr>
                <w:rFonts w:eastAsia="Times New Roman" w:cs="Times New Roman"/>
                <w:b/>
                <w:bCs/>
                <w:color w:val="000000"/>
                <w:sz w:val="16"/>
                <w:szCs w:val="16"/>
                <w:vertAlign w:val="superscript"/>
                <w:lang w:eastAsia="hu-HU"/>
              </w:rPr>
              <w:t>2</w:t>
            </w:r>
            <w:r w:rsidRPr="00CD6623">
              <w:rPr>
                <w:rFonts w:eastAsia="Times New Roman" w:cs="Times New Roman"/>
                <w:b/>
                <w:bCs/>
                <w:color w:val="000000"/>
                <w:sz w:val="16"/>
                <w:szCs w:val="16"/>
                <w:lang w:eastAsia="hu-HU"/>
              </w:rPr>
              <w:t xml:space="preserve"> kJ</w:t>
            </w:r>
            <w:r w:rsidRPr="00CD6623">
              <w:rPr>
                <w:rFonts w:eastAsia="Times New Roman" w:cs="Times New Roman"/>
                <w:b/>
                <w:bCs/>
                <w:color w:val="000000"/>
                <w:sz w:val="16"/>
                <w:szCs w:val="16"/>
                <w:vertAlign w:val="superscript"/>
                <w:lang w:eastAsia="hu-HU"/>
              </w:rPr>
              <w:t>2</w:t>
            </w:r>
            <w:r w:rsidRPr="00CD6623">
              <w:rPr>
                <w:rFonts w:eastAsia="Times New Roman" w:cs="Times New Roman"/>
                <w:b/>
                <w:bCs/>
                <w:color w:val="000000"/>
                <w:sz w:val="16"/>
                <w:szCs w:val="16"/>
                <w:lang w:eastAsia="hu-HU"/>
              </w:rPr>
              <w:t>)</w:t>
            </w:r>
          </w:p>
        </w:tc>
        <w:tc>
          <w:tcPr>
            <w:tcW w:w="82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(kJ/mol)</w:t>
            </w:r>
          </w:p>
        </w:tc>
        <w:tc>
          <w:tcPr>
            <w:tcW w:w="560" w:type="dxa"/>
            <w:vMerge/>
            <w:tcBorders>
              <w:top w:val="nil"/>
              <w:left w:val="nil"/>
              <w:bottom w:val="single" w:sz="4" w:space="0" w:color="000000"/>
              <w:right w:val="nil"/>
            </w:tcBorders>
            <w:vAlign w:val="center"/>
            <w:hideMark/>
          </w:tcPr>
          <w:p w:rsidR="000E5A8B" w:rsidRPr="00CD6623" w:rsidRDefault="000E5A8B" w:rsidP="00027FF7">
            <w:pPr>
              <w:spacing w:after="0" w:line="240" w:lineRule="auto"/>
              <w:jc w:val="left"/>
              <w:rPr>
                <w:rFonts w:eastAsia="Times New Roman" w:cs="Times New Roman"/>
                <w:b/>
                <w:bCs/>
                <w:color w:val="000000"/>
                <w:sz w:val="16"/>
                <w:szCs w:val="16"/>
                <w:lang w:eastAsia="hu-HU"/>
              </w:rPr>
            </w:pPr>
          </w:p>
        </w:tc>
        <w:tc>
          <w:tcPr>
            <w:tcW w:w="60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(L/g)</w:t>
            </w:r>
          </w:p>
        </w:tc>
        <w:tc>
          <w:tcPr>
            <w:tcW w:w="776"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color w:val="000000"/>
                <w:sz w:val="16"/>
                <w:szCs w:val="16"/>
                <w:lang w:eastAsia="hu-HU"/>
              </w:rPr>
            </w:pPr>
            <w:r w:rsidRPr="00CD6623">
              <w:rPr>
                <w:rFonts w:eastAsia="Times New Roman" w:cs="Times New Roman"/>
                <w:b/>
                <w:bCs/>
                <w:color w:val="000000"/>
                <w:sz w:val="16"/>
                <w:szCs w:val="16"/>
                <w:lang w:eastAsia="hu-HU"/>
              </w:rPr>
              <w:t>(J/mol)</w:t>
            </w:r>
          </w:p>
        </w:tc>
        <w:tc>
          <w:tcPr>
            <w:tcW w:w="640" w:type="dxa"/>
            <w:vMerge/>
            <w:tcBorders>
              <w:top w:val="nil"/>
              <w:left w:val="nil"/>
              <w:bottom w:val="single" w:sz="4" w:space="0" w:color="000000"/>
              <w:right w:val="nil"/>
            </w:tcBorders>
            <w:vAlign w:val="center"/>
            <w:hideMark/>
          </w:tcPr>
          <w:p w:rsidR="000E5A8B" w:rsidRPr="00CD6623" w:rsidRDefault="000E5A8B" w:rsidP="00027FF7">
            <w:pPr>
              <w:spacing w:after="0" w:line="240" w:lineRule="auto"/>
              <w:jc w:val="left"/>
              <w:rPr>
                <w:rFonts w:eastAsia="Times New Roman" w:cs="Times New Roman"/>
                <w:b/>
                <w:bCs/>
                <w:color w:val="000000"/>
                <w:sz w:val="16"/>
                <w:szCs w:val="16"/>
                <w:lang w:eastAsia="hu-HU"/>
              </w:rPr>
            </w:pPr>
          </w:p>
        </w:tc>
      </w:tr>
      <w:tr w:rsidR="000E5A8B" w:rsidRPr="00CD6623" w:rsidTr="00027FF7">
        <w:trPr>
          <w:trHeight w:val="300"/>
        </w:trPr>
        <w:tc>
          <w:tcPr>
            <w:tcW w:w="1094"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i/>
                <w:iCs/>
                <w:color w:val="0D0D0D"/>
                <w:sz w:val="22"/>
                <w:lang w:eastAsia="hu-HU"/>
              </w:rPr>
            </w:pPr>
            <w:r w:rsidRPr="00CD6623">
              <w:rPr>
                <w:rFonts w:eastAsia="Times New Roman" w:cs="Times New Roman"/>
                <w:b/>
                <w:bCs/>
                <w:i/>
                <w:iCs/>
                <w:color w:val="0D0D0D"/>
                <w:sz w:val="22"/>
                <w:lang w:eastAsia="hu-HU"/>
              </w:rPr>
              <w:t>MB</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04</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87</w:t>
            </w:r>
          </w:p>
        </w:tc>
        <w:tc>
          <w:tcPr>
            <w:tcW w:w="66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911</w:t>
            </w:r>
          </w:p>
        </w:tc>
        <w:tc>
          <w:tcPr>
            <w:tcW w:w="60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78</w:t>
            </w:r>
          </w:p>
        </w:tc>
        <w:tc>
          <w:tcPr>
            <w:tcW w:w="130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36</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90</w:t>
            </w:r>
          </w:p>
        </w:tc>
        <w:tc>
          <w:tcPr>
            <w:tcW w:w="7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930</w:t>
            </w:r>
          </w:p>
        </w:tc>
        <w:tc>
          <w:tcPr>
            <w:tcW w:w="95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9×10</w:t>
            </w:r>
            <w:r w:rsidRPr="00CD6623">
              <w:rPr>
                <w:rFonts w:eastAsia="Times New Roman" w:cs="Times New Roman"/>
                <w:color w:val="000000"/>
                <w:sz w:val="18"/>
                <w:szCs w:val="18"/>
                <w:vertAlign w:val="superscript"/>
                <w:lang w:eastAsia="hu-HU"/>
              </w:rPr>
              <w:t>-6</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24</w:t>
            </w:r>
          </w:p>
        </w:tc>
        <w:tc>
          <w:tcPr>
            <w:tcW w:w="56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990</w:t>
            </w:r>
          </w:p>
        </w:tc>
        <w:tc>
          <w:tcPr>
            <w:tcW w:w="60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36</w:t>
            </w:r>
          </w:p>
        </w:tc>
        <w:tc>
          <w:tcPr>
            <w:tcW w:w="776"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2×10</w:t>
            </w:r>
            <w:r w:rsidRPr="00CD6623">
              <w:rPr>
                <w:rFonts w:eastAsia="Times New Roman" w:cs="Times New Roman"/>
                <w:color w:val="000000"/>
                <w:sz w:val="18"/>
                <w:szCs w:val="18"/>
                <w:vertAlign w:val="superscript"/>
                <w:lang w:eastAsia="hu-HU"/>
              </w:rPr>
              <w:t>-5</w:t>
            </w:r>
          </w:p>
        </w:tc>
        <w:tc>
          <w:tcPr>
            <w:tcW w:w="64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989</w:t>
            </w:r>
          </w:p>
        </w:tc>
      </w:tr>
      <w:tr w:rsidR="000E5A8B" w:rsidRPr="00CD6623" w:rsidTr="00027FF7">
        <w:trPr>
          <w:trHeight w:val="300"/>
        </w:trPr>
        <w:tc>
          <w:tcPr>
            <w:tcW w:w="1094"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b/>
                <w:bCs/>
                <w:i/>
                <w:iCs/>
                <w:color w:val="0D0D0D"/>
                <w:sz w:val="22"/>
                <w:lang w:eastAsia="hu-HU"/>
              </w:rPr>
            </w:pPr>
            <w:r w:rsidRPr="00CD6623">
              <w:rPr>
                <w:rFonts w:eastAsia="Times New Roman" w:cs="Times New Roman"/>
                <w:b/>
                <w:bCs/>
                <w:i/>
                <w:iCs/>
                <w:color w:val="0D0D0D"/>
                <w:sz w:val="22"/>
                <w:lang w:eastAsia="hu-HU"/>
              </w:rPr>
              <w:t>MG</w:t>
            </w:r>
          </w:p>
        </w:tc>
        <w:tc>
          <w:tcPr>
            <w:tcW w:w="820" w:type="dxa"/>
            <w:tcBorders>
              <w:top w:val="nil"/>
              <w:left w:val="nil"/>
              <w:bottom w:val="nil"/>
              <w:right w:val="nil"/>
            </w:tcBorders>
            <w:shd w:val="clear" w:color="000000" w:fill="FFFFFF"/>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33</w:t>
            </w:r>
          </w:p>
        </w:tc>
        <w:tc>
          <w:tcPr>
            <w:tcW w:w="820" w:type="dxa"/>
            <w:tcBorders>
              <w:top w:val="nil"/>
              <w:left w:val="nil"/>
              <w:bottom w:val="nil"/>
              <w:right w:val="nil"/>
            </w:tcBorders>
            <w:shd w:val="clear" w:color="000000" w:fill="FFFFFF"/>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13</w:t>
            </w:r>
          </w:p>
        </w:tc>
        <w:tc>
          <w:tcPr>
            <w:tcW w:w="660" w:type="dxa"/>
            <w:tcBorders>
              <w:top w:val="nil"/>
              <w:left w:val="nil"/>
              <w:bottom w:val="nil"/>
              <w:right w:val="nil"/>
            </w:tcBorders>
            <w:shd w:val="clear" w:color="000000" w:fill="FFFFFF"/>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856</w:t>
            </w:r>
          </w:p>
        </w:tc>
        <w:tc>
          <w:tcPr>
            <w:tcW w:w="600" w:type="dxa"/>
            <w:tcBorders>
              <w:top w:val="nil"/>
              <w:left w:val="nil"/>
              <w:bottom w:val="nil"/>
              <w:right w:val="nil"/>
            </w:tcBorders>
            <w:shd w:val="clear" w:color="000000" w:fill="FFFFFF"/>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09</w:t>
            </w:r>
          </w:p>
        </w:tc>
        <w:tc>
          <w:tcPr>
            <w:tcW w:w="1300" w:type="dxa"/>
            <w:tcBorders>
              <w:top w:val="nil"/>
              <w:left w:val="nil"/>
              <w:bottom w:val="nil"/>
              <w:right w:val="nil"/>
            </w:tcBorders>
            <w:shd w:val="clear" w:color="000000" w:fill="FFFFFF"/>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46</w:t>
            </w:r>
          </w:p>
        </w:tc>
        <w:tc>
          <w:tcPr>
            <w:tcW w:w="720" w:type="dxa"/>
            <w:tcBorders>
              <w:top w:val="nil"/>
              <w:left w:val="nil"/>
              <w:bottom w:val="nil"/>
              <w:right w:val="nil"/>
            </w:tcBorders>
            <w:shd w:val="clear" w:color="000000" w:fill="FFFFFF"/>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965</w:t>
            </w:r>
          </w:p>
        </w:tc>
        <w:tc>
          <w:tcPr>
            <w:tcW w:w="95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3×10</w:t>
            </w:r>
            <w:r w:rsidRPr="00CD6623">
              <w:rPr>
                <w:rFonts w:eastAsia="Times New Roman" w:cs="Times New Roman"/>
                <w:color w:val="000000"/>
                <w:sz w:val="18"/>
                <w:szCs w:val="18"/>
                <w:vertAlign w:val="superscript"/>
                <w:lang w:eastAsia="hu-HU"/>
              </w:rPr>
              <w:t>-7</w:t>
            </w:r>
          </w:p>
        </w:tc>
        <w:tc>
          <w:tcPr>
            <w:tcW w:w="82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29</w:t>
            </w:r>
          </w:p>
        </w:tc>
        <w:tc>
          <w:tcPr>
            <w:tcW w:w="56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955</w:t>
            </w:r>
          </w:p>
        </w:tc>
        <w:tc>
          <w:tcPr>
            <w:tcW w:w="60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53</w:t>
            </w:r>
          </w:p>
        </w:tc>
        <w:tc>
          <w:tcPr>
            <w:tcW w:w="776"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7×10</w:t>
            </w:r>
            <w:r w:rsidRPr="00CD6623">
              <w:rPr>
                <w:rFonts w:eastAsia="Times New Roman" w:cs="Times New Roman"/>
                <w:color w:val="000000"/>
                <w:sz w:val="18"/>
                <w:szCs w:val="18"/>
                <w:vertAlign w:val="superscript"/>
                <w:lang w:eastAsia="hu-HU"/>
              </w:rPr>
              <w:t>-5</w:t>
            </w:r>
          </w:p>
        </w:tc>
        <w:tc>
          <w:tcPr>
            <w:tcW w:w="64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961</w:t>
            </w:r>
          </w:p>
        </w:tc>
      </w:tr>
      <w:tr w:rsidR="000E5A8B" w:rsidRPr="00CD6623" w:rsidTr="00027FF7">
        <w:trPr>
          <w:trHeight w:val="300"/>
        </w:trPr>
        <w:tc>
          <w:tcPr>
            <w:tcW w:w="1094"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left"/>
              <w:rPr>
                <w:rFonts w:eastAsia="Times New Roman" w:cs="Times New Roman"/>
                <w:b/>
                <w:bCs/>
                <w:i/>
                <w:iCs/>
                <w:color w:val="0D0D0D"/>
                <w:sz w:val="22"/>
                <w:lang w:eastAsia="hu-HU"/>
              </w:rPr>
            </w:pPr>
            <w:r w:rsidRPr="00CD6623">
              <w:rPr>
                <w:rFonts w:eastAsia="Times New Roman" w:cs="Times New Roman"/>
                <w:b/>
                <w:bCs/>
                <w:i/>
                <w:iCs/>
                <w:color w:val="0D0D0D"/>
                <w:sz w:val="22"/>
                <w:lang w:eastAsia="hu-HU"/>
              </w:rPr>
              <w:t>CongoRed</w:t>
            </w:r>
          </w:p>
        </w:tc>
        <w:tc>
          <w:tcPr>
            <w:tcW w:w="820"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3</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75</w:t>
            </w:r>
          </w:p>
        </w:tc>
        <w:tc>
          <w:tcPr>
            <w:tcW w:w="820"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22</w:t>
            </w:r>
          </w:p>
        </w:tc>
        <w:tc>
          <w:tcPr>
            <w:tcW w:w="660"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999</w:t>
            </w:r>
          </w:p>
        </w:tc>
        <w:tc>
          <w:tcPr>
            <w:tcW w:w="600"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50</w:t>
            </w:r>
          </w:p>
        </w:tc>
        <w:tc>
          <w:tcPr>
            <w:tcW w:w="1300"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02</w:t>
            </w:r>
          </w:p>
        </w:tc>
        <w:tc>
          <w:tcPr>
            <w:tcW w:w="720" w:type="dxa"/>
            <w:tcBorders>
              <w:top w:val="nil"/>
              <w:left w:val="nil"/>
              <w:bottom w:val="nil"/>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996</w:t>
            </w:r>
          </w:p>
        </w:tc>
        <w:tc>
          <w:tcPr>
            <w:tcW w:w="950"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4×10</w:t>
            </w:r>
            <w:r w:rsidRPr="00CD6623">
              <w:rPr>
                <w:rFonts w:eastAsia="Times New Roman" w:cs="Times New Roman"/>
                <w:color w:val="000000"/>
                <w:sz w:val="18"/>
                <w:szCs w:val="18"/>
                <w:vertAlign w:val="superscript"/>
                <w:lang w:eastAsia="hu-HU"/>
              </w:rPr>
              <w:t>-8</w:t>
            </w:r>
          </w:p>
        </w:tc>
        <w:tc>
          <w:tcPr>
            <w:tcW w:w="82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3</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54</w:t>
            </w:r>
          </w:p>
        </w:tc>
        <w:tc>
          <w:tcPr>
            <w:tcW w:w="56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854</w:t>
            </w:r>
          </w:p>
        </w:tc>
        <w:tc>
          <w:tcPr>
            <w:tcW w:w="60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66</w:t>
            </w:r>
          </w:p>
        </w:tc>
        <w:tc>
          <w:tcPr>
            <w:tcW w:w="776" w:type="dxa"/>
            <w:tcBorders>
              <w:top w:val="nil"/>
              <w:left w:val="nil"/>
              <w:bottom w:val="nil"/>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2×10</w:t>
            </w:r>
            <w:r w:rsidRPr="00CD6623">
              <w:rPr>
                <w:rFonts w:eastAsia="Times New Roman" w:cs="Times New Roman"/>
                <w:color w:val="000000"/>
                <w:sz w:val="18"/>
                <w:szCs w:val="18"/>
                <w:vertAlign w:val="superscript"/>
                <w:lang w:eastAsia="hu-HU"/>
              </w:rPr>
              <w:t>-6</w:t>
            </w:r>
          </w:p>
        </w:tc>
        <w:tc>
          <w:tcPr>
            <w:tcW w:w="640" w:type="dxa"/>
            <w:tcBorders>
              <w:top w:val="nil"/>
              <w:left w:val="nil"/>
              <w:bottom w:val="nil"/>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917</w:t>
            </w:r>
          </w:p>
        </w:tc>
      </w:tr>
      <w:tr w:rsidR="000E5A8B" w:rsidRPr="00CD6623" w:rsidTr="00027FF7">
        <w:trPr>
          <w:trHeight w:val="300"/>
        </w:trPr>
        <w:tc>
          <w:tcPr>
            <w:tcW w:w="1094" w:type="dxa"/>
            <w:tcBorders>
              <w:top w:val="nil"/>
              <w:left w:val="nil"/>
              <w:bottom w:val="single" w:sz="4" w:space="0" w:color="auto"/>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b/>
                <w:bCs/>
                <w:i/>
                <w:iCs/>
                <w:color w:val="0D0D0D"/>
                <w:sz w:val="22"/>
                <w:lang w:eastAsia="hu-HU"/>
              </w:rPr>
            </w:pPr>
            <w:r w:rsidRPr="00CD6623">
              <w:rPr>
                <w:rFonts w:eastAsia="Times New Roman" w:cs="Times New Roman"/>
                <w:b/>
                <w:bCs/>
                <w:i/>
                <w:iCs/>
                <w:color w:val="0D0D0D"/>
                <w:sz w:val="22"/>
                <w:lang w:eastAsia="hu-HU"/>
              </w:rPr>
              <w:t>BPB</w:t>
            </w:r>
          </w:p>
        </w:tc>
        <w:tc>
          <w:tcPr>
            <w:tcW w:w="820" w:type="dxa"/>
            <w:tcBorders>
              <w:top w:val="nil"/>
              <w:left w:val="nil"/>
              <w:bottom w:val="single" w:sz="4" w:space="0" w:color="auto"/>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59</w:t>
            </w:r>
          </w:p>
        </w:tc>
        <w:tc>
          <w:tcPr>
            <w:tcW w:w="820" w:type="dxa"/>
            <w:tcBorders>
              <w:top w:val="nil"/>
              <w:left w:val="nil"/>
              <w:bottom w:val="single" w:sz="4" w:space="0" w:color="auto"/>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04</w:t>
            </w:r>
          </w:p>
        </w:tc>
        <w:tc>
          <w:tcPr>
            <w:tcW w:w="660" w:type="dxa"/>
            <w:tcBorders>
              <w:top w:val="nil"/>
              <w:left w:val="nil"/>
              <w:bottom w:val="single" w:sz="4" w:space="0" w:color="auto"/>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827</w:t>
            </w:r>
          </w:p>
        </w:tc>
        <w:tc>
          <w:tcPr>
            <w:tcW w:w="600" w:type="dxa"/>
            <w:tcBorders>
              <w:top w:val="nil"/>
              <w:left w:val="nil"/>
              <w:bottom w:val="single" w:sz="4" w:space="0" w:color="auto"/>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02</w:t>
            </w:r>
          </w:p>
        </w:tc>
        <w:tc>
          <w:tcPr>
            <w:tcW w:w="1300" w:type="dxa"/>
            <w:tcBorders>
              <w:top w:val="nil"/>
              <w:left w:val="nil"/>
              <w:bottom w:val="single" w:sz="4" w:space="0" w:color="auto"/>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1</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23</w:t>
            </w:r>
          </w:p>
        </w:tc>
        <w:tc>
          <w:tcPr>
            <w:tcW w:w="720" w:type="dxa"/>
            <w:tcBorders>
              <w:top w:val="nil"/>
              <w:left w:val="nil"/>
              <w:bottom w:val="single" w:sz="4" w:space="0" w:color="auto"/>
              <w:right w:val="nil"/>
            </w:tcBorders>
            <w:shd w:val="clear" w:color="000000" w:fill="FFFFFF"/>
            <w:noWrap/>
            <w:vAlign w:val="bottom"/>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811</w:t>
            </w:r>
          </w:p>
        </w:tc>
        <w:tc>
          <w:tcPr>
            <w:tcW w:w="950"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8×10</w:t>
            </w:r>
            <w:r w:rsidRPr="00CD6623">
              <w:rPr>
                <w:rFonts w:eastAsia="Times New Roman" w:cs="Times New Roman"/>
                <w:color w:val="000000"/>
                <w:sz w:val="18"/>
                <w:szCs w:val="18"/>
                <w:vertAlign w:val="superscript"/>
                <w:lang w:eastAsia="hu-HU"/>
              </w:rPr>
              <w:t>-7</w:t>
            </w:r>
          </w:p>
        </w:tc>
        <w:tc>
          <w:tcPr>
            <w:tcW w:w="820" w:type="dxa"/>
            <w:tcBorders>
              <w:top w:val="nil"/>
              <w:left w:val="nil"/>
              <w:bottom w:val="single" w:sz="4" w:space="0" w:color="auto"/>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89</w:t>
            </w:r>
          </w:p>
        </w:tc>
        <w:tc>
          <w:tcPr>
            <w:tcW w:w="560" w:type="dxa"/>
            <w:tcBorders>
              <w:top w:val="nil"/>
              <w:left w:val="nil"/>
              <w:bottom w:val="single" w:sz="4" w:space="0" w:color="auto"/>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755</w:t>
            </w:r>
          </w:p>
        </w:tc>
        <w:tc>
          <w:tcPr>
            <w:tcW w:w="600" w:type="dxa"/>
            <w:tcBorders>
              <w:top w:val="nil"/>
              <w:left w:val="nil"/>
              <w:bottom w:val="single" w:sz="4" w:space="0" w:color="auto"/>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13</w:t>
            </w:r>
          </w:p>
        </w:tc>
        <w:tc>
          <w:tcPr>
            <w:tcW w:w="776" w:type="dxa"/>
            <w:tcBorders>
              <w:top w:val="nil"/>
              <w:left w:val="nil"/>
              <w:bottom w:val="single" w:sz="4" w:space="0" w:color="auto"/>
              <w:right w:val="nil"/>
            </w:tcBorders>
            <w:shd w:val="clear" w:color="000000" w:fill="FFFFFF"/>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2×10</w:t>
            </w:r>
            <w:r w:rsidRPr="00CD6623">
              <w:rPr>
                <w:rFonts w:eastAsia="Times New Roman" w:cs="Times New Roman"/>
                <w:color w:val="000000"/>
                <w:sz w:val="18"/>
                <w:szCs w:val="18"/>
                <w:vertAlign w:val="superscript"/>
                <w:lang w:eastAsia="hu-HU"/>
              </w:rPr>
              <w:t>-7</w:t>
            </w:r>
          </w:p>
        </w:tc>
        <w:tc>
          <w:tcPr>
            <w:tcW w:w="640" w:type="dxa"/>
            <w:tcBorders>
              <w:top w:val="nil"/>
              <w:left w:val="nil"/>
              <w:bottom w:val="single" w:sz="4" w:space="0" w:color="auto"/>
              <w:right w:val="nil"/>
            </w:tcBorders>
            <w:shd w:val="clear" w:color="000000" w:fill="FFFFFF"/>
            <w:noWrap/>
            <w:vAlign w:val="center"/>
            <w:hideMark/>
          </w:tcPr>
          <w:p w:rsidR="000E5A8B" w:rsidRPr="00CD6623" w:rsidRDefault="000E5A8B" w:rsidP="00027FF7">
            <w:pPr>
              <w:spacing w:after="0" w:line="240" w:lineRule="auto"/>
              <w:jc w:val="center"/>
              <w:rPr>
                <w:rFonts w:eastAsia="Times New Roman" w:cs="Times New Roman"/>
                <w:color w:val="000000"/>
                <w:sz w:val="18"/>
                <w:szCs w:val="18"/>
                <w:lang w:eastAsia="hu-HU"/>
              </w:rPr>
            </w:pPr>
            <w:r w:rsidRPr="00CD6623">
              <w:rPr>
                <w:rFonts w:eastAsia="Times New Roman" w:cs="Times New Roman"/>
                <w:color w:val="000000"/>
                <w:sz w:val="18"/>
                <w:szCs w:val="18"/>
                <w:lang w:eastAsia="hu-HU"/>
              </w:rPr>
              <w:t>0</w:t>
            </w:r>
            <w:r>
              <w:rPr>
                <w:rFonts w:eastAsia="Times New Roman" w:cs="Times New Roman"/>
                <w:color w:val="000000"/>
                <w:sz w:val="18"/>
                <w:szCs w:val="18"/>
                <w:lang w:eastAsia="hu-HU"/>
              </w:rPr>
              <w:t>.</w:t>
            </w:r>
            <w:r w:rsidRPr="00CD6623">
              <w:rPr>
                <w:rFonts w:eastAsia="Times New Roman" w:cs="Times New Roman"/>
                <w:color w:val="000000"/>
                <w:sz w:val="18"/>
                <w:szCs w:val="18"/>
                <w:lang w:eastAsia="hu-HU"/>
              </w:rPr>
              <w:t>803</w:t>
            </w:r>
          </w:p>
        </w:tc>
      </w:tr>
    </w:tbl>
    <w:p w:rsidR="000E5A8B" w:rsidRDefault="000E5A8B" w:rsidP="000E5A8B">
      <w:pPr>
        <w:rPr>
          <w:lang w:val="en-US"/>
        </w:rPr>
      </w:pPr>
    </w:p>
    <w:p w:rsidR="000E5A8B" w:rsidRDefault="000E5A8B" w:rsidP="000E5A8B">
      <w:pPr>
        <w:rPr>
          <w:lang w:val="en-US"/>
        </w:rPr>
      </w:pPr>
      <w:r>
        <w:rPr>
          <w:lang w:val="en-US"/>
        </w:rPr>
        <w:t>As shown in</w:t>
      </w:r>
      <w:r w:rsidR="00DA24DB">
        <w:rPr>
          <w:lang w:val="en-US"/>
        </w:rPr>
        <w:t xml:space="preserve"> Table 5</w:t>
      </w:r>
      <w:r>
        <w:rPr>
          <w:lang w:val="en-US"/>
        </w:rPr>
        <w:t xml:space="preserve"> MB fits the Dubinin-Radushkevich isotherm model more closely, which indicates that chemical adsorption also occurs, ion exchange happens, similar results were obtained using walnut as biosorbent for MB removal</w:t>
      </w:r>
      <w:r w:rsidR="00F97D08">
        <w:rPr>
          <w:lang w:val="en-US"/>
        </w:rPr>
        <w:t>.</w:t>
      </w:r>
      <w:r>
        <w:rPr>
          <w:lang w:val="en-US"/>
        </w:rPr>
        <w:fldChar w:fldCharType="begin"/>
      </w:r>
      <w:r w:rsidR="00F22D7A">
        <w:rPr>
          <w:lang w:val="en-US"/>
        </w:rPr>
        <w:instrText xml:space="preserve"> ADDIN ZOTERO_ITEM CSL_CITATION {"citationID":"a12hts9lmvk","properties":{"formattedCitation":"\\super [25]\\nosupersub{}","plainCitation":"[25]","noteIndex":0},"citationItems":[{"id":624,"uris":["http://zotero.org/users/4017583/items/BUJNS84S"],"uri":["http://zotero.org/users/4017583/items/BUJNS84S"],"itemData":{"id":624,"type":"webpage","title":"Removal of Methylene Blue from Aqueous Solution Using Agricultural Residue Walnut Shell: Equilibrium, Kinetic, and Thermodynamic Studies","container-title":"Journal of Chemistry","genre":"Research article","abstract":"Walnut shell (WS), as an economic and environmental-friendly adsorbent, was utilized to remove methylene blue (MB) from aqueous solutions. The effects of WS particle size, solution pH, adsorbent dosage and contact time, and concentration of NaCl on MB removal were systematically investigated. Under the optimized conditions (i.e., contact time ~ 2 h, pH ~ 6, particle size ~ 80 mesh, dye concentration 20 mg/L, and 1.25 g/L adsorbent), the removal percentages can achieve ~97.1%, indicating WS was a promising absorbent to remove MB. Other supplementary experiments, such as Fourier transform infrared spectroscopy (FTIR), dynamic light scattering (DLS), and Brunauer-Emmett-Teller (BET) method, were also employed to understand the adsorption mechanisms. FTIR confirmed that the successful adsorption of MB on WS particles was through functional groups of WS. Using DLS method, the interactions between WS particles and dyes under various pH were investigated, which can be ascribed to the electrostatic forces. Kinetic data can be well fitted by the pseudo-second-order model, indicating a chemical adsorption. The adsorption isotherms were well described by both Langmuir and Freundlich models. Dubinin-Radushkevich model also showed that the adsorption process was a chemical adsorption. Thermodynamic data indicated that the adsorption was spontaneous, exothermic, and favorable at room temperature.","URL":"https://www.hindawi.com/journals/jchem/2017/8404965/","note":"DOI: 10.1155/2017/8404965","shortTitle":"Removal of Methylene Blue from Aqueous Solution Using Agricultural Residue Walnut Shell","language":"en","author":[{"family":"Tang","given":"Ranxiao"},{"family":"Dai","given":"Chong"},{"family":"Li","given":"Chao"},{"family":"Liu","given":"Weihua"},{"family":"Gao","given":"Shutao"},{"family":"Wang","given":"Chun"}],"issued":{"date-parts":[["2017"]]},"accessed":{"date-parts":[["2017",10,13]]}}}],"schema":"https://github.com/citation-style-language/schema/raw/master/csl-citation.json"} </w:instrText>
      </w:r>
      <w:r>
        <w:rPr>
          <w:lang w:val="en-US"/>
        </w:rPr>
        <w:fldChar w:fldCharType="separate"/>
      </w:r>
      <w:r w:rsidR="00F22D7A" w:rsidRPr="00F22D7A">
        <w:rPr>
          <w:rFonts w:cs="Times New Roman"/>
          <w:szCs w:val="24"/>
          <w:vertAlign w:val="superscript"/>
        </w:rPr>
        <w:t>25</w:t>
      </w:r>
      <w:r>
        <w:rPr>
          <w:lang w:val="en-US"/>
        </w:rPr>
        <w:fldChar w:fldCharType="end"/>
      </w:r>
      <w:r>
        <w:rPr>
          <w:lang w:val="en-US"/>
        </w:rPr>
        <w:t xml:space="preserve"> In case of MG the liner regression coefficients are very near values but it aligned closer to Freundlich isotherm model,</w:t>
      </w:r>
      <w:r w:rsidR="00380D61">
        <w:rPr>
          <w:lang w:val="en-US"/>
        </w:rPr>
        <w:t xml:space="preserve"> </w:t>
      </w:r>
      <w:proofErr w:type="spellStart"/>
      <w:r w:rsidR="00380D61">
        <w:rPr>
          <w:lang w:val="en-US"/>
        </w:rPr>
        <w:t>Santhi</w:t>
      </w:r>
      <w:proofErr w:type="spellEnd"/>
      <w:r w:rsidR="00380D61">
        <w:rPr>
          <w:lang w:val="en-US"/>
        </w:rPr>
        <w:t xml:space="preserve"> et al.</w:t>
      </w:r>
      <w:r>
        <w:rPr>
          <w:lang w:val="en-US"/>
        </w:rPr>
        <w:t xml:space="preserve"> got Freundlich isotherm as well by studying MG adsorption on prawn waste.</w:t>
      </w:r>
      <w:r w:rsidR="00380D61">
        <w:rPr>
          <w:lang w:val="en-US"/>
        </w:rPr>
        <w:fldChar w:fldCharType="begin"/>
      </w:r>
      <w:r w:rsidR="00380D61">
        <w:rPr>
          <w:lang w:val="en-US"/>
        </w:rPr>
        <w:instrText xml:space="preserve"> ADDIN ZOTERO_ITEM CSL_CITATION {"citationID":"a2kiqo8riu","properties":{"formattedCitation":"\\super [26]\\nosupersub{}","plainCitation":"[26]","noteIndex":0},"citationItems":[{"id":627,"uris":["http://zotero.org/users/4017583/items/8EH954A6"],"uri":["http://zotero.org/users/4017583/items/8EH954A6"],"itemData":{"id":627,"type":"article-journal","title":"Adsorption of malachite green from aqueous solution onto a waste aqua cultural shell powders (prawn waste): Kinetic study","container-title":"Rasayan Journal of Chemistry","page":"813-824","volume":"2","source":"ResearchGate","abstract":"Prawn waste has become one of the most significant wastes in aquaculture, especially in Nagapattinum District, Tamil Nadu, India. A sample of raw (PR-Raw) and activated carbon (PR-Carbon) from prawn waste had been utilized as an adsorbent for uptake of cationic dye(i.e., malachite green (MG)) from aqueous solution at 28 °C. The effects of variousExperimental parameters (e.g., contact time, dye concentration, adsorbent dose, particle size and pH) were investigated and optimal experimental conditions were ascertained. The value of initial pH 7 for PR-Carbon and pH 8 for PR-Raw, could be remove MG effectively. The equilibrium adsorption capacity of MG onto the PR-Carbon is significantiy larger than those onto the PR-Raw. It was further found that Langmuir, Freundlich and Dubinin - Radushkevich isotherms were useful for describing the equilibrium of adsorption system. The biosorption processes followed the Pseudo -first order rate kinetics. The nature of the rate-limiting step in a batch system can also be assessed from the intra-particle diffusion kinetic modeling. The parameters (amount of dye adsorbed at equilibrium) of the model obtained in th present work were significantly in line with the adsorption process parameter (i.e., initial dye concentration).","shortTitle":"Adsorption of malachite green from aqueous solution onto a waste aqua cultural shell powders (prawn waste)","author":[{"family":"Dr.T.Santhi","given":"Dr.T.Santhi"},{"family":"Manonmani","given":"S"},{"family":"Smitha","given":"T"},{"family":"Mahalakshmi","given":"K"}],"issued":{"date-parts":[["2009",10,1]]}}}],"schema":"https://github.com/citation-style-language/schema/raw/master/csl-citation.json"} </w:instrText>
      </w:r>
      <w:r w:rsidR="00380D61">
        <w:rPr>
          <w:lang w:val="en-US"/>
        </w:rPr>
        <w:fldChar w:fldCharType="separate"/>
      </w:r>
      <w:r w:rsidR="00380D61" w:rsidRPr="00F22D7A">
        <w:rPr>
          <w:rFonts w:cs="Times New Roman"/>
          <w:szCs w:val="24"/>
          <w:vertAlign w:val="superscript"/>
        </w:rPr>
        <w:t>26</w:t>
      </w:r>
      <w:r w:rsidR="00380D61">
        <w:rPr>
          <w:lang w:val="en-US"/>
        </w:rPr>
        <w:fldChar w:fldCharType="end"/>
      </w:r>
      <w:r>
        <w:rPr>
          <w:lang w:val="en-US"/>
        </w:rPr>
        <w:t xml:space="preserve"> In case of BPB and Congo Red the adsorption process can be described by Langmuir isotherm model. Similar results to Congo Red : </w:t>
      </w:r>
      <w:r>
        <w:rPr>
          <w:lang w:val="en-US"/>
        </w:rPr>
        <w:fldChar w:fldCharType="begin"/>
      </w:r>
      <w:r w:rsidR="00F22D7A">
        <w:rPr>
          <w:lang w:val="en-US"/>
        </w:rPr>
        <w:instrText xml:space="preserve"> ADDIN ZOTERO_ITEM CSL_CITATION {"citationID":"a1c3uhbbivj","properties":{"formattedCitation":"\\super [27]\\nosupersub{}","plainCitation":"[27]","noteIndex":0},"citationItems":[{"id":629,"uris":["http://zotero.org/users/4017583/items/3WPR3D8G"],"uri":["http://zotero.org/users/4017583/items/3WPR3D8G"],"itemData":{"id":629,"type":"article-journal","title":"Biosorption of Direct Red 28 (Congo Red) from Aqueous Solutions by Eggshells: Batch and Column Studies","container-title":"Separation Science and Technology","source":"www.tandfonline.com","archive_location":"world","abstract":"(2012). Biosorption of Direct Red 28 (Congo Red) from Aqueous Solutions by Eggshells: Batch and Column Studies. Separation Science and Technology: Vol. 47, No. 1, pp. 112-123. doi: 10.1080/01496395.2011.610397","URL":"http://www.tandfonline.com/doi/abs/10.1080/01496395.2011.610397","ISSN":"10.1080/01496395.2011.610397","shortTitle":"Biosorption of Direct Red 28 (Congo Red) from Aqueous Solutions by Eggshells","language":"en","author":[{"family":"Saha","given":"Papita Das"},{"family":"Chowdhury","given":"Shamik"},{"family":"Mondal","given":"Madhurima"},{"family":"Sinha","given":"Keka"}],"issued":{"date-parts":[["2011",9,14]]},"accessed":{"date-parts":[["2017",10,13]]}}}],"schema":"https://github.com/citation-style-language/schema/raw/master/csl-citation.json"} </w:instrText>
      </w:r>
      <w:r>
        <w:rPr>
          <w:lang w:val="en-US"/>
        </w:rPr>
        <w:fldChar w:fldCharType="separate"/>
      </w:r>
      <w:r w:rsidR="00F22D7A" w:rsidRPr="00F22D7A">
        <w:rPr>
          <w:rFonts w:cs="Times New Roman"/>
          <w:szCs w:val="24"/>
          <w:vertAlign w:val="superscript"/>
        </w:rPr>
        <w:t>27</w:t>
      </w:r>
      <w:r>
        <w:rPr>
          <w:lang w:val="en-US"/>
        </w:rPr>
        <w:fldChar w:fldCharType="end"/>
      </w:r>
      <w:r w:rsidR="00380D61">
        <w:rPr>
          <w:lang w:val="en-US"/>
        </w:rPr>
        <w:t>,</w:t>
      </w:r>
      <w:r>
        <w:rPr>
          <w:lang w:val="en-US"/>
        </w:rPr>
        <w:fldChar w:fldCharType="begin"/>
      </w:r>
      <w:r w:rsidR="00F22D7A">
        <w:rPr>
          <w:lang w:val="en-US"/>
        </w:rPr>
        <w:instrText xml:space="preserve"> ADDIN ZOTERO_ITEM CSL_CITATION {"citationID":"a2pf4r3119p","properties":{"formattedCitation":"\\super [28]\\nosupersub{}","plainCitation":"[28]","noteIndex":0},"citationItems":[{"id":375,"uris":["http://zotero.org/users/4017583/items/V83PQTWU"],"uri":["http://zotero.org/users/4017583/items/V83PQTWU"],"itemData":{"id":375,"type":"article-journal","title":"Remove of Congo Red from Wastewater by Adsorption onto Eggshell Membrane","container-title":"Advanced Materials Research","page":"391-394","volume":"599","source":"www.scientific.net","abstract":"Advances in Environmental Engineering: Remove of Congo Red from Wastewater by Adsorption onto Eggshell Membrane","DOI":"10.4028/www.scientific.net/AMR.599.391","ISSN":"1662-8985","language":"EN","author":[{"family":"Liu","given":"Jin"},{"family":"Cheng","given":"Xian Zhong"},{"family":"Qin","given":"Peng"},{"family":"Pan","given":"Ming Ying"}],"issued":{"date-parts":[["2012"]]}}}],"schema":"https://github.com/citation-style-language/schema/raw/master/csl-citation.json"} </w:instrText>
      </w:r>
      <w:r>
        <w:rPr>
          <w:lang w:val="en-US"/>
        </w:rPr>
        <w:fldChar w:fldCharType="separate"/>
      </w:r>
      <w:r w:rsidR="00F22D7A" w:rsidRPr="00F22D7A">
        <w:rPr>
          <w:rFonts w:cs="Times New Roman"/>
          <w:szCs w:val="24"/>
          <w:vertAlign w:val="superscript"/>
        </w:rPr>
        <w:t>28</w:t>
      </w:r>
      <w:r>
        <w:rPr>
          <w:lang w:val="en-US"/>
        </w:rPr>
        <w:fldChar w:fldCharType="end"/>
      </w:r>
      <w:r>
        <w:rPr>
          <w:lang w:val="en-US"/>
        </w:rPr>
        <w:t xml:space="preserve"> and to BPB: </w:t>
      </w:r>
      <w:r>
        <w:rPr>
          <w:lang w:val="en-US"/>
        </w:rPr>
        <w:fldChar w:fldCharType="begin"/>
      </w:r>
      <w:r w:rsidR="00F22D7A">
        <w:rPr>
          <w:lang w:val="en-US"/>
        </w:rPr>
        <w:instrText xml:space="preserve"> ADDIN ZOTERO_ITEM CSL_CITATION {"citationID":"am7b4h1dna","properties":{"unsorted":true,"formattedCitation":"\\super [19,29,15]\\nosupersub{}","plainCitation":"[19,29,15]","noteIndex":0},"citationItems":[{"id":568,"uris":["http://zotero.org/users/4017583/items/DRVRJ28X"],"uri":["http://zotero.org/users/4017583/items/DRVRJ28X"],"itemData":{"id":568,"type":"article-journal","title":"Biosorption of Bromophenol Blue from Aqueous Solutions by Rhizopus Stolonifer Biomass","container-title":"Water, Air, and Soil Pollution","page":"135-146","volume":"177","issue":"1-4","source":"link.springer.com","abstract":"The removal of bromophenol blue dye (BPB), from aqueous solutions, by biosorption on a non-living biomass of Rhizopus stolonifer was investigated in a batch system. Pretreatment of the biomass with NaOH was found to be the most effective means to enhance the biosorption of BPB. The fungal biomass exhibited the highest dye sorption capacity at pH 2 and the uptake process followed the pseudo-second order reaction model. The equilibrium sorption capacity of the biomass increased as the initial dye concentration increased, and the maximum uptake value was estimated at 1111 mg/g according to Langmuir adsorption isotherm. The adsorbed dye was easily desorbed from a fungal biomass with 0.1 M NaOH solution and the regenerated biomass could be reused for other biosorption essays with similar performances.","DOI":"10.1007/s11270-006-9112-3","ISSN":"0049-6979, 1573-2932","journalAbbreviation":"Water Air Soil Pollut","language":"en","author":[{"family":"Zeroual","given":"Y."},{"family":"Kim","given":"B. S."},{"family":"Kim","given":"C. S."},{"family":"Blaghen","given":"M."},{"family":"Lee","given":"K. M."}],"issued":{"date-parts":[["2006",11,1]]}}},{"id":632,"uris":["http://zotero.org/users/4017583/items/NR5RZ4PD"],"uri":["http://zotero.org/users/4017583/items/NR5RZ4PD"],"itemData":{"id":632,"type":"article-journal","title":"Removal of bromophenol blue dye from industrial waste water by synthesizing polymer-clay composite","container-title":"Journal of Molecular Liquids","page":"454-461","volume":"199","issue":"Supplement C","source":"ScienceDirect","abstract":"A composite material was prepared by incorporating the clay (Kaolinite (Kao)) into a poly(acrylamide co-acrylic acid) (P(AAm-AA)) through the in situ polymerization method with cross-linker. The prepared composite adsorbent was firstly characterized by FTIR, SEM, XRD and Thermal analysis. After characterization, the composite adsorbent P(AAm-AA)/Kao was potentially studied for sorption of bromophenol blue (BPB) dye. Different factors that could affect the dye adsorption behavior were studied as time of contact, dye concentration and temperature. The kinetic studies revealed that the adsorption results fitted well with Lagergren (pseudo first order reaction rate). The isotherm studies also display that the adsorption data fit with Freundlisch more than Langmuir isotherm model. Based on the effect of temperature the thermodynamic parameters were calculated and the free energy change (ΔGo) value of −110.323kJ/mol was obtained, referring to the feasibility and spontaneous nature of the sorption reaction. Also the relatively high negative value of entropy change ΔSo=−509.4Jmol−1K−1, suggests the chemical nature of the sorption reaction.","DOI":"10.1016/j.molliq.2014.07.034","ISSN":"0167-7322","journalAbbreviation":"Journal of Molecular Liquids","author":[{"family":"El-Zahhar","given":"Adel A."},{"family":"Awwad","given":"Nasser S."},{"family":"El-Katori","given":"Emad E."}],"issued":{"date-parts":[["2014",0,1]]}}},{"id":565,"uris":["http://zotero.org/users/4017583/items/NIIIH2ZU"],"uri":["http://zotero.org/users/4017583/items/NIIIH2ZU"],"itemData":{"id":565,"type":"article-journal","title":"Adsorption of Methylene Blue, Bromophenol Blue, and Coomassie Brilliant Blue by α-chitin nanoparticles","container-title":"Journal of Advanced Research","page":"113-124","volume":"7","issue":"1","source":"ScienceDirect","abstract":"Expelling of dyestuff into water resource system causes major thread to the environment. Adsorption is the cost effective and potential method to remove the dyes from the effluents. Therefore, an attempt was made to study the adsorption of dyestuff (Methylene Blue (MB), Bromophenol Blue (BPB) and Coomassie Brilliant Blue (CBB)) by α-chitin nanoparticles (CNP) prepared from Penaeus monodon (Fabricius, 1798) shell waste. On contrary to the most recognizable adsorption studies using chitin, this is the first study using unique nanoparticles of </w:instrText>
      </w:r>
      <w:r w:rsidR="00F22D7A">
        <w:rPr>
          <w:rFonts w:ascii="Cambria Math" w:hAnsi="Cambria Math" w:cs="Cambria Math"/>
          <w:lang w:val="en-US"/>
        </w:rPr>
        <w:instrText>⩽</w:instrText>
      </w:r>
      <w:r w:rsidR="00F22D7A">
        <w:rPr>
          <w:lang w:val="en-US"/>
        </w:rPr>
        <w:instrText xml:space="preserve">50nm used for the dye adsorption process. The results showed that the adsorption process increased with increase in the concentration of CNP, contact time and temperature with the dyestuff, whereas the adsorption process decreased with increase in the initial dye concentration and strong acidic pH. The results from Fourier transform infrared (FTIR) spectroscopy confirmed that the interaction between dyestuff and CNP involved physical adsorption. The adsorption process obeys Langmuir isotherm (R2 values were 0.992, 0.999 and 0.992 for MB, BPB and CBB, and RL value lies between 0 and 1 for all the three dyes) and pseudo second order kinetics (R2 values were 0.996, 0.999 and 0.996 for MB, BPB and CBB) more effectively. The isotherm and kinetic models confirmed that CNP can be used as a suitable adsorbent material for the removal of dyestuff from effluents.","DOI":"10.1016/j.jare.2015.03.003","ISSN":"2090-1232","journalAbbreviation":"Journal of Advanced Research","author":[{"family":"Dhananasekaran","given":"Solairaj"},{"family":"Palanivel","given":"Rameshthangam"},{"family":"Pappu","given":"Srinivasan"}],"issued":{"date-parts":[["2016",0,1]]}}}],"schema":"https://github.com/citation-style-language/schema/raw/master/csl-citation.json"} </w:instrText>
      </w:r>
      <w:r>
        <w:rPr>
          <w:lang w:val="en-US"/>
        </w:rPr>
        <w:fldChar w:fldCharType="separate"/>
      </w:r>
      <w:r w:rsidR="00380D61">
        <w:rPr>
          <w:rFonts w:cs="Times New Roman"/>
          <w:szCs w:val="24"/>
          <w:vertAlign w:val="superscript"/>
        </w:rPr>
        <w:t>19,</w:t>
      </w:r>
      <w:r w:rsidR="00F22D7A" w:rsidRPr="00F22D7A">
        <w:rPr>
          <w:rFonts w:cs="Times New Roman"/>
          <w:szCs w:val="24"/>
          <w:vertAlign w:val="superscript"/>
        </w:rPr>
        <w:t>29,15</w:t>
      </w:r>
      <w:r>
        <w:rPr>
          <w:lang w:val="en-US"/>
        </w:rPr>
        <w:fldChar w:fldCharType="end"/>
      </w:r>
      <w:r>
        <w:rPr>
          <w:lang w:val="en-US"/>
        </w:rPr>
        <w:t>.</w:t>
      </w:r>
    </w:p>
    <w:p w:rsidR="000E5A8B" w:rsidRDefault="000E5A8B" w:rsidP="000E5A8B">
      <w:pPr>
        <w:rPr>
          <w:rFonts w:cstheme="minorHAnsi"/>
          <w:b/>
          <w:caps/>
          <w:lang w:val="en-US"/>
        </w:rPr>
      </w:pPr>
      <w:r>
        <w:rPr>
          <w:rFonts w:cstheme="minorHAnsi"/>
          <w:b/>
          <w:caps/>
          <w:lang w:val="en-US"/>
        </w:rPr>
        <w:t>Conclusions</w:t>
      </w:r>
    </w:p>
    <w:p w:rsidR="000E5A8B" w:rsidRPr="000E5A8B" w:rsidRDefault="000E5A8B" w:rsidP="000E5A8B">
      <w:pPr>
        <w:rPr>
          <w:lang w:val="en-US"/>
        </w:rPr>
      </w:pPr>
      <w:r>
        <w:rPr>
          <w:lang w:val="en-US"/>
        </w:rPr>
        <w:t>The present study compared two anionic (Congo Red, Bromphenol Blue) and two cationic (Methylene Blue Malachite Green) dyes’ adsorption properties on eggshell surface. By studying the effect of pH, results demonstrate that anionic dyes adsorb better in acidic while cationic dyes in basic medium. Highest efficiency occurred at pH=2 for Congo Red and BPB (98.71, 67.61%) while for MB and MG in basic medium (75.10, 98.18%). SEM images show that the porous, cross-linked structure of eggshell disappeared after dye adsorption in case of Congo Red, MB, MG. From EDX measurements it is obvious that eggshell is mostly made of CaCO</w:t>
      </w:r>
      <w:r w:rsidRPr="00D85E01">
        <w:rPr>
          <w:vertAlign w:val="subscript"/>
          <w:lang w:val="en-US"/>
        </w:rPr>
        <w:t xml:space="preserve">3 </w:t>
      </w:r>
      <w:r>
        <w:rPr>
          <w:lang w:val="en-US"/>
        </w:rPr>
        <w:t>and after adsorption process the amount of sulphur, chromium and brome increased in samples. With the help of seed germination test, the different effect of each dye on lettuce and mustard seed growth was investigated, where the phytotoxic test was plant and dye dependent. For all four dyes the adsorption mechanism was best described by pseudo-second-order kinetic model. In case of MB Dubinin-Radushkevich, MB-Freundlich, BPB, Condo Red Langmuir isotherm model fitted better the adsorption data.</w:t>
      </w:r>
    </w:p>
    <w:p w:rsidR="000E5A8B" w:rsidRPr="0085036B" w:rsidRDefault="000E5A8B" w:rsidP="000E5A8B">
      <w:pPr>
        <w:rPr>
          <w:b/>
          <w:sz w:val="28"/>
          <w:szCs w:val="28"/>
          <w:lang w:val="en-US"/>
        </w:rPr>
      </w:pPr>
      <w:r w:rsidRPr="0085036B">
        <w:rPr>
          <w:b/>
          <w:sz w:val="28"/>
          <w:szCs w:val="28"/>
          <w:lang w:val="en-US"/>
        </w:rPr>
        <w:t>References</w:t>
      </w:r>
    </w:p>
    <w:p w:rsidR="009461EB" w:rsidRPr="009461EB" w:rsidRDefault="000E5A8B" w:rsidP="009461EB">
      <w:pPr>
        <w:pStyle w:val="Irodalomjegyzk"/>
        <w:tabs>
          <w:tab w:val="clear" w:pos="624"/>
          <w:tab w:val="left" w:pos="284"/>
        </w:tabs>
        <w:ind w:left="284" w:hanging="284"/>
        <w:jc w:val="left"/>
        <w:rPr>
          <w:rFonts w:cs="Times New Roman"/>
          <w:szCs w:val="24"/>
          <w:lang w:val="en-US"/>
        </w:rPr>
      </w:pPr>
      <w:r w:rsidRPr="00380D61">
        <w:rPr>
          <w:lang w:val="en-US"/>
        </w:rPr>
        <w:fldChar w:fldCharType="begin"/>
      </w:r>
      <w:r w:rsidR="00F22D7A" w:rsidRPr="00380D61">
        <w:rPr>
          <w:lang w:val="en-US"/>
        </w:rPr>
        <w:instrText xml:space="preserve"> ADDIN ZOTERO_BIBL {"uncited":[],"omitted":[],"custom":[]} CSL_BIBLIOGRAPHY </w:instrText>
      </w:r>
      <w:r w:rsidRPr="00380D61">
        <w:rPr>
          <w:lang w:val="en-US"/>
        </w:rPr>
        <w:fldChar w:fldCharType="separate"/>
      </w:r>
      <w:r w:rsidR="00380D61">
        <w:rPr>
          <w:rFonts w:cs="Times New Roman"/>
          <w:szCs w:val="24"/>
          <w:lang w:val="en-US"/>
        </w:rPr>
        <w:t>1</w:t>
      </w:r>
      <w:r w:rsidR="00F97D08" w:rsidRPr="00380D61">
        <w:rPr>
          <w:rFonts w:cs="Times New Roman"/>
          <w:szCs w:val="24"/>
          <w:lang w:val="en-US"/>
        </w:rPr>
        <w:t xml:space="preserve"> </w:t>
      </w:r>
      <w:r w:rsidR="00F97D08" w:rsidRPr="00380D61">
        <w:rPr>
          <w:rFonts w:cs="Times New Roman"/>
          <w:szCs w:val="24"/>
          <w:lang w:val="en-US"/>
        </w:rPr>
        <w:tab/>
        <w:t>The United Nations World Water Development Report - Facts and figures.</w:t>
      </w:r>
      <w:r w:rsidR="009461EB" w:rsidRPr="009461EB">
        <w:t xml:space="preserve"> </w:t>
      </w:r>
      <w:r w:rsidR="009461EB" w:rsidRPr="009461EB">
        <w:rPr>
          <w:rFonts w:cs="Times New Roman"/>
          <w:i/>
          <w:szCs w:val="24"/>
          <w:lang w:val="en-US"/>
        </w:rPr>
        <w:t>http://unesdoc.unesco.org/images/0024/002475/247553e.pdf</w:t>
      </w:r>
    </w:p>
    <w:p w:rsidR="00F97D08" w:rsidRPr="00380D61" w:rsidRDefault="00380D61" w:rsidP="009461EB">
      <w:pPr>
        <w:pStyle w:val="Irodalomjegyzk"/>
        <w:tabs>
          <w:tab w:val="clear" w:pos="624"/>
          <w:tab w:val="left" w:pos="284"/>
        </w:tabs>
        <w:ind w:left="284" w:hanging="284"/>
        <w:jc w:val="left"/>
        <w:rPr>
          <w:rFonts w:cs="Times New Roman"/>
          <w:szCs w:val="24"/>
          <w:lang w:val="en-US"/>
        </w:rPr>
      </w:pPr>
      <w:r>
        <w:rPr>
          <w:rFonts w:cs="Times New Roman"/>
          <w:szCs w:val="24"/>
          <w:lang w:val="en-US"/>
        </w:rPr>
        <w:t>2</w:t>
      </w:r>
      <w:r w:rsidR="00F97D08" w:rsidRPr="00380D61">
        <w:rPr>
          <w:rFonts w:cs="Times New Roman"/>
          <w:szCs w:val="24"/>
          <w:lang w:val="en-US"/>
        </w:rPr>
        <w:t xml:space="preserve"> </w:t>
      </w:r>
      <w:r w:rsidR="00F97D08" w:rsidRPr="00380D61">
        <w:rPr>
          <w:rFonts w:cs="Times New Roman"/>
          <w:szCs w:val="24"/>
          <w:lang w:val="en-US"/>
        </w:rPr>
        <w:tab/>
        <w:t xml:space="preserve">The United Nations World Water Development Report - Executive summary, </w:t>
      </w:r>
      <w:r w:rsidR="00F97D08" w:rsidRPr="00380D61">
        <w:rPr>
          <w:rFonts w:cs="Times New Roman"/>
          <w:i/>
          <w:iCs/>
          <w:szCs w:val="24"/>
          <w:lang w:val="en-US"/>
        </w:rPr>
        <w:t>http://unesdoc.unesco.org/images/0024/002475/247552e.pdf</w:t>
      </w:r>
      <w:r w:rsidR="00F97D08"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 xml:space="preserve">3 </w:t>
      </w:r>
      <w:r w:rsidRPr="00380D61">
        <w:rPr>
          <w:rFonts w:cs="Times New Roman"/>
          <w:szCs w:val="24"/>
          <w:lang w:val="en-US"/>
        </w:rPr>
        <w:tab/>
        <w:t xml:space="preserve">M. A. M. Salleh, D. K. Mahmoud, W. A. W. A. Karim, A. Idris, </w:t>
      </w:r>
      <w:r w:rsidRPr="00380D61">
        <w:rPr>
          <w:rFonts w:cs="Times New Roman"/>
          <w:i/>
          <w:iCs/>
          <w:szCs w:val="24"/>
          <w:lang w:val="en-US"/>
        </w:rPr>
        <w:t>Desalination</w:t>
      </w:r>
      <w:r w:rsidRPr="00380D61">
        <w:rPr>
          <w:rFonts w:cs="Times New Roman"/>
          <w:szCs w:val="24"/>
          <w:lang w:val="en-US"/>
        </w:rPr>
        <w:t xml:space="preserve"> </w:t>
      </w:r>
      <w:r w:rsidRPr="00380D61">
        <w:rPr>
          <w:rFonts w:cs="Times New Roman"/>
          <w:b/>
          <w:bCs/>
          <w:szCs w:val="24"/>
          <w:lang w:val="en-US"/>
        </w:rPr>
        <w:t>2011</w:t>
      </w:r>
      <w:r w:rsidRPr="00380D61">
        <w:rPr>
          <w:rFonts w:cs="Times New Roman"/>
          <w:szCs w:val="24"/>
          <w:lang w:val="en-US"/>
        </w:rPr>
        <w:t xml:space="preserve">, </w:t>
      </w:r>
      <w:r w:rsidRPr="00380D61">
        <w:rPr>
          <w:rFonts w:cs="Times New Roman"/>
          <w:i/>
          <w:iCs/>
          <w:szCs w:val="24"/>
          <w:lang w:val="en-US"/>
        </w:rPr>
        <w:t>280</w:t>
      </w:r>
      <w:r w:rsidR="00137979">
        <w:rPr>
          <w:rFonts w:cs="Times New Roman"/>
          <w:szCs w:val="24"/>
          <w:lang w:val="en-US"/>
        </w:rPr>
        <w:t>, 1-13,</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10.1016/j.desal.2011.07.019.</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lastRenderedPageBreak/>
        <w:t xml:space="preserve">4 </w:t>
      </w:r>
      <w:r w:rsidRPr="00380D61">
        <w:rPr>
          <w:rFonts w:cs="Times New Roman"/>
          <w:szCs w:val="24"/>
          <w:lang w:val="en-US"/>
        </w:rPr>
        <w:tab/>
        <w:t xml:space="preserve">R. Dutta, T. V. Nagarjuna, S. A. Mandavgane, J. D. Ekhe, </w:t>
      </w:r>
      <w:r w:rsidRPr="00380D61">
        <w:rPr>
          <w:rFonts w:cs="Times New Roman"/>
          <w:i/>
          <w:iCs/>
          <w:szCs w:val="24"/>
          <w:lang w:val="en-US"/>
        </w:rPr>
        <w:t>Ind. Eng. Chem. Res.</w:t>
      </w:r>
      <w:r w:rsidRPr="00380D61">
        <w:rPr>
          <w:rFonts w:cs="Times New Roman"/>
          <w:szCs w:val="24"/>
          <w:lang w:val="en-US"/>
        </w:rPr>
        <w:t xml:space="preserve"> </w:t>
      </w:r>
      <w:r w:rsidRPr="00380D61">
        <w:rPr>
          <w:rFonts w:cs="Times New Roman"/>
          <w:b/>
          <w:bCs/>
          <w:szCs w:val="24"/>
          <w:lang w:val="en-US"/>
        </w:rPr>
        <w:t>2014</w:t>
      </w:r>
      <w:r w:rsidRPr="00380D61">
        <w:rPr>
          <w:rFonts w:cs="Times New Roman"/>
          <w:szCs w:val="24"/>
          <w:lang w:val="en-US"/>
        </w:rPr>
        <w:t xml:space="preserve">, </w:t>
      </w:r>
      <w:r w:rsidRPr="00380D61">
        <w:rPr>
          <w:rFonts w:cs="Times New Roman"/>
          <w:i/>
          <w:iCs/>
          <w:szCs w:val="24"/>
          <w:lang w:val="en-US"/>
        </w:rPr>
        <w:t>53</w:t>
      </w:r>
      <w:r w:rsidR="00137979">
        <w:rPr>
          <w:rFonts w:cs="Times New Roman"/>
          <w:szCs w:val="24"/>
          <w:lang w:val="en-US"/>
        </w:rPr>
        <w:t xml:space="preserve">, </w:t>
      </w:r>
      <w:r w:rsidR="00137979" w:rsidRPr="00137979">
        <w:rPr>
          <w:rFonts w:cs="Times New Roman"/>
          <w:szCs w:val="24"/>
          <w:lang w:val="en-US"/>
        </w:rPr>
        <w:t>18558-18567</w:t>
      </w:r>
      <w:r w:rsidR="00137979">
        <w:rPr>
          <w:rFonts w:cs="Times New Roman"/>
          <w:szCs w:val="24"/>
          <w:lang w:val="en-US"/>
        </w:rPr>
        <w:t>,</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10.1021/ie5030003.</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 xml:space="preserve">5 </w:t>
      </w:r>
      <w:r w:rsidRPr="00380D61">
        <w:rPr>
          <w:rFonts w:cs="Times New Roman"/>
          <w:szCs w:val="24"/>
          <w:lang w:val="en-US"/>
        </w:rPr>
        <w:tab/>
        <w:t xml:space="preserve">R. B. Arfi, S. Karoui, K. Mougin, A. Ghorbal, </w:t>
      </w:r>
      <w:r w:rsidRPr="00380D61">
        <w:rPr>
          <w:rFonts w:cs="Times New Roman"/>
          <w:i/>
          <w:iCs/>
          <w:szCs w:val="24"/>
          <w:lang w:val="en-US"/>
        </w:rPr>
        <w:t>Euro-Mediterr. J. Environ. Integr.</w:t>
      </w:r>
      <w:r w:rsidRPr="00380D61">
        <w:rPr>
          <w:rFonts w:cs="Times New Roman"/>
          <w:szCs w:val="24"/>
          <w:lang w:val="en-US"/>
        </w:rPr>
        <w:t xml:space="preserve"> </w:t>
      </w:r>
      <w:r w:rsidRPr="00380D61">
        <w:rPr>
          <w:rFonts w:cs="Times New Roman"/>
          <w:b/>
          <w:bCs/>
          <w:szCs w:val="24"/>
          <w:lang w:val="en-US"/>
        </w:rPr>
        <w:t>2017</w:t>
      </w:r>
      <w:r w:rsidRPr="00380D61">
        <w:rPr>
          <w:rFonts w:cs="Times New Roman"/>
          <w:szCs w:val="24"/>
          <w:lang w:val="en-US"/>
        </w:rPr>
        <w:t xml:space="preserve">, </w:t>
      </w:r>
      <w:r w:rsidRPr="00380D61">
        <w:rPr>
          <w:rFonts w:cs="Times New Roman"/>
          <w:i/>
          <w:iCs/>
          <w:szCs w:val="24"/>
          <w:lang w:val="en-US"/>
        </w:rPr>
        <w:t>2</w:t>
      </w:r>
      <w:r w:rsidRPr="00380D61">
        <w:rPr>
          <w:rFonts w:cs="Times New Roman"/>
          <w:szCs w:val="24"/>
          <w:lang w:val="en-US"/>
        </w:rPr>
        <w:t xml:space="preserve">, 20, </w:t>
      </w:r>
      <w:r w:rsidRPr="00614E6E">
        <w:rPr>
          <w:rFonts w:cs="Times New Roman"/>
          <w:b/>
          <w:szCs w:val="24"/>
          <w:lang w:val="en-US"/>
        </w:rPr>
        <w:t>DOI:</w:t>
      </w:r>
      <w:r w:rsidRPr="00380D61">
        <w:rPr>
          <w:rFonts w:cs="Times New Roman"/>
          <w:szCs w:val="24"/>
          <w:lang w:val="en-US"/>
        </w:rPr>
        <w:t xml:space="preserve"> 10.1007/s41207-017-0032-y.</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 xml:space="preserve">6 </w:t>
      </w:r>
      <w:r w:rsidRPr="00380D61">
        <w:rPr>
          <w:rFonts w:cs="Times New Roman"/>
          <w:szCs w:val="24"/>
          <w:lang w:val="en-US"/>
        </w:rPr>
        <w:tab/>
        <w:t xml:space="preserve">M.-S. Chiou, P.-Y. Ho, H.-Y. Li, </w:t>
      </w:r>
      <w:r w:rsidRPr="00380D61">
        <w:rPr>
          <w:rFonts w:cs="Times New Roman"/>
          <w:i/>
          <w:iCs/>
          <w:szCs w:val="24"/>
          <w:lang w:val="en-US"/>
        </w:rPr>
        <w:t>Dyes Pigments</w:t>
      </w:r>
      <w:r w:rsidRPr="00380D61">
        <w:rPr>
          <w:rFonts w:cs="Times New Roman"/>
          <w:szCs w:val="24"/>
          <w:lang w:val="en-US"/>
        </w:rPr>
        <w:t xml:space="preserve"> </w:t>
      </w:r>
      <w:r w:rsidRPr="00380D61">
        <w:rPr>
          <w:rFonts w:cs="Times New Roman"/>
          <w:b/>
          <w:bCs/>
          <w:szCs w:val="24"/>
          <w:lang w:val="en-US"/>
        </w:rPr>
        <w:t>2004</w:t>
      </w:r>
      <w:r w:rsidRPr="00380D61">
        <w:rPr>
          <w:rFonts w:cs="Times New Roman"/>
          <w:szCs w:val="24"/>
          <w:lang w:val="en-US"/>
        </w:rPr>
        <w:t xml:space="preserve">, </w:t>
      </w:r>
      <w:r w:rsidRPr="00380D61">
        <w:rPr>
          <w:rFonts w:cs="Times New Roman"/>
          <w:i/>
          <w:iCs/>
          <w:szCs w:val="24"/>
          <w:lang w:val="en-US"/>
        </w:rPr>
        <w:t>60</w:t>
      </w:r>
      <w:r w:rsidRPr="00380D61">
        <w:rPr>
          <w:rFonts w:cs="Times New Roman"/>
          <w:szCs w:val="24"/>
          <w:lang w:val="en-US"/>
        </w:rPr>
        <w:t>, 69</w:t>
      </w:r>
      <w:r w:rsidR="00137979">
        <w:rPr>
          <w:rFonts w:cs="Times New Roman"/>
          <w:szCs w:val="24"/>
          <w:lang w:val="en-US"/>
        </w:rPr>
        <w:t>-84</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10.1016/S0143-7208(03)00140-2.</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7</w:t>
      </w:r>
      <w:r w:rsidRPr="00380D61">
        <w:rPr>
          <w:rFonts w:cs="Times New Roman"/>
          <w:szCs w:val="24"/>
          <w:lang w:val="en-US"/>
        </w:rPr>
        <w:tab/>
        <w:t xml:space="preserve">C. Indolean, S. Burcă, A. Măicăneanu, </w:t>
      </w:r>
      <w:r w:rsidRPr="00380D61">
        <w:rPr>
          <w:rFonts w:cs="Times New Roman"/>
          <w:i/>
          <w:iCs/>
          <w:szCs w:val="24"/>
          <w:lang w:val="en-US"/>
        </w:rPr>
        <w:t>Acta Chim. Slov.</w:t>
      </w:r>
      <w:r w:rsidRPr="00380D61">
        <w:rPr>
          <w:rFonts w:cs="Times New Roman"/>
          <w:szCs w:val="24"/>
          <w:lang w:val="en-US"/>
        </w:rPr>
        <w:t xml:space="preserve"> </w:t>
      </w:r>
      <w:r w:rsidRPr="00380D61">
        <w:rPr>
          <w:rFonts w:cs="Times New Roman"/>
          <w:b/>
          <w:bCs/>
          <w:szCs w:val="24"/>
          <w:lang w:val="en-US"/>
        </w:rPr>
        <w:t>2017</w:t>
      </w:r>
      <w:r w:rsidRPr="00380D61">
        <w:rPr>
          <w:rFonts w:cs="Times New Roman"/>
          <w:szCs w:val="24"/>
          <w:lang w:val="en-US"/>
        </w:rPr>
        <w:t xml:space="preserve">, </w:t>
      </w:r>
      <w:r w:rsidRPr="00380D61">
        <w:rPr>
          <w:rFonts w:cs="Times New Roman"/>
          <w:i/>
          <w:iCs/>
          <w:szCs w:val="24"/>
          <w:lang w:val="en-US"/>
        </w:rPr>
        <w:t>64</w:t>
      </w:r>
      <w:r w:rsidRPr="00380D61">
        <w:rPr>
          <w:rFonts w:cs="Times New Roman"/>
          <w:szCs w:val="24"/>
          <w:lang w:val="en-US"/>
        </w:rPr>
        <w:t>, 513</w:t>
      </w:r>
      <w:r w:rsidR="00137979">
        <w:rPr>
          <w:rFonts w:cs="Times New Roman"/>
          <w:szCs w:val="24"/>
          <w:lang w:val="en-US"/>
        </w:rPr>
        <w:t>-521</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10.17344/acsi.2017.3271.</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 xml:space="preserve">8 </w:t>
      </w:r>
      <w:r w:rsidRPr="00380D61">
        <w:rPr>
          <w:rFonts w:cs="Times New Roman"/>
          <w:szCs w:val="24"/>
          <w:lang w:val="en-US"/>
        </w:rPr>
        <w:tab/>
        <w:t xml:space="preserve">W. T. Tsai, J. M. Yang, C. W. Lai, Y. H. Cheng, C. C. Lin, C. W. Yeh, </w:t>
      </w:r>
      <w:r w:rsidRPr="00380D61">
        <w:rPr>
          <w:rFonts w:cs="Times New Roman"/>
          <w:i/>
          <w:iCs/>
          <w:szCs w:val="24"/>
          <w:lang w:val="en-US"/>
        </w:rPr>
        <w:t>Bioresour. Technol.</w:t>
      </w:r>
      <w:r w:rsidRPr="00380D61">
        <w:rPr>
          <w:rFonts w:cs="Times New Roman"/>
          <w:szCs w:val="24"/>
          <w:lang w:val="en-US"/>
        </w:rPr>
        <w:t xml:space="preserve"> </w:t>
      </w:r>
      <w:r w:rsidRPr="00380D61">
        <w:rPr>
          <w:rFonts w:cs="Times New Roman"/>
          <w:b/>
          <w:bCs/>
          <w:szCs w:val="24"/>
          <w:lang w:val="en-US"/>
        </w:rPr>
        <w:t>2006</w:t>
      </w:r>
      <w:r w:rsidRPr="00380D61">
        <w:rPr>
          <w:rFonts w:cs="Times New Roman"/>
          <w:szCs w:val="24"/>
          <w:lang w:val="en-US"/>
        </w:rPr>
        <w:t xml:space="preserve">, </w:t>
      </w:r>
      <w:r w:rsidRPr="00380D61">
        <w:rPr>
          <w:rFonts w:cs="Times New Roman"/>
          <w:i/>
          <w:iCs/>
          <w:szCs w:val="24"/>
          <w:lang w:val="en-US"/>
        </w:rPr>
        <w:t>97</w:t>
      </w:r>
      <w:r w:rsidRPr="00380D61">
        <w:rPr>
          <w:rFonts w:cs="Times New Roman"/>
          <w:szCs w:val="24"/>
          <w:lang w:val="en-US"/>
        </w:rPr>
        <w:t>, 488</w:t>
      </w:r>
      <w:r w:rsidR="00137979">
        <w:rPr>
          <w:rFonts w:cs="Times New Roman"/>
          <w:szCs w:val="24"/>
          <w:lang w:val="en-US"/>
        </w:rPr>
        <w:t>-493</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10.1016/j.biortech.2005.02.050.</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 xml:space="preserve">9 </w:t>
      </w:r>
      <w:r w:rsidRPr="00380D61">
        <w:rPr>
          <w:rFonts w:cs="Times New Roman"/>
          <w:szCs w:val="24"/>
          <w:lang w:val="en-US"/>
        </w:rPr>
        <w:tab/>
        <w:t xml:space="preserve">P. S. Guru, S. Dash, </w:t>
      </w:r>
      <w:r w:rsidRPr="00380D61">
        <w:rPr>
          <w:rFonts w:cs="Times New Roman"/>
          <w:i/>
          <w:iCs/>
          <w:szCs w:val="24"/>
          <w:lang w:val="en-US"/>
        </w:rPr>
        <w:t>Adv. Colloid Interface Sci.</w:t>
      </w:r>
      <w:r w:rsidRPr="00380D61">
        <w:rPr>
          <w:rFonts w:cs="Times New Roman"/>
          <w:szCs w:val="24"/>
          <w:lang w:val="en-US"/>
        </w:rPr>
        <w:t xml:space="preserve"> </w:t>
      </w:r>
      <w:r w:rsidRPr="00380D61">
        <w:rPr>
          <w:rFonts w:cs="Times New Roman"/>
          <w:b/>
          <w:bCs/>
          <w:szCs w:val="24"/>
          <w:lang w:val="en-US"/>
        </w:rPr>
        <w:t>2014</w:t>
      </w:r>
      <w:r w:rsidRPr="00380D61">
        <w:rPr>
          <w:rFonts w:cs="Times New Roman"/>
          <w:szCs w:val="24"/>
          <w:lang w:val="en-US"/>
        </w:rPr>
        <w:t xml:space="preserve">, </w:t>
      </w:r>
      <w:r w:rsidRPr="00380D61">
        <w:rPr>
          <w:rFonts w:cs="Times New Roman"/>
          <w:i/>
          <w:iCs/>
          <w:szCs w:val="24"/>
          <w:lang w:val="en-US"/>
        </w:rPr>
        <w:t>209</w:t>
      </w:r>
      <w:r w:rsidRPr="00380D61">
        <w:rPr>
          <w:rFonts w:cs="Times New Roman"/>
          <w:szCs w:val="24"/>
          <w:lang w:val="en-US"/>
        </w:rPr>
        <w:t>, 49</w:t>
      </w:r>
      <w:r w:rsidR="00137979">
        <w:rPr>
          <w:rFonts w:cs="Times New Roman"/>
          <w:szCs w:val="24"/>
          <w:lang w:val="en-US"/>
        </w:rPr>
        <w:t>-67</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10.1016/j.cis.2013.12.013.</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10</w:t>
      </w:r>
      <w:r w:rsidR="00137979">
        <w:rPr>
          <w:rFonts w:cs="Times New Roman"/>
          <w:szCs w:val="24"/>
          <w:lang w:val="en-US"/>
        </w:rPr>
        <w:t xml:space="preserve"> </w:t>
      </w:r>
      <w:r w:rsidRPr="00380D61">
        <w:rPr>
          <w:rFonts w:cs="Times New Roman"/>
          <w:szCs w:val="24"/>
          <w:lang w:val="en-US"/>
        </w:rPr>
        <w:t xml:space="preserve">S. Tonk, C. Majdik, S. Robert, M. Suciu, E. Rápó, B. Nagy, A. Gabriela Niculae, </w:t>
      </w:r>
      <w:r w:rsidRPr="00380D61">
        <w:rPr>
          <w:rFonts w:cs="Times New Roman"/>
          <w:i/>
          <w:iCs/>
          <w:szCs w:val="24"/>
          <w:lang w:val="en-US"/>
        </w:rPr>
        <w:t>Rev. Chim. -Buchar.- Orig. Ed.-</w:t>
      </w:r>
      <w:r w:rsidRPr="00380D61">
        <w:rPr>
          <w:rFonts w:cs="Times New Roman"/>
          <w:szCs w:val="24"/>
          <w:lang w:val="en-US"/>
        </w:rPr>
        <w:t xml:space="preserve"> </w:t>
      </w:r>
      <w:r w:rsidRPr="00380D61">
        <w:rPr>
          <w:rFonts w:cs="Times New Roman"/>
          <w:b/>
          <w:bCs/>
          <w:szCs w:val="24"/>
          <w:lang w:val="en-US"/>
        </w:rPr>
        <w:t>2017</w:t>
      </w:r>
      <w:r w:rsidRPr="00380D61">
        <w:rPr>
          <w:rFonts w:cs="Times New Roman"/>
          <w:szCs w:val="24"/>
          <w:lang w:val="en-US"/>
        </w:rPr>
        <w:t xml:space="preserve">, </w:t>
      </w:r>
      <w:r w:rsidRPr="00380D61">
        <w:rPr>
          <w:rFonts w:cs="Times New Roman"/>
          <w:i/>
          <w:iCs/>
          <w:szCs w:val="24"/>
          <w:lang w:val="en-US"/>
        </w:rPr>
        <w:t>68</w:t>
      </w:r>
      <w:r w:rsidRPr="00380D61">
        <w:rPr>
          <w:rFonts w:cs="Times New Roman"/>
          <w:szCs w:val="24"/>
          <w:lang w:val="en-US"/>
        </w:rPr>
        <w:t>, 1951.</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11</w:t>
      </w:r>
      <w:r w:rsidR="00137979">
        <w:rPr>
          <w:rFonts w:cs="Times New Roman"/>
          <w:szCs w:val="24"/>
          <w:lang w:val="en-US"/>
        </w:rPr>
        <w:t xml:space="preserve"> </w:t>
      </w:r>
      <w:r w:rsidRPr="00380D61">
        <w:rPr>
          <w:rFonts w:cs="Times New Roman"/>
          <w:szCs w:val="24"/>
          <w:lang w:val="en-US"/>
        </w:rPr>
        <w:t xml:space="preserve">How many chickena are there in the United States? How many eggs do they produce? Just the facts here., </w:t>
      </w:r>
      <w:r w:rsidRPr="00380D61">
        <w:rPr>
          <w:rFonts w:cs="Times New Roman"/>
          <w:i/>
          <w:iCs/>
          <w:szCs w:val="24"/>
          <w:lang w:val="en-US"/>
        </w:rPr>
        <w:t>http://www.ansc.purdue.edu/faen/poultry%20facts.html</w:t>
      </w:r>
      <w:r w:rsidRPr="00380D61">
        <w:rPr>
          <w:rFonts w:cs="Times New Roman"/>
          <w:szCs w:val="24"/>
          <w:lang w:val="en-US"/>
        </w:rPr>
        <w:t xml:space="preserve">, accessed November 26, </w:t>
      </w:r>
      <w:r w:rsidRPr="00380D61">
        <w:rPr>
          <w:rFonts w:cs="Times New Roman"/>
          <w:b/>
          <w:bCs/>
          <w:szCs w:val="24"/>
          <w:lang w:val="en-US"/>
        </w:rPr>
        <w:t>2017</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12</w:t>
      </w:r>
      <w:r w:rsidR="00137979">
        <w:rPr>
          <w:rFonts w:cs="Times New Roman"/>
          <w:szCs w:val="24"/>
          <w:lang w:val="en-US"/>
        </w:rPr>
        <w:t xml:space="preserve"> </w:t>
      </w:r>
      <w:r w:rsidRPr="00380D61">
        <w:rPr>
          <w:rFonts w:cs="Times New Roman"/>
          <w:szCs w:val="24"/>
          <w:lang w:val="en-US"/>
        </w:rPr>
        <w:t xml:space="preserve">K. C. Rani, A. Naik, R. S. Chaurasiya, K. S. M. S. Raghavarao, </w:t>
      </w:r>
      <w:r w:rsidRPr="00380D61">
        <w:rPr>
          <w:rFonts w:cs="Times New Roman"/>
          <w:i/>
          <w:iCs/>
          <w:szCs w:val="24"/>
          <w:lang w:val="en-US"/>
        </w:rPr>
        <w:t>Water Sci. Technol.</w:t>
      </w:r>
      <w:r w:rsidRPr="00380D61">
        <w:rPr>
          <w:rFonts w:cs="Times New Roman"/>
          <w:szCs w:val="24"/>
          <w:lang w:val="en-US"/>
        </w:rPr>
        <w:t xml:space="preserve"> </w:t>
      </w:r>
      <w:r w:rsidRPr="00380D61">
        <w:rPr>
          <w:rFonts w:cs="Times New Roman"/>
          <w:b/>
          <w:bCs/>
          <w:szCs w:val="24"/>
          <w:lang w:val="en-US"/>
        </w:rPr>
        <w:t>2017</w:t>
      </w:r>
      <w:r w:rsidRPr="00380D61">
        <w:rPr>
          <w:rFonts w:cs="Times New Roman"/>
          <w:szCs w:val="24"/>
          <w:lang w:val="en-US"/>
        </w:rPr>
        <w:t xml:space="preserve">, </w:t>
      </w:r>
      <w:r w:rsidRPr="00380D61">
        <w:rPr>
          <w:rFonts w:cs="Times New Roman"/>
          <w:i/>
          <w:iCs/>
          <w:szCs w:val="24"/>
          <w:lang w:val="en-US"/>
        </w:rPr>
        <w:t>75</w:t>
      </w:r>
      <w:r w:rsidRPr="00380D61">
        <w:rPr>
          <w:rFonts w:cs="Times New Roman"/>
          <w:szCs w:val="24"/>
          <w:lang w:val="en-US"/>
        </w:rPr>
        <w:t>, 2225</w:t>
      </w:r>
      <w:r w:rsidR="00137979">
        <w:rPr>
          <w:rFonts w:cs="Times New Roman"/>
          <w:szCs w:val="24"/>
          <w:lang w:val="en-US"/>
        </w:rPr>
        <w:t>-2236</w:t>
      </w:r>
      <w:r w:rsidRPr="00380D61">
        <w:rPr>
          <w:rFonts w:cs="Times New Roman"/>
          <w:szCs w:val="24"/>
          <w:lang w:val="en-US"/>
        </w:rPr>
        <w:t xml:space="preserve">, </w:t>
      </w:r>
      <w:r w:rsidRPr="00614E6E">
        <w:rPr>
          <w:rFonts w:cs="Times New Roman"/>
          <w:b/>
          <w:szCs w:val="24"/>
          <w:lang w:val="en-US"/>
        </w:rPr>
        <w:t xml:space="preserve">DOI: </w:t>
      </w:r>
      <w:r w:rsidRPr="00380D61">
        <w:rPr>
          <w:rFonts w:cs="Times New Roman"/>
          <w:szCs w:val="24"/>
          <w:lang w:val="en-US"/>
        </w:rPr>
        <w:t>10.2166/wst.2017.109.</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13</w:t>
      </w:r>
      <w:r w:rsidR="00137979">
        <w:rPr>
          <w:rFonts w:cs="Times New Roman"/>
          <w:szCs w:val="24"/>
          <w:lang w:val="en-US"/>
        </w:rPr>
        <w:t xml:space="preserve"> </w:t>
      </w:r>
      <w:r w:rsidRPr="00380D61">
        <w:rPr>
          <w:rFonts w:cs="Times New Roman"/>
          <w:szCs w:val="24"/>
          <w:lang w:val="en-US"/>
        </w:rPr>
        <w:t xml:space="preserve">N. F. El-Harby, S. M. A. Ibrahim, N. A. Mohamed, </w:t>
      </w:r>
      <w:r w:rsidRPr="00380D61">
        <w:rPr>
          <w:rFonts w:cs="Times New Roman"/>
          <w:i/>
          <w:iCs/>
          <w:szCs w:val="24"/>
          <w:lang w:val="en-US"/>
        </w:rPr>
        <w:t>Water Sci. Technol.</w:t>
      </w:r>
      <w:r w:rsidRPr="00380D61">
        <w:rPr>
          <w:rFonts w:cs="Times New Roman"/>
          <w:szCs w:val="24"/>
          <w:lang w:val="en-US"/>
        </w:rPr>
        <w:t xml:space="preserve"> </w:t>
      </w:r>
      <w:r w:rsidRPr="00380D61">
        <w:rPr>
          <w:rFonts w:cs="Times New Roman"/>
          <w:b/>
          <w:bCs/>
          <w:szCs w:val="24"/>
          <w:lang w:val="en-US"/>
        </w:rPr>
        <w:t>2017</w:t>
      </w:r>
      <w:r w:rsidRPr="00380D61">
        <w:rPr>
          <w:rFonts w:cs="Times New Roman"/>
          <w:szCs w:val="24"/>
          <w:lang w:val="en-US"/>
        </w:rPr>
        <w:t xml:space="preserve">, </w:t>
      </w:r>
      <w:r w:rsidRPr="00380D61">
        <w:rPr>
          <w:rFonts w:cs="Times New Roman"/>
          <w:i/>
          <w:iCs/>
          <w:szCs w:val="24"/>
          <w:lang w:val="en-US"/>
        </w:rPr>
        <w:t>76</w:t>
      </w:r>
      <w:r w:rsidRPr="00380D61">
        <w:rPr>
          <w:rFonts w:cs="Times New Roman"/>
          <w:szCs w:val="24"/>
          <w:lang w:val="en-US"/>
        </w:rPr>
        <w:t>, 2719</w:t>
      </w:r>
      <w:r w:rsidR="00137979">
        <w:rPr>
          <w:rFonts w:cs="Times New Roman"/>
          <w:szCs w:val="24"/>
          <w:lang w:val="en-US"/>
        </w:rPr>
        <w:t>-2732</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10.2166/wst.2017.442.</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14</w:t>
      </w:r>
      <w:r w:rsidR="00137979">
        <w:rPr>
          <w:rFonts w:cs="Times New Roman"/>
          <w:szCs w:val="24"/>
          <w:lang w:val="en-US"/>
        </w:rPr>
        <w:t xml:space="preserve"> </w:t>
      </w:r>
      <w:r w:rsidRPr="00380D61">
        <w:rPr>
          <w:rFonts w:cs="Times New Roman"/>
          <w:szCs w:val="24"/>
          <w:lang w:val="en-US"/>
        </w:rPr>
        <w:t xml:space="preserve">F. El-Dars, H. M Ibrahim, H. A. B. Farag, M. Zakaria Abdelwahhab, M. Shalabi, </w:t>
      </w:r>
      <w:r w:rsidRPr="00380D61">
        <w:rPr>
          <w:rFonts w:cs="Times New Roman"/>
          <w:i/>
          <w:iCs/>
          <w:szCs w:val="24"/>
          <w:lang w:val="en-US"/>
        </w:rPr>
        <w:t>Int. J. Sci. Eng. Res.</w:t>
      </w:r>
      <w:r w:rsidRPr="00380D61">
        <w:rPr>
          <w:rFonts w:cs="Times New Roman"/>
          <w:szCs w:val="24"/>
          <w:lang w:val="en-US"/>
        </w:rPr>
        <w:t xml:space="preserve"> </w:t>
      </w:r>
      <w:r w:rsidRPr="00380D61">
        <w:rPr>
          <w:rFonts w:cs="Times New Roman"/>
          <w:b/>
          <w:bCs/>
          <w:szCs w:val="24"/>
          <w:lang w:val="en-US"/>
        </w:rPr>
        <w:t>2015</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15</w:t>
      </w:r>
      <w:r w:rsidR="00137979">
        <w:rPr>
          <w:rFonts w:cs="Times New Roman"/>
          <w:szCs w:val="24"/>
          <w:lang w:val="en-US"/>
        </w:rPr>
        <w:t xml:space="preserve"> </w:t>
      </w:r>
      <w:r w:rsidRPr="00380D61">
        <w:rPr>
          <w:rFonts w:cs="Times New Roman"/>
          <w:szCs w:val="24"/>
          <w:lang w:val="en-US"/>
        </w:rPr>
        <w:t xml:space="preserve">S. Dhananasekaran, R. Palanivel, S. Pappu, </w:t>
      </w:r>
      <w:r w:rsidRPr="00380D61">
        <w:rPr>
          <w:rFonts w:cs="Times New Roman"/>
          <w:i/>
          <w:iCs/>
          <w:szCs w:val="24"/>
          <w:lang w:val="en-US"/>
        </w:rPr>
        <w:t>J. Adv. Res.</w:t>
      </w:r>
      <w:r w:rsidRPr="00380D61">
        <w:rPr>
          <w:rFonts w:cs="Times New Roman"/>
          <w:szCs w:val="24"/>
          <w:lang w:val="en-US"/>
        </w:rPr>
        <w:t xml:space="preserve"> </w:t>
      </w:r>
      <w:r w:rsidRPr="00380D61">
        <w:rPr>
          <w:rFonts w:cs="Times New Roman"/>
          <w:b/>
          <w:bCs/>
          <w:szCs w:val="24"/>
          <w:lang w:val="en-US"/>
        </w:rPr>
        <w:t>2016</w:t>
      </w:r>
      <w:r w:rsidRPr="00380D61">
        <w:rPr>
          <w:rFonts w:cs="Times New Roman"/>
          <w:szCs w:val="24"/>
          <w:lang w:val="en-US"/>
        </w:rPr>
        <w:t xml:space="preserve">, </w:t>
      </w:r>
      <w:r w:rsidRPr="00380D61">
        <w:rPr>
          <w:rFonts w:cs="Times New Roman"/>
          <w:i/>
          <w:iCs/>
          <w:szCs w:val="24"/>
          <w:lang w:val="en-US"/>
        </w:rPr>
        <w:t>7</w:t>
      </w:r>
      <w:r w:rsidRPr="00380D61">
        <w:rPr>
          <w:rFonts w:cs="Times New Roman"/>
          <w:szCs w:val="24"/>
          <w:lang w:val="en-US"/>
        </w:rPr>
        <w:t>, 113</w:t>
      </w:r>
      <w:r w:rsidR="00137979">
        <w:rPr>
          <w:rFonts w:cs="Times New Roman"/>
          <w:szCs w:val="24"/>
          <w:lang w:val="en-US"/>
        </w:rPr>
        <w:t>-124</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10.1016/j.jare.2015.03.003.</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16</w:t>
      </w:r>
      <w:r w:rsidR="00137979">
        <w:rPr>
          <w:rFonts w:cs="Times New Roman"/>
          <w:szCs w:val="24"/>
          <w:lang w:val="en-US"/>
        </w:rPr>
        <w:t xml:space="preserve"> </w:t>
      </w:r>
      <w:r w:rsidRPr="00380D61">
        <w:rPr>
          <w:rFonts w:cs="Times New Roman"/>
          <w:szCs w:val="24"/>
          <w:lang w:val="en-US"/>
        </w:rPr>
        <w:t xml:space="preserve">O. Hamdaoui, M. Chiha, </w:t>
      </w:r>
      <w:r w:rsidRPr="00380D61">
        <w:rPr>
          <w:rFonts w:cs="Times New Roman"/>
          <w:i/>
          <w:iCs/>
          <w:szCs w:val="24"/>
          <w:lang w:val="en-US"/>
        </w:rPr>
        <w:t>Acta Chim. Slov.</w:t>
      </w:r>
      <w:r w:rsidRPr="00380D61">
        <w:rPr>
          <w:rFonts w:cs="Times New Roman"/>
          <w:szCs w:val="24"/>
          <w:lang w:val="en-US"/>
        </w:rPr>
        <w:t xml:space="preserve"> </w:t>
      </w:r>
      <w:r w:rsidRPr="00380D61">
        <w:rPr>
          <w:rFonts w:cs="Times New Roman"/>
          <w:b/>
          <w:bCs/>
          <w:szCs w:val="24"/>
          <w:lang w:val="en-US"/>
        </w:rPr>
        <w:t>2007</w:t>
      </w:r>
      <w:r w:rsidRPr="00380D61">
        <w:rPr>
          <w:rFonts w:cs="Times New Roman"/>
          <w:szCs w:val="24"/>
          <w:lang w:val="en-US"/>
        </w:rPr>
        <w:t xml:space="preserve">, </w:t>
      </w:r>
      <w:r w:rsidRPr="00380D61">
        <w:rPr>
          <w:rFonts w:cs="Times New Roman"/>
          <w:i/>
          <w:iCs/>
          <w:szCs w:val="24"/>
          <w:lang w:val="en-US"/>
        </w:rPr>
        <w:t>54</w:t>
      </w:r>
      <w:r w:rsidRPr="00380D61">
        <w:rPr>
          <w:rFonts w:cs="Times New Roman"/>
          <w:szCs w:val="24"/>
          <w:lang w:val="en-US"/>
        </w:rPr>
        <w:t>, 407</w:t>
      </w:r>
      <w:r w:rsidR="00137979">
        <w:rPr>
          <w:rFonts w:cs="Times New Roman"/>
          <w:szCs w:val="24"/>
          <w:lang w:val="en-US"/>
        </w:rPr>
        <w:t>-418</w:t>
      </w:r>
      <w:r w:rsidRPr="00380D61">
        <w:rPr>
          <w:rFonts w:cs="Times New Roman"/>
          <w:szCs w:val="24"/>
          <w:lang w:val="en-US"/>
        </w:rPr>
        <w:t>.</w:t>
      </w:r>
    </w:p>
    <w:p w:rsidR="00F97D08" w:rsidRPr="00DC6921" w:rsidRDefault="00F97D08" w:rsidP="009461EB">
      <w:pPr>
        <w:pStyle w:val="Irodalomjegyzk"/>
        <w:tabs>
          <w:tab w:val="clear" w:pos="624"/>
          <w:tab w:val="left" w:pos="284"/>
        </w:tabs>
        <w:ind w:left="284" w:hanging="284"/>
        <w:jc w:val="left"/>
        <w:rPr>
          <w:rFonts w:cs="Times New Roman"/>
          <w:szCs w:val="24"/>
          <w:lang w:val="ro-RO"/>
        </w:rPr>
      </w:pPr>
      <w:r w:rsidRPr="00380D61">
        <w:rPr>
          <w:rFonts w:cs="Times New Roman"/>
          <w:szCs w:val="24"/>
          <w:lang w:val="en-US"/>
        </w:rPr>
        <w:t>17</w:t>
      </w:r>
      <w:r w:rsidR="00137979">
        <w:rPr>
          <w:rFonts w:cs="Times New Roman"/>
          <w:szCs w:val="24"/>
          <w:lang w:val="en-US"/>
        </w:rPr>
        <w:t xml:space="preserve"> </w:t>
      </w:r>
      <w:r w:rsidRPr="00380D61">
        <w:rPr>
          <w:rFonts w:cs="Times New Roman"/>
          <w:szCs w:val="24"/>
          <w:lang w:val="en-US"/>
        </w:rPr>
        <w:t xml:space="preserve">D. Caparkaya, L. Cavas, </w:t>
      </w:r>
      <w:r w:rsidRPr="00380D61">
        <w:rPr>
          <w:rFonts w:cs="Times New Roman"/>
          <w:i/>
          <w:iCs/>
          <w:szCs w:val="24"/>
          <w:lang w:val="en-US"/>
        </w:rPr>
        <w:t>Acta Chim. Slov.</w:t>
      </w:r>
      <w:r w:rsidRPr="00380D61">
        <w:rPr>
          <w:rFonts w:cs="Times New Roman"/>
          <w:szCs w:val="24"/>
          <w:lang w:val="en-US"/>
        </w:rPr>
        <w:t xml:space="preserve"> </w:t>
      </w:r>
      <w:r w:rsidRPr="00380D61">
        <w:rPr>
          <w:rFonts w:cs="Times New Roman"/>
          <w:b/>
          <w:bCs/>
          <w:szCs w:val="24"/>
          <w:lang w:val="en-US"/>
        </w:rPr>
        <w:t>2008</w:t>
      </w:r>
      <w:r w:rsidRPr="00380D61">
        <w:rPr>
          <w:rFonts w:cs="Times New Roman"/>
          <w:szCs w:val="24"/>
          <w:lang w:val="en-US"/>
        </w:rPr>
        <w:t xml:space="preserve">, </w:t>
      </w:r>
      <w:r w:rsidRPr="00380D61">
        <w:rPr>
          <w:rFonts w:cs="Times New Roman"/>
          <w:i/>
          <w:iCs/>
          <w:szCs w:val="24"/>
          <w:lang w:val="en-US"/>
        </w:rPr>
        <w:t>55</w:t>
      </w:r>
      <w:r w:rsidR="00047841">
        <w:rPr>
          <w:rFonts w:cs="Times New Roman"/>
          <w:szCs w:val="24"/>
          <w:lang w:val="en-US"/>
        </w:rPr>
        <w:t>, 547-553.</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18</w:t>
      </w:r>
      <w:r w:rsidR="00137979">
        <w:rPr>
          <w:rFonts w:cs="Times New Roman"/>
          <w:szCs w:val="24"/>
          <w:lang w:val="en-US"/>
        </w:rPr>
        <w:t xml:space="preserve"> </w:t>
      </w:r>
      <w:r w:rsidRPr="00380D61">
        <w:rPr>
          <w:rFonts w:cs="Times New Roman"/>
          <w:szCs w:val="24"/>
          <w:lang w:val="en-US"/>
        </w:rPr>
        <w:t xml:space="preserve">H. Mei Chen, J. Liu, X. Zhong Cheng, Y. Peng, </w:t>
      </w:r>
      <w:r w:rsidRPr="00380D61">
        <w:rPr>
          <w:rFonts w:cs="Times New Roman"/>
          <w:i/>
          <w:iCs/>
          <w:szCs w:val="24"/>
          <w:lang w:val="en-US"/>
        </w:rPr>
        <w:t>Adv. Mater. Res.</w:t>
      </w:r>
      <w:r w:rsidRPr="00380D61">
        <w:rPr>
          <w:rFonts w:cs="Times New Roman"/>
          <w:szCs w:val="24"/>
          <w:lang w:val="en-US"/>
        </w:rPr>
        <w:t xml:space="preserve"> </w:t>
      </w:r>
      <w:r w:rsidRPr="00380D61">
        <w:rPr>
          <w:rFonts w:cs="Times New Roman"/>
          <w:b/>
          <w:bCs/>
          <w:szCs w:val="24"/>
          <w:lang w:val="en-US"/>
        </w:rPr>
        <w:t>2012</w:t>
      </w:r>
      <w:r w:rsidRPr="00380D61">
        <w:rPr>
          <w:rFonts w:cs="Times New Roman"/>
          <w:szCs w:val="24"/>
          <w:lang w:val="en-US"/>
        </w:rPr>
        <w:t xml:space="preserve">, </w:t>
      </w:r>
      <w:r w:rsidRPr="00380D61">
        <w:rPr>
          <w:rFonts w:cs="Times New Roman"/>
          <w:i/>
          <w:iCs/>
          <w:szCs w:val="24"/>
          <w:lang w:val="en-US"/>
        </w:rPr>
        <w:t>573</w:t>
      </w:r>
      <w:r w:rsidRPr="00380D61">
        <w:rPr>
          <w:rFonts w:cs="Times New Roman"/>
          <w:szCs w:val="24"/>
          <w:lang w:val="en-US"/>
        </w:rPr>
        <w:t>–</w:t>
      </w:r>
      <w:r w:rsidRPr="00380D61">
        <w:rPr>
          <w:rFonts w:cs="Times New Roman"/>
          <w:i/>
          <w:iCs/>
          <w:szCs w:val="24"/>
          <w:lang w:val="en-US"/>
        </w:rPr>
        <w:t>574</w:t>
      </w:r>
      <w:r w:rsidRPr="00380D61">
        <w:rPr>
          <w:rFonts w:cs="Times New Roman"/>
          <w:szCs w:val="24"/>
          <w:lang w:val="en-US"/>
        </w:rPr>
        <w:t>, 63</w:t>
      </w:r>
      <w:r w:rsidR="00137979">
        <w:rPr>
          <w:rFonts w:cs="Times New Roman"/>
          <w:szCs w:val="24"/>
          <w:lang w:val="en-US"/>
        </w:rPr>
        <w:t>-67</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10.4028/www.scientific.net/AMR.573-574.63.</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19</w:t>
      </w:r>
      <w:r w:rsidR="00137979">
        <w:rPr>
          <w:rFonts w:cs="Times New Roman"/>
          <w:szCs w:val="24"/>
          <w:lang w:val="en-US"/>
        </w:rPr>
        <w:t xml:space="preserve"> </w:t>
      </w:r>
      <w:r w:rsidRPr="00380D61">
        <w:rPr>
          <w:rFonts w:cs="Times New Roman"/>
          <w:szCs w:val="24"/>
          <w:lang w:val="en-US"/>
        </w:rPr>
        <w:t xml:space="preserve">Y. Zeroual, B. S. Kim, C. S. Kim, M. Blaghen, K. M. Lee, </w:t>
      </w:r>
      <w:r w:rsidRPr="00380D61">
        <w:rPr>
          <w:rFonts w:cs="Times New Roman"/>
          <w:i/>
          <w:iCs/>
          <w:szCs w:val="24"/>
          <w:lang w:val="en-US"/>
        </w:rPr>
        <w:t>Water. Air. Soil Pollut.</w:t>
      </w:r>
      <w:r w:rsidRPr="00380D61">
        <w:rPr>
          <w:rFonts w:cs="Times New Roman"/>
          <w:szCs w:val="24"/>
          <w:lang w:val="en-US"/>
        </w:rPr>
        <w:t xml:space="preserve"> </w:t>
      </w:r>
      <w:r w:rsidRPr="00380D61">
        <w:rPr>
          <w:rFonts w:cs="Times New Roman"/>
          <w:b/>
          <w:bCs/>
          <w:szCs w:val="24"/>
          <w:lang w:val="en-US"/>
        </w:rPr>
        <w:t>2006</w:t>
      </w:r>
      <w:r w:rsidRPr="00380D61">
        <w:rPr>
          <w:rFonts w:cs="Times New Roman"/>
          <w:szCs w:val="24"/>
          <w:lang w:val="en-US"/>
        </w:rPr>
        <w:t xml:space="preserve">, </w:t>
      </w:r>
      <w:r w:rsidRPr="00380D61">
        <w:rPr>
          <w:rFonts w:cs="Times New Roman"/>
          <w:i/>
          <w:iCs/>
          <w:szCs w:val="24"/>
          <w:lang w:val="en-US"/>
        </w:rPr>
        <w:t>177</w:t>
      </w:r>
      <w:r w:rsidRPr="00380D61">
        <w:rPr>
          <w:rFonts w:cs="Times New Roman"/>
          <w:szCs w:val="24"/>
          <w:lang w:val="en-US"/>
        </w:rPr>
        <w:t>, 135</w:t>
      </w:r>
      <w:r w:rsidR="00137979">
        <w:rPr>
          <w:rFonts w:cs="Times New Roman"/>
          <w:szCs w:val="24"/>
          <w:lang w:val="en-US"/>
        </w:rPr>
        <w:t>-146</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10.1007/s11270-006-9112-3.</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20</w:t>
      </w:r>
      <w:r w:rsidR="00137979">
        <w:rPr>
          <w:rFonts w:cs="Times New Roman"/>
          <w:szCs w:val="24"/>
          <w:lang w:val="en-US"/>
        </w:rPr>
        <w:t xml:space="preserve"> </w:t>
      </w:r>
      <w:r w:rsidRPr="00380D61">
        <w:rPr>
          <w:rFonts w:cs="Times New Roman"/>
          <w:szCs w:val="24"/>
          <w:lang w:val="en-US"/>
        </w:rPr>
        <w:t xml:space="preserve">M. J. Iqbal, M. N. Ashiq, </w:t>
      </w:r>
      <w:r w:rsidRPr="00380D61">
        <w:rPr>
          <w:rFonts w:cs="Times New Roman"/>
          <w:i/>
          <w:iCs/>
          <w:szCs w:val="24"/>
          <w:lang w:val="en-US"/>
        </w:rPr>
        <w:t>J. Chem. Soc. Pak.</w:t>
      </w:r>
      <w:r w:rsidRPr="00380D61">
        <w:rPr>
          <w:rFonts w:cs="Times New Roman"/>
          <w:szCs w:val="24"/>
          <w:lang w:val="en-US"/>
        </w:rPr>
        <w:t xml:space="preserve"> </w:t>
      </w:r>
      <w:r w:rsidRPr="00380D61">
        <w:rPr>
          <w:rFonts w:cs="Times New Roman"/>
          <w:b/>
          <w:bCs/>
          <w:szCs w:val="24"/>
          <w:lang w:val="en-US"/>
        </w:rPr>
        <w:t>2010</w:t>
      </w:r>
      <w:r w:rsidRPr="00380D61">
        <w:rPr>
          <w:rFonts w:cs="Times New Roman"/>
          <w:szCs w:val="24"/>
          <w:lang w:val="en-US"/>
        </w:rPr>
        <w:t xml:space="preserve">, </w:t>
      </w:r>
      <w:r w:rsidRPr="00380D61">
        <w:rPr>
          <w:rFonts w:cs="Times New Roman"/>
          <w:i/>
          <w:iCs/>
          <w:szCs w:val="24"/>
          <w:lang w:val="en-US"/>
        </w:rPr>
        <w:t>32</w:t>
      </w:r>
      <w:r w:rsidRPr="00380D61">
        <w:rPr>
          <w:rFonts w:cs="Times New Roman"/>
          <w:szCs w:val="24"/>
          <w:lang w:val="en-US"/>
        </w:rPr>
        <w:t>, 419</w:t>
      </w:r>
      <w:r w:rsidR="00137979">
        <w:rPr>
          <w:rFonts w:cs="Times New Roman"/>
          <w:szCs w:val="24"/>
          <w:lang w:val="en-US"/>
        </w:rPr>
        <w:t>-428</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21</w:t>
      </w:r>
      <w:r w:rsidR="00137979">
        <w:rPr>
          <w:rFonts w:cs="Times New Roman"/>
          <w:szCs w:val="24"/>
          <w:lang w:val="en-US"/>
        </w:rPr>
        <w:t xml:space="preserve"> </w:t>
      </w:r>
      <w:r w:rsidRPr="00380D61">
        <w:rPr>
          <w:rFonts w:cs="Times New Roman"/>
          <w:szCs w:val="24"/>
          <w:lang w:val="en-US"/>
        </w:rPr>
        <w:t xml:space="preserve">M. A. Zulfikar, H. Setiyanto, ‘Study of the adsorption kinetics and thermodynamic for the removal of Congo Red from aqueous solution using powdered eggshell’, </w:t>
      </w:r>
      <w:r w:rsidRPr="00380D61">
        <w:rPr>
          <w:rFonts w:cs="Times New Roman"/>
          <w:b/>
          <w:bCs/>
          <w:szCs w:val="24"/>
          <w:lang w:val="en-US"/>
        </w:rPr>
        <w:t>2013</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22</w:t>
      </w:r>
      <w:r w:rsidR="00137979">
        <w:rPr>
          <w:rFonts w:cs="Times New Roman"/>
          <w:szCs w:val="24"/>
          <w:lang w:val="en-US"/>
        </w:rPr>
        <w:t xml:space="preserve"> </w:t>
      </w:r>
      <w:r w:rsidRPr="00380D61">
        <w:rPr>
          <w:rFonts w:cs="Times New Roman"/>
          <w:szCs w:val="24"/>
          <w:lang w:val="en-US"/>
        </w:rPr>
        <w:t xml:space="preserve">D. P. Tiwari, S. K. Singh, N. Sharma, </w:t>
      </w:r>
      <w:r w:rsidRPr="00380D61">
        <w:rPr>
          <w:rFonts w:cs="Times New Roman"/>
          <w:i/>
          <w:iCs/>
          <w:szCs w:val="24"/>
          <w:lang w:val="en-US"/>
        </w:rPr>
        <w:t>Appl. Water Sci.</w:t>
      </w:r>
      <w:r w:rsidRPr="00380D61">
        <w:rPr>
          <w:rFonts w:cs="Times New Roman"/>
          <w:szCs w:val="24"/>
          <w:lang w:val="en-US"/>
        </w:rPr>
        <w:t xml:space="preserve"> </w:t>
      </w:r>
      <w:r w:rsidRPr="00380D61">
        <w:rPr>
          <w:rFonts w:cs="Times New Roman"/>
          <w:b/>
          <w:bCs/>
          <w:szCs w:val="24"/>
          <w:lang w:val="en-US"/>
        </w:rPr>
        <w:t>2015</w:t>
      </w:r>
      <w:r w:rsidRPr="00380D61">
        <w:rPr>
          <w:rFonts w:cs="Times New Roman"/>
          <w:szCs w:val="24"/>
          <w:lang w:val="en-US"/>
        </w:rPr>
        <w:t xml:space="preserve">, </w:t>
      </w:r>
      <w:r w:rsidRPr="00380D61">
        <w:rPr>
          <w:rFonts w:cs="Times New Roman"/>
          <w:i/>
          <w:iCs/>
          <w:szCs w:val="24"/>
          <w:lang w:val="en-US"/>
        </w:rPr>
        <w:t>5</w:t>
      </w:r>
      <w:r w:rsidRPr="00380D61">
        <w:rPr>
          <w:rFonts w:cs="Times New Roman"/>
          <w:szCs w:val="24"/>
          <w:lang w:val="en-US"/>
        </w:rPr>
        <w:t>, 81</w:t>
      </w:r>
      <w:r w:rsidR="008C272D">
        <w:rPr>
          <w:rFonts w:cs="Times New Roman"/>
          <w:szCs w:val="24"/>
          <w:lang w:val="en-US"/>
        </w:rPr>
        <w:t>-88</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10.1007/s13201-014-0171-0.</w:t>
      </w:r>
    </w:p>
    <w:p w:rsidR="00F97D08" w:rsidRPr="00380D61" w:rsidRDefault="009461EB" w:rsidP="009461EB">
      <w:pPr>
        <w:pStyle w:val="Irodalomjegyzk"/>
        <w:tabs>
          <w:tab w:val="clear" w:pos="624"/>
          <w:tab w:val="left" w:pos="284"/>
        </w:tabs>
        <w:ind w:left="284" w:hanging="284"/>
        <w:jc w:val="left"/>
        <w:rPr>
          <w:rFonts w:cs="Times New Roman"/>
          <w:szCs w:val="24"/>
          <w:lang w:val="en-US"/>
        </w:rPr>
      </w:pPr>
      <w:r>
        <w:rPr>
          <w:rFonts w:cs="Times New Roman"/>
          <w:szCs w:val="24"/>
          <w:lang w:val="en-US"/>
        </w:rPr>
        <w:t>2</w:t>
      </w:r>
      <w:r w:rsidR="00F97D08" w:rsidRPr="00380D61">
        <w:rPr>
          <w:rFonts w:cs="Times New Roman"/>
          <w:szCs w:val="24"/>
          <w:lang w:val="en-US"/>
        </w:rPr>
        <w:t>3</w:t>
      </w:r>
      <w:r w:rsidR="00137979">
        <w:rPr>
          <w:rFonts w:cs="Times New Roman"/>
          <w:szCs w:val="24"/>
          <w:lang w:val="en-US"/>
        </w:rPr>
        <w:t xml:space="preserve"> </w:t>
      </w:r>
      <w:r w:rsidR="00F97D08" w:rsidRPr="00380D61">
        <w:rPr>
          <w:rFonts w:cs="Times New Roman"/>
          <w:szCs w:val="24"/>
          <w:lang w:val="en-US"/>
        </w:rPr>
        <w:t xml:space="preserve">B. Mudyawabikwa, H. H. Mungondori, L. Tichagwa, D. M. Katwire, </w:t>
      </w:r>
      <w:r w:rsidR="00F97D08" w:rsidRPr="00380D61">
        <w:rPr>
          <w:rFonts w:cs="Times New Roman"/>
          <w:i/>
          <w:iCs/>
          <w:szCs w:val="24"/>
          <w:lang w:val="en-US"/>
        </w:rPr>
        <w:t>Water Sci. Technol.</w:t>
      </w:r>
      <w:r w:rsidR="00F97D08" w:rsidRPr="00380D61">
        <w:rPr>
          <w:rFonts w:cs="Times New Roman"/>
          <w:szCs w:val="24"/>
          <w:lang w:val="en-US"/>
        </w:rPr>
        <w:t xml:space="preserve"> </w:t>
      </w:r>
      <w:r w:rsidR="00F97D08" w:rsidRPr="00380D61">
        <w:rPr>
          <w:rFonts w:cs="Times New Roman"/>
          <w:b/>
          <w:bCs/>
          <w:szCs w:val="24"/>
          <w:lang w:val="en-US"/>
        </w:rPr>
        <w:t>2017</w:t>
      </w:r>
      <w:r w:rsidR="00F97D08" w:rsidRPr="00380D61">
        <w:rPr>
          <w:rFonts w:cs="Times New Roman"/>
          <w:szCs w:val="24"/>
          <w:lang w:val="en-US"/>
        </w:rPr>
        <w:t xml:space="preserve">, </w:t>
      </w:r>
      <w:r w:rsidR="00F97D08" w:rsidRPr="00380D61">
        <w:rPr>
          <w:rFonts w:cs="Times New Roman"/>
          <w:i/>
          <w:iCs/>
          <w:szCs w:val="24"/>
          <w:lang w:val="en-US"/>
        </w:rPr>
        <w:t>75</w:t>
      </w:r>
      <w:r w:rsidR="00F97D08" w:rsidRPr="00380D61">
        <w:rPr>
          <w:rFonts w:cs="Times New Roman"/>
          <w:szCs w:val="24"/>
          <w:lang w:val="en-US"/>
        </w:rPr>
        <w:t xml:space="preserve">, </w:t>
      </w:r>
      <w:r w:rsidR="008C272D" w:rsidRPr="008C272D">
        <w:rPr>
          <w:rFonts w:cs="Times New Roman"/>
          <w:szCs w:val="24"/>
          <w:lang w:val="en-US"/>
        </w:rPr>
        <w:t>2390-2402</w:t>
      </w:r>
      <w:r w:rsidR="00F97D08" w:rsidRPr="00380D61">
        <w:rPr>
          <w:rFonts w:cs="Times New Roman"/>
          <w:szCs w:val="24"/>
          <w:lang w:val="en-US"/>
        </w:rPr>
        <w:t xml:space="preserve">, </w:t>
      </w:r>
      <w:r w:rsidR="00F97D08" w:rsidRPr="00614E6E">
        <w:rPr>
          <w:rFonts w:cs="Times New Roman"/>
          <w:b/>
          <w:szCs w:val="24"/>
          <w:lang w:val="en-US"/>
        </w:rPr>
        <w:t>DOI:</w:t>
      </w:r>
      <w:r w:rsidR="00F97D08" w:rsidRPr="00380D61">
        <w:rPr>
          <w:rFonts w:cs="Times New Roman"/>
          <w:szCs w:val="24"/>
          <w:lang w:val="en-US"/>
        </w:rPr>
        <w:t xml:space="preserve"> 10.2166/wst.2017.041.</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24</w:t>
      </w:r>
      <w:r w:rsidR="008C272D">
        <w:rPr>
          <w:rFonts w:cs="Times New Roman"/>
          <w:szCs w:val="24"/>
          <w:lang w:val="en-US"/>
        </w:rPr>
        <w:t xml:space="preserve"> </w:t>
      </w:r>
      <w:r w:rsidRPr="00380D61">
        <w:rPr>
          <w:rFonts w:cs="Times New Roman"/>
          <w:szCs w:val="24"/>
          <w:lang w:val="en-US"/>
        </w:rPr>
        <w:t xml:space="preserve">M. Ghaedi, E. Shojaeipour, A. M. Ghaedi, R. Sahraei, </w:t>
      </w:r>
      <w:r w:rsidRPr="00380D61">
        <w:rPr>
          <w:rFonts w:cs="Times New Roman"/>
          <w:i/>
          <w:iCs/>
          <w:szCs w:val="24"/>
          <w:lang w:val="en-US"/>
        </w:rPr>
        <w:t>Spectrochim. Acta. A. Mol. Biomol. Spectrosc.</w:t>
      </w:r>
      <w:r w:rsidRPr="00380D61">
        <w:rPr>
          <w:rFonts w:cs="Times New Roman"/>
          <w:szCs w:val="24"/>
          <w:lang w:val="en-US"/>
        </w:rPr>
        <w:t xml:space="preserve"> </w:t>
      </w:r>
      <w:r w:rsidRPr="00380D61">
        <w:rPr>
          <w:rFonts w:cs="Times New Roman"/>
          <w:b/>
          <w:bCs/>
          <w:szCs w:val="24"/>
          <w:lang w:val="en-US"/>
        </w:rPr>
        <w:t>2015</w:t>
      </w:r>
      <w:r w:rsidRPr="00380D61">
        <w:rPr>
          <w:rFonts w:cs="Times New Roman"/>
          <w:szCs w:val="24"/>
          <w:lang w:val="en-US"/>
        </w:rPr>
        <w:t xml:space="preserve">, </w:t>
      </w:r>
      <w:r w:rsidRPr="00380D61">
        <w:rPr>
          <w:rFonts w:cs="Times New Roman"/>
          <w:i/>
          <w:iCs/>
          <w:szCs w:val="24"/>
          <w:lang w:val="en-US"/>
        </w:rPr>
        <w:t>142</w:t>
      </w:r>
      <w:r w:rsidRPr="00380D61">
        <w:rPr>
          <w:rFonts w:cs="Times New Roman"/>
          <w:szCs w:val="24"/>
          <w:lang w:val="en-US"/>
        </w:rPr>
        <w:t>, 135</w:t>
      </w:r>
      <w:r w:rsidR="008C272D">
        <w:rPr>
          <w:rFonts w:cs="Times New Roman"/>
          <w:szCs w:val="24"/>
          <w:lang w:val="en-US"/>
        </w:rPr>
        <w:t>-149</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10.1016/j.saa.2015.01.086.</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25</w:t>
      </w:r>
      <w:r w:rsidR="008C272D">
        <w:rPr>
          <w:rFonts w:cs="Times New Roman"/>
          <w:szCs w:val="24"/>
          <w:lang w:val="en-US"/>
        </w:rPr>
        <w:t xml:space="preserve"> </w:t>
      </w:r>
      <w:r w:rsidRPr="00380D61">
        <w:rPr>
          <w:rFonts w:cs="Times New Roman"/>
          <w:szCs w:val="24"/>
          <w:lang w:val="en-US"/>
        </w:rPr>
        <w:t xml:space="preserve">Removal of Methylene Blue from Aqueous Solution Using Agricultural Residue Walnut Shell: Equilibrium, Kinetic, and Thermodynamic Studies, </w:t>
      </w:r>
      <w:r w:rsidRPr="00380D61">
        <w:rPr>
          <w:rFonts w:cs="Times New Roman"/>
          <w:i/>
          <w:iCs/>
          <w:szCs w:val="24"/>
          <w:lang w:val="en-US"/>
        </w:rPr>
        <w:t>https://www.hindawi.com/journals/jchem/2017/8404965/</w:t>
      </w:r>
      <w:r w:rsidRPr="00380D61">
        <w:rPr>
          <w:rFonts w:cs="Times New Roman"/>
          <w:szCs w:val="24"/>
          <w:lang w:val="en-US"/>
        </w:rPr>
        <w:t xml:space="preserve">, accessed October 13, </w:t>
      </w:r>
      <w:r w:rsidRPr="00380D61">
        <w:rPr>
          <w:rFonts w:cs="Times New Roman"/>
          <w:b/>
          <w:bCs/>
          <w:szCs w:val="24"/>
          <w:lang w:val="en-US"/>
        </w:rPr>
        <w:t>2017</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26</w:t>
      </w:r>
      <w:r w:rsidR="008C272D">
        <w:rPr>
          <w:rFonts w:cs="Times New Roman"/>
          <w:szCs w:val="24"/>
          <w:lang w:val="en-US"/>
        </w:rPr>
        <w:t xml:space="preserve"> </w:t>
      </w:r>
      <w:r w:rsidRPr="00380D61">
        <w:rPr>
          <w:rFonts w:cs="Times New Roman"/>
          <w:szCs w:val="24"/>
          <w:lang w:val="en-US"/>
        </w:rPr>
        <w:t xml:space="preserve">D. T. S. Dr.T.Santhi, S. Manonmani, T. Smitha, K. Mahalakshmi, </w:t>
      </w:r>
      <w:r w:rsidRPr="00380D61">
        <w:rPr>
          <w:rFonts w:cs="Times New Roman"/>
          <w:i/>
          <w:iCs/>
          <w:szCs w:val="24"/>
          <w:lang w:val="en-US"/>
        </w:rPr>
        <w:t>Rasayan J. Chem.</w:t>
      </w:r>
      <w:r w:rsidRPr="00380D61">
        <w:rPr>
          <w:rFonts w:cs="Times New Roman"/>
          <w:szCs w:val="24"/>
          <w:lang w:val="en-US"/>
        </w:rPr>
        <w:t xml:space="preserve"> </w:t>
      </w:r>
      <w:r w:rsidRPr="00380D61">
        <w:rPr>
          <w:rFonts w:cs="Times New Roman"/>
          <w:b/>
          <w:bCs/>
          <w:szCs w:val="24"/>
          <w:lang w:val="en-US"/>
        </w:rPr>
        <w:t>2009</w:t>
      </w:r>
      <w:r w:rsidRPr="00380D61">
        <w:rPr>
          <w:rFonts w:cs="Times New Roman"/>
          <w:szCs w:val="24"/>
          <w:lang w:val="en-US"/>
        </w:rPr>
        <w:t xml:space="preserve">, </w:t>
      </w:r>
      <w:r w:rsidRPr="00380D61">
        <w:rPr>
          <w:rFonts w:cs="Times New Roman"/>
          <w:i/>
          <w:iCs/>
          <w:szCs w:val="24"/>
          <w:lang w:val="en-US"/>
        </w:rPr>
        <w:t>2</w:t>
      </w:r>
      <w:r w:rsidRPr="00380D61">
        <w:rPr>
          <w:rFonts w:cs="Times New Roman"/>
          <w:szCs w:val="24"/>
          <w:lang w:val="en-US"/>
        </w:rPr>
        <w:t>, 813</w:t>
      </w:r>
      <w:r w:rsidR="008C272D">
        <w:rPr>
          <w:rFonts w:cs="Times New Roman"/>
          <w:szCs w:val="24"/>
          <w:lang w:val="en-US"/>
        </w:rPr>
        <w:t>-824</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27</w:t>
      </w:r>
      <w:r w:rsidR="008C272D">
        <w:rPr>
          <w:rFonts w:cs="Times New Roman"/>
          <w:szCs w:val="24"/>
          <w:lang w:val="en-US"/>
        </w:rPr>
        <w:t xml:space="preserve"> </w:t>
      </w:r>
      <w:r w:rsidRPr="00380D61">
        <w:rPr>
          <w:rFonts w:cs="Times New Roman"/>
          <w:szCs w:val="24"/>
          <w:lang w:val="en-US"/>
        </w:rPr>
        <w:t xml:space="preserve">P. D. Saha, S. Chowdhury, M. Mondal, K. Sinha, </w:t>
      </w:r>
      <w:r w:rsidRPr="00380D61">
        <w:rPr>
          <w:rFonts w:cs="Times New Roman"/>
          <w:i/>
          <w:iCs/>
          <w:szCs w:val="24"/>
          <w:lang w:val="en-US"/>
        </w:rPr>
        <w:t>Sep. Sci. Technol.</w:t>
      </w:r>
      <w:r w:rsidRPr="00380D61">
        <w:rPr>
          <w:rFonts w:cs="Times New Roman"/>
          <w:szCs w:val="24"/>
          <w:lang w:val="en-US"/>
        </w:rPr>
        <w:t xml:space="preserve"> </w:t>
      </w:r>
      <w:r w:rsidRPr="00380D61">
        <w:rPr>
          <w:rFonts w:cs="Times New Roman"/>
          <w:b/>
          <w:bCs/>
          <w:szCs w:val="24"/>
          <w:lang w:val="en-US"/>
        </w:rPr>
        <w:t>2011</w:t>
      </w:r>
      <w:r w:rsidRPr="00380D61">
        <w:rPr>
          <w:rFonts w:cs="Times New Roman"/>
          <w:szCs w:val="24"/>
          <w:lang w:val="en-US"/>
        </w:rPr>
        <w:t>.</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28</w:t>
      </w:r>
      <w:r w:rsidR="008C272D">
        <w:rPr>
          <w:rFonts w:cs="Times New Roman"/>
          <w:szCs w:val="24"/>
          <w:lang w:val="en-US"/>
        </w:rPr>
        <w:t xml:space="preserve"> </w:t>
      </w:r>
      <w:r w:rsidRPr="00380D61">
        <w:rPr>
          <w:rFonts w:cs="Times New Roman"/>
          <w:szCs w:val="24"/>
          <w:lang w:val="en-US"/>
        </w:rPr>
        <w:t xml:space="preserve">J. Liu, X. Z. Cheng, P. Qin, M. Y. Pan, </w:t>
      </w:r>
      <w:r w:rsidRPr="00380D61">
        <w:rPr>
          <w:rFonts w:cs="Times New Roman"/>
          <w:i/>
          <w:iCs/>
          <w:szCs w:val="24"/>
          <w:lang w:val="en-US"/>
        </w:rPr>
        <w:t>Adv. Mater. Res.</w:t>
      </w:r>
      <w:r w:rsidRPr="00380D61">
        <w:rPr>
          <w:rFonts w:cs="Times New Roman"/>
          <w:szCs w:val="24"/>
          <w:lang w:val="en-US"/>
        </w:rPr>
        <w:t xml:space="preserve"> </w:t>
      </w:r>
      <w:r w:rsidRPr="00380D61">
        <w:rPr>
          <w:rFonts w:cs="Times New Roman"/>
          <w:b/>
          <w:bCs/>
          <w:szCs w:val="24"/>
          <w:lang w:val="en-US"/>
        </w:rPr>
        <w:t>2012</w:t>
      </w:r>
      <w:r w:rsidRPr="00380D61">
        <w:rPr>
          <w:rFonts w:cs="Times New Roman"/>
          <w:szCs w:val="24"/>
          <w:lang w:val="en-US"/>
        </w:rPr>
        <w:t xml:space="preserve">, </w:t>
      </w:r>
      <w:r w:rsidRPr="00380D61">
        <w:rPr>
          <w:rFonts w:cs="Times New Roman"/>
          <w:i/>
          <w:iCs/>
          <w:szCs w:val="24"/>
          <w:lang w:val="en-US"/>
        </w:rPr>
        <w:t>599</w:t>
      </w:r>
      <w:r w:rsidRPr="00380D61">
        <w:rPr>
          <w:rFonts w:cs="Times New Roman"/>
          <w:szCs w:val="24"/>
          <w:lang w:val="en-US"/>
        </w:rPr>
        <w:t>, 391</w:t>
      </w:r>
      <w:r w:rsidR="008C272D">
        <w:rPr>
          <w:rFonts w:cs="Times New Roman"/>
          <w:szCs w:val="24"/>
          <w:lang w:val="en-US"/>
        </w:rPr>
        <w:t>-399</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10.4028/www.scientific.net/AMR.599.391.</w:t>
      </w:r>
    </w:p>
    <w:p w:rsidR="00F97D08" w:rsidRPr="00380D61" w:rsidRDefault="00F97D08" w:rsidP="009461EB">
      <w:pPr>
        <w:pStyle w:val="Irodalomjegyzk"/>
        <w:tabs>
          <w:tab w:val="clear" w:pos="624"/>
          <w:tab w:val="left" w:pos="284"/>
        </w:tabs>
        <w:ind w:left="284" w:hanging="284"/>
        <w:jc w:val="left"/>
        <w:rPr>
          <w:rFonts w:cs="Times New Roman"/>
          <w:szCs w:val="24"/>
          <w:lang w:val="en-US"/>
        </w:rPr>
      </w:pPr>
      <w:r w:rsidRPr="00380D61">
        <w:rPr>
          <w:rFonts w:cs="Times New Roman"/>
          <w:szCs w:val="24"/>
          <w:lang w:val="en-US"/>
        </w:rPr>
        <w:t>29</w:t>
      </w:r>
      <w:r w:rsidR="008C272D">
        <w:rPr>
          <w:rFonts w:cs="Times New Roman"/>
          <w:szCs w:val="24"/>
          <w:lang w:val="en-US"/>
        </w:rPr>
        <w:t xml:space="preserve"> </w:t>
      </w:r>
      <w:r w:rsidRPr="00380D61">
        <w:rPr>
          <w:rFonts w:cs="Times New Roman"/>
          <w:szCs w:val="24"/>
          <w:lang w:val="en-US"/>
        </w:rPr>
        <w:t xml:space="preserve">A. A. El-Zahhar, N. S. Awwad, E. E. El-Katori, </w:t>
      </w:r>
      <w:r w:rsidRPr="00380D61">
        <w:rPr>
          <w:rFonts w:cs="Times New Roman"/>
          <w:i/>
          <w:iCs/>
          <w:szCs w:val="24"/>
          <w:lang w:val="en-US"/>
        </w:rPr>
        <w:t>J. Mol. Liq.</w:t>
      </w:r>
      <w:r w:rsidRPr="00380D61">
        <w:rPr>
          <w:rFonts w:cs="Times New Roman"/>
          <w:szCs w:val="24"/>
          <w:lang w:val="en-US"/>
        </w:rPr>
        <w:t xml:space="preserve"> </w:t>
      </w:r>
      <w:r w:rsidRPr="00380D61">
        <w:rPr>
          <w:rFonts w:cs="Times New Roman"/>
          <w:b/>
          <w:bCs/>
          <w:szCs w:val="24"/>
          <w:lang w:val="en-US"/>
        </w:rPr>
        <w:t>2014</w:t>
      </w:r>
      <w:r w:rsidRPr="00380D61">
        <w:rPr>
          <w:rFonts w:cs="Times New Roman"/>
          <w:szCs w:val="24"/>
          <w:lang w:val="en-US"/>
        </w:rPr>
        <w:t xml:space="preserve">, </w:t>
      </w:r>
      <w:r w:rsidRPr="00380D61">
        <w:rPr>
          <w:rFonts w:cs="Times New Roman"/>
          <w:i/>
          <w:iCs/>
          <w:szCs w:val="24"/>
          <w:lang w:val="en-US"/>
        </w:rPr>
        <w:t>199</w:t>
      </w:r>
      <w:r w:rsidR="008C272D">
        <w:rPr>
          <w:rFonts w:cs="Times New Roman"/>
          <w:szCs w:val="24"/>
          <w:lang w:val="en-US"/>
        </w:rPr>
        <w:t xml:space="preserve">, </w:t>
      </w:r>
      <w:r w:rsidR="008C272D" w:rsidRPr="008C272D">
        <w:rPr>
          <w:rFonts w:cs="Times New Roman"/>
          <w:szCs w:val="24"/>
          <w:lang w:val="en-US"/>
        </w:rPr>
        <w:t>454-461</w:t>
      </w:r>
      <w:r w:rsidRPr="00380D61">
        <w:rPr>
          <w:rFonts w:cs="Times New Roman"/>
          <w:szCs w:val="24"/>
          <w:lang w:val="en-US"/>
        </w:rPr>
        <w:t xml:space="preserve">, </w:t>
      </w:r>
      <w:r w:rsidRPr="00614E6E">
        <w:rPr>
          <w:rFonts w:cs="Times New Roman"/>
          <w:b/>
          <w:szCs w:val="24"/>
          <w:lang w:val="en-US"/>
        </w:rPr>
        <w:t>DOI:</w:t>
      </w:r>
      <w:r w:rsidRPr="00380D61">
        <w:rPr>
          <w:rFonts w:cs="Times New Roman"/>
          <w:szCs w:val="24"/>
          <w:lang w:val="en-US"/>
        </w:rPr>
        <w:t xml:space="preserve"> 10.1016/j.molliq.2014.07.034.</w:t>
      </w:r>
    </w:p>
    <w:p w:rsidR="00F77498" w:rsidRPr="000E5A8B" w:rsidRDefault="000E5A8B" w:rsidP="009461EB">
      <w:pPr>
        <w:tabs>
          <w:tab w:val="left" w:pos="284"/>
        </w:tabs>
        <w:ind w:left="284" w:hanging="284"/>
        <w:jc w:val="left"/>
        <w:rPr>
          <w:lang w:val="en-US"/>
        </w:rPr>
      </w:pPr>
      <w:r w:rsidRPr="00380D61">
        <w:rPr>
          <w:lang w:val="en-US"/>
        </w:rPr>
        <w:fldChar w:fldCharType="end"/>
      </w:r>
    </w:p>
    <w:sectPr w:rsidR="00F77498" w:rsidRPr="000E5A8B" w:rsidSect="00D47731">
      <w:footerReference w:type="default" r:id="rId24"/>
      <w:pgSz w:w="11906" w:h="16838"/>
      <w:pgMar w:top="1440" w:right="1080" w:bottom="1440" w:left="1080" w:header="397" w:footer="454"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B21" w:rsidRDefault="00EA5B21" w:rsidP="00A82BF3">
      <w:pPr>
        <w:spacing w:after="0" w:line="240" w:lineRule="auto"/>
      </w:pPr>
      <w:r>
        <w:separator/>
      </w:r>
    </w:p>
  </w:endnote>
  <w:endnote w:type="continuationSeparator" w:id="0">
    <w:p w:rsidR="00EA5B21" w:rsidRDefault="00EA5B21" w:rsidP="00A82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Math">
    <w:panose1 w:val="02040503050406030204"/>
    <w:charset w:val="EE"/>
    <w:family w:val="roman"/>
    <w:pitch w:val="variable"/>
    <w:sig w:usb0="E00002FF" w:usb1="420024FF" w:usb2="00000000" w:usb3="00000000" w:csb0="000001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00"/>
    <w:family w:val="roman"/>
    <w:notTrueType/>
    <w:pitch w:val="default"/>
    <w:sig w:usb0="00000003" w:usb1="080E0000" w:usb2="00000010" w:usb3="00000000" w:csb0="0004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5984026"/>
      <w:docPartObj>
        <w:docPartGallery w:val="Page Numbers (Bottom of Page)"/>
        <w:docPartUnique/>
      </w:docPartObj>
    </w:sdtPr>
    <w:sdtContent>
      <w:p w:rsidR="00090636" w:rsidRDefault="00090636">
        <w:pPr>
          <w:pStyle w:val="llb"/>
          <w:jc w:val="right"/>
        </w:pPr>
        <w:r>
          <w:fldChar w:fldCharType="begin"/>
        </w:r>
        <w:r>
          <w:instrText>PAGE   \* MERGEFORMAT</w:instrText>
        </w:r>
        <w:r>
          <w:fldChar w:fldCharType="separate"/>
        </w:r>
        <w:r w:rsidR="007B1F4D">
          <w:rPr>
            <w:noProof/>
          </w:rPr>
          <w:t>9</w:t>
        </w:r>
        <w:r>
          <w:fldChar w:fldCharType="end"/>
        </w:r>
      </w:p>
    </w:sdtContent>
  </w:sdt>
  <w:p w:rsidR="00090636" w:rsidRDefault="00090636">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B21" w:rsidRDefault="00EA5B21" w:rsidP="00A82BF3">
      <w:pPr>
        <w:spacing w:after="0" w:line="240" w:lineRule="auto"/>
      </w:pPr>
      <w:r>
        <w:separator/>
      </w:r>
    </w:p>
  </w:footnote>
  <w:footnote w:type="continuationSeparator" w:id="0">
    <w:p w:rsidR="00EA5B21" w:rsidRDefault="00EA5B21" w:rsidP="00A82BF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A8B"/>
    <w:rsid w:val="00026B89"/>
    <w:rsid w:val="00027FF7"/>
    <w:rsid w:val="00047841"/>
    <w:rsid w:val="00090636"/>
    <w:rsid w:val="000E5A8B"/>
    <w:rsid w:val="001002EC"/>
    <w:rsid w:val="00137979"/>
    <w:rsid w:val="00154ECD"/>
    <w:rsid w:val="00166856"/>
    <w:rsid w:val="00194336"/>
    <w:rsid w:val="00197C79"/>
    <w:rsid w:val="001B618A"/>
    <w:rsid w:val="001C2478"/>
    <w:rsid w:val="00214C84"/>
    <w:rsid w:val="00234F39"/>
    <w:rsid w:val="002A314B"/>
    <w:rsid w:val="00325F8E"/>
    <w:rsid w:val="0033303F"/>
    <w:rsid w:val="00380D61"/>
    <w:rsid w:val="003916BB"/>
    <w:rsid w:val="00430E18"/>
    <w:rsid w:val="004834C5"/>
    <w:rsid w:val="0048736A"/>
    <w:rsid w:val="004D79D7"/>
    <w:rsid w:val="005302AA"/>
    <w:rsid w:val="00585CA7"/>
    <w:rsid w:val="005A3C6C"/>
    <w:rsid w:val="005B4BBA"/>
    <w:rsid w:val="005B4CAE"/>
    <w:rsid w:val="005D64EA"/>
    <w:rsid w:val="005F0FE9"/>
    <w:rsid w:val="00614E6E"/>
    <w:rsid w:val="00617901"/>
    <w:rsid w:val="006502A2"/>
    <w:rsid w:val="00655A72"/>
    <w:rsid w:val="00664560"/>
    <w:rsid w:val="00706AD7"/>
    <w:rsid w:val="00723069"/>
    <w:rsid w:val="00747857"/>
    <w:rsid w:val="00772016"/>
    <w:rsid w:val="00783DAA"/>
    <w:rsid w:val="007B1F4D"/>
    <w:rsid w:val="008479E0"/>
    <w:rsid w:val="008B286F"/>
    <w:rsid w:val="008C272D"/>
    <w:rsid w:val="009461EB"/>
    <w:rsid w:val="00964EE0"/>
    <w:rsid w:val="00970725"/>
    <w:rsid w:val="009F4E85"/>
    <w:rsid w:val="00A316C7"/>
    <w:rsid w:val="00A36917"/>
    <w:rsid w:val="00A82BF3"/>
    <w:rsid w:val="00AD302C"/>
    <w:rsid w:val="00AE6158"/>
    <w:rsid w:val="00BA421C"/>
    <w:rsid w:val="00BF0F3F"/>
    <w:rsid w:val="00C02ECE"/>
    <w:rsid w:val="00CB1299"/>
    <w:rsid w:val="00CB6304"/>
    <w:rsid w:val="00D47731"/>
    <w:rsid w:val="00D77FCB"/>
    <w:rsid w:val="00D94834"/>
    <w:rsid w:val="00DA24DB"/>
    <w:rsid w:val="00DC6921"/>
    <w:rsid w:val="00DE7223"/>
    <w:rsid w:val="00EA1C49"/>
    <w:rsid w:val="00EA5B21"/>
    <w:rsid w:val="00EB2AA2"/>
    <w:rsid w:val="00F05DFA"/>
    <w:rsid w:val="00F22D7A"/>
    <w:rsid w:val="00F33099"/>
    <w:rsid w:val="00F47F61"/>
    <w:rsid w:val="00F77498"/>
    <w:rsid w:val="00F97D08"/>
    <w:rsid w:val="00FD02F5"/>
    <w:rsid w:val="00FD0A47"/>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262316"/>
  <w15:chartTrackingRefBased/>
  <w15:docId w15:val="{2DB45821-4D0B-473B-8CC4-8A8C23D21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E5A8B"/>
    <w:pPr>
      <w:spacing w:line="360" w:lineRule="auto"/>
      <w:jc w:val="both"/>
    </w:pPr>
    <w:rPr>
      <w:rFonts w:ascii="Times New Roman" w:hAnsi="Times New Roman"/>
      <w:sz w:val="24"/>
    </w:rPr>
  </w:style>
  <w:style w:type="paragraph" w:styleId="Cmsor1">
    <w:name w:val="heading 1"/>
    <w:aliases w:val="Fejezet címe"/>
    <w:basedOn w:val="Norml"/>
    <w:next w:val="Norml"/>
    <w:link w:val="Cmsor1Char"/>
    <w:uiPriority w:val="9"/>
    <w:qFormat/>
    <w:rsid w:val="005B4BBA"/>
    <w:pPr>
      <w:keepNext/>
      <w:keepLines/>
      <w:spacing w:before="240" w:after="0"/>
      <w:jc w:val="center"/>
      <w:outlineLvl w:val="0"/>
    </w:pPr>
    <w:rPr>
      <w:rFonts w:eastAsiaTheme="majorEastAsia" w:cstheme="majorBidi"/>
      <w:b/>
      <w:color w:val="0D0D0D" w:themeColor="text1" w:themeTint="F2"/>
      <w:sz w:val="28"/>
      <w:szCs w:val="32"/>
    </w:rPr>
  </w:style>
  <w:style w:type="paragraph" w:styleId="Cmsor2">
    <w:name w:val="heading 2"/>
    <w:aliases w:val="Alfejezet"/>
    <w:basedOn w:val="Norml"/>
    <w:next w:val="Norml"/>
    <w:link w:val="Cmsor2Char"/>
    <w:unhideWhenUsed/>
    <w:qFormat/>
    <w:rsid w:val="005B4BBA"/>
    <w:pPr>
      <w:keepNext/>
      <w:keepLines/>
      <w:spacing w:after="0"/>
      <w:jc w:val="center"/>
      <w:outlineLvl w:val="1"/>
    </w:pPr>
    <w:rPr>
      <w:rFonts w:eastAsiaTheme="majorEastAsia" w:cstheme="majorBidi"/>
      <w:b/>
      <w:bCs/>
      <w:color w:val="000000" w:themeColor="text1"/>
      <w:szCs w:val="26"/>
      <w:lang w:val="en-US" w:bidi="en-US"/>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aliases w:val="Fejezet címe Char"/>
    <w:basedOn w:val="Bekezdsalapbettpusa"/>
    <w:link w:val="Cmsor1"/>
    <w:uiPriority w:val="9"/>
    <w:rsid w:val="005B4BBA"/>
    <w:rPr>
      <w:rFonts w:ascii="Times New Roman" w:eastAsiaTheme="majorEastAsia" w:hAnsi="Times New Roman" w:cstheme="majorBidi"/>
      <w:b/>
      <w:color w:val="0D0D0D" w:themeColor="text1" w:themeTint="F2"/>
      <w:sz w:val="28"/>
      <w:szCs w:val="32"/>
    </w:rPr>
  </w:style>
  <w:style w:type="character" w:customStyle="1" w:styleId="Cmsor2Char">
    <w:name w:val="Címsor 2 Char"/>
    <w:aliases w:val="Alfejezet Char"/>
    <w:basedOn w:val="Bekezdsalapbettpusa"/>
    <w:link w:val="Cmsor2"/>
    <w:rsid w:val="005B4BBA"/>
    <w:rPr>
      <w:rFonts w:ascii="Times New Roman" w:eastAsiaTheme="majorEastAsia" w:hAnsi="Times New Roman" w:cstheme="majorBidi"/>
      <w:b/>
      <w:bCs/>
      <w:color w:val="000000" w:themeColor="text1"/>
      <w:sz w:val="24"/>
      <w:szCs w:val="26"/>
      <w:lang w:val="en-US" w:bidi="en-US"/>
    </w:rPr>
  </w:style>
  <w:style w:type="paragraph" w:styleId="Alcm">
    <w:name w:val="Subtitle"/>
    <w:aliases w:val="1.1.1."/>
    <w:basedOn w:val="Norml"/>
    <w:next w:val="Norml"/>
    <w:link w:val="AlcmChar"/>
    <w:uiPriority w:val="11"/>
    <w:qFormat/>
    <w:rsid w:val="00AD302C"/>
    <w:pPr>
      <w:numPr>
        <w:ilvl w:val="1"/>
      </w:numPr>
    </w:pPr>
    <w:rPr>
      <w:rFonts w:eastAsiaTheme="minorEastAsia"/>
      <w:b/>
      <w:color w:val="0D0D0D" w:themeColor="text1" w:themeTint="F2"/>
      <w:spacing w:val="15"/>
    </w:rPr>
  </w:style>
  <w:style w:type="character" w:customStyle="1" w:styleId="AlcmChar">
    <w:name w:val="Alcím Char"/>
    <w:aliases w:val="1.1.1. Char"/>
    <w:basedOn w:val="Bekezdsalapbettpusa"/>
    <w:link w:val="Alcm"/>
    <w:uiPriority w:val="11"/>
    <w:rsid w:val="00AD302C"/>
    <w:rPr>
      <w:rFonts w:ascii="Times New Roman" w:eastAsiaTheme="minorEastAsia" w:hAnsi="Times New Roman"/>
      <w:b/>
      <w:color w:val="0D0D0D" w:themeColor="text1" w:themeTint="F2"/>
      <w:spacing w:val="15"/>
      <w:sz w:val="24"/>
    </w:rPr>
  </w:style>
  <w:style w:type="table" w:styleId="Tblzategyszer2">
    <w:name w:val="Plain Table 2"/>
    <w:basedOn w:val="Normltblzat"/>
    <w:uiPriority w:val="42"/>
    <w:rsid w:val="000E5A8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Irodalomjegyzk">
    <w:name w:val="Bibliography"/>
    <w:basedOn w:val="Norml"/>
    <w:next w:val="Norml"/>
    <w:uiPriority w:val="37"/>
    <w:unhideWhenUsed/>
    <w:rsid w:val="000E5A8B"/>
    <w:pPr>
      <w:tabs>
        <w:tab w:val="left" w:pos="624"/>
      </w:tabs>
      <w:spacing w:after="0" w:line="240" w:lineRule="auto"/>
      <w:ind w:left="624" w:hanging="624"/>
    </w:pPr>
  </w:style>
  <w:style w:type="character" w:styleId="Kiemels2">
    <w:name w:val="Strong"/>
    <w:uiPriority w:val="22"/>
    <w:qFormat/>
    <w:rsid w:val="00430E18"/>
    <w:rPr>
      <w:b/>
      <w:bCs/>
    </w:rPr>
  </w:style>
  <w:style w:type="character" w:customStyle="1" w:styleId="apple-converted-space">
    <w:name w:val="apple-converted-space"/>
    <w:basedOn w:val="Bekezdsalapbettpusa"/>
    <w:rsid w:val="00430E18"/>
  </w:style>
  <w:style w:type="paragraph" w:styleId="lfej">
    <w:name w:val="header"/>
    <w:basedOn w:val="Norml"/>
    <w:link w:val="lfejChar"/>
    <w:uiPriority w:val="99"/>
    <w:unhideWhenUsed/>
    <w:rsid w:val="00A82BF3"/>
    <w:pPr>
      <w:tabs>
        <w:tab w:val="center" w:pos="4536"/>
        <w:tab w:val="right" w:pos="9072"/>
      </w:tabs>
      <w:spacing w:after="0" w:line="240" w:lineRule="auto"/>
    </w:pPr>
  </w:style>
  <w:style w:type="character" w:customStyle="1" w:styleId="lfejChar">
    <w:name w:val="Élőfej Char"/>
    <w:basedOn w:val="Bekezdsalapbettpusa"/>
    <w:link w:val="lfej"/>
    <w:uiPriority w:val="99"/>
    <w:rsid w:val="00A82BF3"/>
    <w:rPr>
      <w:rFonts w:ascii="Times New Roman" w:hAnsi="Times New Roman"/>
      <w:sz w:val="24"/>
    </w:rPr>
  </w:style>
  <w:style w:type="paragraph" w:styleId="llb">
    <w:name w:val="footer"/>
    <w:basedOn w:val="Norml"/>
    <w:link w:val="llbChar"/>
    <w:uiPriority w:val="99"/>
    <w:unhideWhenUsed/>
    <w:rsid w:val="00A82BF3"/>
    <w:pPr>
      <w:tabs>
        <w:tab w:val="center" w:pos="4536"/>
        <w:tab w:val="right" w:pos="9072"/>
      </w:tabs>
      <w:spacing w:after="0" w:line="240" w:lineRule="auto"/>
    </w:pPr>
  </w:style>
  <w:style w:type="character" w:customStyle="1" w:styleId="llbChar">
    <w:name w:val="Élőláb Char"/>
    <w:basedOn w:val="Bekezdsalapbettpusa"/>
    <w:link w:val="llb"/>
    <w:uiPriority w:val="99"/>
    <w:rsid w:val="00A82BF3"/>
    <w:rPr>
      <w:rFonts w:ascii="Times New Roman" w:hAnsi="Times New Roman"/>
      <w:sz w:val="24"/>
    </w:rPr>
  </w:style>
  <w:style w:type="character" w:styleId="Sorszma">
    <w:name w:val="line number"/>
    <w:basedOn w:val="Bekezdsalapbettpusa"/>
    <w:uiPriority w:val="99"/>
    <w:semiHidden/>
    <w:unhideWhenUsed/>
    <w:rsid w:val="00D47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4.xml"/><Relationship Id="rId18" Type="http://schemas.openxmlformats.org/officeDocument/2006/relationships/image" Target="media/image5.emf"/><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6.emf"/><Relationship Id="rId7" Type="http://schemas.openxmlformats.org/officeDocument/2006/relationships/image" Target="media/image2.jpeg"/><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hart" Target="charts/chart7.xml"/><Relationship Id="rId20" Type="http://schemas.openxmlformats.org/officeDocument/2006/relationships/chart" Target="charts/chart10.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2.xm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6.xml"/><Relationship Id="rId23" Type="http://schemas.openxmlformats.org/officeDocument/2006/relationships/chart" Target="charts/chart12.xml"/><Relationship Id="rId10" Type="http://schemas.openxmlformats.org/officeDocument/2006/relationships/chart" Target="charts/chart1.xml"/><Relationship Id="rId19" Type="http://schemas.openxmlformats.org/officeDocument/2006/relationships/chart" Target="charts/chart9.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chart" Target="charts/chart5.xml"/><Relationship Id="rId22"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CongoRed%20sz&#225;m&#237;t&#225;sok%202016%2011%201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szter\Desktop\Mega%20felt&#246;lt&#233;s\Bek&#252;ld&#246;tt%20cikkek\Act%20Chim%20Slov\Munkaf&#252;zet1.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file:///C:\Users\Eszter\Desktop\Mega%20felt&#246;lt&#233;s\Bek&#252;ld&#246;tt%20cikkek\Act%20Chim%20Slov\Munkaf&#252;zet1.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Eszter\Desktop\Mega%20felt&#246;lt&#233;s\Bek&#252;ld&#246;tt%20cikkek\Act%20Chim%20Slov\Munkaf&#252;zet1.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BPB%20sz&#225;m&#237;t&#225;sok%202016%2011%2017.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MB%20sz&#225;m&#237;t&#225;sok%202016%2010%202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Malachite%20Green%20sz&#225;m&#237;t&#225;sok%202016%2010%202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CongoRed%20sz&#225;m&#237;t&#225;sok%202016%2011%2010.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BPB%20sz&#225;m&#237;t&#225;sok%202016%2011%2017.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MB%20sz&#225;m&#237;t&#225;sok%202016%2010%202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szter\Desktop\Mega%20felt&#246;lt&#233;s\Kutat&#225;sok\Indik&#225;tor+Toj&#225;sh&#233;j\Malachite%20Green%20sz&#225;m&#237;t&#225;sok%202016%2010%202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Munkaf&#252;zet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6582999460988337"/>
          <c:y val="0.19386470398933153"/>
          <c:w val="0.63737480944733704"/>
          <c:h val="0.60575884350827791"/>
        </c:manualLayout>
      </c:layout>
      <c:barChart>
        <c:barDir val="col"/>
        <c:grouping val="clustered"/>
        <c:varyColors val="0"/>
        <c:ser>
          <c:idx val="1"/>
          <c:order val="1"/>
          <c:tx>
            <c:strRef>
              <c:f>'Hatékonyság grafikon'!$G$3</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layout>
                <c:manualLayout>
                  <c:x val="0"/>
                  <c:y val="1.1761246692149355E-2"/>
                </c:manualLayout>
              </c:layout>
              <c:tx>
                <c:rich>
                  <a:bodyPr/>
                  <a:lstStyle/>
                  <a:p>
                    <a:r>
                      <a:rPr lang="en-US"/>
                      <a:t>99.03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CEA-441F-BC14-51EFE34ED277}"/>
                </c:ext>
              </c:extLst>
            </c:dLbl>
            <c:dLbl>
              <c:idx val="1"/>
              <c:tx>
                <c:rich>
                  <a:bodyPr/>
                  <a:lstStyle/>
                  <a:p>
                    <a:r>
                      <a:rPr lang="en-US"/>
                      <a:t>97.64</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CEA-441F-BC14-51EFE34ED277}"/>
                </c:ext>
              </c:extLst>
            </c:dLbl>
            <c:dLbl>
              <c:idx val="2"/>
              <c:layout>
                <c:manualLayout>
                  <c:x val="0"/>
                  <c:y val="-1.1627906976744186E-2"/>
                </c:manualLayout>
              </c:layout>
              <c:tx>
                <c:rich>
                  <a:bodyPr/>
                  <a:lstStyle/>
                  <a:p>
                    <a:r>
                      <a:rPr lang="en-US"/>
                      <a:t>95.51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CEA-441F-BC14-51EFE34ED277}"/>
                </c:ext>
              </c:extLst>
            </c:dLbl>
            <c:dLbl>
              <c:idx val="3"/>
              <c:layout>
                <c:manualLayout>
                  <c:x val="0"/>
                  <c:y val="-2.1319343314958314E-2"/>
                </c:manualLayout>
              </c:layout>
              <c:tx>
                <c:rich>
                  <a:bodyPr/>
                  <a:lstStyle/>
                  <a:p>
                    <a:r>
                      <a:rPr lang="en-US"/>
                      <a:t>92.83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CEA-441F-BC14-51EFE34ED277}"/>
                </c:ext>
              </c:extLst>
            </c:dLbl>
            <c:dLbl>
              <c:idx val="4"/>
              <c:layout>
                <c:manualLayout>
                  <c:x val="2.4330900243309003E-3"/>
                  <c:y val="-1.5503875968992284E-2"/>
                </c:manualLayout>
              </c:layout>
              <c:tx>
                <c:rich>
                  <a:bodyPr/>
                  <a:lstStyle/>
                  <a:p>
                    <a:r>
                      <a:rPr lang="en-US"/>
                      <a:t>93.42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EA-441F-BC14-51EFE34ED277}"/>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'Hatékonyság grafikon'!$E$4:$E$8</c:f>
              <c:numCache>
                <c:formatCode>General</c:formatCode>
                <c:ptCount val="5"/>
                <c:pt idx="0">
                  <c:v>10</c:v>
                </c:pt>
                <c:pt idx="1">
                  <c:v>20</c:v>
                </c:pt>
                <c:pt idx="2">
                  <c:v>30</c:v>
                </c:pt>
                <c:pt idx="3">
                  <c:v>40</c:v>
                </c:pt>
                <c:pt idx="4">
                  <c:v>50</c:v>
                </c:pt>
              </c:numCache>
            </c:numRef>
          </c:cat>
          <c:val>
            <c:numRef>
              <c:f>'Hatékonyság grafikon'!$G$4:$G$8</c:f>
              <c:numCache>
                <c:formatCode>0.00</c:formatCode>
                <c:ptCount val="5"/>
                <c:pt idx="0">
                  <c:v>99.034455579326661</c:v>
                </c:pt>
                <c:pt idx="1">
                  <c:v>97.643515237420274</c:v>
                </c:pt>
                <c:pt idx="2">
                  <c:v>95.507215089470023</c:v>
                </c:pt>
                <c:pt idx="3">
                  <c:v>92.832370145206994</c:v>
                </c:pt>
                <c:pt idx="4">
                  <c:v>93.424070346222805</c:v>
                </c:pt>
              </c:numCache>
            </c:numRef>
          </c:val>
          <c:extLst>
            <c:ext xmlns:c16="http://schemas.microsoft.com/office/drawing/2014/chart" uri="{C3380CC4-5D6E-409C-BE32-E72D297353CC}">
              <c16:uniqueId val="{00000005-FCEA-441F-BC14-51EFE34ED277}"/>
            </c:ext>
          </c:extLst>
        </c:ser>
        <c:dLbls>
          <c:showLegendKey val="0"/>
          <c:showVal val="0"/>
          <c:showCatName val="0"/>
          <c:showSerName val="0"/>
          <c:showPercent val="0"/>
          <c:showBubbleSize val="0"/>
        </c:dLbls>
        <c:gapWidth val="300"/>
        <c:axId val="171843968"/>
        <c:axId val="171844528"/>
      </c:barChart>
      <c:lineChart>
        <c:grouping val="standard"/>
        <c:varyColors val="0"/>
        <c:ser>
          <c:idx val="0"/>
          <c:order val="0"/>
          <c:tx>
            <c:strRef>
              <c:f>'Hatékonyság grafikon'!$F$3</c:f>
              <c:strCache>
                <c:ptCount val="1"/>
                <c:pt idx="0">
                  <c:v>qmax</c:v>
                </c:pt>
              </c:strCache>
            </c:strRef>
          </c:tx>
          <c:spPr>
            <a:ln w="28575" cap="rnd">
              <a:solidFill>
                <a:schemeClr val="tx1">
                  <a:lumMod val="95000"/>
                  <a:lumOff val="5000"/>
                </a:schemeClr>
              </a:solidFill>
              <a:round/>
            </a:ln>
            <a:effectLst>
              <a:outerShdw blurRad="40000" dist="23000" dir="5400000" rotWithShape="0">
                <a:srgbClr val="000000">
                  <a:alpha val="35000"/>
                </a:srgbClr>
              </a:outerShdw>
            </a:effectLst>
          </c:spPr>
          <c:marker>
            <c:symbol val="none"/>
          </c:marker>
          <c:cat>
            <c:numRef>
              <c:f>'Hatékonyság grafikon'!$E$4:$E$8</c:f>
              <c:numCache>
                <c:formatCode>General</c:formatCode>
                <c:ptCount val="5"/>
                <c:pt idx="0">
                  <c:v>10</c:v>
                </c:pt>
                <c:pt idx="1">
                  <c:v>20</c:v>
                </c:pt>
                <c:pt idx="2">
                  <c:v>30</c:v>
                </c:pt>
                <c:pt idx="3">
                  <c:v>40</c:v>
                </c:pt>
                <c:pt idx="4">
                  <c:v>50</c:v>
                </c:pt>
              </c:numCache>
            </c:numRef>
          </c:cat>
          <c:val>
            <c:numRef>
              <c:f>'Hatékonyság grafikon'!$F$4:$F$8</c:f>
              <c:numCache>
                <c:formatCode>0.000</c:formatCode>
                <c:ptCount val="5"/>
                <c:pt idx="0">
                  <c:v>0.32953739154870199</c:v>
                </c:pt>
                <c:pt idx="1">
                  <c:v>0.63235800344234094</c:v>
                </c:pt>
                <c:pt idx="2">
                  <c:v>0.92202981020291086</c:v>
                </c:pt>
                <c:pt idx="3">
                  <c:v>1.2379453674757344</c:v>
                </c:pt>
                <c:pt idx="4">
                  <c:v>1.529104171789198</c:v>
                </c:pt>
              </c:numCache>
            </c:numRef>
          </c:val>
          <c:smooth val="0"/>
          <c:extLst>
            <c:ext xmlns:c16="http://schemas.microsoft.com/office/drawing/2014/chart" uri="{C3380CC4-5D6E-409C-BE32-E72D297353CC}">
              <c16:uniqueId val="{00000006-FCEA-441F-BC14-51EFE34ED277}"/>
            </c:ext>
          </c:extLst>
        </c:ser>
        <c:dLbls>
          <c:showLegendKey val="0"/>
          <c:showVal val="0"/>
          <c:showCatName val="0"/>
          <c:showSerName val="0"/>
          <c:showPercent val="0"/>
          <c:showBubbleSize val="0"/>
        </c:dLbls>
        <c:hiLowLines>
          <c:spPr>
            <a:ln w="9525">
              <a:solidFill>
                <a:schemeClr val="dk1">
                  <a:lumMod val="75000"/>
                  <a:lumOff val="25000"/>
                </a:schemeClr>
              </a:solidFill>
            </a:ln>
            <a:effectLst/>
          </c:spPr>
        </c:hiLowLines>
        <c:marker val="1"/>
        <c:smooth val="0"/>
        <c:axId val="171845648"/>
        <c:axId val="171845088"/>
      </c:lineChart>
      <c:catAx>
        <c:axId val="17184396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hu-HU"/>
                  <a:t>c (mg/L)</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4528"/>
        <c:crosses val="autoZero"/>
        <c:auto val="1"/>
        <c:lblAlgn val="ctr"/>
        <c:lblOffset val="100"/>
        <c:noMultiLvlLbl val="0"/>
      </c:catAx>
      <c:valAx>
        <c:axId val="171844528"/>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4.608457111527255E-4"/>
              <c:y val="0.4494875291426561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3968"/>
        <c:crosses val="autoZero"/>
        <c:crossBetween val="between"/>
      </c:valAx>
      <c:valAx>
        <c:axId val="171845088"/>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q</a:t>
                </a:r>
                <a:r>
                  <a:rPr lang="en-US" baseline="-25000"/>
                  <a:t>e</a:t>
                </a:r>
                <a:r>
                  <a:rPr lang="en-US"/>
                  <a:t>(mg/g)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5648"/>
        <c:crosses val="max"/>
        <c:crossBetween val="between"/>
      </c:valAx>
      <c:catAx>
        <c:axId val="171845648"/>
        <c:scaling>
          <c:orientation val="minMax"/>
        </c:scaling>
        <c:delete val="1"/>
        <c:axPos val="b"/>
        <c:numFmt formatCode="General" sourceLinked="1"/>
        <c:majorTickMark val="none"/>
        <c:minorTickMark val="none"/>
        <c:tickLblPos val="none"/>
        <c:crossAx val="171845088"/>
        <c:crosses val="autoZero"/>
        <c:auto val="1"/>
        <c:lblAlgn val="ctr"/>
        <c:lblOffset val="100"/>
        <c:noMultiLvlLbl val="0"/>
      </c:catAx>
      <c:spPr>
        <a:solidFill>
          <a:schemeClr val="lt1"/>
        </a:solidFill>
        <a:ln w="3175" cap="flat" cmpd="sng" algn="ctr">
          <a:solidFill>
            <a:schemeClr val="tx1">
              <a:lumMod val="95000"/>
              <a:lumOff val="5000"/>
            </a:schemeClr>
          </a:solidFill>
          <a:prstDash val="solid"/>
        </a:ln>
        <a:effectLst/>
      </c:spPr>
    </c:plotArea>
    <c:plotVisOnly val="1"/>
    <c:dispBlanksAs val="gap"/>
    <c:showDLblsOverMax val="0"/>
  </c:chart>
  <c:spPr>
    <a:solidFill>
      <a:schemeClr val="bg1"/>
    </a:solid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363586086376791"/>
          <c:y val="9.8008228242272413E-2"/>
          <c:w val="0.79819907126993728"/>
          <c:h val="0.71831686804868011"/>
        </c:manualLayout>
      </c:layout>
      <c:scatterChart>
        <c:scatterStyle val="lineMarker"/>
        <c:varyColors val="0"/>
        <c:ser>
          <c:idx val="0"/>
          <c:order val="0"/>
          <c:tx>
            <c:strRef>
              <c:f>BCF!$B$4</c:f>
              <c:strCache>
                <c:ptCount val="1"/>
                <c:pt idx="0">
                  <c:v>Congo Red</c:v>
                </c:pt>
              </c:strCache>
            </c:strRef>
          </c:tx>
          <c:spPr>
            <a:ln w="25400" cap="rnd">
              <a:noFill/>
              <a:round/>
            </a:ln>
            <a:effectLst/>
          </c:spPr>
          <c:marker>
            <c:symbol val="diamond"/>
            <c:size val="6"/>
            <c:spPr>
              <a:solidFill>
                <a:schemeClr val="dk1">
                  <a:tint val="88500"/>
                </a:schemeClr>
              </a:solidFill>
              <a:ln w="9525">
                <a:solidFill>
                  <a:schemeClr val="dk1">
                    <a:tint val="88500"/>
                  </a:schemeClr>
                </a:solidFill>
                <a:round/>
              </a:ln>
              <a:effectLst/>
            </c:spPr>
          </c:marker>
          <c:xVal>
            <c:numRef>
              <c:f>BCF!$A$5:$A$9</c:f>
              <c:numCache>
                <c:formatCode>General</c:formatCode>
                <c:ptCount val="5"/>
                <c:pt idx="0">
                  <c:v>10</c:v>
                </c:pt>
                <c:pt idx="1">
                  <c:v>20</c:v>
                </c:pt>
                <c:pt idx="2">
                  <c:v>30</c:v>
                </c:pt>
                <c:pt idx="3">
                  <c:v>40</c:v>
                </c:pt>
                <c:pt idx="4">
                  <c:v>50</c:v>
                </c:pt>
              </c:numCache>
            </c:numRef>
          </c:xVal>
          <c:yVal>
            <c:numRef>
              <c:f>BCF!$B$5:$B$9</c:f>
              <c:numCache>
                <c:formatCode>0.000</c:formatCode>
                <c:ptCount val="5"/>
                <c:pt idx="0">
                  <c:v>102.569</c:v>
                </c:pt>
                <c:pt idx="1">
                  <c:v>41.436</c:v>
                </c:pt>
                <c:pt idx="2">
                  <c:v>21.257999999999999</c:v>
                </c:pt>
                <c:pt idx="3">
                  <c:v>15.079000000000001</c:v>
                </c:pt>
                <c:pt idx="4">
                  <c:v>14.207000000000001</c:v>
                </c:pt>
              </c:numCache>
            </c:numRef>
          </c:yVal>
          <c:smooth val="0"/>
          <c:extLst>
            <c:ext xmlns:c16="http://schemas.microsoft.com/office/drawing/2014/chart" uri="{C3380CC4-5D6E-409C-BE32-E72D297353CC}">
              <c16:uniqueId val="{00000000-26B4-4C4B-BFBE-63D58EF6D49A}"/>
            </c:ext>
          </c:extLst>
        </c:ser>
        <c:ser>
          <c:idx val="1"/>
          <c:order val="1"/>
          <c:tx>
            <c:strRef>
              <c:f>BCF!$C$4</c:f>
              <c:strCache>
                <c:ptCount val="1"/>
                <c:pt idx="0">
                  <c:v>BPB</c:v>
                </c:pt>
              </c:strCache>
            </c:strRef>
          </c:tx>
          <c:spPr>
            <a:ln w="25400" cap="rnd">
              <a:noFill/>
              <a:round/>
            </a:ln>
            <a:effectLst/>
          </c:spPr>
          <c:marker>
            <c:symbol val="square"/>
            <c:size val="6"/>
            <c:spPr>
              <a:solidFill>
                <a:schemeClr val="dk1">
                  <a:tint val="55000"/>
                </a:schemeClr>
              </a:solidFill>
              <a:ln w="9525">
                <a:solidFill>
                  <a:schemeClr val="dk1">
                    <a:tint val="55000"/>
                  </a:schemeClr>
                </a:solidFill>
                <a:round/>
              </a:ln>
              <a:effectLst/>
            </c:spPr>
          </c:marker>
          <c:xVal>
            <c:numRef>
              <c:f>BCF!$A$5:$A$9</c:f>
              <c:numCache>
                <c:formatCode>General</c:formatCode>
                <c:ptCount val="5"/>
                <c:pt idx="0">
                  <c:v>10</c:v>
                </c:pt>
                <c:pt idx="1">
                  <c:v>20</c:v>
                </c:pt>
                <c:pt idx="2">
                  <c:v>30</c:v>
                </c:pt>
                <c:pt idx="3">
                  <c:v>40</c:v>
                </c:pt>
                <c:pt idx="4">
                  <c:v>50</c:v>
                </c:pt>
              </c:numCache>
            </c:numRef>
          </c:xVal>
          <c:yVal>
            <c:numRef>
              <c:f>BCF!$C$5:$C$9</c:f>
              <c:numCache>
                <c:formatCode>0.000</c:formatCode>
                <c:ptCount val="5"/>
                <c:pt idx="0">
                  <c:v>0.112</c:v>
                </c:pt>
                <c:pt idx="1">
                  <c:v>0.104</c:v>
                </c:pt>
                <c:pt idx="2">
                  <c:v>8.8999999999999996E-2</c:v>
                </c:pt>
                <c:pt idx="3">
                  <c:v>6.3E-2</c:v>
                </c:pt>
                <c:pt idx="4">
                  <c:v>3.5000000000000003E-2</c:v>
                </c:pt>
              </c:numCache>
            </c:numRef>
          </c:yVal>
          <c:smooth val="0"/>
          <c:extLst>
            <c:ext xmlns:c16="http://schemas.microsoft.com/office/drawing/2014/chart" uri="{C3380CC4-5D6E-409C-BE32-E72D297353CC}">
              <c16:uniqueId val="{00000001-26B4-4C4B-BFBE-63D58EF6D49A}"/>
            </c:ext>
          </c:extLst>
        </c:ser>
        <c:ser>
          <c:idx val="2"/>
          <c:order val="2"/>
          <c:tx>
            <c:strRef>
              <c:f>BCF!$D$4</c:f>
              <c:strCache>
                <c:ptCount val="1"/>
                <c:pt idx="0">
                  <c:v>MB</c:v>
                </c:pt>
              </c:strCache>
            </c:strRef>
          </c:tx>
          <c:spPr>
            <a:ln w="25400" cap="rnd">
              <a:noFill/>
              <a:round/>
            </a:ln>
            <a:effectLst/>
          </c:spPr>
          <c:marker>
            <c:symbol val="triangle"/>
            <c:size val="6"/>
            <c:spPr>
              <a:solidFill>
                <a:schemeClr val="dk1">
                  <a:tint val="75000"/>
                </a:schemeClr>
              </a:solidFill>
              <a:ln w="9525">
                <a:solidFill>
                  <a:schemeClr val="dk1">
                    <a:tint val="75000"/>
                  </a:schemeClr>
                </a:solidFill>
                <a:round/>
              </a:ln>
              <a:effectLst/>
            </c:spPr>
          </c:marker>
          <c:xVal>
            <c:numRef>
              <c:f>BCF!$A$5:$A$9</c:f>
              <c:numCache>
                <c:formatCode>General</c:formatCode>
                <c:ptCount val="5"/>
                <c:pt idx="0">
                  <c:v>10</c:v>
                </c:pt>
                <c:pt idx="1">
                  <c:v>20</c:v>
                </c:pt>
                <c:pt idx="2">
                  <c:v>30</c:v>
                </c:pt>
                <c:pt idx="3">
                  <c:v>40</c:v>
                </c:pt>
                <c:pt idx="4">
                  <c:v>50</c:v>
                </c:pt>
              </c:numCache>
            </c:numRef>
          </c:xVal>
          <c:yVal>
            <c:numRef>
              <c:f>BCF!$D$5:$D$9</c:f>
              <c:numCache>
                <c:formatCode>0.000</c:formatCode>
                <c:ptCount val="5"/>
                <c:pt idx="0">
                  <c:v>1.2250000000000001</c:v>
                </c:pt>
                <c:pt idx="1">
                  <c:v>1.8069999999999999</c:v>
                </c:pt>
                <c:pt idx="2">
                  <c:v>2.157</c:v>
                </c:pt>
                <c:pt idx="3">
                  <c:v>1.7170000000000001</c:v>
                </c:pt>
                <c:pt idx="4">
                  <c:v>1.7010000000000001</c:v>
                </c:pt>
              </c:numCache>
            </c:numRef>
          </c:yVal>
          <c:smooth val="0"/>
          <c:extLst>
            <c:ext xmlns:c16="http://schemas.microsoft.com/office/drawing/2014/chart" uri="{C3380CC4-5D6E-409C-BE32-E72D297353CC}">
              <c16:uniqueId val="{00000002-26B4-4C4B-BFBE-63D58EF6D49A}"/>
            </c:ext>
          </c:extLst>
        </c:ser>
        <c:ser>
          <c:idx val="3"/>
          <c:order val="3"/>
          <c:tx>
            <c:strRef>
              <c:f>BCF!$E$4</c:f>
              <c:strCache>
                <c:ptCount val="1"/>
                <c:pt idx="0">
                  <c:v>MG</c:v>
                </c:pt>
              </c:strCache>
            </c:strRef>
          </c:tx>
          <c:spPr>
            <a:ln w="25400" cap="rnd">
              <a:noFill/>
              <a:round/>
            </a:ln>
            <a:effectLst/>
          </c:spPr>
          <c:marker>
            <c:symbol val="x"/>
            <c:size val="6"/>
            <c:spPr>
              <a:noFill/>
              <a:ln w="9525">
                <a:solidFill>
                  <a:schemeClr val="dk1">
                    <a:tint val="98500"/>
                  </a:schemeClr>
                </a:solidFill>
                <a:round/>
              </a:ln>
              <a:effectLst/>
            </c:spPr>
          </c:marker>
          <c:xVal>
            <c:numRef>
              <c:f>BCF!$A$5:$A$9</c:f>
              <c:numCache>
                <c:formatCode>General</c:formatCode>
                <c:ptCount val="5"/>
                <c:pt idx="0">
                  <c:v>10</c:v>
                </c:pt>
                <c:pt idx="1">
                  <c:v>20</c:v>
                </c:pt>
                <c:pt idx="2">
                  <c:v>30</c:v>
                </c:pt>
                <c:pt idx="3">
                  <c:v>40</c:v>
                </c:pt>
                <c:pt idx="4">
                  <c:v>50</c:v>
                </c:pt>
              </c:numCache>
            </c:numRef>
          </c:xVal>
          <c:yVal>
            <c:numRef>
              <c:f>BCF!$E$5:$E$9</c:f>
              <c:numCache>
                <c:formatCode>0.000</c:formatCode>
                <c:ptCount val="5"/>
                <c:pt idx="0">
                  <c:v>7.5529999999999999</c:v>
                </c:pt>
                <c:pt idx="1">
                  <c:v>8.3780000000000001</c:v>
                </c:pt>
                <c:pt idx="2">
                  <c:v>22.506</c:v>
                </c:pt>
                <c:pt idx="3">
                  <c:v>28.367999999999999</c:v>
                </c:pt>
                <c:pt idx="4">
                  <c:v>16.815999999999999</c:v>
                </c:pt>
              </c:numCache>
            </c:numRef>
          </c:yVal>
          <c:smooth val="0"/>
          <c:extLst>
            <c:ext xmlns:c16="http://schemas.microsoft.com/office/drawing/2014/chart" uri="{C3380CC4-5D6E-409C-BE32-E72D297353CC}">
              <c16:uniqueId val="{00000003-26B4-4C4B-BFBE-63D58EF6D49A}"/>
            </c:ext>
          </c:extLst>
        </c:ser>
        <c:dLbls>
          <c:showLegendKey val="0"/>
          <c:showVal val="0"/>
          <c:showCatName val="0"/>
          <c:showSerName val="0"/>
          <c:showPercent val="0"/>
          <c:showBubbleSize val="0"/>
        </c:dLbls>
        <c:axId val="171840048"/>
        <c:axId val="171840608"/>
      </c:scatterChart>
      <c:valAx>
        <c:axId val="171840048"/>
        <c:scaling>
          <c:orientation val="minMax"/>
          <c:max val="60"/>
          <c:min val="0"/>
        </c:scaling>
        <c:delete val="0"/>
        <c:axPos val="b"/>
        <c:title>
          <c:tx>
            <c:rich>
              <a:bodyPr rot="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r>
                  <a:rPr lang="hu-HU" sz="800">
                    <a:latin typeface="Arial" panose="020B0604020202020204" pitchFamily="34" charset="0"/>
                    <a:cs typeface="Arial" panose="020B0604020202020204" pitchFamily="34" charset="0"/>
                  </a:rPr>
                  <a:t>C (mg/L)</a:t>
                </a:r>
              </a:p>
            </c:rich>
          </c:tx>
          <c:layout>
            <c:manualLayout>
              <c:xMode val="edge"/>
              <c:yMode val="edge"/>
              <c:x val="0.41234210300364155"/>
              <c:y val="0.9047630733897164"/>
            </c:manualLayout>
          </c:layout>
          <c:overlay val="0"/>
          <c:spPr>
            <a:noFill/>
            <a:ln>
              <a:noFill/>
            </a:ln>
            <a:effectLst>
              <a:outerShdw blurRad="50800" dist="50800" dir="5400000" algn="ctr" rotWithShape="0">
                <a:srgbClr val="000000">
                  <a:alpha val="0"/>
                </a:srgbClr>
              </a:outerShdw>
            </a:effectLst>
          </c:spPr>
          <c:txPr>
            <a:bodyPr rot="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endParaRPr lang="en-US"/>
          </a:p>
        </c:txPr>
        <c:crossAx val="171840608"/>
        <c:crosses val="autoZero"/>
        <c:crossBetween val="midCat"/>
      </c:valAx>
      <c:valAx>
        <c:axId val="171840608"/>
        <c:scaling>
          <c:orientation val="minMax"/>
        </c:scaling>
        <c:delete val="0"/>
        <c:axPos val="l"/>
        <c:title>
          <c:tx>
            <c:rich>
              <a:bodyPr rot="-540000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r>
                  <a:rPr lang="hu-HU" sz="800">
                    <a:latin typeface="Arial" panose="020B0604020202020204" pitchFamily="34" charset="0"/>
                    <a:cs typeface="Arial" panose="020B0604020202020204" pitchFamily="34" charset="0"/>
                  </a:rPr>
                  <a:t>BCF</a:t>
                </a:r>
              </a:p>
            </c:rich>
          </c:tx>
          <c:layout>
            <c:manualLayout>
              <c:xMode val="edge"/>
              <c:yMode val="edge"/>
              <c:x val="2.2638272751738443E-2"/>
              <c:y val="0.41552716083967889"/>
            </c:manualLayout>
          </c:layout>
          <c:overlay val="0"/>
          <c:spPr>
            <a:noFill/>
            <a:ln>
              <a:noFill/>
            </a:ln>
            <a:effectLst/>
          </c:spPr>
          <c:txPr>
            <a:bodyPr rot="-540000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w="9525" cap="flat" cmpd="sng" algn="ctr">
            <a:solidFill>
              <a:schemeClr val="tx1">
                <a:lumMod val="95000"/>
                <a:lumOff val="5000"/>
              </a:schemeClr>
            </a:solidFill>
            <a:round/>
          </a:ln>
          <a:effectLst/>
        </c:spPr>
        <c:txPr>
          <a:bodyPr rot="-6000000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endParaRPr lang="en-US"/>
          </a:p>
        </c:txPr>
        <c:crossAx val="171840048"/>
        <c:crosses val="autoZero"/>
        <c:crossBetween val="midCat"/>
      </c:valAx>
      <c:spPr>
        <a:solidFill>
          <a:schemeClr val="lt1"/>
        </a:solidFill>
        <a:ln w="3175" cap="flat" cmpd="sng" algn="ctr">
          <a:solidFill>
            <a:schemeClr val="tx1">
              <a:lumMod val="95000"/>
              <a:lumOff val="5000"/>
            </a:schemeClr>
          </a:solidFill>
          <a:prstDash val="solid"/>
        </a:ln>
        <a:effectLst/>
      </c:spPr>
    </c:plotArea>
    <c:legend>
      <c:legendPos val="r"/>
      <c:layout>
        <c:manualLayout>
          <c:xMode val="edge"/>
          <c:yMode val="edge"/>
          <c:x val="0.56014584725972094"/>
          <c:y val="0.12462892113284224"/>
          <c:w val="0.33386590733490179"/>
          <c:h val="0.29615824231648463"/>
        </c:manualLayout>
      </c:layout>
      <c:overlay val="0"/>
      <c:spPr>
        <a:noFill/>
        <a:ln>
          <a:noFill/>
        </a:ln>
        <a:effectLst/>
      </c:spPr>
      <c:txPr>
        <a:bodyPr rot="0" spcFirstLastPara="1" vertOverflow="ellipsis" vert="horz" wrap="square" anchor="ctr" anchorCtr="1"/>
        <a:lstStyle/>
        <a:p>
          <a:pPr>
            <a:defRPr sz="800" b="0" i="0" u="none" strike="noStrike" kern="1200" cap="none"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prstDash val="solid"/>
      <a:round/>
    </a:ln>
    <a:effectLst>
      <a:outerShdw blurRad="40000" dist="20000" dir="5400000" rotWithShape="0">
        <a:srgbClr val="000000">
          <a:alpha val="0"/>
        </a:srgbClr>
      </a:outerShdw>
    </a:effectLst>
  </c:spPr>
  <c:txPr>
    <a:bodyPr/>
    <a:lstStyle/>
    <a:p>
      <a:pPr>
        <a:defRPr sz="1000" b="0" cap="none" baseline="0">
          <a:solidFill>
            <a:schemeClr val="dk1"/>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4766791967983053"/>
          <c:y val="0.15005115331940916"/>
          <c:w val="0.80555070032799492"/>
          <c:h val="0.72328869024652986"/>
        </c:manualLayout>
      </c:layout>
      <c:scatterChart>
        <c:scatterStyle val="lineMarker"/>
        <c:varyColors val="0"/>
        <c:ser>
          <c:idx val="0"/>
          <c:order val="0"/>
          <c:tx>
            <c:strRef>
              <c:f>Kinetika!$B$5</c:f>
              <c:strCache>
                <c:ptCount val="1"/>
                <c:pt idx="0">
                  <c:v>10 mg/L</c:v>
                </c:pt>
              </c:strCache>
            </c:strRef>
          </c:tx>
          <c:spPr>
            <a:ln w="47625" cap="rnd" cmpd="sng" algn="ctr">
              <a:noFill/>
              <a:prstDash val="solid"/>
              <a:round/>
            </a:ln>
            <a:effectLst/>
          </c:spPr>
          <c:marker>
            <c:symbol val="diamond"/>
            <c:size val="4"/>
            <c:spPr>
              <a:solidFill>
                <a:schemeClr val="dk1">
                  <a:tint val="88500"/>
                </a:schemeClr>
              </a:solidFill>
              <a:ln w="6350" cap="flat" cmpd="sng" algn="ctr">
                <a:solidFill>
                  <a:schemeClr val="dk1">
                    <a:tint val="88500"/>
                  </a:schemeClr>
                </a:solidFill>
                <a:prstDash val="solid"/>
                <a:round/>
              </a:ln>
              <a:effectLst/>
            </c:spPr>
          </c:marker>
          <c:dPt>
            <c:idx val="2"/>
            <c:marker>
              <c:symbol val="diamond"/>
              <c:size val="7"/>
            </c:marker>
            <c:bubble3D val="0"/>
            <c:extLst>
              <c:ext xmlns:c16="http://schemas.microsoft.com/office/drawing/2014/chart" uri="{C3380CC4-5D6E-409C-BE32-E72D297353CC}">
                <c16:uniqueId val="{00000000-67E7-4BBA-9480-70C2C7F44ED3}"/>
              </c:ext>
            </c:extLst>
          </c:dPt>
          <c:dPt>
            <c:idx val="3"/>
            <c:marker>
              <c:symbol val="diamond"/>
              <c:size val="7"/>
            </c:marker>
            <c:bubble3D val="0"/>
            <c:extLst>
              <c:ext xmlns:c16="http://schemas.microsoft.com/office/drawing/2014/chart" uri="{C3380CC4-5D6E-409C-BE32-E72D297353CC}">
                <c16:uniqueId val="{00000001-67E7-4BBA-9480-70C2C7F44ED3}"/>
              </c:ext>
            </c:extLst>
          </c:dPt>
          <c:trendline>
            <c:spPr>
              <a:ln w="6350" cap="rnd" cmpd="sng" algn="ctr">
                <a:solidFill>
                  <a:schemeClr val="tx1"/>
                </a:solidFill>
                <a:prstDash val="solid"/>
                <a:round/>
              </a:ln>
              <a:effectLst/>
            </c:spPr>
            <c:trendlineType val="linear"/>
            <c:dispRSqr val="0"/>
            <c:dispEq val="0"/>
          </c:trendline>
          <c:xVal>
            <c:numRef>
              <c:f>Kinetika!$A$6:$A$11</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Kinetika!$B$6:$B$11</c:f>
              <c:numCache>
                <c:formatCode>0.000</c:formatCode>
                <c:ptCount val="6"/>
                <c:pt idx="0">
                  <c:v>-0.39786783225332623</c:v>
                </c:pt>
                <c:pt idx="1">
                  <c:v>-2.4066336638039054</c:v>
                </c:pt>
                <c:pt idx="2">
                  <c:v>-3.1009734503489752</c:v>
                </c:pt>
                <c:pt idx="3">
                  <c:v>-4.2410045703202046</c:v>
                </c:pt>
                <c:pt idx="5">
                  <c:v>-2.725385413103754</c:v>
                </c:pt>
              </c:numCache>
            </c:numRef>
          </c:yVal>
          <c:smooth val="0"/>
          <c:extLst>
            <c:ext xmlns:c16="http://schemas.microsoft.com/office/drawing/2014/chart" uri="{C3380CC4-5D6E-409C-BE32-E72D297353CC}">
              <c16:uniqueId val="{00000002-67E7-4BBA-9480-70C2C7F44ED3}"/>
            </c:ext>
          </c:extLst>
        </c:ser>
        <c:ser>
          <c:idx val="1"/>
          <c:order val="1"/>
          <c:tx>
            <c:strRef>
              <c:f>Kinetika!$C$5</c:f>
              <c:strCache>
                <c:ptCount val="1"/>
                <c:pt idx="0">
                  <c:v>20 mg/L</c:v>
                </c:pt>
              </c:strCache>
            </c:strRef>
          </c:tx>
          <c:spPr>
            <a:ln w="47625" cap="rnd" cmpd="sng" algn="ctr">
              <a:noFill/>
              <a:prstDash val="solid"/>
              <a:round/>
            </a:ln>
            <a:effectLst/>
          </c:spPr>
          <c:marker>
            <c:symbol val="square"/>
            <c:size val="7"/>
            <c:spPr>
              <a:solidFill>
                <a:schemeClr val="dk1">
                  <a:tint val="55000"/>
                </a:schemeClr>
              </a:solidFill>
              <a:ln w="6350" cap="flat" cmpd="sng" algn="ctr">
                <a:solidFill>
                  <a:schemeClr val="dk1">
                    <a:tint val="550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Kinetika!$A$6:$A$11</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Kinetika!$C$6:$C$11</c:f>
              <c:numCache>
                <c:formatCode>0.000</c:formatCode>
                <c:ptCount val="6"/>
                <c:pt idx="1">
                  <c:v>-1.5766827390454612</c:v>
                </c:pt>
                <c:pt idx="3">
                  <c:v>-3.9458875193809049</c:v>
                </c:pt>
                <c:pt idx="4">
                  <c:v>-2.9650582663691787</c:v>
                </c:pt>
                <c:pt idx="5">
                  <c:v>-2.9650582663691787</c:v>
                </c:pt>
              </c:numCache>
            </c:numRef>
          </c:yVal>
          <c:smooth val="0"/>
          <c:extLst>
            <c:ext xmlns:c16="http://schemas.microsoft.com/office/drawing/2014/chart" uri="{C3380CC4-5D6E-409C-BE32-E72D297353CC}">
              <c16:uniqueId val="{00000003-67E7-4BBA-9480-70C2C7F44ED3}"/>
            </c:ext>
          </c:extLst>
        </c:ser>
        <c:ser>
          <c:idx val="2"/>
          <c:order val="2"/>
          <c:tx>
            <c:strRef>
              <c:f>Kinetika!$D$5</c:f>
              <c:strCache>
                <c:ptCount val="1"/>
                <c:pt idx="0">
                  <c:v>30 mg/L</c:v>
                </c:pt>
              </c:strCache>
            </c:strRef>
          </c:tx>
          <c:spPr>
            <a:ln w="47625" cap="rnd" cmpd="sng" algn="ctr">
              <a:noFill/>
              <a:prstDash val="solid"/>
              <a:round/>
            </a:ln>
            <a:effectLst/>
          </c:spPr>
          <c:marker>
            <c:symbol val="triangle"/>
            <c:size val="4"/>
            <c:spPr>
              <a:solidFill>
                <a:schemeClr val="dk1">
                  <a:tint val="75000"/>
                </a:schemeClr>
              </a:solidFill>
              <a:ln w="6350" cap="flat" cmpd="sng" algn="ctr">
                <a:solidFill>
                  <a:schemeClr val="dk1">
                    <a:tint val="75000"/>
                  </a:schemeClr>
                </a:solidFill>
                <a:prstDash val="solid"/>
                <a:round/>
              </a:ln>
              <a:effectLst/>
            </c:spPr>
          </c:marker>
          <c:dPt>
            <c:idx val="0"/>
            <c:marker>
              <c:symbol val="triangle"/>
              <c:size val="7"/>
            </c:marker>
            <c:bubble3D val="0"/>
            <c:extLst>
              <c:ext xmlns:c16="http://schemas.microsoft.com/office/drawing/2014/chart" uri="{C3380CC4-5D6E-409C-BE32-E72D297353CC}">
                <c16:uniqueId val="{00000004-67E7-4BBA-9480-70C2C7F44ED3}"/>
              </c:ext>
            </c:extLst>
          </c:dPt>
          <c:trendline>
            <c:spPr>
              <a:ln w="6350" cap="rnd" cmpd="sng" algn="ctr">
                <a:solidFill>
                  <a:schemeClr val="tx1"/>
                </a:solidFill>
                <a:prstDash val="solid"/>
                <a:round/>
              </a:ln>
              <a:effectLst/>
            </c:spPr>
            <c:trendlineType val="linear"/>
            <c:dispRSqr val="0"/>
            <c:dispEq val="0"/>
          </c:trendline>
          <c:xVal>
            <c:numRef>
              <c:f>Kinetika!$A$6:$A$11</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Kinetika!$D$6:$D$11</c:f>
              <c:numCache>
                <c:formatCode>0.000</c:formatCode>
                <c:ptCount val="6"/>
                <c:pt idx="0">
                  <c:v>0.83180497835616241</c:v>
                </c:pt>
                <c:pt idx="1">
                  <c:v>-1.5166697754534886</c:v>
                </c:pt>
                <c:pt idx="4">
                  <c:v>-3.2809112157876519</c:v>
                </c:pt>
                <c:pt idx="5">
                  <c:v>-3.7227439680666858</c:v>
                </c:pt>
              </c:numCache>
            </c:numRef>
          </c:yVal>
          <c:smooth val="0"/>
          <c:extLst>
            <c:ext xmlns:c16="http://schemas.microsoft.com/office/drawing/2014/chart" uri="{C3380CC4-5D6E-409C-BE32-E72D297353CC}">
              <c16:uniqueId val="{00000005-67E7-4BBA-9480-70C2C7F44ED3}"/>
            </c:ext>
          </c:extLst>
        </c:ser>
        <c:ser>
          <c:idx val="3"/>
          <c:order val="3"/>
          <c:tx>
            <c:strRef>
              <c:f>Kinetika!$E$5</c:f>
              <c:strCache>
                <c:ptCount val="1"/>
                <c:pt idx="0">
                  <c:v>40 mg/L</c:v>
                </c:pt>
              </c:strCache>
            </c:strRef>
          </c:tx>
          <c:spPr>
            <a:ln w="47625" cap="rnd" cmpd="sng" algn="ctr">
              <a:noFill/>
              <a:prstDash val="solid"/>
              <a:round/>
            </a:ln>
            <a:effectLst/>
          </c:spPr>
          <c:marker>
            <c:symbol val="circle"/>
            <c:size val="5"/>
            <c:spPr>
              <a:solidFill>
                <a:schemeClr val="dk1">
                  <a:tint val="98500"/>
                </a:schemeClr>
              </a:solidFill>
              <a:ln w="6350" cap="flat" cmpd="sng" algn="ctr">
                <a:solidFill>
                  <a:schemeClr val="dk1">
                    <a:tint val="985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Kinetika!$A$6:$A$11</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Kinetika!$E$6:$E$11</c:f>
              <c:numCache>
                <c:formatCode>0.000</c:formatCode>
                <c:ptCount val="6"/>
                <c:pt idx="0">
                  <c:v>1.004053706043097</c:v>
                </c:pt>
                <c:pt idx="1">
                  <c:v>-1.5581446180465488</c:v>
                </c:pt>
                <c:pt idx="2">
                  <c:v>-2.8289260920446013</c:v>
                </c:pt>
                <c:pt idx="4">
                  <c:v>-3.6173834524088742</c:v>
                </c:pt>
                <c:pt idx="5">
                  <c:v>-2.5187711637407535</c:v>
                </c:pt>
              </c:numCache>
            </c:numRef>
          </c:yVal>
          <c:smooth val="0"/>
          <c:extLst>
            <c:ext xmlns:c16="http://schemas.microsoft.com/office/drawing/2014/chart" uri="{C3380CC4-5D6E-409C-BE32-E72D297353CC}">
              <c16:uniqueId val="{00000006-67E7-4BBA-9480-70C2C7F44ED3}"/>
            </c:ext>
          </c:extLst>
        </c:ser>
        <c:ser>
          <c:idx val="4"/>
          <c:order val="4"/>
          <c:tx>
            <c:strRef>
              <c:f>Kinetika!$F$5</c:f>
              <c:strCache>
                <c:ptCount val="1"/>
                <c:pt idx="0">
                  <c:v>50 mg/L</c:v>
                </c:pt>
              </c:strCache>
            </c:strRef>
          </c:tx>
          <c:spPr>
            <a:ln w="47625" cap="rnd" cmpd="sng" algn="ctr">
              <a:noFill/>
              <a:prstDash val="solid"/>
              <a:round/>
            </a:ln>
            <a:effectLst/>
          </c:spPr>
          <c:marker>
            <c:symbol val="star"/>
            <c:size val="4"/>
            <c:spPr>
              <a:noFill/>
              <a:ln w="6350" cap="flat" cmpd="sng" algn="ctr">
                <a:solidFill>
                  <a:schemeClr val="dk1">
                    <a:tint val="30000"/>
                  </a:schemeClr>
                </a:solidFill>
                <a:prstDash val="solid"/>
                <a:round/>
              </a:ln>
              <a:effectLst/>
            </c:spPr>
          </c:marker>
          <c:dPt>
            <c:idx val="1"/>
            <c:marker>
              <c:symbol val="star"/>
              <c:size val="7"/>
            </c:marker>
            <c:bubble3D val="0"/>
            <c:extLst>
              <c:ext xmlns:c16="http://schemas.microsoft.com/office/drawing/2014/chart" uri="{C3380CC4-5D6E-409C-BE32-E72D297353CC}">
                <c16:uniqueId val="{00000007-67E7-4BBA-9480-70C2C7F44ED3}"/>
              </c:ext>
            </c:extLst>
          </c:dPt>
          <c:dPt>
            <c:idx val="5"/>
            <c:marker>
              <c:symbol val="star"/>
              <c:size val="7"/>
            </c:marker>
            <c:bubble3D val="0"/>
            <c:extLst>
              <c:ext xmlns:c16="http://schemas.microsoft.com/office/drawing/2014/chart" uri="{C3380CC4-5D6E-409C-BE32-E72D297353CC}">
                <c16:uniqueId val="{00000008-67E7-4BBA-9480-70C2C7F44ED3}"/>
              </c:ext>
            </c:extLst>
          </c:dPt>
          <c:trendline>
            <c:spPr>
              <a:ln w="6350" cap="rnd" cmpd="sng" algn="ctr">
                <a:solidFill>
                  <a:schemeClr val="tx1"/>
                </a:solidFill>
                <a:prstDash val="solid"/>
                <a:round/>
              </a:ln>
              <a:effectLst/>
            </c:spPr>
            <c:trendlineType val="linear"/>
            <c:dispRSqr val="0"/>
            <c:dispEq val="0"/>
          </c:trendline>
          <c:xVal>
            <c:numRef>
              <c:f>Kinetika!$A$6:$A$11</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Kinetika!$F$6:$F$11</c:f>
              <c:numCache>
                <c:formatCode>0.000</c:formatCode>
                <c:ptCount val="6"/>
                <c:pt idx="0">
                  <c:v>1.1854893924114818</c:v>
                </c:pt>
                <c:pt idx="1">
                  <c:v>-0.41707901312610179</c:v>
                </c:pt>
                <c:pt idx="2">
                  <c:v>-5.2268213648430244</c:v>
                </c:pt>
                <c:pt idx="4">
                  <c:v>-2.8754461076794953</c:v>
                </c:pt>
                <c:pt idx="5">
                  <c:v>-2.6241316793985945</c:v>
                </c:pt>
              </c:numCache>
            </c:numRef>
          </c:yVal>
          <c:smooth val="0"/>
          <c:extLst>
            <c:ext xmlns:c16="http://schemas.microsoft.com/office/drawing/2014/chart" uri="{C3380CC4-5D6E-409C-BE32-E72D297353CC}">
              <c16:uniqueId val="{00000009-67E7-4BBA-9480-70C2C7F44ED3}"/>
            </c:ext>
          </c:extLst>
        </c:ser>
        <c:dLbls>
          <c:showLegendKey val="0"/>
          <c:showVal val="0"/>
          <c:showCatName val="0"/>
          <c:showSerName val="0"/>
          <c:showPercent val="0"/>
          <c:showBubbleSize val="0"/>
        </c:dLbls>
        <c:axId val="108856448"/>
        <c:axId val="108858368"/>
      </c:scatterChart>
      <c:valAx>
        <c:axId val="108856448"/>
        <c:scaling>
          <c:orientation val="minMax"/>
        </c:scaling>
        <c:delete val="0"/>
        <c:axPos val="b"/>
        <c:title>
          <c:tx>
            <c:rich>
              <a:bodyPr rot="0" vert="horz"/>
              <a:lstStyle/>
              <a:p>
                <a:pPr>
                  <a:defRPr/>
                </a:pPr>
                <a:r>
                  <a:rPr lang="en-US"/>
                  <a:t>t (min)</a:t>
                </a:r>
              </a:p>
            </c:rich>
          </c:tx>
          <c:layout>
            <c:manualLayout>
              <c:xMode val="edge"/>
              <c:yMode val="edge"/>
              <c:x val="0.45469289201807711"/>
              <c:y val="0.93702639384894604"/>
            </c:manualLayout>
          </c:layout>
          <c:overlay val="0"/>
          <c:spPr>
            <a:noFill/>
            <a:ln>
              <a:noFill/>
            </a:ln>
            <a:effectLst/>
          </c:spPr>
        </c:title>
        <c:numFmt formatCode="0" sourceLinked="1"/>
        <c:majorTickMark val="out"/>
        <c:minorTickMark val="none"/>
        <c:tickLblPos val="nextTo"/>
        <c:spPr>
          <a:noFill/>
          <a:ln w="6350" cap="flat" cmpd="sng" algn="ctr">
            <a:solidFill>
              <a:schemeClr val="tx1"/>
            </a:solidFill>
            <a:prstDash val="solid"/>
            <a:round/>
          </a:ln>
          <a:effectLst/>
        </c:spPr>
        <c:txPr>
          <a:bodyPr rot="0"/>
          <a:lstStyle/>
          <a:p>
            <a:pPr>
              <a:defRPr/>
            </a:pPr>
            <a:endParaRPr lang="en-US"/>
          </a:p>
        </c:txPr>
        <c:crossAx val="108858368"/>
        <c:crossesAt val="-3"/>
        <c:crossBetween val="midCat"/>
      </c:valAx>
      <c:valAx>
        <c:axId val="108858368"/>
        <c:scaling>
          <c:orientation val="minMax"/>
        </c:scaling>
        <c:delete val="0"/>
        <c:axPos val="l"/>
        <c:title>
          <c:tx>
            <c:rich>
              <a:bodyPr rot="-5400000" vert="horz"/>
              <a:lstStyle/>
              <a:p>
                <a:pPr>
                  <a:defRPr/>
                </a:pPr>
                <a:r>
                  <a:rPr lang="en-US"/>
                  <a:t>ln(q</a:t>
                </a:r>
                <a:r>
                  <a:rPr lang="en-US" baseline="-25000"/>
                  <a:t>e</a:t>
                </a:r>
                <a:r>
                  <a:rPr lang="en-US"/>
                  <a:t>-q</a:t>
                </a:r>
                <a:r>
                  <a:rPr lang="en-US" baseline="-25000"/>
                  <a:t>t</a:t>
                </a:r>
                <a:r>
                  <a:rPr lang="en-US"/>
                  <a:t>)</a:t>
                </a:r>
              </a:p>
            </c:rich>
          </c:tx>
          <c:layout>
            <c:manualLayout>
              <c:xMode val="edge"/>
              <c:yMode val="edge"/>
              <c:x val="8.5312877274329856E-3"/>
              <c:y val="0.40853579112097455"/>
            </c:manualLayout>
          </c:layout>
          <c:overlay val="0"/>
          <c:spPr>
            <a:noFill/>
            <a:ln>
              <a:noFill/>
            </a:ln>
            <a:effectLst/>
          </c:spPr>
        </c:title>
        <c:numFmt formatCode="0.0" sourceLinked="0"/>
        <c:majorTickMark val="out"/>
        <c:minorTickMark val="none"/>
        <c:tickLblPos val="nextTo"/>
        <c:spPr>
          <a:noFill/>
          <a:ln w="6350" cap="flat" cmpd="sng" algn="ctr">
            <a:noFill/>
            <a:prstDash val="solid"/>
            <a:round/>
          </a:ln>
          <a:effectLst/>
        </c:spPr>
        <c:txPr>
          <a:bodyPr rot="-60000000" vert="horz"/>
          <a:lstStyle/>
          <a:p>
            <a:pPr>
              <a:defRPr/>
            </a:pPr>
            <a:endParaRPr lang="en-US"/>
          </a:p>
        </c:txPr>
        <c:crossAx val="108856448"/>
        <c:crosses val="autoZero"/>
        <c:crossBetween val="midCat"/>
      </c:valAx>
      <c:spPr>
        <a:solidFill>
          <a:schemeClr val="bg1"/>
        </a:solidFill>
        <a:ln w="3175">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30002158142715202"/>
          <c:y val="0.17296845146414719"/>
          <c:w val="0.55895768117180744"/>
          <c:h val="0.16965772261611159"/>
        </c:manualLayout>
      </c:layout>
      <c:overlay val="1"/>
      <c:spPr>
        <a:noFill/>
        <a:ln>
          <a:noFill/>
        </a:ln>
        <a:effectLst/>
      </c:spPr>
      <c:txPr>
        <a:bodyPr rot="0" vert="horz"/>
        <a:lstStyle/>
        <a:p>
          <a:pPr>
            <a:defRPr/>
          </a:pPr>
          <a:endParaRPr lang="en-US"/>
        </a:p>
      </c:txPr>
    </c:legend>
    <c:plotVisOnly val="1"/>
    <c:dispBlanksAs val="gap"/>
    <c:showDLblsOverMax val="0"/>
  </c:chart>
  <c:spPr>
    <a:no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dk1"/>
          </a:solidFill>
          <a:latin typeface="Arial" panose="020B0604020202020204" pitchFamily="34" charset="0"/>
          <a:ea typeface="+mn-ea"/>
          <a:cs typeface="Arial" panose="020B0604020202020204" pitchFamily="34" charset="0"/>
        </a:defRPr>
      </a:pPr>
      <a:endParaRPr lang="en-US"/>
    </a:p>
  </c:tx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0.12015165171491253"/>
          <c:y val="0.14193440501822083"/>
          <c:w val="0.79673842669259287"/>
          <c:h val="0.68232981046394159"/>
        </c:manualLayout>
      </c:layout>
      <c:scatterChart>
        <c:scatterStyle val="lineMarker"/>
        <c:varyColors val="0"/>
        <c:ser>
          <c:idx val="0"/>
          <c:order val="0"/>
          <c:tx>
            <c:strRef>
              <c:f>Kinetika!$Z$6</c:f>
              <c:strCache>
                <c:ptCount val="1"/>
                <c:pt idx="0">
                  <c:v>10 mg/L</c:v>
                </c:pt>
              </c:strCache>
            </c:strRef>
          </c:tx>
          <c:spPr>
            <a:ln w="28575" cap="rnd" cmpd="sng" algn="ctr">
              <a:noFill/>
              <a:prstDash val="solid"/>
              <a:round/>
            </a:ln>
            <a:effectLst/>
          </c:spPr>
          <c:marker>
            <c:symbol val="diamond"/>
            <c:size val="7"/>
            <c:spPr>
              <a:solidFill>
                <a:schemeClr val="dk1">
                  <a:tint val="88500"/>
                </a:schemeClr>
              </a:solidFill>
              <a:ln w="6350" cap="flat" cmpd="sng" algn="ctr">
                <a:solidFill>
                  <a:schemeClr val="dk1">
                    <a:tint val="885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Kinetika!$Y$7:$Y$12</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Kinetika!$Z$7:$Z$12</c:f>
              <c:numCache>
                <c:formatCode>General</c:formatCode>
                <c:ptCount val="6"/>
                <c:pt idx="0">
                  <c:v>0</c:v>
                </c:pt>
                <c:pt idx="1">
                  <c:v>1.7192982456140355</c:v>
                </c:pt>
                <c:pt idx="2">
                  <c:v>7.9777206512425023</c:v>
                </c:pt>
                <c:pt idx="3">
                  <c:v>15.212418300653594</c:v>
                </c:pt>
                <c:pt idx="4">
                  <c:v>22.3297089862488</c:v>
                </c:pt>
                <c:pt idx="5">
                  <c:v>49.486180014174359</c:v>
                </c:pt>
              </c:numCache>
            </c:numRef>
          </c:yVal>
          <c:smooth val="0"/>
          <c:extLst>
            <c:ext xmlns:c16="http://schemas.microsoft.com/office/drawing/2014/chart" uri="{C3380CC4-5D6E-409C-BE32-E72D297353CC}">
              <c16:uniqueId val="{00000000-BAAC-40C9-BB43-E3F06B3C1084}"/>
            </c:ext>
          </c:extLst>
        </c:ser>
        <c:ser>
          <c:idx val="1"/>
          <c:order val="1"/>
          <c:tx>
            <c:strRef>
              <c:f>Kinetika!$AA$6</c:f>
              <c:strCache>
                <c:ptCount val="1"/>
                <c:pt idx="0">
                  <c:v>20 mg/L</c:v>
                </c:pt>
              </c:strCache>
            </c:strRef>
          </c:tx>
          <c:spPr>
            <a:ln w="28575" cap="rnd" cmpd="sng" algn="ctr">
              <a:noFill/>
              <a:prstDash val="solid"/>
              <a:round/>
            </a:ln>
            <a:effectLst/>
          </c:spPr>
          <c:marker>
            <c:spPr>
              <a:solidFill>
                <a:schemeClr val="dk1">
                  <a:tint val="55000"/>
                </a:schemeClr>
              </a:solidFill>
              <a:ln w="6350" cap="flat" cmpd="sng" algn="ctr">
                <a:solidFill>
                  <a:schemeClr val="dk1">
                    <a:tint val="550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Kinetika!$Y$7:$Y$12</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Kinetika!$AA$7:$AA$12</c:f>
              <c:numCache>
                <c:formatCode>General</c:formatCode>
                <c:ptCount val="6"/>
                <c:pt idx="0">
                  <c:v>0</c:v>
                </c:pt>
                <c:pt idx="1">
                  <c:v>0.85609195402298854</c:v>
                </c:pt>
                <c:pt idx="2">
                  <c:v>3.637002890850848</c:v>
                </c:pt>
                <c:pt idx="3">
                  <c:v>7.3777636896743006</c:v>
                </c:pt>
                <c:pt idx="4">
                  <c:v>11.33614741456287</c:v>
                </c:pt>
                <c:pt idx="5">
                  <c:v>22.67229482912574</c:v>
                </c:pt>
              </c:numCache>
            </c:numRef>
          </c:yVal>
          <c:smooth val="0"/>
          <c:extLst>
            <c:ext xmlns:c16="http://schemas.microsoft.com/office/drawing/2014/chart" uri="{C3380CC4-5D6E-409C-BE32-E72D297353CC}">
              <c16:uniqueId val="{00000001-BAAC-40C9-BB43-E3F06B3C1084}"/>
            </c:ext>
          </c:extLst>
        </c:ser>
        <c:ser>
          <c:idx val="2"/>
          <c:order val="2"/>
          <c:tx>
            <c:strRef>
              <c:f>Kinetika!$AB$6</c:f>
              <c:strCache>
                <c:ptCount val="1"/>
                <c:pt idx="0">
                  <c:v>30 mg/L</c:v>
                </c:pt>
              </c:strCache>
            </c:strRef>
          </c:tx>
          <c:spPr>
            <a:ln w="28575" cap="rnd" cmpd="sng" algn="ctr">
              <a:noFill/>
              <a:prstDash val="solid"/>
              <a:round/>
            </a:ln>
            <a:effectLst/>
          </c:spPr>
          <c:marker>
            <c:spPr>
              <a:solidFill>
                <a:schemeClr val="dk1">
                  <a:tint val="75000"/>
                </a:schemeClr>
              </a:solidFill>
              <a:ln w="6350" cap="flat" cmpd="sng" algn="ctr">
                <a:solidFill>
                  <a:schemeClr val="dk1">
                    <a:tint val="750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Kinetika!$Y$7:$Y$12</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Kinetika!$AB$7:$AB$12</c:f>
              <c:numCache>
                <c:formatCode>General</c:formatCode>
                <c:ptCount val="6"/>
                <c:pt idx="0">
                  <c:v>0</c:v>
                </c:pt>
                <c:pt idx="1">
                  <c:v>0.4812272276401206</c:v>
                </c:pt>
                <c:pt idx="2">
                  <c:v>2.1712391735391474</c:v>
                </c:pt>
                <c:pt idx="3">
                  <c:v>4.3526293668303451</c:v>
                </c:pt>
                <c:pt idx="4">
                  <c:v>6.6375561625657031</c:v>
                </c:pt>
                <c:pt idx="5">
                  <c:v>13.196707485268872</c:v>
                </c:pt>
              </c:numCache>
            </c:numRef>
          </c:yVal>
          <c:smooth val="0"/>
          <c:extLst>
            <c:ext xmlns:c16="http://schemas.microsoft.com/office/drawing/2014/chart" uri="{C3380CC4-5D6E-409C-BE32-E72D297353CC}">
              <c16:uniqueId val="{00000002-BAAC-40C9-BB43-E3F06B3C1084}"/>
            </c:ext>
          </c:extLst>
        </c:ser>
        <c:ser>
          <c:idx val="3"/>
          <c:order val="3"/>
          <c:tx>
            <c:strRef>
              <c:f>Kinetika!$AC$6</c:f>
              <c:strCache>
                <c:ptCount val="1"/>
                <c:pt idx="0">
                  <c:v>40 mg/L</c:v>
                </c:pt>
              </c:strCache>
            </c:strRef>
          </c:tx>
          <c:spPr>
            <a:ln w="28575" cap="rnd" cmpd="sng" algn="ctr">
              <a:noFill/>
              <a:prstDash val="solid"/>
              <a:round/>
            </a:ln>
            <a:effectLst/>
          </c:spPr>
          <c:marker>
            <c:spPr>
              <a:noFill/>
              <a:ln w="6350" cap="flat" cmpd="sng" algn="ctr">
                <a:solidFill>
                  <a:schemeClr val="dk1">
                    <a:tint val="985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Kinetika!$Y$7:$Y$12</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Kinetika!$AC$7:$AC$12</c:f>
              <c:numCache>
                <c:formatCode>General</c:formatCode>
                <c:ptCount val="6"/>
                <c:pt idx="0">
                  <c:v>0</c:v>
                </c:pt>
                <c:pt idx="1">
                  <c:v>0.39701492537313438</c:v>
                </c:pt>
                <c:pt idx="2">
                  <c:v>1.8724859211584874</c:v>
                </c:pt>
                <c:pt idx="3">
                  <c:v>3.6639118457300279</c:v>
                </c:pt>
                <c:pt idx="4">
                  <c:v>5.5504769475357714</c:v>
                </c:pt>
                <c:pt idx="5">
                  <c:v>11.326034063260343</c:v>
                </c:pt>
              </c:numCache>
            </c:numRef>
          </c:yVal>
          <c:smooth val="0"/>
          <c:extLst>
            <c:ext xmlns:c16="http://schemas.microsoft.com/office/drawing/2014/chart" uri="{C3380CC4-5D6E-409C-BE32-E72D297353CC}">
              <c16:uniqueId val="{00000003-BAAC-40C9-BB43-E3F06B3C1084}"/>
            </c:ext>
          </c:extLst>
        </c:ser>
        <c:ser>
          <c:idx val="4"/>
          <c:order val="4"/>
          <c:tx>
            <c:strRef>
              <c:f>Kinetika!$AD$6</c:f>
              <c:strCache>
                <c:ptCount val="1"/>
                <c:pt idx="0">
                  <c:v>50 mg/L</c:v>
                </c:pt>
              </c:strCache>
            </c:strRef>
          </c:tx>
          <c:spPr>
            <a:ln w="28575" cap="rnd" cmpd="sng" algn="ctr">
              <a:noFill/>
              <a:prstDash val="solid"/>
              <a:round/>
            </a:ln>
            <a:effectLst/>
          </c:spPr>
          <c:marker>
            <c:spPr>
              <a:noFill/>
              <a:ln w="6350" cap="flat" cmpd="sng" algn="ctr">
                <a:solidFill>
                  <a:schemeClr val="dk1">
                    <a:tint val="30000"/>
                  </a:schemeClr>
                </a:solidFill>
                <a:prstDash val="solid"/>
                <a:round/>
              </a:ln>
              <a:effectLst/>
            </c:spPr>
          </c:marker>
          <c:trendline>
            <c:spPr>
              <a:ln w="6350" cap="rnd" cmpd="sng" algn="ctr">
                <a:solidFill>
                  <a:schemeClr val="tx1"/>
                </a:solidFill>
                <a:prstDash val="solid"/>
                <a:round/>
              </a:ln>
              <a:effectLst/>
            </c:spPr>
            <c:trendlineType val="linear"/>
            <c:dispRSqr val="0"/>
            <c:dispEq val="0"/>
          </c:trendline>
          <c:xVal>
            <c:numRef>
              <c:f>Kinetika!$Y$7:$Y$12</c:f>
              <c:numCache>
                <c:formatCode>0</c:formatCode>
                <c:ptCount val="6"/>
                <c:pt idx="0">
                  <c:v>0</c:v>
                </c:pt>
                <c:pt idx="1">
                  <c:v>1</c:v>
                </c:pt>
                <c:pt idx="2" formatCode="General">
                  <c:v>5</c:v>
                </c:pt>
                <c:pt idx="3" formatCode="General">
                  <c:v>10</c:v>
                </c:pt>
                <c:pt idx="4" formatCode="General">
                  <c:v>15</c:v>
                </c:pt>
                <c:pt idx="5" formatCode="General">
                  <c:v>30</c:v>
                </c:pt>
              </c:numCache>
            </c:numRef>
          </c:xVal>
          <c:yVal>
            <c:numRef>
              <c:f>Kinetika!$AD$7:$AD$12</c:f>
              <c:numCache>
                <c:formatCode>General</c:formatCode>
                <c:ptCount val="6"/>
                <c:pt idx="0">
                  <c:v>0</c:v>
                </c:pt>
                <c:pt idx="1">
                  <c:v>0.38265515824085489</c:v>
                </c:pt>
                <c:pt idx="2">
                  <c:v>1.5304948216340621</c:v>
                </c:pt>
                <c:pt idx="3">
                  <c:v>3.0559658624651242</c:v>
                </c:pt>
                <c:pt idx="4">
                  <c:v>4.6643286573146296</c:v>
                </c:pt>
                <c:pt idx="5">
                  <c:v>9.3756294058408844</c:v>
                </c:pt>
              </c:numCache>
            </c:numRef>
          </c:yVal>
          <c:smooth val="0"/>
          <c:extLst>
            <c:ext xmlns:c16="http://schemas.microsoft.com/office/drawing/2014/chart" uri="{C3380CC4-5D6E-409C-BE32-E72D297353CC}">
              <c16:uniqueId val="{00000004-BAAC-40C9-BB43-E3F06B3C1084}"/>
            </c:ext>
          </c:extLst>
        </c:ser>
        <c:dLbls>
          <c:showLegendKey val="0"/>
          <c:showVal val="0"/>
          <c:showCatName val="0"/>
          <c:showSerName val="0"/>
          <c:showPercent val="0"/>
          <c:showBubbleSize val="0"/>
        </c:dLbls>
        <c:axId val="108944000"/>
        <c:axId val="108946176"/>
      </c:scatterChart>
      <c:valAx>
        <c:axId val="108944000"/>
        <c:scaling>
          <c:orientation val="minMax"/>
          <c:max val="30"/>
        </c:scaling>
        <c:delete val="0"/>
        <c:axPos val="b"/>
        <c:title>
          <c:tx>
            <c:rich>
              <a:bodyPr rot="0" spcFirstLastPara="1" vertOverflow="ellipsis" vert="horz" wrap="square" anchor="ctr" anchorCtr="1"/>
              <a:lstStyle/>
              <a:p>
                <a:pPr>
                  <a:defRPr sz="800" b="1" i="0" u="none" strike="noStrike" kern="1200" baseline="0">
                    <a:solidFill>
                      <a:schemeClr val="dk1"/>
                    </a:solidFill>
                    <a:latin typeface="Arial" panose="020B0604020202020204" pitchFamily="34" charset="0"/>
                    <a:ea typeface="+mn-ea"/>
                    <a:cs typeface="Arial" panose="020B0604020202020204" pitchFamily="34" charset="0"/>
                  </a:defRPr>
                </a:pPr>
                <a:r>
                  <a:rPr lang="en-US"/>
                  <a:t>t (min)</a:t>
                </a:r>
              </a:p>
            </c:rich>
          </c:tx>
          <c:layout>
            <c:manualLayout>
              <c:xMode val="edge"/>
              <c:yMode val="edge"/>
              <c:x val="0.44575028182086279"/>
              <c:y val="0.92580811581775846"/>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0" sourceLinked="1"/>
        <c:majorTickMark val="out"/>
        <c:minorTickMark val="none"/>
        <c:tickLblPos val="nextTo"/>
        <c:spPr>
          <a:noFill/>
          <a:ln w="6350" cap="flat" cmpd="sng" algn="ctr">
            <a:solidFill>
              <a:schemeClr val="tx1"/>
            </a:solidFill>
            <a:prstDash val="solid"/>
            <a:round/>
          </a:ln>
          <a:effectLst/>
        </c:spPr>
        <c:txPr>
          <a:bodyPr rot="0" spcFirstLastPara="1" vertOverflow="ellipsis"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108946176"/>
        <c:crosses val="autoZero"/>
        <c:crossBetween val="midCat"/>
      </c:valAx>
      <c:valAx>
        <c:axId val="108946176"/>
        <c:scaling>
          <c:orientation val="minMax"/>
          <c:max val="70"/>
          <c:min val="-1"/>
        </c:scaling>
        <c:delete val="0"/>
        <c:axPos val="l"/>
        <c:title>
          <c:tx>
            <c:rich>
              <a:bodyPr rot="-5400000" spcFirstLastPara="1" vertOverflow="ellipsis" vert="horz" wrap="square" anchor="ctr" anchorCtr="1"/>
              <a:lstStyle/>
              <a:p>
                <a:pPr>
                  <a:defRPr sz="800" b="1" i="0" u="none" strike="noStrike" kern="1200" baseline="0">
                    <a:solidFill>
                      <a:schemeClr val="dk1"/>
                    </a:solidFill>
                    <a:latin typeface="Arial" panose="020B0604020202020204" pitchFamily="34" charset="0"/>
                    <a:ea typeface="+mn-ea"/>
                    <a:cs typeface="Arial" panose="020B0604020202020204" pitchFamily="34" charset="0"/>
                  </a:defRPr>
                </a:pPr>
                <a:r>
                  <a:rPr lang="en-US"/>
                  <a:t>t /q</a:t>
                </a:r>
                <a:r>
                  <a:rPr lang="en-US" baseline="-25000"/>
                  <a:t>t</a:t>
                </a:r>
              </a:p>
            </c:rich>
          </c:tx>
          <c:layout>
            <c:manualLayout>
              <c:xMode val="edge"/>
              <c:yMode val="edge"/>
              <c:x val="1.4153142661780572E-2"/>
              <c:y val="0.4511140964166527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6350" cap="flat" cmpd="sng" algn="ctr">
            <a:solidFill>
              <a:schemeClr val="tx1"/>
            </a:solidFill>
            <a:prstDash val="solid"/>
            <a:round/>
          </a:ln>
          <a:effectLst/>
        </c:spPr>
        <c:txPr>
          <a:bodyPr rot="-6000000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crossAx val="108944000"/>
        <c:crosses val="autoZero"/>
        <c:crossBetween val="midCat"/>
      </c:valAx>
      <c:spPr>
        <a:solidFill>
          <a:schemeClr val="bg1"/>
        </a:solidFill>
        <a:ln w="3175">
          <a:solidFill>
            <a:schemeClr val="tx1"/>
          </a:solidFill>
        </a:ln>
        <a:effectLst/>
      </c:spPr>
    </c:plotArea>
    <c:legend>
      <c:legendPos val="r"/>
      <c:legendEntry>
        <c:idx val="5"/>
        <c:delete val="1"/>
      </c:legendEntry>
      <c:legendEntry>
        <c:idx val="6"/>
        <c:delete val="1"/>
      </c:legendEntry>
      <c:legendEntry>
        <c:idx val="7"/>
        <c:delete val="1"/>
      </c:legendEntry>
      <c:legendEntry>
        <c:idx val="8"/>
        <c:delete val="1"/>
      </c:legendEntry>
      <c:legendEntry>
        <c:idx val="9"/>
        <c:delete val="1"/>
      </c:legendEntry>
      <c:layout>
        <c:manualLayout>
          <c:xMode val="edge"/>
          <c:yMode val="edge"/>
          <c:x val="0.13594140963044479"/>
          <c:y val="0.17163780144886831"/>
          <c:w val="0.5297204029957584"/>
          <c:h val="0.1981631412106415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dk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dk1"/>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788262882100923"/>
          <c:y val="0.14782127535440018"/>
          <c:w val="0.66072420199415793"/>
          <c:h val="0.65719531309688917"/>
        </c:manualLayout>
      </c:layout>
      <c:barChart>
        <c:barDir val="col"/>
        <c:grouping val="clustered"/>
        <c:varyColors val="0"/>
        <c:ser>
          <c:idx val="1"/>
          <c:order val="1"/>
          <c:tx>
            <c:strRef>
              <c:f>'Hatékonyság grafikon'!$G$3</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tx>
                <c:rich>
                  <a:bodyPr/>
                  <a:lstStyle/>
                  <a:p>
                    <a:r>
                      <a:rPr lang="en-US"/>
                      <a:t>10.07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D14-4789-90E2-DA526BA39BD8}"/>
                </c:ext>
              </c:extLst>
            </c:dLbl>
            <c:dLbl>
              <c:idx val="1"/>
              <c:tx>
                <c:rich>
                  <a:bodyPr/>
                  <a:lstStyle/>
                  <a:p>
                    <a:r>
                      <a:rPr lang="en-US"/>
                      <a:t>9.40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D14-4789-90E2-DA526BA39BD8}"/>
                </c:ext>
              </c:extLst>
            </c:dLbl>
            <c:dLbl>
              <c:idx val="2"/>
              <c:layout>
                <c:manualLayout>
                  <c:x val="0"/>
                  <c:y val="-1.1627906976744186E-2"/>
                </c:manualLayout>
              </c:layout>
              <c:tx>
                <c:rich>
                  <a:bodyPr/>
                  <a:lstStyle/>
                  <a:p>
                    <a:r>
                      <a:rPr lang="en-US"/>
                      <a:t>8.16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D14-4789-90E2-DA526BA39BD8}"/>
                </c:ext>
              </c:extLst>
            </c:dLbl>
            <c:dLbl>
              <c:idx val="3"/>
              <c:tx>
                <c:rich>
                  <a:bodyPr/>
                  <a:lstStyle/>
                  <a:p>
                    <a:r>
                      <a:rPr lang="en-US"/>
                      <a:t>5.91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D14-4789-90E2-DA526BA39BD8}"/>
                </c:ext>
              </c:extLst>
            </c:dLbl>
            <c:dLbl>
              <c:idx val="4"/>
              <c:layout>
                <c:manualLayout>
                  <c:x val="2.4330900243309003E-3"/>
                  <c:y val="-1.5503875968992284E-2"/>
                </c:manualLayout>
              </c:layout>
              <c:tx>
                <c:rich>
                  <a:bodyPr/>
                  <a:lstStyle/>
                  <a:p>
                    <a:r>
                      <a:rPr lang="en-US"/>
                      <a:t>3.40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D14-4789-90E2-DA526BA39BD8}"/>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'Hatékonyság grafikon'!$E$4:$E$8</c:f>
              <c:numCache>
                <c:formatCode>General</c:formatCode>
                <c:ptCount val="5"/>
                <c:pt idx="0">
                  <c:v>10</c:v>
                </c:pt>
                <c:pt idx="1">
                  <c:v>20</c:v>
                </c:pt>
                <c:pt idx="2">
                  <c:v>30</c:v>
                </c:pt>
                <c:pt idx="3">
                  <c:v>40</c:v>
                </c:pt>
                <c:pt idx="4">
                  <c:v>50</c:v>
                </c:pt>
              </c:numCache>
            </c:numRef>
          </c:cat>
          <c:val>
            <c:numRef>
              <c:f>'Hatékonyság grafikon'!$G$4:$G$8</c:f>
              <c:numCache>
                <c:formatCode>0.00</c:formatCode>
                <c:ptCount val="5"/>
                <c:pt idx="0">
                  <c:v>10.066105769230763</c:v>
                </c:pt>
                <c:pt idx="1">
                  <c:v>9.4025682805710709</c:v>
                </c:pt>
                <c:pt idx="2">
                  <c:v>8.1569400327269186</c:v>
                </c:pt>
                <c:pt idx="3">
                  <c:v>5.9103809056727172</c:v>
                </c:pt>
                <c:pt idx="4">
                  <c:v>3.3992197192295253</c:v>
                </c:pt>
              </c:numCache>
            </c:numRef>
          </c:val>
          <c:extLst>
            <c:ext xmlns:c16="http://schemas.microsoft.com/office/drawing/2014/chart" uri="{C3380CC4-5D6E-409C-BE32-E72D297353CC}">
              <c16:uniqueId val="{00000005-6D14-4789-90E2-DA526BA39BD8}"/>
            </c:ext>
          </c:extLst>
        </c:ser>
        <c:dLbls>
          <c:showLegendKey val="0"/>
          <c:showVal val="0"/>
          <c:showCatName val="0"/>
          <c:showSerName val="0"/>
          <c:showPercent val="0"/>
          <c:showBubbleSize val="0"/>
        </c:dLbls>
        <c:gapWidth val="300"/>
        <c:axId val="171843968"/>
        <c:axId val="171844528"/>
      </c:barChart>
      <c:lineChart>
        <c:grouping val="standard"/>
        <c:varyColors val="0"/>
        <c:ser>
          <c:idx val="0"/>
          <c:order val="0"/>
          <c:tx>
            <c:strRef>
              <c:f>'Hatékonyság grafikon'!$F$3</c:f>
              <c:strCache>
                <c:ptCount val="1"/>
                <c:pt idx="0">
                  <c:v>qmax</c:v>
                </c:pt>
              </c:strCache>
            </c:strRef>
          </c:tx>
          <c:spPr>
            <a:ln w="28575" cap="rnd">
              <a:solidFill>
                <a:schemeClr val="tx1">
                  <a:lumMod val="95000"/>
                  <a:lumOff val="5000"/>
                </a:schemeClr>
              </a:solidFill>
              <a:round/>
            </a:ln>
            <a:effectLst>
              <a:outerShdw blurRad="40000" dist="23000" dir="5400000" rotWithShape="0">
                <a:srgbClr val="000000">
                  <a:alpha val="35000"/>
                </a:srgbClr>
              </a:outerShdw>
            </a:effectLst>
          </c:spPr>
          <c:marker>
            <c:symbol val="none"/>
          </c:marker>
          <c:cat>
            <c:numRef>
              <c:f>'Hatékonyság grafikon'!$E$4:$E$8</c:f>
              <c:numCache>
                <c:formatCode>General</c:formatCode>
                <c:ptCount val="5"/>
                <c:pt idx="0">
                  <c:v>10</c:v>
                </c:pt>
                <c:pt idx="1">
                  <c:v>20</c:v>
                </c:pt>
                <c:pt idx="2">
                  <c:v>30</c:v>
                </c:pt>
                <c:pt idx="3">
                  <c:v>40</c:v>
                </c:pt>
                <c:pt idx="4">
                  <c:v>50</c:v>
                </c:pt>
              </c:numCache>
            </c:numRef>
          </c:cat>
          <c:val>
            <c:numRef>
              <c:f>'Hatékonyság grafikon'!$F$4:$F$8</c:f>
              <c:numCache>
                <c:formatCode>0.00</c:formatCode>
                <c:ptCount val="5"/>
                <c:pt idx="0">
                  <c:v>3.6079698438341391E-2</c:v>
                </c:pt>
                <c:pt idx="1">
                  <c:v>6.5255950457727488E-2</c:v>
                </c:pt>
                <c:pt idx="2">
                  <c:v>9.1268120624663385E-2</c:v>
                </c:pt>
                <c:pt idx="3">
                  <c:v>7.7875713516424375E-2</c:v>
                </c:pt>
                <c:pt idx="4">
                  <c:v>5.6067905223478931E-2</c:v>
                </c:pt>
              </c:numCache>
            </c:numRef>
          </c:val>
          <c:smooth val="0"/>
          <c:extLst>
            <c:ext xmlns:c16="http://schemas.microsoft.com/office/drawing/2014/chart" uri="{C3380CC4-5D6E-409C-BE32-E72D297353CC}">
              <c16:uniqueId val="{00000006-6D14-4789-90E2-DA526BA39BD8}"/>
            </c:ext>
          </c:extLst>
        </c:ser>
        <c:dLbls>
          <c:showLegendKey val="0"/>
          <c:showVal val="0"/>
          <c:showCatName val="0"/>
          <c:showSerName val="0"/>
          <c:showPercent val="0"/>
          <c:showBubbleSize val="0"/>
        </c:dLbls>
        <c:hiLowLines>
          <c:spPr>
            <a:ln w="9525">
              <a:solidFill>
                <a:schemeClr val="dk1">
                  <a:lumMod val="75000"/>
                  <a:lumOff val="25000"/>
                </a:schemeClr>
              </a:solidFill>
            </a:ln>
            <a:effectLst/>
          </c:spPr>
        </c:hiLowLines>
        <c:marker val="1"/>
        <c:smooth val="0"/>
        <c:axId val="171845648"/>
        <c:axId val="171845088"/>
      </c:lineChart>
      <c:catAx>
        <c:axId val="17184396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hu-HU"/>
                  <a:t>c (mg/</a:t>
                </a:r>
                <a:r>
                  <a:rPr lang="en-US"/>
                  <a:t>L</a:t>
                </a:r>
                <a:r>
                  <a:rPr lang="hu-HU"/>
                  <a:t>)</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4528"/>
        <c:crosses val="autoZero"/>
        <c:auto val="1"/>
        <c:lblAlgn val="ctr"/>
        <c:lblOffset val="100"/>
        <c:noMultiLvlLbl val="0"/>
      </c:catAx>
      <c:valAx>
        <c:axId val="171844528"/>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3.7138088860981292E-3"/>
              <c:y val="0.3994952850828958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3968"/>
        <c:crosses val="autoZero"/>
        <c:crossBetween val="between"/>
      </c:valAx>
      <c:valAx>
        <c:axId val="171845088"/>
        <c:scaling>
          <c:orientation val="minMax"/>
          <c:max val="1.8"/>
        </c:scaling>
        <c:delete val="0"/>
        <c:axPos val="r"/>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q</a:t>
                </a:r>
                <a:r>
                  <a:rPr lang="en-US" baseline="-25000"/>
                  <a:t>e</a:t>
                </a:r>
                <a:r>
                  <a:rPr lang="en-US"/>
                  <a:t>(mg/g)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5648"/>
        <c:crosses val="max"/>
        <c:crossBetween val="between"/>
      </c:valAx>
      <c:catAx>
        <c:axId val="171845648"/>
        <c:scaling>
          <c:orientation val="minMax"/>
        </c:scaling>
        <c:delete val="1"/>
        <c:axPos val="b"/>
        <c:numFmt formatCode="General" sourceLinked="1"/>
        <c:majorTickMark val="none"/>
        <c:minorTickMark val="none"/>
        <c:tickLblPos val="none"/>
        <c:crossAx val="171845088"/>
        <c:crosses val="autoZero"/>
        <c:auto val="1"/>
        <c:lblAlgn val="ctr"/>
        <c:lblOffset val="100"/>
        <c:noMultiLvlLbl val="0"/>
      </c:catAx>
      <c:spPr>
        <a:solidFill>
          <a:schemeClr val="lt1"/>
        </a:solidFill>
        <a:ln w="3175" cap="flat" cmpd="sng" algn="ctr">
          <a:solidFill>
            <a:schemeClr val="tx1"/>
          </a:solidFill>
          <a:prstDash val="solid"/>
        </a:ln>
        <a:effectLst/>
      </c:spPr>
    </c:plotArea>
    <c:plotVisOnly val="1"/>
    <c:dispBlanksAs val="gap"/>
    <c:showDLblsOverMax val="0"/>
  </c:chart>
  <c:spPr>
    <a:solidFill>
      <a:schemeClr val="bg1"/>
    </a:solid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529277965166138"/>
          <c:y val="0.14932291799308678"/>
          <c:w val="0.66824295163527991"/>
          <c:h val="0.62087760200219022"/>
        </c:manualLayout>
      </c:layout>
      <c:barChart>
        <c:barDir val="col"/>
        <c:grouping val="clustered"/>
        <c:varyColors val="0"/>
        <c:ser>
          <c:idx val="1"/>
          <c:order val="1"/>
          <c:tx>
            <c:strRef>
              <c:f>'Hatékonyság grafikon'!$G$3</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tx>
                <c:rich>
                  <a:bodyPr/>
                  <a:lstStyle/>
                  <a:p>
                    <a:r>
                      <a:rPr lang="en-US"/>
                      <a:t>55.06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B32-4AD6-9498-A89976F20C3E}"/>
                </c:ext>
              </c:extLst>
            </c:dLbl>
            <c:dLbl>
              <c:idx val="1"/>
              <c:tx>
                <c:rich>
                  <a:bodyPr/>
                  <a:lstStyle/>
                  <a:p>
                    <a:r>
                      <a:rPr lang="en-US"/>
                      <a:t>64.38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B32-4AD6-9498-A89976F20C3E}"/>
                </c:ext>
              </c:extLst>
            </c:dLbl>
            <c:dLbl>
              <c:idx val="2"/>
              <c:tx>
                <c:rich>
                  <a:bodyPr/>
                  <a:lstStyle/>
                  <a:p>
                    <a:r>
                      <a:rPr lang="en-US"/>
                      <a:t>68.33</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32-4AD6-9498-A89976F20C3E}"/>
                </c:ext>
              </c:extLst>
            </c:dLbl>
            <c:dLbl>
              <c:idx val="3"/>
              <c:tx>
                <c:rich>
                  <a:bodyPr/>
                  <a:lstStyle/>
                  <a:p>
                    <a:r>
                      <a:rPr lang="en-US"/>
                      <a:t>63.20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32-4AD6-9498-A89976F20C3E}"/>
                </c:ext>
              </c:extLst>
            </c:dLbl>
            <c:dLbl>
              <c:idx val="4"/>
              <c:tx>
                <c:rich>
                  <a:bodyPr/>
                  <a:lstStyle/>
                  <a:p>
                    <a:r>
                      <a:rPr lang="en-US"/>
                      <a:t>62.98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B32-4AD6-9498-A89976F20C3E}"/>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'Hatékonyság grafikon'!$E$4:$E$8</c:f>
              <c:numCache>
                <c:formatCode>General</c:formatCode>
                <c:ptCount val="5"/>
                <c:pt idx="0">
                  <c:v>10</c:v>
                </c:pt>
                <c:pt idx="1">
                  <c:v>20</c:v>
                </c:pt>
                <c:pt idx="2">
                  <c:v>30</c:v>
                </c:pt>
                <c:pt idx="3">
                  <c:v>40</c:v>
                </c:pt>
                <c:pt idx="4">
                  <c:v>50</c:v>
                </c:pt>
              </c:numCache>
            </c:numRef>
          </c:cat>
          <c:val>
            <c:numRef>
              <c:f>'Hatékonyság grafikon'!$G$4:$G$8</c:f>
              <c:numCache>
                <c:formatCode>0.00</c:formatCode>
                <c:ptCount val="5"/>
                <c:pt idx="0">
                  <c:v>55.058043117744603</c:v>
                </c:pt>
                <c:pt idx="1">
                  <c:v>64.379409459106355</c:v>
                </c:pt>
                <c:pt idx="2">
                  <c:v>68.3286536578468</c:v>
                </c:pt>
                <c:pt idx="3">
                  <c:v>63.198359815479243</c:v>
                </c:pt>
                <c:pt idx="4">
                  <c:v>62.980972515856237</c:v>
                </c:pt>
              </c:numCache>
            </c:numRef>
          </c:val>
          <c:extLst>
            <c:ext xmlns:c16="http://schemas.microsoft.com/office/drawing/2014/chart" uri="{C3380CC4-5D6E-409C-BE32-E72D297353CC}">
              <c16:uniqueId val="{00000005-1B32-4AD6-9498-A89976F20C3E}"/>
            </c:ext>
          </c:extLst>
        </c:ser>
        <c:dLbls>
          <c:showLegendKey val="0"/>
          <c:showVal val="0"/>
          <c:showCatName val="0"/>
          <c:showSerName val="0"/>
          <c:showPercent val="0"/>
          <c:showBubbleSize val="0"/>
        </c:dLbls>
        <c:gapWidth val="300"/>
        <c:axId val="116282656"/>
        <c:axId val="116283216"/>
      </c:barChart>
      <c:lineChart>
        <c:grouping val="standard"/>
        <c:varyColors val="0"/>
        <c:ser>
          <c:idx val="0"/>
          <c:order val="0"/>
          <c:tx>
            <c:strRef>
              <c:f>'Hatékonyság grafikon'!$F$3</c:f>
              <c:strCache>
                <c:ptCount val="1"/>
                <c:pt idx="0">
                  <c:v>qmax</c:v>
                </c:pt>
              </c:strCache>
            </c:strRef>
          </c:tx>
          <c:spPr>
            <a:ln w="28575" cap="rnd">
              <a:solidFill>
                <a:schemeClr val="tx1">
                  <a:lumMod val="95000"/>
                  <a:lumOff val="5000"/>
                </a:schemeClr>
              </a:solidFill>
              <a:round/>
            </a:ln>
            <a:effectLst>
              <a:outerShdw blurRad="40000" dist="23000" dir="5400000" rotWithShape="0">
                <a:srgbClr val="000000">
                  <a:alpha val="35000"/>
                </a:srgbClr>
              </a:outerShdw>
            </a:effectLst>
          </c:spPr>
          <c:marker>
            <c:symbol val="none"/>
          </c:marker>
          <c:cat>
            <c:numRef>
              <c:f>'Hatékonyság grafikon'!$E$4:$E$8</c:f>
              <c:numCache>
                <c:formatCode>General</c:formatCode>
                <c:ptCount val="5"/>
                <c:pt idx="0">
                  <c:v>10</c:v>
                </c:pt>
                <c:pt idx="1">
                  <c:v>20</c:v>
                </c:pt>
                <c:pt idx="2">
                  <c:v>30</c:v>
                </c:pt>
                <c:pt idx="3">
                  <c:v>40</c:v>
                </c:pt>
                <c:pt idx="4">
                  <c:v>50</c:v>
                </c:pt>
              </c:numCache>
            </c:numRef>
          </c:cat>
          <c:val>
            <c:numRef>
              <c:f>'Hatékonyság grafikon'!$F$4:$F$8</c:f>
              <c:numCache>
                <c:formatCode>0.00</c:formatCode>
                <c:ptCount val="5"/>
                <c:pt idx="0">
                  <c:v>0.20207662012173286</c:v>
                </c:pt>
                <c:pt idx="1">
                  <c:v>0.44106695309702831</c:v>
                </c:pt>
                <c:pt idx="2">
                  <c:v>0.75776476906552104</c:v>
                </c:pt>
                <c:pt idx="3">
                  <c:v>0.88292158968850687</c:v>
                </c:pt>
                <c:pt idx="4">
                  <c:v>1.0665950590762623</c:v>
                </c:pt>
              </c:numCache>
            </c:numRef>
          </c:val>
          <c:smooth val="0"/>
          <c:extLst>
            <c:ext xmlns:c16="http://schemas.microsoft.com/office/drawing/2014/chart" uri="{C3380CC4-5D6E-409C-BE32-E72D297353CC}">
              <c16:uniqueId val="{00000006-1B32-4AD6-9498-A89976F20C3E}"/>
            </c:ext>
          </c:extLst>
        </c:ser>
        <c:dLbls>
          <c:showLegendKey val="0"/>
          <c:showVal val="0"/>
          <c:showCatName val="0"/>
          <c:showSerName val="0"/>
          <c:showPercent val="0"/>
          <c:showBubbleSize val="0"/>
        </c:dLbls>
        <c:hiLowLines>
          <c:spPr>
            <a:ln w="9525">
              <a:solidFill>
                <a:schemeClr val="dk1">
                  <a:lumMod val="75000"/>
                  <a:lumOff val="25000"/>
                </a:schemeClr>
              </a:solidFill>
            </a:ln>
            <a:effectLst/>
          </c:spPr>
        </c:hiLowLines>
        <c:marker val="1"/>
        <c:smooth val="0"/>
        <c:axId val="116284336"/>
        <c:axId val="116283776"/>
      </c:lineChart>
      <c:catAx>
        <c:axId val="11628265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hu-HU"/>
                  <a:t>c (mg/</a:t>
                </a:r>
                <a:r>
                  <a:rPr lang="en-US"/>
                  <a:t>L</a:t>
                </a:r>
                <a:r>
                  <a:rPr lang="hu-HU"/>
                  <a:t>)</a:t>
                </a:r>
              </a:p>
            </c:rich>
          </c:tx>
          <c:layout>
            <c:manualLayout>
              <c:xMode val="edge"/>
              <c:yMode val="edge"/>
              <c:x val="0.38966727606473328"/>
              <c:y val="0.91473096148191724"/>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16283216"/>
        <c:crosses val="autoZero"/>
        <c:auto val="1"/>
        <c:lblAlgn val="ctr"/>
        <c:lblOffset val="100"/>
        <c:noMultiLvlLbl val="0"/>
      </c:catAx>
      <c:valAx>
        <c:axId val="116283216"/>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2.2275444221554171E-3"/>
              <c:y val="0.4237049316203895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16282656"/>
        <c:crosses val="autoZero"/>
        <c:crossBetween val="between"/>
      </c:valAx>
      <c:valAx>
        <c:axId val="116283776"/>
        <c:scaling>
          <c:orientation val="minMax"/>
          <c:max val="1.8"/>
        </c:scaling>
        <c:delete val="0"/>
        <c:axPos val="r"/>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q</a:t>
                </a:r>
                <a:r>
                  <a:rPr lang="en-US" baseline="-25000"/>
                  <a:t>e</a:t>
                </a:r>
                <a:r>
                  <a:rPr lang="en-US"/>
                  <a:t>(mg/g)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16284336"/>
        <c:crosses val="max"/>
        <c:crossBetween val="between"/>
      </c:valAx>
      <c:catAx>
        <c:axId val="116284336"/>
        <c:scaling>
          <c:orientation val="minMax"/>
        </c:scaling>
        <c:delete val="1"/>
        <c:axPos val="b"/>
        <c:numFmt formatCode="General" sourceLinked="1"/>
        <c:majorTickMark val="none"/>
        <c:minorTickMark val="none"/>
        <c:tickLblPos val="none"/>
        <c:crossAx val="116283776"/>
        <c:crosses val="autoZero"/>
        <c:auto val="1"/>
        <c:lblAlgn val="ctr"/>
        <c:lblOffset val="100"/>
        <c:noMultiLvlLbl val="0"/>
      </c:catAx>
      <c:spPr>
        <a:solidFill>
          <a:schemeClr val="lt1"/>
        </a:solidFill>
        <a:ln w="3175" cap="flat" cmpd="sng" algn="ctr">
          <a:solidFill>
            <a:schemeClr val="tx1"/>
          </a:solidFill>
          <a:prstDash val="solid"/>
        </a:ln>
        <a:effectLst/>
      </c:spPr>
    </c:plotArea>
    <c:plotVisOnly val="1"/>
    <c:dispBlanksAs val="gap"/>
    <c:showDLblsOverMax val="0"/>
  </c:chart>
  <c:spPr>
    <a:solidFill>
      <a:schemeClr val="bg1"/>
    </a:solid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7753365506731017"/>
          <c:y val="0.21567487098514335"/>
          <c:w val="0.6400661988823978"/>
          <c:h val="0.57047510343182994"/>
        </c:manualLayout>
      </c:layout>
      <c:barChart>
        <c:barDir val="col"/>
        <c:grouping val="clustered"/>
        <c:varyColors val="0"/>
        <c:ser>
          <c:idx val="1"/>
          <c:order val="1"/>
          <c:tx>
            <c:strRef>
              <c:f>'Hatékonyság grafikon'!$G$3</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layout>
                <c:manualLayout>
                  <c:x val="-2.3101211627455632E-17"/>
                  <c:y val="-5.2925610114672179E-2"/>
                </c:manualLayout>
              </c:layout>
              <c:tx>
                <c:rich>
                  <a:bodyPr/>
                  <a:lstStyle/>
                  <a:p>
                    <a:r>
                      <a:rPr lang="en-US"/>
                      <a:t>88.30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CFE-4CD8-BD00-F3E8AF47C6EA}"/>
                </c:ext>
              </c:extLst>
            </c:dLbl>
            <c:dLbl>
              <c:idx val="1"/>
              <c:layout>
                <c:manualLayout>
                  <c:x val="-4.312660914502185E-17"/>
                  <c:y val="-3.5283740076448133E-2"/>
                </c:manualLayout>
              </c:layout>
              <c:tx>
                <c:rich>
                  <a:bodyPr/>
                  <a:lstStyle/>
                  <a:p>
                    <a:r>
                      <a:rPr lang="en-US"/>
                      <a:t>89.34</a:t>
                    </a:r>
                  </a:p>
                </c:rich>
              </c:tx>
              <c:dLblPos val="outEnd"/>
              <c:showLegendKey val="0"/>
              <c:showVal val="1"/>
              <c:showCatName val="0"/>
              <c:showSerName val="0"/>
              <c:showPercent val="0"/>
              <c:showBubbleSize val="0"/>
              <c:extLst>
                <c:ext xmlns:c15="http://schemas.microsoft.com/office/drawing/2012/chart" uri="{CE6537A1-D6FC-4f65-9D91-7224C49458BB}">
                  <c15:layout>
                    <c:manualLayout>
                      <c:w val="0.14364919354838709"/>
                      <c:h val="8.5269038518082915E-2"/>
                    </c:manualLayout>
                  </c15:layout>
                </c:ext>
                <c:ext xmlns:c16="http://schemas.microsoft.com/office/drawing/2014/chart" uri="{C3380CC4-5D6E-409C-BE32-E72D297353CC}">
                  <c16:uniqueId val="{00000001-CCFE-4CD8-BD00-F3E8AF47C6EA}"/>
                </c:ext>
              </c:extLst>
            </c:dLbl>
            <c:dLbl>
              <c:idx val="2"/>
              <c:layout>
                <c:manualLayout>
                  <c:x val="0"/>
                  <c:y val="-1.1627906976744186E-2"/>
                </c:manualLayout>
              </c:layout>
              <c:tx>
                <c:rich>
                  <a:bodyPr/>
                  <a:lstStyle/>
                  <a:p>
                    <a:r>
                      <a:rPr lang="en-US"/>
                      <a:t>95.75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FE-4CD8-BD00-F3E8AF47C6EA}"/>
                </c:ext>
              </c:extLst>
            </c:dLbl>
            <c:dLbl>
              <c:idx val="3"/>
              <c:tx>
                <c:rich>
                  <a:bodyPr/>
                  <a:lstStyle/>
                  <a:p>
                    <a:r>
                      <a:rPr lang="en-US"/>
                      <a:t>96.59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FE-4CD8-BD00-F3E8AF47C6EA}"/>
                </c:ext>
              </c:extLst>
            </c:dLbl>
            <c:dLbl>
              <c:idx val="4"/>
              <c:layout>
                <c:manualLayout>
                  <c:x val="2.4330900243309003E-3"/>
                  <c:y val="-1.5503875968992284E-2"/>
                </c:manualLayout>
              </c:layout>
              <c:tx>
                <c:rich>
                  <a:bodyPr/>
                  <a:lstStyle/>
                  <a:p>
                    <a:r>
                      <a:rPr lang="en-US"/>
                      <a:t>94.39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CFE-4CD8-BD00-F3E8AF47C6EA}"/>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'Hatékonyság grafikon'!$E$4:$E$8</c:f>
              <c:numCache>
                <c:formatCode>General</c:formatCode>
                <c:ptCount val="5"/>
                <c:pt idx="0">
                  <c:v>10</c:v>
                </c:pt>
                <c:pt idx="1">
                  <c:v>20</c:v>
                </c:pt>
                <c:pt idx="2">
                  <c:v>30</c:v>
                </c:pt>
                <c:pt idx="3">
                  <c:v>40</c:v>
                </c:pt>
                <c:pt idx="4">
                  <c:v>50</c:v>
                </c:pt>
              </c:numCache>
            </c:numRef>
          </c:cat>
          <c:val>
            <c:numRef>
              <c:f>'Hatékonyság grafikon'!$G$4:$G$8</c:f>
              <c:numCache>
                <c:formatCode>0.00</c:formatCode>
                <c:ptCount val="5"/>
                <c:pt idx="0">
                  <c:v>88.299860167551444</c:v>
                </c:pt>
                <c:pt idx="1">
                  <c:v>89.33754264473751</c:v>
                </c:pt>
                <c:pt idx="2">
                  <c:v>95.74572469862629</c:v>
                </c:pt>
                <c:pt idx="3">
                  <c:v>96.594536444279839</c:v>
                </c:pt>
                <c:pt idx="4">
                  <c:v>94.386986710009907</c:v>
                </c:pt>
              </c:numCache>
            </c:numRef>
          </c:val>
          <c:extLst>
            <c:ext xmlns:c16="http://schemas.microsoft.com/office/drawing/2014/chart" uri="{C3380CC4-5D6E-409C-BE32-E72D297353CC}">
              <c16:uniqueId val="{00000005-CCFE-4CD8-BD00-F3E8AF47C6EA}"/>
            </c:ext>
          </c:extLst>
        </c:ser>
        <c:dLbls>
          <c:showLegendKey val="0"/>
          <c:showVal val="0"/>
          <c:showCatName val="0"/>
          <c:showSerName val="0"/>
          <c:showPercent val="0"/>
          <c:showBubbleSize val="0"/>
        </c:dLbls>
        <c:gapWidth val="300"/>
        <c:axId val="171843968"/>
        <c:axId val="171844528"/>
      </c:barChart>
      <c:lineChart>
        <c:grouping val="standard"/>
        <c:varyColors val="0"/>
        <c:ser>
          <c:idx val="0"/>
          <c:order val="0"/>
          <c:tx>
            <c:strRef>
              <c:f>'Hatékonyság grafikon'!$F$3</c:f>
              <c:strCache>
                <c:ptCount val="1"/>
                <c:pt idx="0">
                  <c:v>qmax</c:v>
                </c:pt>
              </c:strCache>
            </c:strRef>
          </c:tx>
          <c:spPr>
            <a:ln w="28575" cap="rnd">
              <a:solidFill>
                <a:schemeClr val="tx1">
                  <a:lumMod val="95000"/>
                  <a:lumOff val="5000"/>
                </a:schemeClr>
              </a:solidFill>
              <a:round/>
            </a:ln>
            <a:effectLst>
              <a:outerShdw blurRad="40000" dist="23000" dir="5400000" rotWithShape="0">
                <a:srgbClr val="000000">
                  <a:alpha val="35000"/>
                </a:srgbClr>
              </a:outerShdw>
            </a:effectLst>
          </c:spPr>
          <c:marker>
            <c:symbol val="none"/>
          </c:marker>
          <c:cat>
            <c:numRef>
              <c:f>'Hatékonyság grafikon'!$E$4:$E$8</c:f>
              <c:numCache>
                <c:formatCode>General</c:formatCode>
                <c:ptCount val="5"/>
                <c:pt idx="0">
                  <c:v>10</c:v>
                </c:pt>
                <c:pt idx="1">
                  <c:v>20</c:v>
                </c:pt>
                <c:pt idx="2">
                  <c:v>30</c:v>
                </c:pt>
                <c:pt idx="3">
                  <c:v>40</c:v>
                </c:pt>
                <c:pt idx="4">
                  <c:v>50</c:v>
                </c:pt>
              </c:numCache>
            </c:numRef>
          </c:cat>
          <c:val>
            <c:numRef>
              <c:f>'Hatékonyság grafikon'!$F$4:$F$8</c:f>
              <c:numCache>
                <c:formatCode>0.00</c:formatCode>
                <c:ptCount val="5"/>
                <c:pt idx="0">
                  <c:v>0.38675338753387539</c:v>
                </c:pt>
                <c:pt idx="1">
                  <c:v>0.71321138211382118</c:v>
                </c:pt>
                <c:pt idx="2">
                  <c:v>1.110650406504065</c:v>
                </c:pt>
                <c:pt idx="3">
                  <c:v>1.4843360433604336</c:v>
                </c:pt>
                <c:pt idx="4">
                  <c:v>1.5863306233062333</c:v>
                </c:pt>
              </c:numCache>
            </c:numRef>
          </c:val>
          <c:smooth val="0"/>
          <c:extLst>
            <c:ext xmlns:c16="http://schemas.microsoft.com/office/drawing/2014/chart" uri="{C3380CC4-5D6E-409C-BE32-E72D297353CC}">
              <c16:uniqueId val="{00000006-CCFE-4CD8-BD00-F3E8AF47C6EA}"/>
            </c:ext>
          </c:extLst>
        </c:ser>
        <c:dLbls>
          <c:showLegendKey val="0"/>
          <c:showVal val="0"/>
          <c:showCatName val="0"/>
          <c:showSerName val="0"/>
          <c:showPercent val="0"/>
          <c:showBubbleSize val="0"/>
        </c:dLbls>
        <c:hiLowLines>
          <c:spPr>
            <a:ln w="9525">
              <a:solidFill>
                <a:schemeClr val="dk1">
                  <a:lumMod val="75000"/>
                  <a:lumOff val="25000"/>
                </a:schemeClr>
              </a:solidFill>
            </a:ln>
            <a:effectLst/>
          </c:spPr>
        </c:hiLowLines>
        <c:marker val="1"/>
        <c:smooth val="0"/>
        <c:axId val="171845648"/>
        <c:axId val="171845088"/>
      </c:lineChart>
      <c:catAx>
        <c:axId val="17184396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hu-HU"/>
                  <a:t>c (mg/l)</a:t>
                </a:r>
              </a:p>
            </c:rich>
          </c:tx>
          <c:layout>
            <c:manualLayout>
              <c:xMode val="edge"/>
              <c:yMode val="edge"/>
              <c:x val="0.38040425768351538"/>
              <c:y val="0.88914932384407552"/>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4528"/>
        <c:crosses val="autoZero"/>
        <c:auto val="1"/>
        <c:lblAlgn val="ctr"/>
        <c:lblOffset val="100"/>
        <c:noMultiLvlLbl val="0"/>
      </c:catAx>
      <c:valAx>
        <c:axId val="171844528"/>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3.0428467106934222E-3"/>
              <c:y val="0.4059093319009925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3968"/>
        <c:crosses val="autoZero"/>
        <c:crossBetween val="between"/>
      </c:valAx>
      <c:valAx>
        <c:axId val="171845088"/>
        <c:scaling>
          <c:orientation val="minMax"/>
        </c:scaling>
        <c:delete val="0"/>
        <c:axPos val="r"/>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q</a:t>
                </a:r>
                <a:r>
                  <a:rPr lang="en-US" baseline="-25000"/>
                  <a:t>e</a:t>
                </a:r>
                <a:r>
                  <a:rPr lang="en-US"/>
                  <a:t>(mg/g)</a:t>
                </a:r>
              </a:p>
            </c:rich>
          </c:tx>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45648"/>
        <c:crosses val="max"/>
        <c:crossBetween val="between"/>
      </c:valAx>
      <c:catAx>
        <c:axId val="171845648"/>
        <c:scaling>
          <c:orientation val="minMax"/>
        </c:scaling>
        <c:delete val="1"/>
        <c:axPos val="b"/>
        <c:numFmt formatCode="General" sourceLinked="1"/>
        <c:majorTickMark val="none"/>
        <c:minorTickMark val="none"/>
        <c:tickLblPos val="none"/>
        <c:crossAx val="171845088"/>
        <c:crosses val="autoZero"/>
        <c:auto val="1"/>
        <c:lblAlgn val="ctr"/>
        <c:lblOffset val="100"/>
        <c:noMultiLvlLbl val="0"/>
      </c:catAx>
      <c:spPr>
        <a:solidFill>
          <a:schemeClr val="lt1"/>
        </a:solidFill>
        <a:ln w="3175" cap="flat" cmpd="sng" algn="ctr">
          <a:solidFill>
            <a:schemeClr val="tx1"/>
          </a:solidFill>
          <a:prstDash val="solid"/>
        </a:ln>
        <a:effectLst/>
      </c:spPr>
    </c:plotArea>
    <c:plotVisOnly val="1"/>
    <c:dispBlanksAs val="gap"/>
    <c:showDLblsOverMax val="0"/>
  </c:chart>
  <c:spPr>
    <a:solidFill>
      <a:schemeClr val="bg1"/>
    </a:solid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8243035849635741"/>
          <c:y val="0.2239893118053384"/>
          <c:w val="0.77070790972130865"/>
          <c:h val="0.59242047812615484"/>
        </c:manualLayout>
      </c:layout>
      <c:barChart>
        <c:barDir val="col"/>
        <c:grouping val="clustered"/>
        <c:varyColors val="0"/>
        <c:ser>
          <c:idx val="1"/>
          <c:order val="0"/>
          <c:tx>
            <c:strRef>
              <c:f>'CongoR pH függés 10 mgl'!$N$16</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tx>
                <c:rich>
                  <a:bodyPr/>
                  <a:lstStyle/>
                  <a:p>
                    <a:r>
                      <a:rPr lang="en-US"/>
                      <a:t>98.71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513-4C9B-AF70-E48043357D00}"/>
                </c:ext>
              </c:extLst>
            </c:dLbl>
            <c:dLbl>
              <c:idx val="1"/>
              <c:tx>
                <c:rich>
                  <a:bodyPr/>
                  <a:lstStyle/>
                  <a:p>
                    <a:r>
                      <a:rPr lang="en-US"/>
                      <a:t>96.67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513-4C9B-AF70-E48043357D00}"/>
                </c:ext>
              </c:extLst>
            </c:dLbl>
            <c:dLbl>
              <c:idx val="2"/>
              <c:tx>
                <c:rich>
                  <a:bodyPr/>
                  <a:lstStyle/>
                  <a:p>
                    <a:r>
                      <a:rPr lang="en-US"/>
                      <a:t>96.67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513-4C9B-AF70-E48043357D00}"/>
                </c:ext>
              </c:extLst>
            </c:dLbl>
            <c:dLbl>
              <c:idx val="3"/>
              <c:layout>
                <c:manualLayout>
                  <c:x val="4.7047753469771818E-3"/>
                  <c:y val="-2.3522493384298737E-2"/>
                </c:manualLayout>
              </c:layout>
              <c:tx>
                <c:rich>
                  <a:bodyPr/>
                  <a:lstStyle/>
                  <a:p>
                    <a:r>
                      <a:rPr lang="en-US"/>
                      <a:t>92.58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513-4C9B-AF70-E48043357D00}"/>
                </c:ext>
              </c:extLst>
            </c:dLbl>
            <c:dLbl>
              <c:idx val="4"/>
              <c:layout>
                <c:manualLayout>
                  <c:x val="4.7047753469771818E-3"/>
                  <c:y val="-2.9403116730373418E-2"/>
                </c:manualLayout>
              </c:layout>
              <c:tx>
                <c:rich>
                  <a:bodyPr/>
                  <a:lstStyle/>
                  <a:p>
                    <a:r>
                      <a:rPr lang="en-US"/>
                      <a:t>93.17</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513-4C9B-AF70-E48043357D00}"/>
                </c:ext>
              </c:extLst>
            </c:dLbl>
            <c:spPr>
              <a:noFill/>
              <a:ln w="25400" cap="flat" cmpd="sng" algn="ctr">
                <a:noFill/>
                <a:prstDash val="solid"/>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'CongoR pH függés 10 mgl'!$M$17:$M$21</c:f>
              <c:numCache>
                <c:formatCode>General</c:formatCode>
                <c:ptCount val="5"/>
                <c:pt idx="0" formatCode="0">
                  <c:v>2</c:v>
                </c:pt>
                <c:pt idx="1">
                  <c:v>4</c:v>
                </c:pt>
                <c:pt idx="2">
                  <c:v>6</c:v>
                </c:pt>
                <c:pt idx="3">
                  <c:v>8</c:v>
                </c:pt>
                <c:pt idx="4">
                  <c:v>10</c:v>
                </c:pt>
              </c:numCache>
            </c:numRef>
          </c:cat>
          <c:val>
            <c:numRef>
              <c:f>'CongoR pH függés 10 mgl'!$N$17:$N$21</c:f>
              <c:numCache>
                <c:formatCode>0.00</c:formatCode>
                <c:ptCount val="5"/>
                <c:pt idx="0">
                  <c:v>98.714953271028023</c:v>
                </c:pt>
                <c:pt idx="1">
                  <c:v>96.670575934579432</c:v>
                </c:pt>
                <c:pt idx="2">
                  <c:v>96.670560747663544</c:v>
                </c:pt>
                <c:pt idx="3">
                  <c:v>92.581823598130839</c:v>
                </c:pt>
                <c:pt idx="4">
                  <c:v>93.165887850467286</c:v>
                </c:pt>
              </c:numCache>
            </c:numRef>
          </c:val>
          <c:extLst>
            <c:ext xmlns:c16="http://schemas.microsoft.com/office/drawing/2014/chart" uri="{C3380CC4-5D6E-409C-BE32-E72D297353CC}">
              <c16:uniqueId val="{00000005-2513-4C9B-AF70-E48043357D00}"/>
            </c:ext>
          </c:extLst>
        </c:ser>
        <c:dLbls>
          <c:showLegendKey val="0"/>
          <c:showVal val="0"/>
          <c:showCatName val="0"/>
          <c:showSerName val="0"/>
          <c:showPercent val="0"/>
          <c:showBubbleSize val="0"/>
        </c:dLbls>
        <c:gapWidth val="300"/>
        <c:axId val="171851248"/>
        <c:axId val="173035232"/>
      </c:barChart>
      <c:catAx>
        <c:axId val="1718512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pH</a:t>
                </a:r>
                <a:endParaRPr lang="hu-HU"/>
              </a:p>
            </c:rich>
          </c:tx>
          <c:layout>
            <c:manualLayout>
              <c:xMode val="edge"/>
              <c:yMode val="edge"/>
              <c:x val="0.45963987741755746"/>
              <c:y val="0.9095998091147697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3035232"/>
        <c:crosses val="autoZero"/>
        <c:auto val="1"/>
        <c:lblAlgn val="ctr"/>
        <c:lblOffset val="100"/>
        <c:noMultiLvlLbl val="0"/>
      </c:catAx>
      <c:valAx>
        <c:axId val="173035232"/>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2.4165767081534163E-3"/>
              <c:y val="0.38348748746894729"/>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51248"/>
        <c:crosses val="autoZero"/>
        <c:crossBetween val="between"/>
      </c:valAx>
      <c:spPr>
        <a:solidFill>
          <a:schemeClr val="lt1"/>
        </a:solidFill>
        <a:ln w="3175" cap="flat" cmpd="sng" algn="ctr">
          <a:solidFill>
            <a:schemeClr val="tx1"/>
          </a:solidFill>
          <a:prstDash val="solid"/>
        </a:ln>
        <a:effectLst/>
      </c:spPr>
    </c:plotArea>
    <c:plotVisOnly val="1"/>
    <c:dispBlanksAs val="gap"/>
    <c:showDLblsOverMax val="0"/>
  </c:chart>
  <c:spPr>
    <a:solidFill>
      <a:schemeClr val="bg1"/>
    </a:solid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6622008346345557"/>
          <c:y val="0.21061614578389404"/>
          <c:w val="0.79893642440778179"/>
          <c:h val="0.59830110180655527"/>
        </c:manualLayout>
      </c:layout>
      <c:barChart>
        <c:barDir val="col"/>
        <c:grouping val="clustered"/>
        <c:varyColors val="0"/>
        <c:ser>
          <c:idx val="1"/>
          <c:order val="0"/>
          <c:tx>
            <c:strRef>
              <c:f>'BPB pH függés 10 mgl'!$P$15</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tx>
                <c:rich>
                  <a:bodyPr/>
                  <a:lstStyle/>
                  <a:p>
                    <a:r>
                      <a:rPr lang="en-US"/>
                      <a:t>67.61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B-4082-86B5-30884A195F96}"/>
                </c:ext>
              </c:extLst>
            </c:dLbl>
            <c:dLbl>
              <c:idx val="1"/>
              <c:tx>
                <c:rich>
                  <a:bodyPr/>
                  <a:lstStyle/>
                  <a:p>
                    <a:r>
                      <a:rPr lang="en-US"/>
                      <a:t>9.16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3B-4082-86B5-30884A195F96}"/>
                </c:ext>
              </c:extLst>
            </c:dLbl>
            <c:dLbl>
              <c:idx val="2"/>
              <c:tx>
                <c:rich>
                  <a:bodyPr/>
                  <a:lstStyle/>
                  <a:p>
                    <a:r>
                      <a:rPr lang="en-US"/>
                      <a:t>6.91</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3B-4082-86B5-30884A195F96}"/>
                </c:ext>
              </c:extLst>
            </c:dLbl>
            <c:dLbl>
              <c:idx val="3"/>
              <c:tx>
                <c:rich>
                  <a:bodyPr/>
                  <a:lstStyle/>
                  <a:p>
                    <a:r>
                      <a:rPr lang="en-US"/>
                      <a:t>4.06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3B-4082-86B5-30884A195F96}"/>
                </c:ext>
              </c:extLst>
            </c:dLbl>
            <c:dLbl>
              <c:idx val="4"/>
              <c:tx>
                <c:rich>
                  <a:bodyPr/>
                  <a:lstStyle/>
                  <a:p>
                    <a:r>
                      <a:rPr lang="en-US"/>
                      <a:t>1.20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3B-4082-86B5-30884A195F96}"/>
                </c:ext>
              </c:extLst>
            </c:dLbl>
            <c:spPr>
              <a:noFill/>
              <a:ln w="25400" cap="flat" cmpd="sng" algn="ctr">
                <a:noFill/>
                <a:prstDash val="solid"/>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'BPB pH függés 10 mgl'!$O$16:$O$20</c:f>
              <c:numCache>
                <c:formatCode>General</c:formatCode>
                <c:ptCount val="5"/>
                <c:pt idx="0" formatCode="0">
                  <c:v>2</c:v>
                </c:pt>
                <c:pt idx="1">
                  <c:v>4</c:v>
                </c:pt>
                <c:pt idx="2">
                  <c:v>6</c:v>
                </c:pt>
                <c:pt idx="3">
                  <c:v>8</c:v>
                </c:pt>
                <c:pt idx="4">
                  <c:v>10</c:v>
                </c:pt>
              </c:numCache>
            </c:numRef>
          </c:cat>
          <c:val>
            <c:numRef>
              <c:f>'BPB pH függés 10 mgl'!$P$16:$P$20</c:f>
              <c:numCache>
                <c:formatCode>0.00</c:formatCode>
                <c:ptCount val="5"/>
                <c:pt idx="0">
                  <c:v>67.608091318499717</c:v>
                </c:pt>
                <c:pt idx="1">
                  <c:v>9.1644341890766707</c:v>
                </c:pt>
                <c:pt idx="2">
                  <c:v>6.9108227316439077</c:v>
                </c:pt>
                <c:pt idx="3">
                  <c:v>4.0562482188957496</c:v>
                </c:pt>
                <c:pt idx="4">
                  <c:v>1.2016737061475748</c:v>
                </c:pt>
              </c:numCache>
            </c:numRef>
          </c:val>
          <c:extLst>
            <c:ext xmlns:c16="http://schemas.microsoft.com/office/drawing/2014/chart" uri="{C3380CC4-5D6E-409C-BE32-E72D297353CC}">
              <c16:uniqueId val="{00000005-533B-4082-86B5-30884A195F96}"/>
            </c:ext>
          </c:extLst>
        </c:ser>
        <c:dLbls>
          <c:showLegendKey val="0"/>
          <c:showVal val="0"/>
          <c:showCatName val="0"/>
          <c:showSerName val="0"/>
          <c:showPercent val="0"/>
          <c:showBubbleSize val="0"/>
        </c:dLbls>
        <c:gapWidth val="300"/>
        <c:axId val="171851248"/>
        <c:axId val="173035232"/>
      </c:barChart>
      <c:catAx>
        <c:axId val="1718512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pH</a:t>
                </a:r>
                <a:endParaRPr lang="hu-HU" sz="800">
                  <a:latin typeface="Arial" panose="020B0604020202020204" pitchFamily="34" charset="0"/>
                  <a:cs typeface="Arial" panose="020B0604020202020204" pitchFamily="34" charset="0"/>
                </a:endParaRPr>
              </a:p>
            </c:rich>
          </c:tx>
          <c:layout>
            <c:manualLayout>
              <c:xMode val="edge"/>
              <c:yMode val="edge"/>
              <c:x val="0.45963987741755746"/>
              <c:y val="0.9095998091147697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3035232"/>
        <c:crosses val="autoZero"/>
        <c:auto val="1"/>
        <c:lblAlgn val="ctr"/>
        <c:lblOffset val="100"/>
        <c:noMultiLvlLbl val="0"/>
      </c:catAx>
      <c:valAx>
        <c:axId val="173035232"/>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sz="800">
                    <a:latin typeface="Arial" panose="020B0604020202020204" pitchFamily="34" charset="0"/>
                    <a:cs typeface="Arial" panose="020B0604020202020204" pitchFamily="34" charset="0"/>
                  </a:rPr>
                  <a:t>E</a:t>
                </a:r>
                <a:r>
                  <a:rPr lang="hu-HU" sz="800">
                    <a:latin typeface="Arial" panose="020B0604020202020204" pitchFamily="34" charset="0"/>
                    <a:cs typeface="Arial" panose="020B0604020202020204" pitchFamily="34" charset="0"/>
                  </a:rPr>
                  <a:t> </a:t>
                </a:r>
                <a:r>
                  <a:rPr lang="en-US" sz="800">
                    <a:latin typeface="Arial" panose="020B0604020202020204" pitchFamily="34" charset="0"/>
                    <a:cs typeface="Arial" panose="020B0604020202020204" pitchFamily="34" charset="0"/>
                  </a:rPr>
                  <a:t>(</a:t>
                </a:r>
                <a:r>
                  <a:rPr lang="hu-HU" sz="800">
                    <a:latin typeface="Arial" panose="020B0604020202020204" pitchFamily="34" charset="0"/>
                    <a:cs typeface="Arial" panose="020B0604020202020204" pitchFamily="34" charset="0"/>
                  </a:rPr>
                  <a:t>%</a:t>
                </a:r>
                <a:r>
                  <a:rPr lang="en-US" sz="800">
                    <a:latin typeface="Arial" panose="020B0604020202020204" pitchFamily="34" charset="0"/>
                    <a:cs typeface="Arial" panose="020B0604020202020204" pitchFamily="34" charset="0"/>
                  </a:rPr>
                  <a:t>)</a:t>
                </a:r>
              </a:p>
            </c:rich>
          </c:tx>
          <c:layout>
            <c:manualLayout>
              <c:xMode val="edge"/>
              <c:yMode val="edge"/>
              <c:x val="1.1173289116148243E-2"/>
              <c:y val="0.38244286650290438"/>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51248"/>
        <c:crosses val="autoZero"/>
        <c:crossBetween val="between"/>
      </c:valAx>
      <c:spPr>
        <a:solidFill>
          <a:schemeClr val="lt1"/>
        </a:solidFill>
        <a:ln w="3175" cap="flat" cmpd="sng" algn="ctr">
          <a:solidFill>
            <a:schemeClr val="tx1"/>
          </a:solidFill>
          <a:prstDash val="solid"/>
        </a:ln>
        <a:effectLst/>
      </c:spPr>
    </c:plotArea>
    <c:plotVisOnly val="1"/>
    <c:dispBlanksAs val="gap"/>
    <c:showDLblsOverMax val="0"/>
  </c:chart>
  <c:spPr>
    <a:noFill/>
    <a:ln w="9525" cap="flat" cmpd="sng" algn="ctr">
      <a:noFill/>
      <a:prstDash val="solid"/>
      <a:round/>
    </a:ln>
    <a:effectLst>
      <a:outerShdw blurRad="40000" dist="20000" dir="5400000" rotWithShape="0">
        <a:srgbClr val="000000">
          <a:alpha val="0"/>
        </a:srgbClr>
      </a:outerShdw>
    </a:effectLst>
  </c:spPr>
  <c:txPr>
    <a:bodyPr/>
    <a:lstStyle/>
    <a:p>
      <a:pPr>
        <a:defRPr sz="100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7897409965603275"/>
          <c:y val="0.15821284615224335"/>
          <c:w val="0.78025454918693826"/>
          <c:h val="0.63574173228346453"/>
        </c:manualLayout>
      </c:layout>
      <c:barChart>
        <c:barDir val="col"/>
        <c:grouping val="clustered"/>
        <c:varyColors val="0"/>
        <c:ser>
          <c:idx val="1"/>
          <c:order val="0"/>
          <c:tx>
            <c:strRef>
              <c:f>'MB pH függés 30 mgl'!$N$10</c:f>
              <c:strCache>
                <c:ptCount val="1"/>
                <c:pt idx="0">
                  <c:v>E</c:v>
                </c:pt>
              </c:strCache>
            </c:strRef>
          </c:tx>
          <c:spPr>
            <a:gradFill rotWithShape="1">
              <a:gsLst>
                <a:gs pos="0">
                  <a:schemeClr val="accent3">
                    <a:shade val="76000"/>
                    <a:satMod val="103000"/>
                    <a:lumMod val="102000"/>
                    <a:tint val="94000"/>
                  </a:schemeClr>
                </a:gs>
                <a:gs pos="50000">
                  <a:schemeClr val="accent3">
                    <a:shade val="76000"/>
                    <a:satMod val="110000"/>
                    <a:lumMod val="100000"/>
                    <a:shade val="100000"/>
                  </a:schemeClr>
                </a:gs>
                <a:gs pos="100000">
                  <a:schemeClr val="accent3">
                    <a:shade val="76000"/>
                    <a:lumMod val="99000"/>
                    <a:satMod val="120000"/>
                    <a:shade val="78000"/>
                  </a:schemeClr>
                </a:gs>
              </a:gsLst>
              <a:lin ang="5400000" scaled="0"/>
            </a:gradFill>
            <a:ln>
              <a:noFill/>
            </a:ln>
            <a:effectLst>
              <a:outerShdw blurRad="40000" dist="23000" dir="5400000" rotWithShape="0">
                <a:srgbClr val="000000">
                  <a:alpha val="35000"/>
                </a:srgbClr>
              </a:outerShdw>
            </a:effectLst>
          </c:spPr>
          <c:invertIfNegative val="0"/>
          <c:dLbls>
            <c:dLbl>
              <c:idx val="0"/>
              <c:tx>
                <c:rich>
                  <a:bodyPr/>
                  <a:lstStyle/>
                  <a:p>
                    <a:r>
                      <a:rPr lang="en-US"/>
                      <a:t>14.80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76A-4032-8780-253B68668469}"/>
                </c:ext>
              </c:extLst>
            </c:dLbl>
            <c:dLbl>
              <c:idx val="1"/>
              <c:tx>
                <c:rich>
                  <a:bodyPr/>
                  <a:lstStyle/>
                  <a:p>
                    <a:r>
                      <a:rPr lang="en-US"/>
                      <a:t>55.62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76A-4032-8780-253B68668469}"/>
                </c:ext>
              </c:extLst>
            </c:dLbl>
            <c:dLbl>
              <c:idx val="2"/>
              <c:tx>
                <c:rich>
                  <a:bodyPr/>
                  <a:lstStyle/>
                  <a:p>
                    <a:r>
                      <a:rPr lang="en-US"/>
                      <a:t>59.36</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76A-4032-8780-253B68668469}"/>
                </c:ext>
              </c:extLst>
            </c:dLbl>
            <c:dLbl>
              <c:idx val="3"/>
              <c:tx>
                <c:rich>
                  <a:bodyPr/>
                  <a:lstStyle/>
                  <a:p>
                    <a:r>
                      <a:rPr lang="en-US"/>
                      <a:t>62.20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76A-4032-8780-253B68668469}"/>
                </c:ext>
              </c:extLst>
            </c:dLbl>
            <c:dLbl>
              <c:idx val="4"/>
              <c:tx>
                <c:rich>
                  <a:bodyPr/>
                  <a:lstStyle/>
                  <a:p>
                    <a:r>
                      <a:rPr lang="en-US"/>
                      <a:t>75.10</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76A-4032-8780-253B68668469}"/>
                </c:ext>
              </c:extLst>
            </c:dLbl>
            <c:spPr>
              <a:noFill/>
              <a:ln>
                <a:noFill/>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'MB pH függés 30 mgl'!$M$11:$M$15</c:f>
              <c:numCache>
                <c:formatCode>General</c:formatCode>
                <c:ptCount val="5"/>
                <c:pt idx="0" formatCode="0">
                  <c:v>2</c:v>
                </c:pt>
                <c:pt idx="1">
                  <c:v>4</c:v>
                </c:pt>
                <c:pt idx="2">
                  <c:v>6</c:v>
                </c:pt>
                <c:pt idx="3">
                  <c:v>8</c:v>
                </c:pt>
                <c:pt idx="4">
                  <c:v>10</c:v>
                </c:pt>
              </c:numCache>
            </c:numRef>
          </c:cat>
          <c:val>
            <c:numRef>
              <c:f>'MB pH függés 30 mgl'!$N$11:$N$15</c:f>
              <c:numCache>
                <c:formatCode>0.00</c:formatCode>
                <c:ptCount val="5"/>
                <c:pt idx="0">
                  <c:v>14.799003913198163</c:v>
                </c:pt>
                <c:pt idx="1">
                  <c:v>55.620775524724309</c:v>
                </c:pt>
                <c:pt idx="2">
                  <c:v>59.356101031661332</c:v>
                </c:pt>
                <c:pt idx="3">
                  <c:v>62.202063322660969</c:v>
                </c:pt>
                <c:pt idx="4">
                  <c:v>75.09782995375312</c:v>
                </c:pt>
              </c:numCache>
            </c:numRef>
          </c:val>
          <c:extLst>
            <c:ext xmlns:c16="http://schemas.microsoft.com/office/drawing/2014/chart" uri="{C3380CC4-5D6E-409C-BE32-E72D297353CC}">
              <c16:uniqueId val="{00000005-076A-4032-8780-253B68668469}"/>
            </c:ext>
          </c:extLst>
        </c:ser>
        <c:dLbls>
          <c:showLegendKey val="0"/>
          <c:showVal val="0"/>
          <c:showCatName val="0"/>
          <c:showSerName val="0"/>
          <c:showPercent val="0"/>
          <c:showBubbleSize val="0"/>
        </c:dLbls>
        <c:gapWidth val="300"/>
        <c:axId val="116287136"/>
        <c:axId val="116287696"/>
      </c:barChart>
      <c:catAx>
        <c:axId val="116287136"/>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pH</a:t>
                </a:r>
                <a:endParaRPr lang="hu-HU"/>
              </a:p>
            </c:rich>
          </c:tx>
          <c:layout>
            <c:manualLayout>
              <c:xMode val="edge"/>
              <c:yMode val="edge"/>
              <c:x val="0.45963987741755746"/>
              <c:y val="0.9095998091147697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16287696"/>
        <c:crosses val="autoZero"/>
        <c:auto val="1"/>
        <c:lblAlgn val="ctr"/>
        <c:lblOffset val="100"/>
        <c:noMultiLvlLbl val="0"/>
      </c:catAx>
      <c:valAx>
        <c:axId val="116287696"/>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1.117328576694321E-2"/>
              <c:y val="0.38884580033200061"/>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16287136"/>
        <c:crosses val="autoZero"/>
        <c:crossBetween val="between"/>
      </c:valAx>
      <c:spPr>
        <a:solidFill>
          <a:schemeClr val="lt1"/>
        </a:solidFill>
        <a:ln w="3175" cap="flat" cmpd="sng" algn="ctr">
          <a:solidFill>
            <a:schemeClr val="tx1"/>
          </a:solidFill>
          <a:prstDash val="solid"/>
        </a:ln>
        <a:effectLst/>
      </c:spPr>
    </c:plotArea>
    <c:plotVisOnly val="1"/>
    <c:dispBlanksAs val="gap"/>
    <c:showDLblsOverMax val="0"/>
  </c:chart>
  <c:spPr>
    <a:no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243035849635741"/>
          <c:y val="0.2239893118053384"/>
          <c:w val="0.77070790972130865"/>
          <c:h val="0.59242047812615484"/>
        </c:manualLayout>
      </c:layout>
      <c:barChart>
        <c:barDir val="col"/>
        <c:grouping val="clustered"/>
        <c:varyColors val="0"/>
        <c:ser>
          <c:idx val="1"/>
          <c:order val="0"/>
          <c:tx>
            <c:strRef>
              <c:f>'MG pH függés X mgl'!$N$16</c:f>
              <c:strCache>
                <c:ptCount val="1"/>
                <c:pt idx="0">
                  <c:v>E</c:v>
                </c:pt>
              </c:strCache>
            </c:strRef>
          </c:tx>
          <c:spPr>
            <a:solidFill>
              <a:schemeClr val="accent3">
                <a:lumMod val="75000"/>
              </a:schemeClr>
            </a:solidFill>
            <a:ln w="9525" cap="flat" cmpd="sng" algn="ctr">
              <a:solidFill>
                <a:schemeClr val="accent3">
                  <a:lumMod val="75000"/>
                </a:schemeClr>
              </a:solidFill>
              <a:prstDash val="solid"/>
            </a:ln>
            <a:effectLst>
              <a:outerShdw blurRad="40000" dist="23000" dir="5400000" rotWithShape="0">
                <a:srgbClr val="000000">
                  <a:alpha val="35000"/>
                </a:srgbClr>
              </a:outerShdw>
            </a:effectLst>
          </c:spPr>
          <c:invertIfNegative val="0"/>
          <c:dLbls>
            <c:dLbl>
              <c:idx val="0"/>
              <c:layout>
                <c:manualLayout>
                  <c:x val="0"/>
                  <c:y val="-5.2925610114672179E-2"/>
                </c:manualLayout>
              </c:layout>
              <c:tx>
                <c:rich>
                  <a:bodyPr/>
                  <a:lstStyle/>
                  <a:p>
                    <a:r>
                      <a:rPr lang="en-US"/>
                      <a:t>89.95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B7-4B3D-829C-AAEA34EF4BA3}"/>
                </c:ext>
              </c:extLst>
            </c:dLbl>
            <c:dLbl>
              <c:idx val="1"/>
              <c:tx>
                <c:rich>
                  <a:bodyPr/>
                  <a:lstStyle/>
                  <a:p>
                    <a:r>
                      <a:rPr lang="en-US"/>
                      <a:t>96.19</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B7-4B3D-829C-AAEA34EF4BA3}"/>
                </c:ext>
              </c:extLst>
            </c:dLbl>
            <c:dLbl>
              <c:idx val="2"/>
              <c:tx>
                <c:rich>
                  <a:bodyPr/>
                  <a:lstStyle/>
                  <a:p>
                    <a:r>
                      <a:rPr lang="en-US"/>
                      <a:t>96.05</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B7-4B3D-829C-AAEA34EF4BA3}"/>
                </c:ext>
              </c:extLst>
            </c:dLbl>
            <c:dLbl>
              <c:idx val="3"/>
              <c:tx>
                <c:rich>
                  <a:bodyPr/>
                  <a:lstStyle/>
                  <a:p>
                    <a:r>
                      <a:rPr lang="en-US"/>
                      <a:t>98.18</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B7-4B3D-829C-AAEA34EF4BA3}"/>
                </c:ext>
              </c:extLst>
            </c:dLbl>
            <c:dLbl>
              <c:idx val="4"/>
              <c:tx>
                <c:rich>
                  <a:bodyPr/>
                  <a:lstStyle/>
                  <a:p>
                    <a:r>
                      <a:rPr lang="en-US"/>
                      <a:t>97.92</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B7-4B3D-829C-AAEA34EF4BA3}"/>
                </c:ext>
              </c:extLst>
            </c:dLbl>
            <c:spPr>
              <a:noFill/>
              <a:ln w="25400" cap="flat" cmpd="sng" algn="ctr">
                <a:noFill/>
                <a:prstDash val="solid"/>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'MG pH függés X mgl'!$M$17:$M$21</c:f>
              <c:numCache>
                <c:formatCode>General</c:formatCode>
                <c:ptCount val="5"/>
                <c:pt idx="0" formatCode="0">
                  <c:v>2</c:v>
                </c:pt>
                <c:pt idx="1">
                  <c:v>4</c:v>
                </c:pt>
                <c:pt idx="2">
                  <c:v>6</c:v>
                </c:pt>
                <c:pt idx="3">
                  <c:v>8</c:v>
                </c:pt>
                <c:pt idx="4">
                  <c:v>10</c:v>
                </c:pt>
              </c:numCache>
            </c:numRef>
          </c:cat>
          <c:val>
            <c:numRef>
              <c:f>'MG pH függés X mgl'!$N$17:$N$21</c:f>
              <c:numCache>
                <c:formatCode>0.00</c:formatCode>
                <c:ptCount val="5"/>
                <c:pt idx="0">
                  <c:v>89.946922005325433</c:v>
                </c:pt>
                <c:pt idx="1">
                  <c:v>96.189317392301049</c:v>
                </c:pt>
                <c:pt idx="2">
                  <c:v>96.048246310109505</c:v>
                </c:pt>
                <c:pt idx="3">
                  <c:v>98.181949426017042</c:v>
                </c:pt>
                <c:pt idx="4">
                  <c:v>97.917438149147401</c:v>
                </c:pt>
              </c:numCache>
            </c:numRef>
          </c:val>
          <c:extLst>
            <c:ext xmlns:c16="http://schemas.microsoft.com/office/drawing/2014/chart" uri="{C3380CC4-5D6E-409C-BE32-E72D297353CC}">
              <c16:uniqueId val="{00000005-68B7-4B3D-829C-AAEA34EF4BA3}"/>
            </c:ext>
          </c:extLst>
        </c:ser>
        <c:dLbls>
          <c:showLegendKey val="0"/>
          <c:showVal val="0"/>
          <c:showCatName val="0"/>
          <c:showSerName val="0"/>
          <c:showPercent val="0"/>
          <c:showBubbleSize val="0"/>
        </c:dLbls>
        <c:gapWidth val="300"/>
        <c:axId val="171851248"/>
        <c:axId val="173035232"/>
      </c:barChart>
      <c:catAx>
        <c:axId val="171851248"/>
        <c:scaling>
          <c:orientation val="minMax"/>
        </c:scaling>
        <c:delete val="0"/>
        <c:axPos val="b"/>
        <c:title>
          <c:tx>
            <c:rich>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pH</a:t>
                </a:r>
                <a:endParaRPr lang="hu-HU"/>
              </a:p>
            </c:rich>
          </c:tx>
          <c:layout>
            <c:manualLayout>
              <c:xMode val="edge"/>
              <c:yMode val="edge"/>
              <c:x val="0.45963987741755746"/>
              <c:y val="0.90959980911476979"/>
            </c:manualLayout>
          </c:layout>
          <c:overlay val="0"/>
          <c:spPr>
            <a:noFill/>
            <a:ln>
              <a:noFill/>
            </a:ln>
            <a:effectLst/>
          </c:spPr>
          <c:txPr>
            <a:bodyPr rot="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3035232"/>
        <c:crosses val="autoZero"/>
        <c:auto val="1"/>
        <c:lblAlgn val="ctr"/>
        <c:lblOffset val="100"/>
        <c:noMultiLvlLbl val="0"/>
      </c:catAx>
      <c:valAx>
        <c:axId val="173035232"/>
        <c:scaling>
          <c:orientation val="minMax"/>
          <c:max val="100"/>
          <c:min val="0"/>
        </c:scaling>
        <c:delete val="0"/>
        <c:axPos val="l"/>
        <c:title>
          <c:tx>
            <c:rich>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r>
                  <a:rPr lang="en-US"/>
                  <a:t>E</a:t>
                </a:r>
                <a:r>
                  <a:rPr lang="hu-HU"/>
                  <a:t> </a:t>
                </a:r>
                <a:r>
                  <a:rPr lang="en-US"/>
                  <a:t>(</a:t>
                </a:r>
                <a:r>
                  <a:rPr lang="hu-HU"/>
                  <a:t>%</a:t>
                </a:r>
                <a:r>
                  <a:rPr lang="en-US"/>
                  <a:t>)</a:t>
                </a:r>
              </a:p>
            </c:rich>
          </c:tx>
          <c:layout>
            <c:manualLayout>
              <c:xMode val="edge"/>
              <c:yMode val="edge"/>
              <c:x val="1.1173209554056337E-2"/>
              <c:y val="0.45301041340951514"/>
            </c:manualLayout>
          </c:layout>
          <c:overlay val="0"/>
          <c:spPr>
            <a:noFill/>
            <a:ln>
              <a:noFill/>
            </a:ln>
            <a:effectLst/>
          </c:spPr>
          <c:txPr>
            <a:bodyPr rot="-5400000" spcFirstLastPara="1" vertOverflow="ellipsis" vert="horz" wrap="square" anchor="ctr" anchorCtr="1"/>
            <a:lstStyle/>
            <a:p>
              <a:pPr>
                <a:defRPr sz="800" b="1"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171851248"/>
        <c:crosses val="autoZero"/>
        <c:crossBetween val="between"/>
      </c:valAx>
      <c:spPr>
        <a:solidFill>
          <a:schemeClr val="lt1"/>
        </a:solidFill>
        <a:ln w="3175" cap="flat" cmpd="sng" algn="ctr">
          <a:solidFill>
            <a:schemeClr val="tx1"/>
          </a:solidFill>
          <a:prstDash val="solid"/>
        </a:ln>
        <a:effectLst/>
      </c:spPr>
    </c:plotArea>
    <c:plotVisOnly val="1"/>
    <c:dispBlanksAs val="gap"/>
    <c:showDLblsOverMax val="0"/>
  </c:chart>
  <c:spPr>
    <a:noFill/>
    <a:ln w="9525" cap="flat" cmpd="sng" algn="ctr">
      <a:noFill/>
      <a:prstDash val="solid"/>
      <a:round/>
    </a:ln>
    <a:effectLst>
      <a:outerShdw blurRad="40000" dist="20000" dir="5400000" rotWithShape="0">
        <a:srgbClr val="000000">
          <a:alpha val="0"/>
        </a:srgbClr>
      </a:outerShdw>
    </a:effectLst>
  </c:spPr>
  <c:txPr>
    <a:bodyPr/>
    <a:lstStyle/>
    <a:p>
      <a:pPr>
        <a:defRPr sz="80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u-H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0"/>
    </c:view3D>
    <c:floor>
      <c:thickness val="0"/>
      <c:spPr>
        <a:solidFill>
          <a:schemeClr val="bg1">
            <a:lumMod val="95000"/>
          </a:schemeClr>
        </a:solidFill>
        <a:ln>
          <a:noFill/>
        </a:ln>
        <a:effectLst/>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3.4103296253042592E-2"/>
          <c:y val="6.6916385451818522E-2"/>
          <c:w val="0.93162118148431516"/>
          <c:h val="0.80476793532240387"/>
        </c:manualLayout>
      </c:layout>
      <c:bar3DChart>
        <c:barDir val="col"/>
        <c:grouping val="standard"/>
        <c:varyColors val="0"/>
        <c:ser>
          <c:idx val="0"/>
          <c:order val="0"/>
          <c:tx>
            <c:strRef>
              <c:f>'Nyomelemek grafikon'!$B$1</c:f>
              <c:strCache>
                <c:ptCount val="1"/>
                <c:pt idx="0">
                  <c:v>Control</c:v>
                </c:pt>
              </c:strCache>
            </c:strRef>
          </c:tx>
          <c:spPr>
            <a:solidFill>
              <a:schemeClr val="bg1">
                <a:lumMod val="85000"/>
              </a:schemeClr>
            </a:solidFill>
            <a:ln>
              <a:noFill/>
            </a:ln>
            <a:effectLst>
              <a:outerShdw blurRad="57150" dist="19050" dir="5400000" algn="ctr" rotWithShape="0">
                <a:srgbClr val="000000">
                  <a:alpha val="63000"/>
                </a:srgbClr>
              </a:outerShdw>
            </a:effectLst>
            <a:sp3d/>
          </c:spPr>
          <c:invertIfNegative val="0"/>
          <c:cat>
            <c:strRef>
              <c:f>'Nyomelemek grafikon'!$A$2:$A$11</c:f>
              <c:strCache>
                <c:ptCount val="10"/>
                <c:pt idx="0">
                  <c:v>N</c:v>
                </c:pt>
                <c:pt idx="1">
                  <c:v>Na</c:v>
                </c:pt>
                <c:pt idx="2">
                  <c:v>F</c:v>
                </c:pt>
                <c:pt idx="3">
                  <c:v>Mg</c:v>
                </c:pt>
                <c:pt idx="4">
                  <c:v>Al</c:v>
                </c:pt>
                <c:pt idx="5">
                  <c:v>Si</c:v>
                </c:pt>
                <c:pt idx="6">
                  <c:v>P</c:v>
                </c:pt>
                <c:pt idx="7">
                  <c:v>S</c:v>
                </c:pt>
                <c:pt idx="8">
                  <c:v>Cu</c:v>
                </c:pt>
                <c:pt idx="9">
                  <c:v>Br</c:v>
                </c:pt>
              </c:strCache>
            </c:strRef>
          </c:cat>
          <c:val>
            <c:numRef>
              <c:f>'Nyomelemek grafikon'!$B$2:$B$11</c:f>
              <c:numCache>
                <c:formatCode>General</c:formatCode>
                <c:ptCount val="10"/>
                <c:pt idx="0">
                  <c:v>0.314</c:v>
                </c:pt>
                <c:pt idx="1">
                  <c:v>6.3E-2</c:v>
                </c:pt>
                <c:pt idx="2">
                  <c:v>0</c:v>
                </c:pt>
                <c:pt idx="3">
                  <c:v>0.44500000000000001</c:v>
                </c:pt>
                <c:pt idx="4">
                  <c:v>0.42899999999999999</c:v>
                </c:pt>
                <c:pt idx="5">
                  <c:v>0</c:v>
                </c:pt>
                <c:pt idx="6">
                  <c:v>8.4000000000000005E-2</c:v>
                </c:pt>
                <c:pt idx="7">
                  <c:v>0.17499999999999999</c:v>
                </c:pt>
                <c:pt idx="8">
                  <c:v>0</c:v>
                </c:pt>
                <c:pt idx="9">
                  <c:v>0</c:v>
                </c:pt>
              </c:numCache>
            </c:numRef>
          </c:val>
          <c:extLst>
            <c:ext xmlns:c16="http://schemas.microsoft.com/office/drawing/2014/chart" uri="{C3380CC4-5D6E-409C-BE32-E72D297353CC}">
              <c16:uniqueId val="{00000000-B63F-4D18-8E12-5C0E8CC222BF}"/>
            </c:ext>
          </c:extLst>
        </c:ser>
        <c:ser>
          <c:idx val="1"/>
          <c:order val="1"/>
          <c:tx>
            <c:strRef>
              <c:f>'Nyomelemek grafikon'!$C$1</c:f>
              <c:strCache>
                <c:ptCount val="1"/>
                <c:pt idx="0">
                  <c:v>MB</c:v>
                </c:pt>
              </c:strCache>
            </c:strRef>
          </c:tx>
          <c:spPr>
            <a:solidFill>
              <a:schemeClr val="dk1">
                <a:tint val="55000"/>
              </a:schemeClr>
            </a:solidFill>
            <a:ln>
              <a:noFill/>
            </a:ln>
            <a:effectLst>
              <a:outerShdw blurRad="57150" dist="19050" dir="5400000" algn="ctr" rotWithShape="0">
                <a:srgbClr val="000000">
                  <a:alpha val="63000"/>
                </a:srgbClr>
              </a:outerShdw>
            </a:effectLst>
            <a:sp3d/>
          </c:spPr>
          <c:invertIfNegative val="0"/>
          <c:cat>
            <c:strRef>
              <c:f>'Nyomelemek grafikon'!$A$2:$A$11</c:f>
              <c:strCache>
                <c:ptCount val="10"/>
                <c:pt idx="0">
                  <c:v>N</c:v>
                </c:pt>
                <c:pt idx="1">
                  <c:v>Na</c:v>
                </c:pt>
                <c:pt idx="2">
                  <c:v>F</c:v>
                </c:pt>
                <c:pt idx="3">
                  <c:v>Mg</c:v>
                </c:pt>
                <c:pt idx="4">
                  <c:v>Al</c:v>
                </c:pt>
                <c:pt idx="5">
                  <c:v>Si</c:v>
                </c:pt>
                <c:pt idx="6">
                  <c:v>P</c:v>
                </c:pt>
                <c:pt idx="7">
                  <c:v>S</c:v>
                </c:pt>
                <c:pt idx="8">
                  <c:v>Cu</c:v>
                </c:pt>
                <c:pt idx="9">
                  <c:v>Br</c:v>
                </c:pt>
              </c:strCache>
            </c:strRef>
          </c:cat>
          <c:val>
            <c:numRef>
              <c:f>'Nyomelemek grafikon'!$C$2:$C$11</c:f>
              <c:numCache>
                <c:formatCode>0.000</c:formatCode>
                <c:ptCount val="10"/>
                <c:pt idx="0">
                  <c:v>0</c:v>
                </c:pt>
                <c:pt idx="1">
                  <c:v>4.5999999999999999E-2</c:v>
                </c:pt>
                <c:pt idx="2">
                  <c:v>0.87</c:v>
                </c:pt>
                <c:pt idx="3">
                  <c:v>0.32800000000000001</c:v>
                </c:pt>
                <c:pt idx="4">
                  <c:v>0.34</c:v>
                </c:pt>
                <c:pt idx="5">
                  <c:v>0</c:v>
                </c:pt>
                <c:pt idx="6">
                  <c:v>8.4000000000000005E-2</c:v>
                </c:pt>
                <c:pt idx="7">
                  <c:v>0.23599999999999999</c:v>
                </c:pt>
                <c:pt idx="8">
                  <c:v>0.02</c:v>
                </c:pt>
                <c:pt idx="9" formatCode="General">
                  <c:v>0</c:v>
                </c:pt>
              </c:numCache>
            </c:numRef>
          </c:val>
          <c:extLst>
            <c:ext xmlns:c16="http://schemas.microsoft.com/office/drawing/2014/chart" uri="{C3380CC4-5D6E-409C-BE32-E72D297353CC}">
              <c16:uniqueId val="{00000001-B63F-4D18-8E12-5C0E8CC222BF}"/>
            </c:ext>
          </c:extLst>
        </c:ser>
        <c:ser>
          <c:idx val="2"/>
          <c:order val="2"/>
          <c:tx>
            <c:strRef>
              <c:f>'Nyomelemek grafikon'!$D$1</c:f>
              <c:strCache>
                <c:ptCount val="1"/>
                <c:pt idx="0">
                  <c:v>MG</c:v>
                </c:pt>
              </c:strCache>
            </c:strRef>
          </c:tx>
          <c:spPr>
            <a:solidFill>
              <a:schemeClr val="dk1">
                <a:tint val="75000"/>
              </a:schemeClr>
            </a:solidFill>
            <a:ln>
              <a:noFill/>
            </a:ln>
            <a:effectLst>
              <a:outerShdw blurRad="57150" dist="19050" dir="5400000" algn="ctr" rotWithShape="0">
                <a:srgbClr val="000000">
                  <a:alpha val="63000"/>
                </a:srgbClr>
              </a:outerShdw>
            </a:effectLst>
            <a:sp3d/>
          </c:spPr>
          <c:invertIfNegative val="0"/>
          <c:cat>
            <c:strRef>
              <c:f>'Nyomelemek grafikon'!$A$2:$A$11</c:f>
              <c:strCache>
                <c:ptCount val="10"/>
                <c:pt idx="0">
                  <c:v>N</c:v>
                </c:pt>
                <c:pt idx="1">
                  <c:v>Na</c:v>
                </c:pt>
                <c:pt idx="2">
                  <c:v>F</c:v>
                </c:pt>
                <c:pt idx="3">
                  <c:v>Mg</c:v>
                </c:pt>
                <c:pt idx="4">
                  <c:v>Al</c:v>
                </c:pt>
                <c:pt idx="5">
                  <c:v>Si</c:v>
                </c:pt>
                <c:pt idx="6">
                  <c:v>P</c:v>
                </c:pt>
                <c:pt idx="7">
                  <c:v>S</c:v>
                </c:pt>
                <c:pt idx="8">
                  <c:v>Cu</c:v>
                </c:pt>
                <c:pt idx="9">
                  <c:v>Br</c:v>
                </c:pt>
              </c:strCache>
            </c:strRef>
          </c:cat>
          <c:val>
            <c:numRef>
              <c:f>'Nyomelemek grafikon'!$D$2:$D$11</c:f>
              <c:numCache>
                <c:formatCode>0.000</c:formatCode>
                <c:ptCount val="10"/>
                <c:pt idx="0">
                  <c:v>0</c:v>
                </c:pt>
                <c:pt idx="1">
                  <c:v>6.3333333333333325E-2</c:v>
                </c:pt>
                <c:pt idx="2">
                  <c:v>1.7633333333333334</c:v>
                </c:pt>
                <c:pt idx="3">
                  <c:v>0.31166666666666665</c:v>
                </c:pt>
                <c:pt idx="4">
                  <c:v>0.40333333333333338</c:v>
                </c:pt>
                <c:pt idx="5">
                  <c:v>8.3333333333333332E-3</c:v>
                </c:pt>
                <c:pt idx="6">
                  <c:v>0.10666666666666667</c:v>
                </c:pt>
                <c:pt idx="7">
                  <c:v>0.37000000000000005</c:v>
                </c:pt>
                <c:pt idx="8">
                  <c:v>1.4999999999999999E-2</c:v>
                </c:pt>
                <c:pt idx="9" formatCode="General">
                  <c:v>0</c:v>
                </c:pt>
              </c:numCache>
            </c:numRef>
          </c:val>
          <c:extLst>
            <c:ext xmlns:c16="http://schemas.microsoft.com/office/drawing/2014/chart" uri="{C3380CC4-5D6E-409C-BE32-E72D297353CC}">
              <c16:uniqueId val="{00000002-B63F-4D18-8E12-5C0E8CC222BF}"/>
            </c:ext>
          </c:extLst>
        </c:ser>
        <c:ser>
          <c:idx val="3"/>
          <c:order val="3"/>
          <c:tx>
            <c:strRef>
              <c:f>'Nyomelemek grafikon'!$E$1</c:f>
              <c:strCache>
                <c:ptCount val="1"/>
                <c:pt idx="0">
                  <c:v>Congo Red</c:v>
                </c:pt>
              </c:strCache>
            </c:strRef>
          </c:tx>
          <c:spPr>
            <a:solidFill>
              <a:schemeClr val="dk1">
                <a:tint val="98500"/>
              </a:schemeClr>
            </a:solidFill>
            <a:ln>
              <a:noFill/>
            </a:ln>
            <a:effectLst>
              <a:outerShdw blurRad="57150" dist="19050" dir="5400000" algn="ctr" rotWithShape="0">
                <a:srgbClr val="000000">
                  <a:alpha val="63000"/>
                </a:srgbClr>
              </a:outerShdw>
            </a:effectLst>
            <a:sp3d/>
          </c:spPr>
          <c:invertIfNegative val="0"/>
          <c:cat>
            <c:strRef>
              <c:f>'Nyomelemek grafikon'!$A$2:$A$11</c:f>
              <c:strCache>
                <c:ptCount val="10"/>
                <c:pt idx="0">
                  <c:v>N</c:v>
                </c:pt>
                <c:pt idx="1">
                  <c:v>Na</c:v>
                </c:pt>
                <c:pt idx="2">
                  <c:v>F</c:v>
                </c:pt>
                <c:pt idx="3">
                  <c:v>Mg</c:v>
                </c:pt>
                <c:pt idx="4">
                  <c:v>Al</c:v>
                </c:pt>
                <c:pt idx="5">
                  <c:v>Si</c:v>
                </c:pt>
                <c:pt idx="6">
                  <c:v>P</c:v>
                </c:pt>
                <c:pt idx="7">
                  <c:v>S</c:v>
                </c:pt>
                <c:pt idx="8">
                  <c:v>Cu</c:v>
                </c:pt>
                <c:pt idx="9">
                  <c:v>Br</c:v>
                </c:pt>
              </c:strCache>
            </c:strRef>
          </c:cat>
          <c:val>
            <c:numRef>
              <c:f>'Nyomelemek grafikon'!$E$2:$E$11</c:f>
              <c:numCache>
                <c:formatCode>0.000</c:formatCode>
                <c:ptCount val="10"/>
                <c:pt idx="0">
                  <c:v>0</c:v>
                </c:pt>
                <c:pt idx="1">
                  <c:v>9.6000000000000002E-2</c:v>
                </c:pt>
                <c:pt idx="2">
                  <c:v>2.3899999999999997</c:v>
                </c:pt>
                <c:pt idx="3">
                  <c:v>0.35799999999999998</c:v>
                </c:pt>
                <c:pt idx="4">
                  <c:v>0.36599999999999999</c:v>
                </c:pt>
                <c:pt idx="5">
                  <c:v>1.7999999999999999E-2</c:v>
                </c:pt>
                <c:pt idx="6">
                  <c:v>9.6000000000000002E-2</c:v>
                </c:pt>
                <c:pt idx="7">
                  <c:v>0.23799999999999999</c:v>
                </c:pt>
                <c:pt idx="8">
                  <c:v>8.0000000000000002E-3</c:v>
                </c:pt>
                <c:pt idx="9" formatCode="General">
                  <c:v>0</c:v>
                </c:pt>
              </c:numCache>
            </c:numRef>
          </c:val>
          <c:extLst>
            <c:ext xmlns:c16="http://schemas.microsoft.com/office/drawing/2014/chart" uri="{C3380CC4-5D6E-409C-BE32-E72D297353CC}">
              <c16:uniqueId val="{00000003-B63F-4D18-8E12-5C0E8CC222BF}"/>
            </c:ext>
          </c:extLst>
        </c:ser>
        <c:ser>
          <c:idx val="4"/>
          <c:order val="4"/>
          <c:tx>
            <c:strRef>
              <c:f>'Nyomelemek grafikon'!$F$1</c:f>
              <c:strCache>
                <c:ptCount val="1"/>
                <c:pt idx="0">
                  <c:v>BPB</c:v>
                </c:pt>
              </c:strCache>
            </c:strRef>
          </c:tx>
          <c:spPr>
            <a:solidFill>
              <a:schemeClr val="tx2">
                <a:lumMod val="50000"/>
              </a:schemeClr>
            </a:solidFill>
            <a:ln>
              <a:noFill/>
            </a:ln>
            <a:effectLst>
              <a:outerShdw blurRad="57150" dist="19050" dir="5400000" algn="ctr" rotWithShape="0">
                <a:srgbClr val="000000">
                  <a:alpha val="63000"/>
                </a:srgbClr>
              </a:outerShdw>
            </a:effectLst>
            <a:sp3d/>
          </c:spPr>
          <c:invertIfNegative val="0"/>
          <c:cat>
            <c:strRef>
              <c:f>'Nyomelemek grafikon'!$A$2:$A$11</c:f>
              <c:strCache>
                <c:ptCount val="10"/>
                <c:pt idx="0">
                  <c:v>N</c:v>
                </c:pt>
                <c:pt idx="1">
                  <c:v>Na</c:v>
                </c:pt>
                <c:pt idx="2">
                  <c:v>F</c:v>
                </c:pt>
                <c:pt idx="3">
                  <c:v>Mg</c:v>
                </c:pt>
                <c:pt idx="4">
                  <c:v>Al</c:v>
                </c:pt>
                <c:pt idx="5">
                  <c:v>Si</c:v>
                </c:pt>
                <c:pt idx="6">
                  <c:v>P</c:v>
                </c:pt>
                <c:pt idx="7">
                  <c:v>S</c:v>
                </c:pt>
                <c:pt idx="8">
                  <c:v>Cu</c:v>
                </c:pt>
                <c:pt idx="9">
                  <c:v>Br</c:v>
                </c:pt>
              </c:strCache>
            </c:strRef>
          </c:cat>
          <c:val>
            <c:numRef>
              <c:f>'Nyomelemek grafikon'!$F$2:$F$11</c:f>
              <c:numCache>
                <c:formatCode>0.000</c:formatCode>
                <c:ptCount val="10"/>
                <c:pt idx="0">
                  <c:v>0</c:v>
                </c:pt>
                <c:pt idx="1">
                  <c:v>5.000000000000001E-2</c:v>
                </c:pt>
                <c:pt idx="2">
                  <c:v>1.5200000000000002</c:v>
                </c:pt>
                <c:pt idx="3">
                  <c:v>0.19166666666666665</c:v>
                </c:pt>
                <c:pt idx="4">
                  <c:v>0.69</c:v>
                </c:pt>
                <c:pt idx="5">
                  <c:v>0</c:v>
                </c:pt>
                <c:pt idx="6">
                  <c:v>8.5000000000000006E-2</c:v>
                </c:pt>
                <c:pt idx="7">
                  <c:v>0.38500000000000001</c:v>
                </c:pt>
                <c:pt idx="8" formatCode="General">
                  <c:v>0</c:v>
                </c:pt>
                <c:pt idx="9" formatCode="General">
                  <c:v>0.13</c:v>
                </c:pt>
              </c:numCache>
            </c:numRef>
          </c:val>
          <c:extLst>
            <c:ext xmlns:c16="http://schemas.microsoft.com/office/drawing/2014/chart" uri="{C3380CC4-5D6E-409C-BE32-E72D297353CC}">
              <c16:uniqueId val="{00000004-B63F-4D18-8E12-5C0E8CC222BF}"/>
            </c:ext>
          </c:extLst>
        </c:ser>
        <c:dLbls>
          <c:showLegendKey val="0"/>
          <c:showVal val="0"/>
          <c:showCatName val="0"/>
          <c:showSerName val="0"/>
          <c:showPercent val="0"/>
          <c:showBubbleSize val="0"/>
        </c:dLbls>
        <c:gapWidth val="150"/>
        <c:shape val="cylinder"/>
        <c:axId val="232377344"/>
        <c:axId val="232377904"/>
        <c:axId val="232409552"/>
      </c:bar3DChart>
      <c:catAx>
        <c:axId val="232377344"/>
        <c:scaling>
          <c:orientation val="minMax"/>
        </c:scaling>
        <c:delete val="0"/>
        <c:axPos val="b"/>
        <c:numFmt formatCode="General" sourceLinked="0"/>
        <c:majorTickMark val="none"/>
        <c:minorTickMark val="none"/>
        <c:tickLblPos val="nextTo"/>
        <c:spPr>
          <a:noFill/>
          <a:ln w="6350" cap="flat" cmpd="sng" algn="ctr">
            <a:solidFill>
              <a:schemeClr val="dk1">
                <a:tint val="75000"/>
              </a:schemeClr>
            </a:solidFill>
            <a:prstDash val="solid"/>
            <a:round/>
          </a:ln>
          <a:effectLst/>
        </c:spPr>
        <c:txPr>
          <a:bodyPr rot="-6000000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crossAx val="232377904"/>
        <c:crosses val="autoZero"/>
        <c:auto val="1"/>
        <c:lblAlgn val="ctr"/>
        <c:lblOffset val="100"/>
        <c:noMultiLvlLbl val="0"/>
      </c:catAx>
      <c:valAx>
        <c:axId val="232377904"/>
        <c:scaling>
          <c:orientation val="minMax"/>
          <c:min val="0"/>
        </c:scaling>
        <c:delete val="1"/>
        <c:axPos val="l"/>
        <c:majorGridlines>
          <c:spPr>
            <a:ln w="6350" cap="flat" cmpd="sng" algn="ctr">
              <a:noFill/>
              <a:prstDash val="solid"/>
              <a:round/>
            </a:ln>
            <a:effectLst/>
          </c:spPr>
        </c:majorGridlines>
        <c:numFmt formatCode="General" sourceLinked="1"/>
        <c:majorTickMark val="none"/>
        <c:minorTickMark val="none"/>
        <c:tickLblPos val="nextTo"/>
        <c:crossAx val="232377344"/>
        <c:crosses val="autoZero"/>
        <c:crossBetween val="between"/>
      </c:valAx>
      <c:serAx>
        <c:axId val="232409552"/>
        <c:scaling>
          <c:orientation val="minMax"/>
        </c:scaling>
        <c:delete val="1"/>
        <c:axPos val="b"/>
        <c:majorTickMark val="out"/>
        <c:minorTickMark val="none"/>
        <c:tickLblPos val="nextTo"/>
        <c:crossAx val="232377904"/>
        <c:crosses val="autoZero"/>
      </c:serAx>
      <c:spPr>
        <a:noFill/>
        <a:ln w="3175">
          <a:solidFill>
            <a:schemeClr val="tx1">
              <a:lumMod val="95000"/>
              <a:lumOff val="5000"/>
            </a:schemeClr>
          </a:solidFill>
        </a:ln>
        <a:effectLst/>
      </c:spPr>
    </c:plotArea>
    <c:legend>
      <c:legendPos val="r"/>
      <c:layout>
        <c:manualLayout>
          <c:xMode val="edge"/>
          <c:yMode val="edge"/>
          <c:x val="0.46182890595973758"/>
          <c:y val="8.4341566977753191E-2"/>
          <c:w val="0.49015869561946374"/>
          <c:h val="0.25702861826188222"/>
        </c:manualLayout>
      </c:layout>
      <c:overlay val="0"/>
      <c:spPr>
        <a:noFill/>
        <a:ln w="25400" cap="flat" cmpd="sng" algn="ctr">
          <a:noFill/>
          <a:prstDash val="solid"/>
        </a:ln>
        <a:effectLst/>
      </c:spPr>
      <c:txPr>
        <a:bodyPr rot="0" spcFirstLastPara="1" vertOverflow="ellipsis" vert="horz" wrap="square" anchor="ctr" anchorCtr="1"/>
        <a:lstStyle/>
        <a:p>
          <a:pPr>
            <a:defRPr sz="800" b="0" i="0" u="none" strike="noStrike" kern="1200" baseline="0">
              <a:solidFill>
                <a:schemeClr val="tx1">
                  <a:lumMod val="95000"/>
                  <a:lumOff val="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38100">
      <a:noFill/>
    </a:ln>
    <a:effectLst/>
  </c:spPr>
  <c:txPr>
    <a:bodyPr/>
    <a:lstStyle/>
    <a:p>
      <a:pPr>
        <a:defRPr sz="1000">
          <a:solidFill>
            <a:schemeClr val="tx1">
              <a:lumMod val="95000"/>
              <a:lumOff val="5000"/>
            </a:schemeClr>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withinLinearReversed" id="23">
  <a:schemeClr val="accent3"/>
</cs:colorStyle>
</file>

<file path=word/charts/colors3.xml><?xml version="1.0" encoding="utf-8"?>
<cs:colorStyle xmlns:cs="http://schemas.microsoft.com/office/drawing/2012/chartStyle" xmlns:a="http://schemas.openxmlformats.org/drawingml/2006/main" meth="withinLinearReversed" id="23">
  <a:schemeClr val="accent3"/>
</cs:colorStyle>
</file>

<file path=word/charts/colors4.xml><?xml version="1.0" encoding="utf-8"?>
<cs:colorStyle xmlns:cs="http://schemas.microsoft.com/office/drawing/2012/chartStyle" xmlns:a="http://schemas.openxmlformats.org/drawingml/2006/main" meth="withinLinearReversed" id="23">
  <a:schemeClr val="accent3"/>
</cs:colorStyle>
</file>

<file path=word/charts/colors5.xml><?xml version="1.0" encoding="utf-8"?>
<cs:colorStyle xmlns:cs="http://schemas.microsoft.com/office/drawing/2012/chartStyle" xmlns:a="http://schemas.openxmlformats.org/drawingml/2006/main" meth="withinLinearReversed" id="23">
  <a:schemeClr val="accent3"/>
</cs:colorStyle>
</file>

<file path=word/charts/colors6.xml><?xml version="1.0" encoding="utf-8"?>
<cs:colorStyle xmlns:cs="http://schemas.microsoft.com/office/drawing/2012/chartStyle" xmlns:a="http://schemas.openxmlformats.org/drawingml/2006/main" meth="withinLinearReversed" id="23">
  <a:schemeClr val="accent3"/>
</cs:colorStyle>
</file>

<file path=word/charts/colors7.xml><?xml version="1.0" encoding="utf-8"?>
<cs:colorStyle xmlns:cs="http://schemas.microsoft.com/office/drawing/2012/chartStyle" xmlns:a="http://schemas.openxmlformats.org/drawingml/2006/main" meth="withinLinearReversed" id="23">
  <a:schemeClr val="accent3"/>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141">
  <cs:axisTitle>
    <cs:lnRef idx="0"/>
    <cs:fillRef idx="0"/>
    <cs:effectRef idx="0"/>
    <cs:fontRef idx="minor">
      <a:schemeClr val="lt1"/>
    </cs:fontRef>
    <cs:defRPr sz="1000" b="1" kern="1200"/>
  </cs:axisTitle>
  <cs:categoryAxis>
    <cs:lnRef idx="1">
      <a:schemeClr val="dk1">
        <a:tint val="75000"/>
      </a:schemeClr>
    </cs:lnRef>
    <cs:fillRef idx="0"/>
    <cs:effectRef idx="0"/>
    <cs:fontRef idx="minor">
      <a:schemeClr val="lt1"/>
    </cs:fontRef>
    <cs:spPr>
      <a:ln>
        <a:round/>
      </a:ln>
    </cs:spPr>
    <cs:defRPr sz="1000" kern="1200"/>
  </cs:categoryAxis>
  <cs:chartArea>
    <cs:lnRef idx="0"/>
    <cs:fillRef idx="1">
      <a:schemeClr val="dk1"/>
    </cs:fillRef>
    <cs:effectRef idx="0"/>
    <cs:fontRef idx="minor">
      <a:schemeClr val="lt1"/>
    </cs:fontRef>
    <cs:defRPr sz="1000" kern="1200"/>
  </cs:chartArea>
  <cs:dataLabel>
    <cs:lnRef idx="0"/>
    <cs:fillRef idx="0"/>
    <cs:effectRef idx="0"/>
    <cs:fontRef idx="minor">
      <a:schemeClr val="lt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3">
      <cs:styleClr val="auto"/>
    </cs:fillRef>
    <cs:effectRef idx="3">
      <a:schemeClr val="dk1"/>
    </cs:effectRef>
    <cs:fontRef idx="minor">
      <a:schemeClr val="dk1"/>
    </cs:fontRef>
  </cs:dataPoint>
  <cs:dataPoint3D>
    <cs:lnRef idx="0"/>
    <cs:fillRef idx="1">
      <cs:styleClr val="auto"/>
    </cs:fillRef>
    <cs:effectRef idx="3">
      <a:schemeClr val="dk1"/>
    </cs:effectRef>
    <cs:fontRef idx="minor">
      <a:schemeClr val="dk1"/>
    </cs:fontRef>
  </cs:dataPoint3D>
  <cs:dataPointLine>
    <cs:lnRef idx="1">
      <cs:styleClr val="auto"/>
    </cs:lnRef>
    <cs:lineWidthScale>5</cs:lineWidthScale>
    <cs:fillRef idx="0"/>
    <cs:effectRef idx="0"/>
    <cs:fontRef idx="minor">
      <a:schemeClr val="dk2"/>
    </cs:fontRef>
    <cs:spPr>
      <a:ln cap="rnd">
        <a:round/>
      </a:ln>
    </cs:spPr>
  </cs:dataPointLine>
  <cs:dataPointMarker>
    <cs:lnRef idx="1">
      <cs:styleClr val="auto"/>
    </cs:lnRef>
    <cs:fillRef idx="3">
      <cs:styleClr val="auto"/>
    </cs:fillRef>
    <cs:effectRef idx="3">
      <a:schemeClr val="dk1"/>
    </cs:effectRef>
    <cs:fontRef idx="minor">
      <a:schemeClr val="dk1"/>
    </cs:fontRef>
    <cs:spPr>
      <a:ln>
        <a:round/>
      </a:ln>
    </cs:spPr>
  </cs:dataPointMarker>
  <cs:dataPointMarkerLayout/>
  <cs:dataPointWireframe>
    <cs:lnRef idx="1">
      <cs:styleClr val="auto"/>
    </cs:lnRef>
    <cs:fillRef idx="0"/>
    <cs:effectRef idx="0"/>
    <cs:fontRef idx="minor">
      <a:schemeClr val="dk2"/>
    </cs:fontRef>
    <cs:spPr>
      <a:ln>
        <a:round/>
      </a:ln>
    </cs:spPr>
  </cs:dataPointWireframe>
  <cs:dataTable>
    <cs:lnRef idx="1">
      <a:schemeClr val="lt1"/>
    </cs:lnRef>
    <cs:fillRef idx="0"/>
    <cs:effectRef idx="0"/>
    <cs:fontRef idx="minor">
      <a:schemeClr val="lt1"/>
    </cs:fontRef>
    <cs:spPr>
      <a:ln>
        <a:round/>
      </a:ln>
    </cs:spPr>
    <cs:defRPr sz="1000" kern="1200"/>
  </cs:dataTable>
  <cs:downBar>
    <cs:lnRef idx="0"/>
    <cs:fillRef idx="3">
      <a:schemeClr val="dk1">
        <a:tint val="85000"/>
      </a:schemeClr>
    </cs:fillRef>
    <cs:effectRef idx="3">
      <a:schemeClr val="dk1"/>
    </cs:effectRef>
    <cs:fontRef idx="minor">
      <a:schemeClr val="lt1"/>
    </cs:fontRef>
  </cs:downBar>
  <cs:dropLine>
    <cs:lnRef idx="1">
      <a:schemeClr val="lt1"/>
    </cs:lnRef>
    <cs:fillRef idx="0"/>
    <cs:effectRef idx="0"/>
    <cs:fontRef idx="minor">
      <a:schemeClr val="lt1"/>
    </cs:fontRef>
    <cs:spPr>
      <a:ln>
        <a:round/>
      </a:ln>
    </cs:spPr>
  </cs:dropLine>
  <cs:errorBar>
    <cs:lnRef idx="1">
      <a:schemeClr val="lt1"/>
    </cs:lnRef>
    <cs:fillRef idx="1">
      <a:schemeClr val="lt1"/>
    </cs:fillRef>
    <cs:effectRef idx="0"/>
    <cs:fontRef idx="minor">
      <a:schemeClr val="dk1"/>
    </cs:fontRef>
    <cs:spPr>
      <a:ln>
        <a:round/>
      </a:ln>
    </cs:spPr>
  </cs:errorBar>
  <cs:floor>
    <cs:lnRef idx="0"/>
    <cs:fillRef idx="1">
      <a:schemeClr val="dk1">
        <a:tint val="95000"/>
      </a:schemeClr>
    </cs:fillRef>
    <cs:effectRef idx="0"/>
    <cs:fontRef idx="minor">
      <a:schemeClr val="lt1"/>
    </cs:fontRef>
  </cs:floor>
  <cs:gridlineMajor>
    <cs:lnRef idx="1">
      <a:schemeClr val="dk1">
        <a:tint val="75000"/>
      </a:schemeClr>
    </cs:lnRef>
    <cs:fillRef idx="0"/>
    <cs:effectRef idx="0"/>
    <cs:fontRef idx="minor">
      <a:schemeClr val="dk2"/>
    </cs:fontRef>
    <cs:spPr>
      <a:ln>
        <a:round/>
      </a:ln>
    </cs:spPr>
  </cs:gridlineMajor>
  <cs:gridlineMinor>
    <cs:lnRef idx="1">
      <a:schemeClr val="dk1">
        <a:tint val="90000"/>
      </a:schemeClr>
    </cs:lnRef>
    <cs:fillRef idx="0"/>
    <cs:effectRef idx="0"/>
    <cs:fontRef idx="minor">
      <a:schemeClr val="dk2"/>
    </cs:fontRef>
    <cs:spPr>
      <a:ln>
        <a:round/>
      </a:ln>
    </cs:spPr>
  </cs:gridlineMinor>
  <cs:hiLoLine>
    <cs:lnRef idx="1">
      <a:schemeClr val="lt1"/>
    </cs:lnRef>
    <cs:fillRef idx="0"/>
    <cs:effectRef idx="0"/>
    <cs:fontRef idx="minor">
      <a:schemeClr val="lt1"/>
    </cs:fontRef>
    <cs:spPr>
      <a:ln>
        <a:round/>
      </a:ln>
    </cs:spPr>
  </cs:hiLoLine>
  <cs:leaderLine>
    <cs:lnRef idx="1">
      <a:schemeClr val="lt1"/>
    </cs:lnRef>
    <cs:fillRef idx="0"/>
    <cs:effectRef idx="0"/>
    <cs:fontRef idx="minor">
      <a:schemeClr val="lt1"/>
    </cs:fontRef>
    <cs:spPr>
      <a:ln>
        <a:round/>
      </a:ln>
    </cs:spPr>
  </cs:leaderLine>
  <cs:legend>
    <cs:lnRef idx="0"/>
    <cs:fillRef idx="0"/>
    <cs:effectRef idx="0"/>
    <cs:fontRef idx="minor">
      <a:schemeClr val="lt1"/>
    </cs:fontRef>
    <cs:defRPr sz="1000" kern="1200"/>
  </cs:legend>
  <cs:plotArea>
    <cs:lnRef idx="0"/>
    <cs:fillRef idx="1">
      <a:schemeClr val="dk1">
        <a:tint val="95000"/>
      </a:schemeClr>
    </cs:fillRef>
    <cs:effectRef idx="0"/>
    <cs:fontRef idx="minor">
      <a:schemeClr val="lt1"/>
    </cs:fontRef>
  </cs:plotArea>
  <cs:plotArea3D>
    <cs:lnRef idx="0"/>
    <cs:fillRef idx="0"/>
    <cs:effectRef idx="0"/>
    <cs:fontRef idx="minor">
      <a:schemeClr val="lt1"/>
    </cs:fontRef>
  </cs:plotArea3D>
  <cs:seriesAxis>
    <cs:lnRef idx="1">
      <a:schemeClr val="dk1">
        <a:tint val="75000"/>
      </a:schemeClr>
    </cs:lnRef>
    <cs:fillRef idx="0"/>
    <cs:effectRef idx="0"/>
    <cs:fontRef idx="minor">
      <a:schemeClr val="lt1"/>
    </cs:fontRef>
    <cs:spPr>
      <a:ln>
        <a:round/>
      </a:ln>
    </cs:spPr>
    <cs:defRPr sz="1000" kern="1200"/>
  </cs:seriesAxis>
  <cs:seriesLine>
    <cs:lnRef idx="1">
      <a:schemeClr val="lt1"/>
    </cs:lnRef>
    <cs:fillRef idx="0"/>
    <cs:effectRef idx="0"/>
    <cs:fontRef idx="minor">
      <a:schemeClr val="dk1"/>
    </cs:fontRef>
    <cs:spPr>
      <a:ln>
        <a:round/>
      </a:ln>
    </cs:spPr>
  </cs:seriesLine>
  <cs:title>
    <cs:lnRef idx="0"/>
    <cs:fillRef idx="0"/>
    <cs:effectRef idx="0"/>
    <cs:fontRef idx="minor">
      <a:schemeClr val="lt1"/>
    </cs:fontRef>
    <cs:defRPr sz="1800" b="1" kern="1200"/>
  </cs:title>
  <cs:trendline>
    <cs:lnRef idx="1">
      <a:schemeClr val="lt1"/>
    </cs:lnRef>
    <cs:fillRef idx="0"/>
    <cs:effectRef idx="0"/>
    <cs:fontRef idx="minor">
      <a:schemeClr val="lt1"/>
    </cs:fontRef>
    <cs:spPr>
      <a:ln cap="rnd">
        <a:round/>
      </a:ln>
    </cs:spPr>
  </cs:trendline>
  <cs:trendlineLabel>
    <cs:lnRef idx="0"/>
    <cs:fillRef idx="0"/>
    <cs:effectRef idx="0"/>
    <cs:fontRef idx="minor">
      <a:schemeClr val="lt1"/>
    </cs:fontRef>
    <cs:defRPr sz="1000" kern="1200"/>
  </cs:trendlineLabel>
  <cs:upBar>
    <cs:lnRef idx="0"/>
    <cs:fillRef idx="3">
      <a:schemeClr val="dk1">
        <a:tint val="25000"/>
      </a:schemeClr>
    </cs:fillRef>
    <cs:effectRef idx="3">
      <a:schemeClr val="dk1"/>
    </cs:effectRef>
    <cs:fontRef idx="minor">
      <a:schemeClr val="lt1"/>
    </cs:fontRef>
  </cs:upBar>
  <cs:valueAxis>
    <cs:lnRef idx="1">
      <a:schemeClr val="dk1">
        <a:tint val="75000"/>
      </a:schemeClr>
    </cs:lnRef>
    <cs:fillRef idx="0"/>
    <cs:effectRef idx="0"/>
    <cs:fontRef idx="minor">
      <a:schemeClr val="lt1"/>
    </cs:fontRef>
    <cs:spPr>
      <a:ln>
        <a:round/>
      </a:ln>
    </cs:spPr>
    <cs:defRPr sz="1000" kern="1200"/>
  </cs:valueAxis>
  <cs:wall>
    <cs:lnRef idx="0"/>
    <cs:fillRef idx="1">
      <a:schemeClr val="dk1">
        <a:tint val="95000"/>
      </a:schemeClr>
    </cs:fillRef>
    <cs:effectRef idx="0"/>
    <cs:fontRef idx="minor">
      <a:schemeClr val="lt1"/>
    </cs:fontRef>
  </cs:wall>
</cs:chartStyle>
</file>

<file path=word/drawings/drawing1.xml><?xml version="1.0" encoding="utf-8"?>
<c:userShapes xmlns:c="http://schemas.openxmlformats.org/drawingml/2006/chart">
  <cdr:relSizeAnchor xmlns:cdr="http://schemas.openxmlformats.org/drawingml/2006/chartDrawing">
    <cdr:from>
      <cdr:x>0.01598</cdr:x>
      <cdr:y>0.88276</cdr:y>
    </cdr:from>
    <cdr:to>
      <cdr:x>0.14381</cdr:x>
      <cdr:y>1</cdr:y>
    </cdr:to>
    <cdr:sp macro="" textlink="">
      <cdr:nvSpPr>
        <cdr:cNvPr id="2" name="Szövegdoboz 1"/>
        <cdr:cNvSpPr txBox="1"/>
      </cdr:nvSpPr>
      <cdr:spPr>
        <a:xfrm xmlns:a="http://schemas.openxmlformats.org/drawingml/2006/main">
          <a:off x="43132" y="1906438"/>
          <a:ext cx="345057" cy="2531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a</a:t>
          </a:r>
          <a:r>
            <a:rPr lang="en-US" sz="1100"/>
            <a:t>.</a:t>
          </a:r>
          <a:endParaRPr lang="hu-HU" sz="1100"/>
        </a:p>
      </cdr:txBody>
    </cdr:sp>
  </cdr:relSizeAnchor>
</c:userShapes>
</file>

<file path=word/drawings/drawing10.xml><?xml version="1.0" encoding="utf-8"?>
<c:userShapes xmlns:c="http://schemas.openxmlformats.org/drawingml/2006/chart">
  <cdr:relSizeAnchor xmlns:cdr="http://schemas.openxmlformats.org/drawingml/2006/chartDrawing">
    <cdr:from>
      <cdr:x>0.02796</cdr:x>
      <cdr:y>0.90466</cdr:y>
    </cdr:from>
    <cdr:to>
      <cdr:x>0.17972</cdr:x>
      <cdr:y>1</cdr:y>
    </cdr:to>
    <cdr:sp macro="" textlink="">
      <cdr:nvSpPr>
        <cdr:cNvPr id="2" name="Szövegdoboz 1"/>
        <cdr:cNvSpPr txBox="1"/>
      </cdr:nvSpPr>
      <cdr:spPr>
        <a:xfrm xmlns:a="http://schemas.openxmlformats.org/drawingml/2006/main">
          <a:off x="120770" y="2605178"/>
          <a:ext cx="655607" cy="2745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b="1">
              <a:latin typeface="Times New Roman" panose="02020603050405020304" pitchFamily="18" charset="0"/>
              <a:cs typeface="Times New Roman" panose="02020603050405020304" pitchFamily="18" charset="0"/>
            </a:rPr>
            <a:t>b</a:t>
          </a:r>
          <a:r>
            <a:rPr lang="hu-HU" sz="1100" b="1"/>
            <a:t>.</a:t>
          </a:r>
        </a:p>
      </cdr:txBody>
    </cdr:sp>
  </cdr:relSizeAnchor>
</c:userShapes>
</file>

<file path=word/drawings/drawing2.xml><?xml version="1.0" encoding="utf-8"?>
<c:userShapes xmlns:c="http://schemas.openxmlformats.org/drawingml/2006/chart">
  <cdr:relSizeAnchor xmlns:cdr="http://schemas.openxmlformats.org/drawingml/2006/chartDrawing">
    <cdr:from>
      <cdr:x>0.00639</cdr:x>
      <cdr:y>0.89075</cdr:y>
    </cdr:from>
    <cdr:to>
      <cdr:x>0.12144</cdr:x>
      <cdr:y>0.99061</cdr:y>
    </cdr:to>
    <cdr:sp macro="" textlink="">
      <cdr:nvSpPr>
        <cdr:cNvPr id="2" name="Szövegdoboz 1"/>
        <cdr:cNvSpPr txBox="1"/>
      </cdr:nvSpPr>
      <cdr:spPr>
        <a:xfrm xmlns:a="http://schemas.openxmlformats.org/drawingml/2006/main">
          <a:off x="17252" y="1923691"/>
          <a:ext cx="310551" cy="2156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b.</a:t>
          </a:r>
          <a:endParaRPr lang="hu-HU" sz="1100">
            <a:latin typeface="Times New Roman" panose="02020603050405020304" pitchFamily="18" charset="0"/>
            <a:cs typeface="Times New Roman" panose="02020603050405020304"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0.01917</cdr:x>
      <cdr:y>0.87078</cdr:y>
    </cdr:from>
    <cdr:to>
      <cdr:x>0.15659</cdr:x>
      <cdr:y>0.97862</cdr:y>
    </cdr:to>
    <cdr:sp macro="" textlink="">
      <cdr:nvSpPr>
        <cdr:cNvPr id="2" name="Szövegdoboz 1"/>
        <cdr:cNvSpPr txBox="1"/>
      </cdr:nvSpPr>
      <cdr:spPr>
        <a:xfrm xmlns:a="http://schemas.openxmlformats.org/drawingml/2006/main">
          <a:off x="51758" y="1880559"/>
          <a:ext cx="370935" cy="23291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c.</a:t>
          </a:r>
          <a:endParaRPr lang="hu-HU" sz="1100">
            <a:latin typeface="Times New Roman" panose="02020603050405020304" pitchFamily="18" charset="0"/>
            <a:cs typeface="Times New Roman" panose="02020603050405020304"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0.0241</cdr:x>
      <cdr:y>0.88802</cdr:y>
    </cdr:from>
    <cdr:to>
      <cdr:x>0.13454</cdr:x>
      <cdr:y>0.97035</cdr:y>
    </cdr:to>
    <cdr:sp macro="" textlink="">
      <cdr:nvSpPr>
        <cdr:cNvPr id="2" name="Szövegdoboz 1"/>
        <cdr:cNvSpPr txBox="1"/>
      </cdr:nvSpPr>
      <cdr:spPr>
        <a:xfrm xmlns:a="http://schemas.openxmlformats.org/drawingml/2006/main">
          <a:off x="103517" y="2605178"/>
          <a:ext cx="474453" cy="2415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d</a:t>
          </a:r>
          <a:r>
            <a:rPr lang="en-US" sz="1100"/>
            <a:t>.</a:t>
          </a:r>
          <a:endParaRPr lang="hu-HU" sz="1100"/>
        </a:p>
      </cdr:txBody>
    </cdr:sp>
  </cdr:relSizeAnchor>
</c:userShapes>
</file>

<file path=word/drawings/drawing5.xml><?xml version="1.0" encoding="utf-8"?>
<c:userShapes xmlns:c="http://schemas.openxmlformats.org/drawingml/2006/chart">
  <cdr:relSizeAnchor xmlns:cdr="http://schemas.openxmlformats.org/drawingml/2006/chartDrawing">
    <cdr:from>
      <cdr:x>0.03766</cdr:x>
      <cdr:y>0.88675</cdr:y>
    </cdr:from>
    <cdr:to>
      <cdr:x>0.15406</cdr:x>
      <cdr:y>0.97862</cdr:y>
    </cdr:to>
    <cdr:sp macro="" textlink="">
      <cdr:nvSpPr>
        <cdr:cNvPr id="2" name="Szövegdoboz 1"/>
        <cdr:cNvSpPr txBox="1"/>
      </cdr:nvSpPr>
      <cdr:spPr>
        <a:xfrm xmlns:a="http://schemas.openxmlformats.org/drawingml/2006/main">
          <a:off x="94891" y="1915064"/>
          <a:ext cx="293298" cy="1984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a.</a:t>
          </a:r>
          <a:endParaRPr lang="hu-HU" sz="1100">
            <a:latin typeface="Times New Roman" panose="02020603050405020304" pitchFamily="18"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0.04793</cdr:x>
      <cdr:y>0.88276</cdr:y>
    </cdr:from>
    <cdr:to>
      <cdr:x>0.17576</cdr:x>
      <cdr:y>0.98262</cdr:y>
    </cdr:to>
    <cdr:sp macro="" textlink="">
      <cdr:nvSpPr>
        <cdr:cNvPr id="2" name="Szövegdoboz 1"/>
        <cdr:cNvSpPr txBox="1"/>
      </cdr:nvSpPr>
      <cdr:spPr>
        <a:xfrm xmlns:a="http://schemas.openxmlformats.org/drawingml/2006/main">
          <a:off x="129395" y="1906438"/>
          <a:ext cx="345057" cy="2156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b.</a:t>
          </a:r>
          <a:endParaRPr lang="hu-HU" sz="1100">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0.03515</cdr:x>
      <cdr:y>0.88675</cdr:y>
    </cdr:from>
    <cdr:to>
      <cdr:x>0.18535</cdr:x>
      <cdr:y>0.99061</cdr:y>
    </cdr:to>
    <cdr:sp macro="" textlink="">
      <cdr:nvSpPr>
        <cdr:cNvPr id="2" name="Szövegdoboz 1"/>
        <cdr:cNvSpPr txBox="1"/>
      </cdr:nvSpPr>
      <cdr:spPr>
        <a:xfrm xmlns:a="http://schemas.openxmlformats.org/drawingml/2006/main">
          <a:off x="94891" y="1915064"/>
          <a:ext cx="405441" cy="22428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c.</a:t>
          </a:r>
          <a:endParaRPr lang="hu-HU" sz="1100">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0.03196</cdr:x>
      <cdr:y>0.87477</cdr:y>
    </cdr:from>
    <cdr:to>
      <cdr:x>0.17576</cdr:x>
      <cdr:y>0.98661</cdr:y>
    </cdr:to>
    <cdr:sp macro="" textlink="">
      <cdr:nvSpPr>
        <cdr:cNvPr id="2" name="Szövegdoboz 1"/>
        <cdr:cNvSpPr txBox="1"/>
      </cdr:nvSpPr>
      <cdr:spPr>
        <a:xfrm xmlns:a="http://schemas.openxmlformats.org/drawingml/2006/main">
          <a:off x="86264" y="1889185"/>
          <a:ext cx="388188" cy="2415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latin typeface="Times New Roman" panose="02020603050405020304" pitchFamily="18" charset="0"/>
              <a:cs typeface="Times New Roman" panose="02020603050405020304" pitchFamily="18" charset="0"/>
            </a:rPr>
            <a:t>d.</a:t>
          </a:r>
          <a:endParaRPr lang="hu-HU" sz="11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0.01721</cdr:x>
      <cdr:y>0.91912</cdr:y>
    </cdr:from>
    <cdr:to>
      <cdr:x>0.14301</cdr:x>
      <cdr:y>1</cdr:y>
    </cdr:to>
    <cdr:sp macro="" textlink="">
      <cdr:nvSpPr>
        <cdr:cNvPr id="2" name="Szövegdoboz 1"/>
        <cdr:cNvSpPr txBox="1"/>
      </cdr:nvSpPr>
      <cdr:spPr>
        <a:xfrm xmlns:a="http://schemas.openxmlformats.org/drawingml/2006/main">
          <a:off x="80548" y="2977738"/>
          <a:ext cx="588737" cy="26203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hu-HU" sz="1100" b="1">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13</Pages>
  <Words>15626</Words>
  <Characters>89074</Characters>
  <Application>Microsoft Office Word</Application>
  <DocSecurity>0</DocSecurity>
  <Lines>742</Lines>
  <Paragraphs>208</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Eszter</dc:creator>
  <cp:keywords/>
  <dc:description/>
  <cp:lastModifiedBy>Eszter</cp:lastModifiedBy>
  <cp:revision>6</cp:revision>
  <dcterms:created xsi:type="dcterms:W3CDTF">2018-04-13T16:11:00Z</dcterms:created>
  <dcterms:modified xsi:type="dcterms:W3CDTF">2018-04-13T16:25:00Z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zotero-version="5.0.44"&gt;&lt;session id="jYt5tKMT"/&gt;&lt;style id="http://www.zotero.org/styles/chimia"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