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D8" w:rsidRPr="00210D4C" w:rsidRDefault="003375B8" w:rsidP="00B931D8">
      <w:pPr>
        <w:pStyle w:val="Brezrazmikov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10D4C">
        <w:rPr>
          <w:rFonts w:ascii="Times New Roman" w:hAnsi="Times New Roman" w:cs="Times New Roman"/>
          <w:b/>
          <w:sz w:val="32"/>
          <w:szCs w:val="32"/>
          <w:lang w:val="en-US"/>
        </w:rPr>
        <w:t>P</w:t>
      </w:r>
      <w:r w:rsidR="008B0753" w:rsidRPr="00210D4C">
        <w:rPr>
          <w:rFonts w:ascii="Times New Roman" w:hAnsi="Times New Roman" w:cs="Times New Roman"/>
          <w:b/>
          <w:sz w:val="32"/>
          <w:szCs w:val="32"/>
          <w:lang w:val="en-US"/>
        </w:rPr>
        <w:t xml:space="preserve">reparation and investigation of the </w:t>
      </w:r>
      <w:r w:rsidR="00AF7DDC" w:rsidRPr="00210D4C">
        <w:rPr>
          <w:rFonts w:ascii="Times New Roman" w:hAnsi="Times New Roman" w:cs="Times New Roman"/>
          <w:b/>
          <w:sz w:val="32"/>
          <w:szCs w:val="32"/>
          <w:lang w:val="en-US"/>
        </w:rPr>
        <w:t>thermal stability of phosphate</w:t>
      </w:r>
      <w:r w:rsidR="008B0753" w:rsidRPr="00210D4C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Pr="00210D4C">
        <w:rPr>
          <w:rFonts w:ascii="Times New Roman" w:hAnsi="Times New Roman" w:cs="Times New Roman"/>
          <w:b/>
          <w:sz w:val="32"/>
          <w:szCs w:val="32"/>
          <w:lang w:val="en-US"/>
        </w:rPr>
        <w:t xml:space="preserve">modified </w:t>
      </w:r>
      <w:r w:rsidR="0024136E" w:rsidRPr="00210D4C">
        <w:rPr>
          <w:rFonts w:ascii="Times New Roman" w:hAnsi="Times New Roman" w:cs="Times New Roman"/>
          <w:b/>
          <w:sz w:val="32"/>
          <w:szCs w:val="32"/>
          <w:lang w:val="en-US"/>
        </w:rPr>
        <w:t>TiO</w:t>
      </w:r>
      <w:r w:rsidR="0024136E" w:rsidRPr="00210D4C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2</w:t>
      </w:r>
      <w:r w:rsidR="00A1207D" w:rsidRPr="00210D4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</w:t>
      </w:r>
      <w:r w:rsidRPr="00210D4C">
        <w:rPr>
          <w:rFonts w:ascii="Times New Roman" w:hAnsi="Times New Roman" w:cs="Times New Roman"/>
          <w:b/>
          <w:sz w:val="32"/>
          <w:szCs w:val="32"/>
          <w:lang w:val="en-US"/>
        </w:rPr>
        <w:t>natase nanoparticles and thin films</w:t>
      </w:r>
    </w:p>
    <w:p w:rsidR="00B931D8" w:rsidRDefault="00B931D8" w:rsidP="00B931D8">
      <w:pPr>
        <w:pStyle w:val="Brezrazmikov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6CED" w:rsidRDefault="00536CED" w:rsidP="00536CED">
      <w:pPr>
        <w:pStyle w:val="Brezrazmikov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Uroš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Irena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Kozjek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Škofic</w:t>
      </w:r>
      <w:proofErr w:type="spellEnd"/>
    </w:p>
    <w:p w:rsidR="00536CED" w:rsidRPr="00252207" w:rsidRDefault="00536CED" w:rsidP="00536CED">
      <w:pPr>
        <w:pStyle w:val="Brezrazmikov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Faculty of Chemistry and Chemical T</w:t>
      </w:r>
      <w:r w:rsidRPr="00252207">
        <w:rPr>
          <w:rFonts w:ascii="Times New Roman" w:hAnsi="Times New Roman" w:cs="Times New Roman"/>
          <w:sz w:val="20"/>
          <w:szCs w:val="20"/>
          <w:lang w:val="en-US"/>
        </w:rPr>
        <w:t>echnology,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University of Ljubljana,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Večna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pot 113, SI-</w:t>
      </w:r>
      <w:r w:rsidRPr="00252207">
        <w:rPr>
          <w:rFonts w:ascii="Times New Roman" w:hAnsi="Times New Roman" w:cs="Times New Roman"/>
          <w:sz w:val="20"/>
          <w:szCs w:val="20"/>
          <w:lang w:val="en-US"/>
        </w:rPr>
        <w:t>Ljubljana, Slovenia</w:t>
      </w:r>
    </w:p>
    <w:p w:rsidR="00536CED" w:rsidRPr="00536CED" w:rsidRDefault="00536CED" w:rsidP="00536CED">
      <w:pPr>
        <w:pStyle w:val="Brezrazmikov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*Corresponding author: E-mail: prah.uros@gmail.com</w:t>
      </w:r>
    </w:p>
    <w:p w:rsidR="008F444A" w:rsidRDefault="008F444A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367D1" w:rsidRDefault="005367D1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Abstract</w:t>
      </w:r>
    </w:p>
    <w:p w:rsidR="00976521" w:rsidRDefault="0014584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TiO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thin films and powders were prepared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using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simple sol-gel method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alkoxide precursor and citric acid.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thin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films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deposited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silicon and aluminum substrates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using the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dip-coating technique. </w:t>
      </w:r>
      <w:r w:rsidR="007303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303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samples </w:t>
      </w:r>
      <w:proofErr w:type="gramStart"/>
      <w:r w:rsidR="007303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doped</w:t>
      </w:r>
      <w:proofErr w:type="gramEnd"/>
      <w:r w:rsidR="007303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a different amount of phosphate ions and their influence on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AF7D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structure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AF7D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thermal stability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anatase </w:t>
      </w:r>
      <w:r w:rsidR="007303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was investigated.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addition,</w:t>
      </w:r>
      <w:r w:rsidR="007303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different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effects</w:t>
      </w:r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nanoparticles and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thin films on the </w:t>
      </w:r>
      <w:r w:rsidR="002413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temperature</w:t>
      </w:r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rutile phase transition </w:t>
      </w:r>
      <w:proofErr w:type="gramStart"/>
      <w:r w:rsidR="008B07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observed</w:t>
      </w:r>
      <w:proofErr w:type="gramEnd"/>
      <w:r w:rsidR="007303E9" w:rsidRPr="00730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303E9" w:rsidRPr="00730EC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0ECC">
        <w:rPr>
          <w:rFonts w:ascii="Times New Roman" w:hAnsi="Times New Roman" w:cs="Times New Roman"/>
          <w:sz w:val="24"/>
          <w:szCs w:val="24"/>
          <w:lang w:val="en-US"/>
        </w:rPr>
        <w:t xml:space="preserve">content of 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0ECC">
        <w:rPr>
          <w:rFonts w:ascii="Times New Roman" w:hAnsi="Times New Roman" w:cs="Times New Roman"/>
          <w:sz w:val="24"/>
          <w:szCs w:val="24"/>
          <w:lang w:val="en-US"/>
        </w:rPr>
        <w:t>anatase phase and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95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3E9" w:rsidRPr="00730ECC">
        <w:rPr>
          <w:rFonts w:ascii="Times New Roman" w:hAnsi="Times New Roman" w:cs="Times New Roman"/>
          <w:sz w:val="24"/>
          <w:szCs w:val="24"/>
          <w:lang w:val="en-US"/>
        </w:rPr>
        <w:t>crysta</w:t>
      </w:r>
      <w:r w:rsidR="00730ECC">
        <w:rPr>
          <w:rFonts w:ascii="Times New Roman" w:hAnsi="Times New Roman" w:cs="Times New Roman"/>
          <w:sz w:val="24"/>
          <w:szCs w:val="24"/>
          <w:lang w:val="en-US"/>
        </w:rPr>
        <w:t>llite size at different annealing temperatures</w:t>
      </w:r>
      <w:r w:rsidR="003670A4">
        <w:rPr>
          <w:rFonts w:ascii="Times New Roman" w:hAnsi="Times New Roman" w:cs="Times New Roman"/>
          <w:sz w:val="24"/>
          <w:szCs w:val="24"/>
          <w:lang w:val="en-US"/>
        </w:rPr>
        <w:t xml:space="preserve"> were monitored </w:t>
      </w:r>
      <w:r w:rsidR="0027554F">
        <w:rPr>
          <w:rFonts w:ascii="Times New Roman" w:hAnsi="Times New Roman" w:cs="Times New Roman"/>
          <w:sz w:val="24"/>
          <w:szCs w:val="24"/>
          <w:lang w:val="en-US"/>
        </w:rPr>
        <w:t>using X-ray diffraction</w:t>
      </w:r>
      <w:r w:rsidR="007303E9" w:rsidRPr="00730ECC">
        <w:rPr>
          <w:rFonts w:ascii="Times New Roman" w:hAnsi="Times New Roman" w:cs="Times New Roman"/>
          <w:sz w:val="24"/>
          <w:szCs w:val="24"/>
          <w:lang w:val="en-US"/>
        </w:rPr>
        <w:t xml:space="preserve">. The course of 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the thermal decomposition </w:t>
      </w:r>
      <w:proofErr w:type="gramStart"/>
      <w:r w:rsidR="008B0753">
        <w:rPr>
          <w:rFonts w:ascii="Times New Roman" w:hAnsi="Times New Roman" w:cs="Times New Roman"/>
          <w:sz w:val="24"/>
          <w:szCs w:val="24"/>
          <w:lang w:val="en-US"/>
        </w:rPr>
        <w:t>was followed</w:t>
      </w:r>
      <w:proofErr w:type="gramEnd"/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 w:rsidR="00595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ECC">
        <w:rPr>
          <w:rFonts w:ascii="Times New Roman" w:hAnsi="Times New Roman" w:cs="Times New Roman"/>
          <w:sz w:val="24"/>
          <w:szCs w:val="24"/>
          <w:lang w:val="en-US"/>
        </w:rPr>
        <w:t xml:space="preserve">thermal 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>analyses.</w:t>
      </w:r>
      <w:r w:rsidR="00595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54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03E9" w:rsidRPr="00730ECC">
        <w:rPr>
          <w:rFonts w:ascii="Times New Roman" w:hAnsi="Times New Roman" w:cs="Times New Roman"/>
          <w:sz w:val="24"/>
          <w:szCs w:val="24"/>
          <w:lang w:val="en-US"/>
        </w:rPr>
        <w:t>mor</w:t>
      </w:r>
      <w:r w:rsidR="00730ECC">
        <w:rPr>
          <w:rFonts w:ascii="Times New Roman" w:hAnsi="Times New Roman" w:cs="Times New Roman"/>
          <w:sz w:val="24"/>
          <w:szCs w:val="24"/>
          <w:lang w:val="en-US"/>
        </w:rPr>
        <w:t>phology</w:t>
      </w:r>
      <w:r w:rsidR="0027554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5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0A4">
        <w:rPr>
          <w:rFonts w:ascii="Times New Roman" w:hAnsi="Times New Roman" w:cs="Times New Roman"/>
          <w:sz w:val="24"/>
          <w:szCs w:val="24"/>
          <w:lang w:val="en-US"/>
        </w:rPr>
        <w:t>particle size,</w:t>
      </w:r>
      <w:r w:rsidR="007303E9" w:rsidRPr="00730ECC">
        <w:rPr>
          <w:rFonts w:ascii="Times New Roman" w:hAnsi="Times New Roman" w:cs="Times New Roman"/>
          <w:sz w:val="24"/>
          <w:szCs w:val="24"/>
          <w:lang w:val="en-US"/>
        </w:rPr>
        <w:t xml:space="preserve"> shape</w:t>
      </w:r>
      <w:r w:rsidR="0027554F">
        <w:rPr>
          <w:rFonts w:ascii="Times New Roman" w:hAnsi="Times New Roman" w:cs="Times New Roman"/>
          <w:sz w:val="24"/>
          <w:szCs w:val="24"/>
          <w:lang w:val="en-US"/>
        </w:rPr>
        <w:t xml:space="preserve"> and elemental 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makeup </w:t>
      </w:r>
      <w:r w:rsidR="003670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670A4">
        <w:rPr>
          <w:rFonts w:ascii="Times New Roman" w:hAnsi="Times New Roman" w:cs="Times New Roman"/>
          <w:sz w:val="24"/>
          <w:szCs w:val="24"/>
          <w:lang w:val="en-US"/>
        </w:rPr>
        <w:t xml:space="preserve">samples </w:t>
      </w:r>
      <w:proofErr w:type="gramStart"/>
      <w:r w:rsidR="007303E9" w:rsidRPr="00730ECC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27554F">
        <w:rPr>
          <w:rFonts w:ascii="Times New Roman" w:hAnsi="Times New Roman" w:cs="Times New Roman"/>
          <w:sz w:val="24"/>
          <w:szCs w:val="24"/>
          <w:lang w:val="en-US"/>
        </w:rPr>
        <w:t>investigated</w:t>
      </w:r>
      <w:proofErr w:type="gramEnd"/>
      <w:r w:rsidR="00595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7303E9" w:rsidRPr="00730ECC">
        <w:rPr>
          <w:rFonts w:ascii="Times New Roman" w:hAnsi="Times New Roman" w:cs="Times New Roman"/>
          <w:sz w:val="24"/>
          <w:szCs w:val="24"/>
          <w:lang w:val="en-US"/>
        </w:rPr>
        <w:t xml:space="preserve"> scanning electron</w:t>
      </w:r>
      <w:r w:rsidR="00730EC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27554F">
        <w:rPr>
          <w:rFonts w:ascii="Times New Roman" w:hAnsi="Times New Roman" w:cs="Times New Roman"/>
          <w:sz w:val="24"/>
          <w:szCs w:val="24"/>
          <w:lang w:val="en-US"/>
        </w:rPr>
        <w:t>icroscopy and energy-dispersive X-ray spectroscopy.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 The results showed that the </w:t>
      </w:r>
      <w:r w:rsidR="003670A4">
        <w:rPr>
          <w:rFonts w:ascii="Times New Roman" w:hAnsi="Times New Roman" w:cs="Times New Roman"/>
          <w:sz w:val="24"/>
          <w:szCs w:val="24"/>
          <w:lang w:val="en-US"/>
        </w:rPr>
        <w:t>phosphate ions successfully inhibited the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 growth of the</w:t>
      </w:r>
      <w:r w:rsidR="003670A4">
        <w:rPr>
          <w:rFonts w:ascii="Times New Roman" w:hAnsi="Times New Roman" w:cs="Times New Roman"/>
          <w:sz w:val="24"/>
          <w:szCs w:val="24"/>
          <w:lang w:val="en-US"/>
        </w:rPr>
        <w:t xml:space="preserve"> particles and delayed 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670A4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9D5441">
        <w:rPr>
          <w:rFonts w:ascii="Times New Roman" w:hAnsi="Times New Roman" w:cs="Times New Roman"/>
          <w:sz w:val="24"/>
          <w:szCs w:val="24"/>
          <w:lang w:val="en-US"/>
        </w:rPr>
        <w:t>ase transition to</w:t>
      </w:r>
      <w:r w:rsidR="008B07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95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441">
        <w:rPr>
          <w:rFonts w:ascii="Times New Roman" w:hAnsi="Times New Roman" w:cs="Times New Roman"/>
          <w:sz w:val="24"/>
          <w:szCs w:val="24"/>
          <w:lang w:val="en-US"/>
        </w:rPr>
        <w:t>rutile phase.</w:t>
      </w:r>
    </w:p>
    <w:p w:rsidR="003317E8" w:rsidRDefault="003317E8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7D1" w:rsidRDefault="00976521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76521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="005956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anatase, phosphate, sol-gel, thermal stability, </w:t>
      </w:r>
      <w:r w:rsidR="003670A4">
        <w:rPr>
          <w:rFonts w:ascii="Times New Roman" w:hAnsi="Times New Roman" w:cs="Times New Roman"/>
          <w:sz w:val="24"/>
          <w:szCs w:val="24"/>
          <w:lang w:val="en-US"/>
        </w:rPr>
        <w:t>thin films</w:t>
      </w:r>
    </w:p>
    <w:p w:rsidR="000465E2" w:rsidRPr="00730ECC" w:rsidRDefault="000465E2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F444A" w:rsidRPr="000465E2" w:rsidRDefault="008F444A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F444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1. Introduction</w:t>
      </w:r>
    </w:p>
    <w:p w:rsidR="003207D4" w:rsidRPr="00EC3287" w:rsidRDefault="003207D4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During the </w:t>
      </w:r>
      <w:proofErr w:type="gramStart"/>
      <w:r w:rsidR="00B939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ast</w:t>
      </w:r>
      <w:proofErr w:type="gramEnd"/>
      <w:r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few decades titanium dioxide has been one of the most intensively studied semiconductor material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It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</w:t>
      </w:r>
      <w:r w:rsidR="006C4A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numerous</w:t>
      </w:r>
      <w:r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useful </w:t>
      </w:r>
      <w:r w:rsid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characteristics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such as</w:t>
      </w:r>
      <w:r w:rsidR="00196495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unique positio</w:t>
      </w:r>
      <w:r w:rsidR="000E5CA7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0E5CA7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0E5CA7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valence and conduction band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196495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196495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relatively narrow band-gap, chemical and physical stability,</w:t>
      </w:r>
      <w:r w:rsidR="00BE4117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favorable electronic and optical properties,</w:t>
      </w:r>
      <w:r w:rsidR="00196495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non</w:t>
      </w:r>
      <w:r w:rsid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196495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toxicity and 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0E5CA7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low </w:t>
      </w:r>
      <w:r w:rsidR="000E5CA7"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price.</w:t>
      </w:r>
      <w:r w:rsidR="00A60514" w:rsidRPr="00C219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1-7</w:t>
      </w:r>
      <w:r w:rsidR="00125F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25F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urthermore,</w:t>
      </w:r>
      <w:proofErr w:type="gramEnd"/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</w:t>
      </w:r>
      <w:r w:rsidR="000E5CA7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 nanocrystalline form it shows good catalytic and photocatalytic properties. 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Photons with sufficient energy excite </w:t>
      </w:r>
      <w:r w:rsidR="00557CD2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electrons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6C4A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conduction band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C4A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which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leads to the </w:t>
      </w:r>
      <w:r w:rsidR="00557CD2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generation of </w:t>
      </w:r>
      <w:r w:rsidR="006C4A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free electrons in the conduction band and </w:t>
      </w:r>
      <w:r w:rsidR="00557CD2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</w:t>
      </w:r>
      <w:r w:rsidR="00503D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itive holes in the valence band. </w:t>
      </w:r>
      <w:proofErr w:type="gramStart"/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energy </w:t>
      </w:r>
      <w:r w:rsidR="005F3128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required for 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F3128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photogeneration of 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F3128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elect</w:t>
      </w:r>
      <w:r w:rsid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5F3128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on-hole pairs in TiO</w:t>
      </w:r>
      <w:r w:rsidR="005F3128" w:rsidRPr="008045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8207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nanocrystals is 3.0–</w:t>
      </w:r>
      <w:r w:rsidR="005F3128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3.2 </w:t>
      </w:r>
      <w:proofErr w:type="spellStart"/>
      <w:r w:rsidR="005F3128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</w:t>
      </w:r>
      <w:proofErr w:type="spellEnd"/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which</w:t>
      </w:r>
      <w:r w:rsidR="00804594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equivalent to the</w:t>
      </w:r>
      <w:r w:rsidR="007007F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energy of</w:t>
      </w:r>
      <w:r w:rsidR="00804594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light in 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near-</w:t>
      </w:r>
      <w:r w:rsidR="00804594" w:rsidRPr="008045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UV </w:t>
      </w:r>
      <w:r w:rsidR="00804594"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region.</w:t>
      </w:r>
      <w:r w:rsidR="007007F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8</w:t>
      </w:r>
      <w:r w:rsidR="00503D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</w:t>
      </w:r>
      <w:r w:rsidR="001C7AD1" w:rsidRPr="007007F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ome</w:t>
      </w:r>
      <w:r w:rsidR="001C7AD1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</w:t>
      </w:r>
      <w:r w:rsidR="00804594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hese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pairs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C7AD1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react wit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 </w:t>
      </w:r>
      <w:r w:rsidR="00522B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electron-</w:t>
      </w:r>
      <w:r w:rsidR="001C7AD1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donor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2C5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electron-</w:t>
      </w:r>
      <w:r w:rsidR="001C7AD1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acceptor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species o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the semiconductor surface to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form reactive radicals, which </w:t>
      </w:r>
      <w:r w:rsidR="002C5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used for </w:t>
      </w:r>
      <w:r w:rsidR="002C5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degradation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environmental pollutants,</w:t>
      </w:r>
      <w:r w:rsidR="005956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self-cleaning, antifogging and </w:t>
      </w:r>
      <w:r w:rsidR="002C5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7224A" w:rsidRPr="00EC32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sterilization </w:t>
      </w:r>
      <w:r w:rsidR="002C5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E7224A"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surfaces.</w:t>
      </w:r>
      <w:r w:rsidR="00A60514" w:rsidRPr="00C219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4,5</w:t>
      </w:r>
      <w:proofErr w:type="gramEnd"/>
    </w:p>
    <w:p w:rsidR="00EC3287" w:rsidRDefault="00690F50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TiO</w:t>
      </w:r>
      <w:r w:rsidRPr="00C2198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natu</w:t>
      </w:r>
      <w:r w:rsidR="00101E26"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rally occurs in three polymorph</w:t>
      </w:r>
      <w:r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crystal modifications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rutile, anatase and brookite.</w:t>
      </w:r>
      <w:r w:rsidR="00A60514" w:rsidRPr="00C219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5</w:t>
      </w:r>
      <w:proofErr w:type="gramStart"/>
      <w:r w:rsidR="00A60514" w:rsidRPr="00C219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,6,9</w:t>
      </w:r>
      <w:proofErr w:type="gramEnd"/>
      <w:r w:rsidR="00125F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these,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 and rutile phases</w:t>
      </w:r>
      <w:r w:rsidRPr="00101E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the most fr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equently used, while brookit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</w:t>
      </w:r>
      <w:r w:rsidR="00426C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less interesting for practical applications </w:t>
      </w:r>
      <w:r w:rsidRPr="00101E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due to its lower thermal stab</w:t>
      </w:r>
      <w:r w:rsid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ility and difficult preparation</w:t>
      </w:r>
      <w:r w:rsidR="00426C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Although </w:t>
      </w:r>
      <w:r w:rsidR="00426C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band-gap of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 phase is wider</w:t>
      </w:r>
      <w:r w:rsidR="001A0E2C" w:rsidRPr="000A16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(3.2 </w:t>
      </w:r>
      <w:proofErr w:type="spellStart"/>
      <w:r w:rsidR="001A0E2C" w:rsidRPr="000A16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</w:t>
      </w:r>
      <w:proofErr w:type="spellEnd"/>
      <w:r w:rsidR="001A0E2C" w:rsidRPr="000A16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in comparison to rutile (3.</w:t>
      </w:r>
      <w:r w:rsidR="001A0E2C" w:rsidRPr="009A76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0 </w:t>
      </w:r>
      <w:proofErr w:type="spellStart"/>
      <w:r w:rsidR="001A0E2C" w:rsidRPr="009A76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</w:t>
      </w:r>
      <w:proofErr w:type="spellEnd"/>
      <w:r w:rsidR="001A0E2C" w:rsidRPr="009A76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 anatase is considered to exhibit better photocatalytic</w:t>
      </w:r>
      <w:r w:rsidR="000A1635" w:rsidRPr="009A76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activity due to its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larger </w:t>
      </w:r>
      <w:r w:rsidR="001A0E2C" w:rsidRPr="009A76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surface area and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1A0E2C" w:rsidRPr="009A76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slower recombination </w:t>
      </w:r>
      <w:r w:rsidR="001A0E2C"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process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the </w:t>
      </w:r>
      <w:r w:rsidR="003F0B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charge carriers</w:t>
      </w:r>
      <w:r w:rsidR="00CA3B43"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60514" w:rsidRPr="00C219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6,10,11</w:t>
      </w:r>
      <w:r w:rsidR="00FA60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</w:t>
      </w:r>
      <w:r w:rsidR="001B7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</w:t>
      </w:r>
      <w:r w:rsidR="000A1635" w:rsidRPr="009A76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anatase is thermodynamically metastable and </w:t>
      </w:r>
      <w:r w:rsidR="001B7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irreversibly converts to rutile </w:t>
      </w:r>
      <w:r w:rsidR="000A1635" w:rsidRPr="009A76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 higher temperature</w:t>
      </w:r>
      <w:r w:rsidR="001B74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s.</w:t>
      </w:r>
      <w:r w:rsidR="00426C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426C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phase </w:t>
      </w:r>
      <w:r w:rsidR="00CE52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transition results in a reduction of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E52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photocatalytic activity (due to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E52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formation of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less-</w:t>
      </w:r>
      <w:r w:rsidR="00CE52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active rutile form) and also</w:t>
      </w:r>
      <w:r w:rsidR="00426C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causes undesirable dimensional changes </w:t>
      </w:r>
      <w:r w:rsidR="00CE52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FA60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E52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material</w:t>
      </w:r>
      <w:r w:rsidR="009A76A0" w:rsidRPr="00C219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60514" w:rsidRPr="00C219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12</w:t>
      </w:r>
      <w:r w:rsidR="007E1370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improvement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the </w:t>
      </w:r>
      <w:r w:rsidR="007E1370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thermal stability of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E1370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anatase phase and subsequently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increasing </w:t>
      </w:r>
      <w:r w:rsidR="007E1370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temperature of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anatase-to-</w:t>
      </w:r>
      <w:r w:rsidR="007E1370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rutile phase transformation is particularly important in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high-</w:t>
      </w:r>
      <w:r w:rsidR="007E1370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temperature applications such as </w:t>
      </w:r>
      <w:r w:rsidR="008703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1522F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degradation of toxic </w:t>
      </w:r>
      <w:proofErr w:type="spellStart"/>
      <w:r w:rsidR="0021522F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</w:t>
      </w:r>
      <w:r w:rsidR="0021522F" w:rsidRPr="0021522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x</w:t>
      </w:r>
      <w:proofErr w:type="spellEnd"/>
      <w:r w:rsidR="0021522F" w:rsidRPr="002152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SO</w:t>
      </w:r>
      <w:r w:rsidR="0021522F" w:rsidRPr="0021522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x</w:t>
      </w:r>
      <w:r w:rsidR="0021522F" w:rsidRP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60514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13,14</w:t>
      </w:r>
      <w:proofErr w:type="gramEnd"/>
    </w:p>
    <w:p w:rsidR="00A36578" w:rsidRDefault="00244176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achieve 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better thermal stability of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 phase and thereby inhibit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anatase-to-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rutile phase transformation, different ion dopants (F</w:t>
      </w:r>
      <w:r w:rsidR="001B746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 ̶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Si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4+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Fe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3+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Al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3+</w:t>
      </w:r>
      <w:r w:rsidR="00E766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etc.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added</w:t>
      </w:r>
      <w:proofErr w:type="gramEnd"/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pure TiO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A36578" w:rsidRPr="001C71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 dopants </w:t>
      </w:r>
      <w:r w:rsidR="00E71F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occupy both interstitial and substitutional positions in the TiO</w:t>
      </w:r>
      <w:r w:rsidR="00E71F7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591F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act</w:t>
      </w:r>
      <w:r w:rsidR="00E71F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like a steric barrier to postpone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71F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phase transformation and enhance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71F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thermal stability of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E71F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</w:t>
      </w:r>
      <w:r w:rsidR="00E00FA8" w:rsidRP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60514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1,3,6,</w:t>
      </w:r>
      <w:r w:rsidR="00E71F7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10,</w:t>
      </w:r>
      <w:r w:rsidR="00A60514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13</w:t>
      </w:r>
      <w:r w:rsidR="003A24AE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="00A60514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16</w:t>
      </w:r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</w:t>
      </w:r>
      <w:r w:rsidR="00EF219F" w:rsidRPr="00EF21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hosphate ions can easil</w:t>
      </w:r>
      <w:r w:rsidR="00E71F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 react with uncondensed hydroxyl groups on the surface,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thereby</w:t>
      </w:r>
      <w:r w:rsidR="00EF219F" w:rsidRPr="00EF21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effectively inhibit</w:t>
      </w:r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="00EF219F" w:rsidRPr="00EF21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contacts between the anatase particles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consequently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decelerating </w:t>
      </w:r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growth of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 nanoparticles.</w:t>
      </w:r>
      <w:proofErr w:type="gramEnd"/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rutile </w:t>
      </w:r>
      <w:r w:rsidR="00202344" w:rsidRPr="001457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phase begins to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="00202344" w:rsidRPr="002119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the interface between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02344" w:rsidRPr="002119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anatase nanocrystals 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02344" w:rsidRPr="002119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TiO</w:t>
      </w:r>
      <w:r w:rsidR="00202344" w:rsidRPr="0021198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202344" w:rsidRPr="002119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agglomerates and </w:t>
      </w:r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responsible for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drastic</w:t>
      </w:r>
      <w:r w:rsidR="00145787" w:rsidRPr="002119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increase 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145787" w:rsidRPr="002119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particle size during the phase </w:t>
      </w:r>
      <w:r w:rsidR="00145787" w:rsidRPr="000658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transformation.</w:t>
      </w:r>
      <w:r w:rsidR="00A60514" w:rsidRPr="0006580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1,17,18</w:t>
      </w:r>
      <w:r w:rsidR="00125F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 </w:t>
      </w:r>
      <w:r w:rsidR="003866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keeping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3866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 particles separated at a certain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045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distance, </w:t>
      </w:r>
      <w:r w:rsidR="00211982" w:rsidRPr="002119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phase transformation can be restricted and at the same time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11982" w:rsidRPr="002119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small particle size can be </w:t>
      </w:r>
      <w:r w:rsidR="00211982" w:rsidRP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maintained.</w:t>
      </w:r>
      <w:r w:rsidR="00A60514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1,3,6,16</w:t>
      </w:r>
      <w:proofErr w:type="gramEnd"/>
    </w:p>
    <w:p w:rsidR="00736E8C" w:rsidRPr="00736E8C" w:rsidRDefault="00613A72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sol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-gel technique is one of the most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frequently used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methods 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preparation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TiO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particle size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morphology of the product </w:t>
      </w:r>
      <w:proofErr w:type="gramStart"/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easily controlled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changing the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synthesis parameters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variety of the prepared products, such as thin films, fibers, xerogels, aerogels, powders and dense ceramics, allows very diverse applications. D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ifferent types and amount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dopant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additives </w:t>
      </w:r>
      <w:proofErr w:type="gramStart"/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easily added</w:t>
      </w:r>
      <w:proofErr w:type="gramEnd"/>
      <w:r w:rsidR="00736E8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during the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synthesis.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high degree of homogeneity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the </w:t>
      </w:r>
      <w:r w:rsidR="00736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prepared materials can be achieved in a single or even </w:t>
      </w:r>
      <w:r w:rsidR="001251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multicomponent systems</w:t>
      </w:r>
      <w:r w:rsidR="00736E8C" w:rsidRP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36E8C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7</w:t>
      </w:r>
      <w:proofErr w:type="gramStart"/>
      <w:r w:rsidR="00736E8C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,19,20</w:t>
      </w:r>
      <w:proofErr w:type="gramEnd"/>
    </w:p>
    <w:p w:rsidR="008F444A" w:rsidRDefault="00485F1F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420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Using a powdered catalyst is not favorable for heterogeneous phot</w:t>
      </w:r>
      <w:r w:rsidR="001251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ocatalysis. The problem is its mobility in air and</w:t>
      </w:r>
      <w:r w:rsidRPr="008420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removal from aqueous systems.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avoid</w:t>
      </w:r>
      <w:r w:rsidR="00842099" w:rsidRPr="008420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these problems, powders </w:t>
      </w:r>
      <w:r w:rsidR="001251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often immobilized on </w:t>
      </w:r>
      <w:r w:rsidR="00842099" w:rsidRPr="007119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various substrates</w:t>
      </w:r>
      <w:r w:rsidR="008207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251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example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42099" w:rsidRPr="007119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thin films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can be </w:t>
      </w:r>
      <w:r w:rsidR="007950D0" w:rsidRP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prepared</w:t>
      </w:r>
      <w:r w:rsidR="00842099" w:rsidRP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60514" w:rsidRPr="009C5A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="00125F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25F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</w:t>
      </w:r>
      <w:proofErr w:type="gramEnd"/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advantages </w:t>
      </w:r>
      <w:r w:rsidR="001251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using </w:t>
      </w:r>
      <w:r w:rsidR="00125188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thin films are</w:t>
      </w:r>
      <w:r w:rsidR="007119F6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their </w:t>
      </w:r>
      <w:r w:rsidR="00125188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easy </w:t>
      </w:r>
      <w:r w:rsidR="00613A72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removal </w:t>
      </w:r>
      <w:r w:rsidR="00125188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 the liquid media</w:t>
      </w:r>
      <w:r w:rsidR="007119F6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613A72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119F6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low consumption of raw materials</w:t>
      </w:r>
      <w:r w:rsidR="00613A72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F41BDF" w:rsidRP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Also</w:t>
      </w:r>
      <w:proofErr w:type="gramEnd"/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41BDF" w:rsidRPr="00F41B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</w:t>
      </w:r>
      <w:r w:rsidR="007119F6" w:rsidRPr="00F41B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ery thin and transparent thin films can be prepared </w:t>
      </w:r>
      <w:r w:rsidR="00F41BDF" w:rsidRPr="00F41B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used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C5A63" w:rsidRPr="00F41B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="00F41BDF" w:rsidRPr="00F41B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different</w:t>
      </w:r>
      <w:r w:rsidR="00125188" w:rsidRPr="00F41B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applications, such as self-cleaning</w:t>
      </w:r>
      <w:r w:rsidR="007119F6" w:rsidRPr="002E74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windows</w:t>
      </w:r>
      <w:r w:rsidR="00D92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anti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5E17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fogging mirrors</w:t>
      </w:r>
      <w:r w:rsidR="007119F6" w:rsidRPr="002E74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9E717D" w:rsidRPr="002E74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comparison to powders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thin films </w:t>
      </w:r>
      <w:r w:rsidR="009E717D" w:rsidRPr="002E74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often exhibit different properties. </w:t>
      </w:r>
      <w:r w:rsidR="002E744C" w:rsidRPr="002E74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9E717D" w:rsidRPr="002E74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the present work</w:t>
      </w:r>
      <w:r w:rsid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9E717D" w:rsidRPr="002E74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beside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E717D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influence of doping</w:t>
      </w:r>
      <w:r w:rsidR="009C5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9E717D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 also examined how </w:t>
      </w:r>
      <w:r w:rsidR="002E744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shape of </w:t>
      </w:r>
      <w:r w:rsidR="00F41B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E744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catalyst </w:t>
      </w:r>
      <w:r w:rsidR="002864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its immobilization </w:t>
      </w:r>
      <w:r w:rsidR="00613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influences the anatase-to-</w:t>
      </w:r>
      <w:r w:rsidR="002E744C" w:rsidRPr="00A85A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rutile phase transformation.</w:t>
      </w:r>
    </w:p>
    <w:p w:rsidR="001B261A" w:rsidRPr="001B261A" w:rsidRDefault="001B261A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E0FA6" w:rsidRPr="0067643F" w:rsidRDefault="008F444A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2. Experimental</w:t>
      </w:r>
    </w:p>
    <w:p w:rsidR="008F444A" w:rsidRDefault="00B30B3F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2.1. Chemicals and materials</w:t>
      </w:r>
    </w:p>
    <w:p w:rsidR="005A4263" w:rsidRDefault="00B30B3F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Titanium(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butoxide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citric acid (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≥ 99.5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absolute ethanol (≥</w:t>
      </w:r>
      <w:r w:rsidR="008A1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99.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%) were purchased 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 Sigma Aldrich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Phosphoric acid (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procured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from Alfa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Aesar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All chemicals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used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without </w:t>
      </w:r>
      <w:r w:rsidR="00936F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further purification. Aluminum foil and pure silicon plates </w:t>
      </w:r>
      <w:proofErr w:type="gramStart"/>
      <w:r w:rsidR="00235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used</w:t>
      </w:r>
      <w:proofErr w:type="gramEnd"/>
      <w:r w:rsidR="00235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the substrate</w:t>
      </w:r>
      <w:r w:rsidR="00750C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235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</w:t>
      </w:r>
      <w:r w:rsidR="00750C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35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thin films.</w:t>
      </w:r>
    </w:p>
    <w:p w:rsidR="005A4263" w:rsidRDefault="005A4263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35FAC" w:rsidRDefault="00235FAC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2.2. Synthesis</w:t>
      </w:r>
    </w:p>
    <w:p w:rsidR="00B30B3F" w:rsidRDefault="00BD7CB0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Sols of TiO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TiO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doped with phosphate ions were prepared by dissolving 0.</w:t>
      </w:r>
      <w:r w:rsidR="007B3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01 mol of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citric acid in 20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absolute ethanol. The mixture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stirred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</w:t>
      </w:r>
      <w:r w:rsidR="007B3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magnetic stirrer until all </w:t>
      </w:r>
      <w:r w:rsidR="007B3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acid was dissolved and then 0.01 mol of titanium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butoxide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slowly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added </w:t>
      </w:r>
      <w:r w:rsidR="007B3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solution.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B3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beaker with the </w:t>
      </w:r>
      <w:r w:rsidR="008A1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colloidal solution </w:t>
      </w:r>
      <w:proofErr w:type="gramStart"/>
      <w:r w:rsidR="008A1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closed</w:t>
      </w:r>
      <w:proofErr w:type="gramEnd"/>
      <w:r w:rsidR="008A1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</w:t>
      </w:r>
      <w:proofErr w:type="spellStart"/>
      <w:r w:rsidR="008A1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parafilm</w:t>
      </w:r>
      <w:proofErr w:type="spellEnd"/>
      <w:r w:rsidR="008A1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 stirring was continued for approximately 12 hours.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</w:t>
      </w:r>
      <w:r w:rsidR="007B3B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8A1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were</w:t>
      </w:r>
      <w:r w:rsidR="008A1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stored </w:t>
      </w:r>
      <w:r w:rsidR="00D621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a refrigerator (5 °C) </w:t>
      </w:r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until</w:t>
      </w:r>
      <w:r w:rsidR="009773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further </w:t>
      </w:r>
      <w:r w:rsidR="00D621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</w:t>
      </w:r>
      <w:r w:rsidR="009773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72696" w:rsidRDefault="007B3BD8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the </w:t>
      </w:r>
      <w:r w:rsidR="00BD7C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5726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oped</w:t>
      </w:r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sols</w:t>
      </w:r>
      <w:proofErr w:type="gramEnd"/>
      <w:r w:rsidR="00A2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D7C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5726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 only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difference was the addition of a </w:t>
      </w:r>
      <w:r w:rsidR="005726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different quantity </w:t>
      </w:r>
      <w:r w:rsidR="00B47A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phosphoric acid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the </w:t>
      </w:r>
      <w:r w:rsidR="005726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homogenous </w:t>
      </w:r>
      <w:r w:rsidR="00B47A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solution of citric acid in ethanol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before the addition of the Ti-precursor. </w:t>
      </w:r>
      <w:r w:rsidR="00B47A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Relative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the </w:t>
      </w:r>
      <w:r w:rsidR="00B47A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titanium ions, 5</w:t>
      </w:r>
      <w:r w:rsidR="00470B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gramStart"/>
      <w:r w:rsidR="00470B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mol%</w:t>
      </w:r>
      <w:proofErr w:type="gramEnd"/>
      <w:r w:rsidR="00B47A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10</w:t>
      </w:r>
      <w:r w:rsidR="00415F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470B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mol%</w:t>
      </w:r>
      <w:r w:rsidR="00B47A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15 </w:t>
      </w:r>
      <w:r w:rsidR="00470B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</w:t>
      </w:r>
      <w:r w:rsidR="00B47A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of phosphate ions were added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the </w:t>
      </w:r>
      <w:r w:rsidR="00B47A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solution</w:t>
      </w:r>
      <w:r w:rsidR="00D621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BD7C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6D65A4" w:rsidRDefault="006D65A4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D65A4" w:rsidRDefault="006D65A4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2.3. Preparation of powders and thin films</w:t>
      </w:r>
    </w:p>
    <w:p w:rsidR="006D65A4" w:rsidRDefault="002056A2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preparation of the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powders</w:t>
      </w:r>
      <w:proofErr w:type="gramEnd"/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95D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</w:t>
      </w:r>
      <w:r w:rsidR="00FF69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were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dried in air at room temperature to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produce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xerogels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films </w:t>
      </w:r>
      <w:proofErr w:type="gramStart"/>
      <w:r w:rsidR="00470B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deposited</w:t>
      </w:r>
      <w:proofErr w:type="gramEnd"/>
      <w:r w:rsidR="00B140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dip-coating technique</w:t>
      </w:r>
      <w:r w:rsidR="00895D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</w:t>
      </w:r>
      <w:r w:rsidR="00602A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aluminum</w:t>
      </w:r>
      <w:r w:rsidR="00895D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foil and silicon </w:t>
      </w:r>
      <w:r w:rsidR="00E007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plates</w:t>
      </w:r>
      <w:r w:rsidR="00B140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which </w:t>
      </w:r>
      <w:r w:rsidR="006B10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first cut to appropriate dimension</w:t>
      </w:r>
      <w:r w:rsidR="00FF69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and cleaned </w:t>
      </w:r>
      <w:r w:rsidR="006B10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an ultrasonic 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bath 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in deionized water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140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followed by 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absolute ethanol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6B10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then dried. 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film thickness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es and their homogeneities </w:t>
      </w:r>
      <w:proofErr w:type="gramStart"/>
      <w:r w:rsidR="00C517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controlled</w:t>
      </w:r>
      <w:proofErr w:type="gramEnd"/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using a 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constant </w:t>
      </w:r>
      <w:r w:rsidR="00FF69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pulling velocity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 cm </w:t>
      </w:r>
      <w:r w:rsidR="0015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</w:t>
      </w:r>
      <w:r w:rsidR="00FF695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-1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1572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140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th</w:t>
      </w:r>
      <w:r w:rsidR="00B140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films </w:t>
      </w:r>
      <w:proofErr w:type="gramStart"/>
      <w:r w:rsidR="00B140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dried</w:t>
      </w:r>
      <w:proofErr w:type="gramEnd"/>
      <w:r w:rsidR="00B140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</w:t>
      </w:r>
      <w:r w:rsidR="00C517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air at room temperature. Th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th</w:t>
      </w:r>
      <w:r w:rsidR="00C517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films had </w:t>
      </w:r>
      <w:r w:rsidR="00AF13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good </w:t>
      </w:r>
      <w:r w:rsidR="00C517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adhesive properties and no </w:t>
      </w:r>
      <w:r w:rsidR="00D621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additional </w:t>
      </w:r>
      <w:r w:rsidR="00FF69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surfactant</w:t>
      </w:r>
      <w:r w:rsidR="00496A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C517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needed</w:t>
      </w:r>
      <w:proofErr w:type="gramEnd"/>
      <w:r w:rsidR="00C517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All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517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prepared xerogels and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517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dried thin fi</w:t>
      </w:r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lms </w:t>
      </w:r>
      <w:proofErr w:type="gramStart"/>
      <w:r w:rsidR="00523E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then calcined</w:t>
      </w:r>
      <w:proofErr w:type="gramEnd"/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 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hour </w:t>
      </w:r>
      <w:r w:rsidR="00B140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at </w:t>
      </w:r>
      <w:r w:rsidR="00AD78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400, 500, 600, 700, 800, 900 and 1000 °C. After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D78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calcinations,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D78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powders </w:t>
      </w:r>
      <w:proofErr w:type="gramStart"/>
      <w:r w:rsidR="00AD78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were </w:t>
      </w:r>
      <w:r w:rsidR="008D1B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thoroughly </w:t>
      </w:r>
      <w:r w:rsidR="00AD78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milled</w:t>
      </w:r>
      <w:proofErr w:type="gramEnd"/>
      <w:r w:rsidR="00AD78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</w:t>
      </w:r>
      <w:r w:rsidR="00C72D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</w:t>
      </w:r>
      <w:r w:rsidR="00AD78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D621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gate </w:t>
      </w:r>
      <w:r w:rsidR="00AD78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mortar.</w:t>
      </w:r>
    </w:p>
    <w:p w:rsidR="00AD782B" w:rsidRDefault="00AD782B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D782B" w:rsidRDefault="00AD782B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2.4. Characterization</w:t>
      </w:r>
    </w:p>
    <w:p w:rsidR="00BE06E1" w:rsidRDefault="00BE06E1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thermal analyses of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xerogels and thin films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were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carried out</w:t>
      </w:r>
      <w:proofErr w:type="gramEnd"/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a dynamic air atmosphere with a flow rate of 100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min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-1</w:t>
      </w:r>
      <w:r w:rsidR="008F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Mettler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Toledo TGA/DSC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 thermo analyzer, coupled with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Balzers</w:t>
      </w:r>
      <w:proofErr w:type="spellEnd"/>
      <w:r w:rsidR="00F424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Thermostar</w:t>
      </w:r>
      <w:proofErr w:type="spellEnd"/>
      <w:r w:rsidR="00F424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quadrupole</w:t>
      </w:r>
      <w:proofErr w:type="spellEnd"/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mass spectrometer. Aluminum foil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used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supp</w:t>
      </w:r>
      <w:r w:rsidR="008F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orting material for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8F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thin films.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th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films were cut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small pieces (~2 mm</w:t>
      </w:r>
      <w:r w:rsidR="00CA1A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936FBE">
        <w:rPr>
          <w:rFonts w:ascii="Calibri" w:hAnsi="Calibri" w:cs="Times New Roman"/>
          <w:color w:val="000000" w:themeColor="text1"/>
          <w:sz w:val="24"/>
          <w:szCs w:val="24"/>
          <w:lang w:val="en-US"/>
        </w:rPr>
        <w:t>x</w:t>
      </w:r>
      <w:r w:rsidR="00CA1A45">
        <w:rPr>
          <w:rFonts w:ascii="Calibri" w:hAnsi="Calibri" w:cs="Times New Roman"/>
          <w:color w:val="000000" w:themeColor="text1"/>
          <w:sz w:val="24"/>
          <w:szCs w:val="24"/>
          <w:lang w:val="en-US"/>
        </w:rPr>
        <w:t> </w:t>
      </w:r>
      <w:r w:rsidRP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 mm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and analyzed in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temperature range from room temperature up to 600 °C, while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xerogels were measured up to 800 °C. For all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measurements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150-</w:t>
      </w:r>
      <w:r>
        <w:rPr>
          <w:rFonts w:ascii="Calibri" w:hAnsi="Calibri" w:cs="Times New Roman"/>
          <w:color w:val="000000" w:themeColor="text1"/>
          <w:sz w:val="24"/>
          <w:szCs w:val="24"/>
          <w:lang w:val="en-US"/>
        </w:rPr>
        <w:t>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 platinum crucibles were used. Firstly,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samples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purged with a</w:t>
      </w:r>
      <w:r w:rsidR="008F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 at 25 °C for 20 min and then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heated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 K min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-1</w:t>
      </w:r>
      <w:proofErr w:type="gramEnd"/>
      <w:r w:rsidR="008F01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gas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products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transferred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0806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mass spectrometer through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quartz capillary heated to 190 °C. The baseline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subtracted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 </w:t>
      </w:r>
      <w:r w:rsidR="00B409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samples.</w:t>
      </w:r>
    </w:p>
    <w:p w:rsidR="00AD782B" w:rsidRDefault="005A41B3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X-ray diffraction (X</w:t>
      </w:r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RD) patterns were recorded on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</w:t>
      </w:r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PANalyti</w:t>
      </w:r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</w:t>
      </w:r>
      <w:proofErr w:type="spellEnd"/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X`Pert</w:t>
      </w:r>
      <w:proofErr w:type="spellEnd"/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 diffractometer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monochromatic Cu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Kα</w:t>
      </w:r>
      <w:proofErr w:type="spellEnd"/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radiation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Measurements of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heat-treated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powders were recorded from 2θ = 15° to 60° with a step of 0.034 degrees per second and 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integration time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100 s.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Thin films were recorded from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2θ = 23° to 30°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</w:t>
      </w:r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step </w:t>
      </w:r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0.034 degrees per second and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integration time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500 s. For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XRD analysis</w:t>
      </w:r>
      <w:r w:rsidR="00B104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424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silicon plates </w:t>
      </w:r>
      <w:proofErr w:type="gramStart"/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were </w:t>
      </w:r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used</w:t>
      </w:r>
      <w:proofErr w:type="gramEnd"/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support for </w:t>
      </w:r>
      <w:r w:rsidR="00F04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thin films since </w:t>
      </w:r>
      <w:r w:rsidR="00D40F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silicon 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does not have any</w:t>
      </w:r>
      <w:r w:rsidR="00B104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peaks in </w:t>
      </w:r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B104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2θ measuring range</w:t>
      </w:r>
      <w:r w:rsidR="008D7F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8D7F95" w:rsidRDefault="00541C80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Scanning electron microscope (SEM) i</w:t>
      </w:r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mages of the samples </w:t>
      </w:r>
      <w:proofErr w:type="gramStart"/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taken</w:t>
      </w:r>
      <w:proofErr w:type="gramEnd"/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a </w:t>
      </w:r>
      <w:proofErr w:type="spellStart"/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Zeiss</w:t>
      </w:r>
      <w:proofErr w:type="spellEnd"/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Ultra Plus field-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emission scanning electron microscope. A small amount of powders and appropriate</w:t>
      </w:r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cut thin films on silicon plates (~5 mm</w:t>
      </w:r>
      <w:r w:rsidR="009F29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936FBE">
        <w:rPr>
          <w:rFonts w:ascii="Calibri" w:hAnsi="Calibri" w:cs="Times New Roman"/>
          <w:color w:val="000000" w:themeColor="text1"/>
          <w:sz w:val="24"/>
          <w:szCs w:val="24"/>
          <w:lang w:val="en-US"/>
        </w:rPr>
        <w:t>x</w:t>
      </w:r>
      <w:r w:rsidR="009F29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 mm) </w:t>
      </w:r>
      <w:proofErr w:type="gramStart"/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attached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carbon tape </w:t>
      </w:r>
      <w:r w:rsidR="00BE61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</w:t>
      </w:r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E61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metal holders. 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electric</w:t>
      </w:r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conductivity of t</w:t>
      </w:r>
      <w:r w:rsidR="00F61A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itanium dioxide is </w:t>
      </w:r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sufficient</w:t>
      </w:r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F61A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therefore</w:t>
      </w:r>
      <w:r w:rsidR="00170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61A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sputtering with</w:t>
      </w:r>
      <w:r w:rsidR="00F424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266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conductive material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not needed</w:t>
      </w:r>
      <w:proofErr w:type="gramEnd"/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26649" w:rsidRDefault="00170FE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elemental </w:t>
      </w:r>
      <w:r w:rsidR="00A65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composit</w:t>
      </w:r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A65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 and t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</w:t>
      </w:r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distribution </w:t>
      </w:r>
      <w:r w:rsidR="00BE06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elements </w:t>
      </w:r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977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samples were</w:t>
      </w:r>
      <w:r w:rsidR="00A65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determined using energy-dispersive X-ray spectroscopy (EDS) </w:t>
      </w:r>
      <w:r w:rsidR="009F29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coupled</w:t>
      </w:r>
      <w:r w:rsidR="00A65F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SEM.</w:t>
      </w:r>
    </w:p>
    <w:p w:rsidR="00520E4C" w:rsidRDefault="00520E4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</w:p>
    <w:p w:rsidR="004C07B4" w:rsidRDefault="004C07B4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3. Results and Discussion</w:t>
      </w:r>
    </w:p>
    <w:p w:rsidR="00721598" w:rsidRDefault="004369CB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3.1</w:t>
      </w:r>
      <w:r w:rsidR="0072159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 Thermal Analysis</w:t>
      </w:r>
    </w:p>
    <w:p w:rsidR="004E731B" w:rsidRPr="002E0C96" w:rsidRDefault="00090AF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3B7987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 thermal decomposition of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174D4" w:rsidRPr="00AA5109">
        <w:rPr>
          <w:rFonts w:ascii="Times New Roman" w:hAnsi="Times New Roman" w:cs="Times New Roman"/>
          <w:sz w:val="24"/>
          <w:szCs w:val="24"/>
          <w:lang w:val="en-GB"/>
        </w:rPr>
        <w:t>xerogels and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4174D4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 thin films</w:t>
      </w:r>
      <w:r w:rsidR="003B7987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 was investigated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using </w:t>
      </w:r>
      <w:r w:rsidR="003B7987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thermal analysis.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The mass </w:t>
      </w:r>
      <w:r w:rsidR="00644081">
        <w:rPr>
          <w:rFonts w:ascii="Times New Roman" w:hAnsi="Times New Roman" w:cs="Times New Roman"/>
          <w:sz w:val="24"/>
          <w:szCs w:val="24"/>
          <w:lang w:val="en-GB"/>
        </w:rPr>
        <w:t>losses</w:t>
      </w:r>
      <w:r w:rsidR="00D921B3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, exothermic and endothermic changes of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921B3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samples during the thermal treatment were measured </w:t>
      </w:r>
      <w:r w:rsidR="004174D4" w:rsidRPr="00AA5109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21B3" w:rsidRPr="00AA5109">
        <w:rPr>
          <w:rFonts w:ascii="Times New Roman" w:hAnsi="Times New Roman" w:cs="Times New Roman"/>
          <w:sz w:val="24"/>
          <w:szCs w:val="24"/>
          <w:lang w:val="en-GB"/>
        </w:rPr>
        <w:t>thermogravimetric analysis (TG) and differential scanning calorimetry (DSC)</w:t>
      </w:r>
      <w:r w:rsidR="004174D4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. For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174D4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qualitative analysis of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174D4" w:rsidRPr="00AA5109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eleased gases and to facilitate an </w:t>
      </w:r>
      <w:r w:rsidR="004174D4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understanding of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174D4" w:rsidRPr="00AA5109">
        <w:rPr>
          <w:rFonts w:ascii="Times New Roman" w:hAnsi="Times New Roman" w:cs="Times New Roman"/>
          <w:sz w:val="24"/>
          <w:szCs w:val="24"/>
          <w:lang w:val="en-GB"/>
        </w:rPr>
        <w:t>thermal decomposition</w:t>
      </w:r>
      <w:r w:rsidR="004E731B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E0C96">
        <w:rPr>
          <w:rFonts w:ascii="Times New Roman" w:hAnsi="Times New Roman" w:cs="Times New Roman"/>
          <w:sz w:val="24"/>
          <w:szCs w:val="24"/>
          <w:lang w:val="en-GB"/>
        </w:rPr>
        <w:t>mass spectrometry (MS)</w:t>
      </w:r>
      <w:r w:rsidR="004E731B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 was</w:t>
      </w:r>
      <w:r w:rsidR="00FC5BB6">
        <w:rPr>
          <w:rFonts w:ascii="Times New Roman" w:hAnsi="Times New Roman" w:cs="Times New Roman"/>
          <w:sz w:val="24"/>
          <w:szCs w:val="24"/>
          <w:lang w:val="en-GB"/>
        </w:rPr>
        <w:t xml:space="preserve"> also</w:t>
      </w:r>
      <w:r w:rsidR="004E731B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 used.</w:t>
      </w:r>
      <w:r w:rsidR="002335D1">
        <w:rPr>
          <w:rFonts w:ascii="Times New Roman" w:hAnsi="Times New Roman" w:cs="Times New Roman"/>
          <w:sz w:val="24"/>
          <w:szCs w:val="24"/>
          <w:lang w:val="en-GB"/>
        </w:rPr>
        <w:t xml:space="preserve"> DSC analysis was also used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>to determine the</w:t>
      </w:r>
      <w:r w:rsidR="002335D1">
        <w:rPr>
          <w:rFonts w:ascii="Times New Roman" w:hAnsi="Times New Roman" w:cs="Times New Roman"/>
          <w:sz w:val="24"/>
          <w:szCs w:val="24"/>
          <w:lang w:val="en-GB"/>
        </w:rPr>
        <w:t xml:space="preserve"> temperature where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>the anatase-to-</w:t>
      </w:r>
      <w:r w:rsidR="002335D1">
        <w:rPr>
          <w:rFonts w:ascii="Times New Roman" w:hAnsi="Times New Roman" w:cs="Times New Roman"/>
          <w:sz w:val="24"/>
          <w:szCs w:val="24"/>
          <w:lang w:val="en-GB"/>
        </w:rPr>
        <w:t>rutile phase transition took place.</w:t>
      </w:r>
      <w:r w:rsidR="00C27E4E">
        <w:rPr>
          <w:rFonts w:ascii="Times New Roman" w:hAnsi="Times New Roman" w:cs="Times New Roman"/>
          <w:sz w:val="24"/>
          <w:szCs w:val="24"/>
          <w:lang w:val="en-GB"/>
        </w:rPr>
        <w:t xml:space="preserve"> This phenomenon is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very hard</w:t>
      </w:r>
      <w:r w:rsidR="00C27E4E">
        <w:rPr>
          <w:rFonts w:ascii="Times New Roman" w:hAnsi="Times New Roman" w:cs="Times New Roman"/>
          <w:sz w:val="24"/>
          <w:szCs w:val="24"/>
          <w:lang w:val="en-GB"/>
        </w:rPr>
        <w:t xml:space="preserve"> to detect for at least two reasons. One reason is a very small exothermic effect that accompanies this phase transformation and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747CB">
        <w:rPr>
          <w:rFonts w:ascii="Times New Roman" w:hAnsi="Times New Roman" w:cs="Times New Roman"/>
          <w:sz w:val="24"/>
          <w:szCs w:val="24"/>
          <w:lang w:val="en-GB"/>
        </w:rPr>
        <w:t>other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7E4E">
        <w:rPr>
          <w:rFonts w:ascii="Times New Roman" w:hAnsi="Times New Roman" w:cs="Times New Roman"/>
          <w:sz w:val="24"/>
          <w:szCs w:val="24"/>
          <w:lang w:val="en-GB"/>
        </w:rPr>
        <w:t>its position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747CB">
        <w:rPr>
          <w:rFonts w:ascii="Times New Roman" w:hAnsi="Times New Roman" w:cs="Times New Roman"/>
          <w:sz w:val="24"/>
          <w:szCs w:val="24"/>
          <w:lang w:val="en-GB"/>
        </w:rPr>
        <w:t xml:space="preserve"> which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47CB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C27E4E">
        <w:rPr>
          <w:rFonts w:ascii="Times New Roman" w:hAnsi="Times New Roman" w:cs="Times New Roman"/>
          <w:sz w:val="24"/>
          <w:szCs w:val="24"/>
          <w:lang w:val="en-GB"/>
        </w:rPr>
        <w:t xml:space="preserve">highly dependent on the selected synthesis method and </w:t>
      </w:r>
      <w:r w:rsidR="00E248F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27E4E">
        <w:rPr>
          <w:rFonts w:ascii="Times New Roman" w:hAnsi="Times New Roman" w:cs="Times New Roman"/>
          <w:sz w:val="24"/>
          <w:szCs w:val="24"/>
          <w:lang w:val="en-GB"/>
        </w:rPr>
        <w:t>experimental parameters.</w:t>
      </w:r>
      <w:r w:rsidR="002E0C9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21</w:t>
      </w:r>
    </w:p>
    <w:p w:rsidR="004369CB" w:rsidRDefault="00F424E6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Fig. </w:t>
      </w:r>
      <w:r w:rsidR="004369CB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shows the </w:t>
      </w:r>
      <w:r w:rsidR="00AA5109">
        <w:rPr>
          <w:rFonts w:ascii="Times New Roman" w:hAnsi="Times New Roman" w:cs="Times New Roman"/>
          <w:sz w:val="24"/>
          <w:szCs w:val="24"/>
          <w:lang w:val="en-GB"/>
        </w:rPr>
        <w:t>results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of the thermal decomposition</w:t>
      </w:r>
      <w:r w:rsidR="00AA5109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33DD9">
        <w:rPr>
          <w:rFonts w:ascii="Times New Roman" w:hAnsi="Times New Roman" w:cs="Times New Roman"/>
          <w:sz w:val="24"/>
          <w:szCs w:val="24"/>
          <w:lang w:val="en-GB"/>
        </w:rPr>
        <w:t>undoped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3176C">
        <w:rPr>
          <w:rFonts w:ascii="Times New Roman" w:hAnsi="Times New Roman" w:cs="Times New Roman"/>
          <w:sz w:val="24"/>
          <w:szCs w:val="24"/>
          <w:lang w:val="en-GB"/>
        </w:rPr>
        <w:t>xerogel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sample</w:t>
      </w:r>
      <w:r w:rsidR="00AA510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33DD9">
        <w:rPr>
          <w:rFonts w:ascii="Times New Roman" w:hAnsi="Times New Roman" w:cs="Times New Roman"/>
          <w:sz w:val="24"/>
          <w:szCs w:val="24"/>
          <w:lang w:val="en-GB"/>
        </w:rPr>
        <w:t xml:space="preserve">hree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distinct</w:t>
      </w:r>
      <w:r w:rsidR="00833DD9">
        <w:rPr>
          <w:rFonts w:ascii="Times New Roman" w:hAnsi="Times New Roman" w:cs="Times New Roman"/>
          <w:sz w:val="24"/>
          <w:szCs w:val="24"/>
          <w:lang w:val="en-GB"/>
        </w:rPr>
        <w:t xml:space="preserve"> steps</w:t>
      </w:r>
      <w:r w:rsidR="00FC5BB6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mass loss </w:t>
      </w:r>
      <w:r w:rsidR="00FC5BB6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observed</w:t>
      </w:r>
      <w:r w:rsidR="00833DD9">
        <w:rPr>
          <w:rFonts w:ascii="Times New Roman" w:hAnsi="Times New Roman" w:cs="Times New Roman"/>
          <w:sz w:val="24"/>
          <w:szCs w:val="24"/>
          <w:lang w:val="en-GB"/>
        </w:rPr>
        <w:t xml:space="preserve">. In the first </w:t>
      </w:r>
      <w:r w:rsidR="000562E3">
        <w:rPr>
          <w:rFonts w:ascii="Times New Roman" w:hAnsi="Times New Roman" w:cs="Times New Roman"/>
          <w:sz w:val="24"/>
          <w:szCs w:val="24"/>
          <w:lang w:val="en-GB"/>
        </w:rPr>
        <w:t>step between room temperature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35079">
        <w:rPr>
          <w:rFonts w:ascii="Times New Roman" w:hAnsi="Times New Roman" w:cs="Times New Roman"/>
          <w:sz w:val="24"/>
          <w:szCs w:val="24"/>
          <w:lang w:val="en-GB"/>
        </w:rPr>
        <w:t>150 °C the weight loss was 7.5</w:t>
      </w:r>
      <w:r w:rsidR="000562E3">
        <w:rPr>
          <w:rFonts w:ascii="Times New Roman" w:hAnsi="Times New Roman" w:cs="Times New Roman"/>
          <w:sz w:val="24"/>
          <w:szCs w:val="24"/>
          <w:lang w:val="en-GB"/>
        </w:rPr>
        <w:t xml:space="preserve">%, corresponding to </w:t>
      </w:r>
      <w:r w:rsidR="0043176C">
        <w:rPr>
          <w:rFonts w:ascii="Times New Roman" w:hAnsi="Times New Roman" w:cs="Times New Roman"/>
          <w:sz w:val="24"/>
          <w:szCs w:val="24"/>
          <w:lang w:val="en-GB"/>
        </w:rPr>
        <w:t>water</w:t>
      </w:r>
      <w:r w:rsidR="000562E3">
        <w:rPr>
          <w:rFonts w:ascii="Times New Roman" w:hAnsi="Times New Roman" w:cs="Times New Roman"/>
          <w:sz w:val="24"/>
          <w:szCs w:val="24"/>
          <w:lang w:val="en-GB"/>
        </w:rPr>
        <w:t xml:space="preserve"> and ethanol evaporation</w:t>
      </w:r>
      <w:r w:rsidR="007C63E6">
        <w:rPr>
          <w:rFonts w:ascii="Times New Roman" w:hAnsi="Times New Roman" w:cs="Times New Roman"/>
          <w:sz w:val="24"/>
          <w:szCs w:val="24"/>
          <w:lang w:val="en-GB"/>
        </w:rPr>
        <w:t xml:space="preserve"> (m/z 18 and 46)</w:t>
      </w:r>
      <w:r w:rsidR="000562E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B1BCE">
        <w:rPr>
          <w:rFonts w:ascii="Times New Roman" w:hAnsi="Times New Roman" w:cs="Times New Roman"/>
          <w:sz w:val="24"/>
          <w:szCs w:val="24"/>
          <w:lang w:val="en-GB"/>
        </w:rPr>
        <w:t>Water evaporation</w:t>
      </w:r>
      <w:r w:rsidR="00AA2BEB">
        <w:rPr>
          <w:rFonts w:ascii="Times New Roman" w:hAnsi="Times New Roman" w:cs="Times New Roman"/>
          <w:sz w:val="24"/>
          <w:szCs w:val="24"/>
          <w:lang w:val="en-GB"/>
        </w:rPr>
        <w:t xml:space="preserve"> also took place at the</w:t>
      </w:r>
      <w:r w:rsidR="003B1BCE">
        <w:rPr>
          <w:rFonts w:ascii="Times New Roman" w:hAnsi="Times New Roman" w:cs="Times New Roman"/>
          <w:sz w:val="24"/>
          <w:szCs w:val="24"/>
          <w:lang w:val="en-GB"/>
        </w:rPr>
        <w:t xml:space="preserve"> beginning of the following step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A2BEB">
        <w:rPr>
          <w:rFonts w:ascii="Times New Roman" w:hAnsi="Times New Roman" w:cs="Times New Roman"/>
          <w:sz w:val="24"/>
          <w:szCs w:val="24"/>
          <w:lang w:val="en-GB"/>
        </w:rPr>
        <w:t xml:space="preserve">mass loss, </w:t>
      </w:r>
      <w:r w:rsidR="003B1BCE">
        <w:rPr>
          <w:rFonts w:ascii="Times New Roman" w:hAnsi="Times New Roman" w:cs="Times New Roman"/>
          <w:sz w:val="24"/>
          <w:szCs w:val="24"/>
          <w:lang w:val="en-GB"/>
        </w:rPr>
        <w:t>which is evident from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1BCE">
        <w:rPr>
          <w:rFonts w:ascii="Times New Roman" w:hAnsi="Times New Roman" w:cs="Times New Roman"/>
          <w:sz w:val="24"/>
          <w:szCs w:val="24"/>
          <w:lang w:val="en-GB"/>
        </w:rPr>
        <w:t>endothermic minimum</w:t>
      </w:r>
      <w:r w:rsidR="00AA2BEB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A2BEB">
        <w:rPr>
          <w:rFonts w:ascii="Times New Roman" w:hAnsi="Times New Roman" w:cs="Times New Roman"/>
          <w:sz w:val="24"/>
          <w:szCs w:val="24"/>
          <w:lang w:val="en-GB"/>
        </w:rPr>
        <w:t xml:space="preserve">DSC curve.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In t</w:t>
      </w:r>
      <w:r w:rsidR="0043176C">
        <w:rPr>
          <w:rFonts w:ascii="Times New Roman" w:hAnsi="Times New Roman" w:cs="Times New Roman"/>
          <w:sz w:val="24"/>
          <w:szCs w:val="24"/>
          <w:lang w:val="en-GB"/>
        </w:rPr>
        <w:t>he second step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7D6E">
        <w:rPr>
          <w:rFonts w:ascii="Times New Roman" w:hAnsi="Times New Roman" w:cs="Times New Roman"/>
          <w:sz w:val="24"/>
          <w:szCs w:val="24"/>
          <w:lang w:val="en-GB"/>
        </w:rPr>
        <w:t>from 150 °C to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around 370 °C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the mass decreases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approximately 46%</w:t>
      </w:r>
      <w:r w:rsidR="00757D6E">
        <w:rPr>
          <w:rFonts w:ascii="Times New Roman" w:hAnsi="Times New Roman" w:cs="Times New Roman"/>
          <w:sz w:val="24"/>
          <w:szCs w:val="24"/>
          <w:lang w:val="en-GB"/>
        </w:rPr>
        <w:t xml:space="preserve"> and the </w:t>
      </w:r>
      <w:r w:rsidR="0043176C">
        <w:rPr>
          <w:rFonts w:ascii="Times New Roman" w:hAnsi="Times New Roman" w:cs="Times New Roman"/>
          <w:sz w:val="24"/>
          <w:szCs w:val="24"/>
          <w:lang w:val="en-GB"/>
        </w:rPr>
        <w:t>third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step </w:t>
      </w:r>
      <w:r w:rsidR="00757D6E">
        <w:rPr>
          <w:rFonts w:ascii="Times New Roman" w:hAnsi="Times New Roman" w:cs="Times New Roman"/>
          <w:sz w:val="24"/>
          <w:szCs w:val="24"/>
          <w:lang w:val="en-GB"/>
        </w:rPr>
        <w:t xml:space="preserve">continued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up to 530 °C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with</w:t>
      </w:r>
      <w:r w:rsidR="00AA2BEB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mass loss </w:t>
      </w:r>
      <w:r w:rsidR="00AA2BEB">
        <w:rPr>
          <w:rFonts w:ascii="Times New Roman" w:hAnsi="Times New Roman" w:cs="Times New Roman"/>
          <w:sz w:val="24"/>
          <w:szCs w:val="24"/>
          <w:lang w:val="en-GB"/>
        </w:rPr>
        <w:t>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approximately 18%</w:t>
      </w:r>
      <w:r w:rsidR="00757D6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3176C">
        <w:rPr>
          <w:rFonts w:ascii="Times New Roman" w:hAnsi="Times New Roman" w:cs="Times New Roman"/>
          <w:sz w:val="24"/>
          <w:szCs w:val="24"/>
          <w:lang w:val="en-GB"/>
        </w:rPr>
        <w:t>he last two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steps of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mass loss are associated with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1BCE">
        <w:rPr>
          <w:rFonts w:ascii="Times New Roman" w:hAnsi="Times New Roman" w:cs="Times New Roman"/>
          <w:sz w:val="24"/>
          <w:szCs w:val="24"/>
          <w:lang w:val="en-GB"/>
        </w:rPr>
        <w:t xml:space="preserve">decomposition and </w:t>
      </w:r>
      <w:r w:rsidR="00FB7C25">
        <w:rPr>
          <w:rFonts w:ascii="Times New Roman" w:hAnsi="Times New Roman" w:cs="Times New Roman"/>
          <w:sz w:val="24"/>
          <w:szCs w:val="24"/>
          <w:lang w:val="en-GB"/>
        </w:rPr>
        <w:t xml:space="preserve">oxidation of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B7C25">
        <w:rPr>
          <w:rFonts w:ascii="Times New Roman" w:hAnsi="Times New Roman" w:cs="Times New Roman"/>
          <w:sz w:val="24"/>
          <w:szCs w:val="24"/>
          <w:lang w:val="en-GB"/>
        </w:rPr>
        <w:t xml:space="preserve">organic compounds (residues of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B7C25">
        <w:rPr>
          <w:rFonts w:ascii="Times New Roman" w:hAnsi="Times New Roman" w:cs="Times New Roman"/>
          <w:sz w:val="24"/>
          <w:szCs w:val="24"/>
          <w:lang w:val="en-GB"/>
        </w:rPr>
        <w:t>citric ac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id and </w:t>
      </w:r>
      <w:proofErr w:type="spellStart"/>
      <w:r w:rsidR="0080065A">
        <w:rPr>
          <w:rFonts w:ascii="Times New Roman" w:hAnsi="Times New Roman" w:cs="Times New Roman"/>
          <w:sz w:val="24"/>
          <w:szCs w:val="24"/>
          <w:lang w:val="en-GB"/>
        </w:rPr>
        <w:t>butoxide</w:t>
      </w:r>
      <w:proofErr w:type="spellEnd"/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groups)</w:t>
      </w:r>
      <w:r w:rsidR="00FB7C25">
        <w:rPr>
          <w:rFonts w:ascii="Times New Roman" w:hAnsi="Times New Roman" w:cs="Times New Roman"/>
          <w:sz w:val="24"/>
          <w:szCs w:val="24"/>
          <w:lang w:val="en-GB"/>
        </w:rPr>
        <w:t xml:space="preserve">, which is also </w:t>
      </w:r>
      <w:r w:rsidR="003B1BCE">
        <w:rPr>
          <w:rFonts w:ascii="Times New Roman" w:hAnsi="Times New Roman" w:cs="Times New Roman"/>
          <w:sz w:val="24"/>
          <w:szCs w:val="24"/>
          <w:lang w:val="en-GB"/>
        </w:rPr>
        <w:t xml:space="preserve">supported </w:t>
      </w:r>
      <w:r w:rsidR="00FB7C25">
        <w:rPr>
          <w:rFonts w:ascii="Times New Roman" w:hAnsi="Times New Roman" w:cs="Times New Roman"/>
          <w:sz w:val="24"/>
          <w:szCs w:val="24"/>
          <w:lang w:val="en-GB"/>
        </w:rPr>
        <w:t xml:space="preserve">by the peaks of the alkyl fragments, </w:t>
      </w:r>
      <w:r w:rsidR="003B1BCE">
        <w:rPr>
          <w:rFonts w:ascii="Times New Roman" w:hAnsi="Times New Roman" w:cs="Times New Roman"/>
          <w:sz w:val="24"/>
          <w:szCs w:val="24"/>
          <w:lang w:val="en-GB"/>
        </w:rPr>
        <w:t>carbon dioxide</w:t>
      </w:r>
      <w:r w:rsidR="00FB7C25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974DCA">
        <w:rPr>
          <w:rFonts w:ascii="Times New Roman" w:hAnsi="Times New Roman" w:cs="Times New Roman"/>
          <w:sz w:val="24"/>
          <w:szCs w:val="24"/>
          <w:lang w:val="en-GB"/>
        </w:rPr>
        <w:t>water</w:t>
      </w:r>
      <w:r w:rsidR="00FB7C25">
        <w:rPr>
          <w:rFonts w:ascii="Times New Roman" w:hAnsi="Times New Roman" w:cs="Times New Roman"/>
          <w:sz w:val="24"/>
          <w:szCs w:val="24"/>
          <w:lang w:val="en-GB"/>
        </w:rPr>
        <w:t xml:space="preserve"> from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B7C25">
        <w:rPr>
          <w:rFonts w:ascii="Times New Roman" w:hAnsi="Times New Roman" w:cs="Times New Roman"/>
          <w:sz w:val="24"/>
          <w:szCs w:val="24"/>
          <w:lang w:val="en-GB"/>
        </w:rPr>
        <w:t>MS signals</w:t>
      </w:r>
      <w:r w:rsidR="00517F58">
        <w:rPr>
          <w:rFonts w:ascii="Times New Roman" w:hAnsi="Times New Roman" w:cs="Times New Roman"/>
          <w:sz w:val="24"/>
          <w:szCs w:val="24"/>
          <w:lang w:val="en-GB"/>
        </w:rPr>
        <w:t>. The total mass l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>oss of the sample is</w:t>
      </w:r>
      <w:r w:rsidR="00135079">
        <w:rPr>
          <w:rFonts w:ascii="Times New Roman" w:hAnsi="Times New Roman" w:cs="Times New Roman"/>
          <w:sz w:val="24"/>
          <w:szCs w:val="24"/>
          <w:lang w:val="en-GB"/>
        </w:rPr>
        <w:t xml:space="preserve"> around 72</w:t>
      </w:r>
      <w:r w:rsidR="00517F58">
        <w:rPr>
          <w:rFonts w:ascii="Times New Roman" w:hAnsi="Times New Roman" w:cs="Times New Roman"/>
          <w:sz w:val="24"/>
          <w:szCs w:val="24"/>
          <w:lang w:val="en-GB"/>
        </w:rPr>
        <w:t>%</w:t>
      </w:r>
      <w:r w:rsidR="00A24DF2">
        <w:rPr>
          <w:rFonts w:ascii="Times New Roman" w:hAnsi="Times New Roman" w:cs="Times New Roman"/>
          <w:sz w:val="24"/>
          <w:szCs w:val="24"/>
          <w:lang w:val="en-GB"/>
        </w:rPr>
        <w:t>. No exothermic peak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517F58">
        <w:rPr>
          <w:rFonts w:ascii="Times New Roman" w:hAnsi="Times New Roman" w:cs="Times New Roman"/>
          <w:sz w:val="24"/>
          <w:szCs w:val="24"/>
          <w:lang w:val="en-GB"/>
        </w:rPr>
        <w:t xml:space="preserve">could represent </w:t>
      </w:r>
      <w:r w:rsidR="00BD4160">
        <w:rPr>
          <w:rFonts w:ascii="Times New Roman" w:hAnsi="Times New Roman" w:cs="Times New Roman"/>
          <w:sz w:val="24"/>
          <w:szCs w:val="24"/>
          <w:lang w:val="en-GB"/>
        </w:rPr>
        <w:t>the anatase-to-</w:t>
      </w:r>
      <w:r w:rsidR="00FA7A70">
        <w:rPr>
          <w:rFonts w:ascii="Times New Roman" w:hAnsi="Times New Roman" w:cs="Times New Roman"/>
          <w:sz w:val="24"/>
          <w:szCs w:val="24"/>
          <w:lang w:val="en-GB"/>
        </w:rPr>
        <w:t>rutile pha</w:t>
      </w:r>
      <w:r w:rsidR="00A24DF2">
        <w:rPr>
          <w:rFonts w:ascii="Times New Roman" w:hAnsi="Times New Roman" w:cs="Times New Roman"/>
          <w:sz w:val="24"/>
          <w:szCs w:val="24"/>
          <w:lang w:val="en-GB"/>
        </w:rPr>
        <w:t>se transition</w:t>
      </w:r>
      <w:r w:rsidR="0080065A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FA7A70">
        <w:rPr>
          <w:rFonts w:ascii="Times New Roman" w:hAnsi="Times New Roman" w:cs="Times New Roman"/>
          <w:sz w:val="24"/>
          <w:szCs w:val="24"/>
          <w:lang w:val="en-GB"/>
        </w:rPr>
        <w:t xml:space="preserve"> observed.</w:t>
      </w:r>
    </w:p>
    <w:p w:rsidR="00FA7A70" w:rsidRPr="00FA7A70" w:rsidRDefault="0080065A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F4C34" w:rsidRPr="00AA5109">
        <w:rPr>
          <w:rFonts w:ascii="Times New Roman" w:hAnsi="Times New Roman" w:cs="Times New Roman"/>
          <w:sz w:val="24"/>
          <w:szCs w:val="24"/>
          <w:lang w:val="en-GB"/>
        </w:rPr>
        <w:t xml:space="preserve">thermal decomposition of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F4C34">
        <w:rPr>
          <w:rFonts w:ascii="Times New Roman" w:hAnsi="Times New Roman" w:cs="Times New Roman"/>
          <w:sz w:val="24"/>
          <w:szCs w:val="24"/>
          <w:lang w:val="en-GB"/>
        </w:rPr>
        <w:t xml:space="preserve">doped samples is comparable to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F4C34">
        <w:rPr>
          <w:rFonts w:ascii="Times New Roman" w:hAnsi="Times New Roman" w:cs="Times New Roman"/>
          <w:sz w:val="24"/>
          <w:szCs w:val="24"/>
          <w:lang w:val="en-GB"/>
        </w:rPr>
        <w:t>undoped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sample </w:t>
      </w:r>
      <w:r w:rsidR="00FF4C34">
        <w:rPr>
          <w:rFonts w:ascii="Times New Roman" w:hAnsi="Times New Roman" w:cs="Times New Roman"/>
          <w:sz w:val="24"/>
          <w:szCs w:val="24"/>
          <w:lang w:val="en-GB"/>
        </w:rPr>
        <w:t>(Fig. </w:t>
      </w:r>
      <w:r w:rsidR="004369C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). The first and </w:t>
      </w:r>
      <w:r w:rsidR="00FF4C3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>econd step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>thermal decompo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sition of all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samples occur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FF4C34">
        <w:rPr>
          <w:rFonts w:ascii="Times New Roman" w:hAnsi="Times New Roman" w:cs="Times New Roman"/>
          <w:sz w:val="24"/>
          <w:szCs w:val="24"/>
          <w:lang w:val="en-GB"/>
        </w:rPr>
        <w:t xml:space="preserve"> the same temperature range and </w:t>
      </w:r>
      <w:r>
        <w:rPr>
          <w:rFonts w:ascii="Times New Roman" w:hAnsi="Times New Roman" w:cs="Times New Roman"/>
          <w:sz w:val="24"/>
          <w:szCs w:val="24"/>
          <w:lang w:val="en-GB"/>
        </w:rPr>
        <w:t>show almost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 xml:space="preserve"> identical mass loss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>es,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regardless </w:t>
      </w:r>
      <w:r w:rsidR="004C25BF">
        <w:rPr>
          <w:rFonts w:ascii="Times New Roman" w:hAnsi="Times New Roman" w:cs="Times New Roman"/>
          <w:sz w:val="24"/>
          <w:szCs w:val="24"/>
          <w:lang w:val="en-GB"/>
        </w:rPr>
        <w:t>of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quantity of phosphate ions added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 xml:space="preserve"> (overlapping TG curves). The only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observed 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 xml:space="preserve">difference </w:t>
      </w:r>
      <w:r w:rsidR="004F2248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 xml:space="preserve"> in the last stage of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F2248">
        <w:rPr>
          <w:rFonts w:ascii="Times New Roman" w:hAnsi="Times New Roman" w:cs="Times New Roman"/>
          <w:sz w:val="24"/>
          <w:szCs w:val="24"/>
          <w:lang w:val="en-GB"/>
        </w:rPr>
        <w:t xml:space="preserve">thermal 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>decomposition</w:t>
      </w:r>
      <w:r w:rsidR="004F2248">
        <w:rPr>
          <w:rFonts w:ascii="Times New Roman" w:hAnsi="Times New Roman" w:cs="Times New Roman"/>
          <w:sz w:val="24"/>
          <w:szCs w:val="24"/>
          <w:lang w:val="en-GB"/>
        </w:rPr>
        <w:t xml:space="preserve">, where the temperature of the oxidation of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F2248">
        <w:rPr>
          <w:rFonts w:ascii="Times New Roman" w:hAnsi="Times New Roman" w:cs="Times New Roman"/>
          <w:sz w:val="24"/>
          <w:szCs w:val="24"/>
          <w:lang w:val="en-GB"/>
        </w:rPr>
        <w:t>organic compounds</w:t>
      </w:r>
      <w:r w:rsidR="00AC5039">
        <w:rPr>
          <w:rFonts w:ascii="Times New Roman" w:hAnsi="Times New Roman" w:cs="Times New Roman"/>
          <w:sz w:val="24"/>
          <w:szCs w:val="24"/>
          <w:lang w:val="en-GB"/>
        </w:rPr>
        <w:t xml:space="preserve"> mo</w:t>
      </w:r>
      <w:r w:rsidR="004F2248">
        <w:rPr>
          <w:rFonts w:ascii="Times New Roman" w:hAnsi="Times New Roman" w:cs="Times New Roman"/>
          <w:sz w:val="24"/>
          <w:szCs w:val="24"/>
          <w:lang w:val="en-GB"/>
        </w:rPr>
        <w:t xml:space="preserve">ves to </w:t>
      </w:r>
      <w:r w:rsidR="00DA255E">
        <w:rPr>
          <w:rFonts w:ascii="Times New Roman" w:hAnsi="Times New Roman" w:cs="Times New Roman"/>
          <w:sz w:val="24"/>
          <w:szCs w:val="24"/>
          <w:lang w:val="en-GB"/>
        </w:rPr>
        <w:t>higher temper</w:t>
      </w:r>
      <w:r w:rsidR="004C25BF">
        <w:rPr>
          <w:rFonts w:ascii="Times New Roman" w:hAnsi="Times New Roman" w:cs="Times New Roman"/>
          <w:sz w:val="24"/>
          <w:szCs w:val="24"/>
          <w:lang w:val="en-GB"/>
        </w:rPr>
        <w:t xml:space="preserve">atures with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4C25BF">
        <w:rPr>
          <w:rFonts w:ascii="Times New Roman" w:hAnsi="Times New Roman" w:cs="Times New Roman"/>
          <w:sz w:val="24"/>
          <w:szCs w:val="24"/>
          <w:lang w:val="en-GB"/>
        </w:rPr>
        <w:t>increasing</w:t>
      </w:r>
      <w:r w:rsidR="004F2248">
        <w:rPr>
          <w:rFonts w:ascii="Times New Roman" w:hAnsi="Times New Roman" w:cs="Times New Roman"/>
          <w:sz w:val="24"/>
          <w:szCs w:val="24"/>
          <w:lang w:val="en-GB"/>
        </w:rPr>
        <w:t xml:space="preserve"> amount of added dopant. Therefore, the mass is</w:t>
      </w:r>
      <w:r w:rsidR="00DA255E">
        <w:rPr>
          <w:rFonts w:ascii="Times New Roman" w:hAnsi="Times New Roman" w:cs="Times New Roman"/>
          <w:sz w:val="24"/>
          <w:szCs w:val="24"/>
          <w:lang w:val="en-GB"/>
        </w:rPr>
        <w:t xml:space="preserve"> stabilized </w:t>
      </w:r>
      <w:r w:rsidR="004F2248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="00DA255E">
        <w:rPr>
          <w:rFonts w:ascii="Times New Roman" w:hAnsi="Times New Roman" w:cs="Times New Roman"/>
          <w:sz w:val="24"/>
          <w:szCs w:val="24"/>
          <w:lang w:val="en-GB"/>
        </w:rPr>
        <w:t xml:space="preserve">higher </w:t>
      </w:r>
      <w:r w:rsidR="002674F2">
        <w:rPr>
          <w:rFonts w:ascii="Times New Roman" w:hAnsi="Times New Roman" w:cs="Times New Roman"/>
          <w:sz w:val="24"/>
          <w:szCs w:val="24"/>
          <w:lang w:val="en-GB"/>
        </w:rPr>
        <w:t>values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674F2">
        <w:rPr>
          <w:rFonts w:ascii="Times New Roman" w:hAnsi="Times New Roman" w:cs="Times New Roman"/>
          <w:sz w:val="24"/>
          <w:szCs w:val="24"/>
          <w:lang w:val="en-GB"/>
        </w:rPr>
        <w:t xml:space="preserve"> which have an </w:t>
      </w:r>
      <w:r w:rsidR="0043176C">
        <w:rPr>
          <w:rFonts w:ascii="Times New Roman" w:hAnsi="Times New Roman" w:cs="Times New Roman"/>
          <w:sz w:val="24"/>
          <w:szCs w:val="24"/>
          <w:lang w:val="en-GB"/>
        </w:rPr>
        <w:t>impact on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2674F2">
        <w:rPr>
          <w:rFonts w:ascii="Times New Roman" w:hAnsi="Times New Roman" w:cs="Times New Roman"/>
          <w:sz w:val="24"/>
          <w:szCs w:val="24"/>
          <w:lang w:val="en-GB"/>
        </w:rPr>
        <w:t>sel</w:t>
      </w:r>
      <w:r w:rsidR="004F2248">
        <w:rPr>
          <w:rFonts w:ascii="Times New Roman" w:hAnsi="Times New Roman" w:cs="Times New Roman"/>
          <w:sz w:val="24"/>
          <w:szCs w:val="24"/>
          <w:lang w:val="en-GB"/>
        </w:rPr>
        <w:t>ection of the lowest annealing</w:t>
      </w:r>
      <w:r w:rsidR="002674F2">
        <w:rPr>
          <w:rFonts w:ascii="Times New Roman" w:hAnsi="Times New Roman" w:cs="Times New Roman"/>
          <w:sz w:val="24"/>
          <w:szCs w:val="24"/>
          <w:lang w:val="en-GB"/>
        </w:rPr>
        <w:t xml:space="preserve"> temperature. The same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observations </w:t>
      </w:r>
      <w:r w:rsidR="002674F2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made </w:t>
      </w:r>
      <w:r w:rsidR="002674F2">
        <w:rPr>
          <w:rFonts w:ascii="Times New Roman" w:hAnsi="Times New Roman" w:cs="Times New Roman"/>
          <w:sz w:val="24"/>
          <w:szCs w:val="24"/>
          <w:lang w:val="en-GB"/>
        </w:rPr>
        <w:t xml:space="preserve">in the comparison of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674F2">
        <w:rPr>
          <w:rFonts w:ascii="Times New Roman" w:hAnsi="Times New Roman" w:cs="Times New Roman"/>
          <w:sz w:val="24"/>
          <w:szCs w:val="24"/>
          <w:lang w:val="en-GB"/>
        </w:rPr>
        <w:t>DSC curves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05697">
        <w:rPr>
          <w:rFonts w:ascii="Times New Roman" w:hAnsi="Times New Roman" w:cs="Times New Roman"/>
          <w:sz w:val="24"/>
          <w:szCs w:val="24"/>
          <w:lang w:val="en-GB"/>
        </w:rPr>
        <w:t xml:space="preserve"> wherein the addition of phosphate ions moved </w:t>
      </w:r>
      <w:r w:rsidR="00E820F6">
        <w:rPr>
          <w:rFonts w:ascii="Times New Roman" w:hAnsi="Times New Roman" w:cs="Times New Roman"/>
          <w:sz w:val="24"/>
          <w:szCs w:val="24"/>
          <w:lang w:val="en-GB"/>
        </w:rPr>
        <w:t>the exothermic peak of the last</w:t>
      </w:r>
      <w:r w:rsidR="002E0C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E0C96">
        <w:rPr>
          <w:rFonts w:ascii="Times New Roman" w:hAnsi="Times New Roman" w:cs="Times New Roman"/>
          <w:sz w:val="24"/>
          <w:szCs w:val="24"/>
          <w:lang w:val="en-GB"/>
        </w:rPr>
        <w:lastRenderedPageBreak/>
        <w:t>stage of thermal decomposition</w:t>
      </w:r>
      <w:r w:rsidR="00E820F6">
        <w:rPr>
          <w:rFonts w:ascii="Times New Roman" w:hAnsi="Times New Roman" w:cs="Times New Roman"/>
          <w:sz w:val="24"/>
          <w:szCs w:val="24"/>
          <w:lang w:val="en-GB"/>
        </w:rPr>
        <w:t xml:space="preserve"> to higher temperatures. Also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081F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E820F6">
        <w:rPr>
          <w:rFonts w:ascii="Times New Roman" w:hAnsi="Times New Roman" w:cs="Times New Roman"/>
          <w:sz w:val="24"/>
          <w:szCs w:val="24"/>
          <w:lang w:val="en-GB"/>
        </w:rPr>
        <w:t>cleavage of the last exothermic peak was observed.</w:t>
      </w:r>
    </w:p>
    <w:p w:rsidR="00FB7C25" w:rsidRPr="00AA5109" w:rsidRDefault="00FB7C2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45559" w:rsidRDefault="0078103C" w:rsidP="00520E4C">
      <w:pPr>
        <w:spacing w:line="360" w:lineRule="auto"/>
      </w:pPr>
      <w:r>
        <w:object w:dxaOrig="4941" w:dyaOrig="3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65pt;height:160.3pt" o:ole="">
            <v:imagedata r:id="rId6" o:title="" croptop="6435f" cropbottom="3217f" cropleft="5638f" cropright="4511f"/>
          </v:shape>
          <o:OLEObject Type="Embed" ProgID="Origin50.Graph" ShapeID="_x0000_i1025" DrawAspect="Content" ObjectID="_1555438906" r:id="rId7"/>
        </w:object>
      </w:r>
    </w:p>
    <w:p w:rsidR="000723F4" w:rsidRPr="00F92FDB" w:rsidRDefault="002B336C" w:rsidP="00520E4C">
      <w:pPr>
        <w:pStyle w:val="Napis"/>
        <w:spacing w:line="360" w:lineRule="auto"/>
        <w:rPr>
          <w:color w:val="000000" w:themeColor="text1"/>
          <w:sz w:val="20"/>
          <w:szCs w:val="20"/>
          <w:lang w:val="en-GB"/>
        </w:rPr>
      </w:pPr>
      <w:proofErr w:type="gramStart"/>
      <w:r w:rsidRPr="00F92FDB">
        <w:rPr>
          <w:color w:val="000000" w:themeColor="text1"/>
          <w:sz w:val="20"/>
          <w:szCs w:val="20"/>
          <w:lang w:val="en-GB"/>
        </w:rPr>
        <w:t>Figure</w:t>
      </w:r>
      <w:r w:rsidR="00F424E6">
        <w:rPr>
          <w:color w:val="000000" w:themeColor="text1"/>
          <w:sz w:val="20"/>
          <w:szCs w:val="20"/>
          <w:lang w:val="en-GB"/>
        </w:rPr>
        <w:t xml:space="preserve"> </w:t>
      </w:r>
      <w:proofErr w:type="gramEnd"/>
      <w:r w:rsidR="007A68BE" w:rsidRPr="00F92FDB">
        <w:rPr>
          <w:color w:val="000000" w:themeColor="text1"/>
          <w:sz w:val="20"/>
          <w:szCs w:val="20"/>
          <w:lang w:val="en-GB"/>
        </w:rPr>
        <w:fldChar w:fldCharType="begin"/>
      </w:r>
      <w:r w:rsidRPr="00F92FDB">
        <w:rPr>
          <w:color w:val="000000" w:themeColor="text1"/>
          <w:sz w:val="20"/>
          <w:szCs w:val="20"/>
          <w:lang w:val="en-GB"/>
        </w:rPr>
        <w:instrText xml:space="preserve"> SEQ Figure \* ARABIC </w:instrText>
      </w:r>
      <w:r w:rsidR="007A68BE" w:rsidRPr="00F92FDB">
        <w:rPr>
          <w:color w:val="000000" w:themeColor="text1"/>
          <w:sz w:val="20"/>
          <w:szCs w:val="20"/>
          <w:lang w:val="en-GB"/>
        </w:rPr>
        <w:fldChar w:fldCharType="separate"/>
      </w:r>
      <w:r w:rsidR="00536CED">
        <w:rPr>
          <w:noProof/>
          <w:color w:val="000000" w:themeColor="text1"/>
          <w:sz w:val="20"/>
          <w:szCs w:val="20"/>
          <w:lang w:val="en-GB"/>
        </w:rPr>
        <w:t>1</w:t>
      </w:r>
      <w:r w:rsidR="007A68BE" w:rsidRPr="00F92FDB">
        <w:rPr>
          <w:color w:val="000000" w:themeColor="text1"/>
          <w:sz w:val="20"/>
          <w:szCs w:val="20"/>
          <w:lang w:val="en-GB"/>
        </w:rPr>
        <w:fldChar w:fldCharType="end"/>
      </w:r>
      <w:proofErr w:type="gramStart"/>
      <w:r w:rsidRPr="00F92FDB">
        <w:rPr>
          <w:color w:val="000000" w:themeColor="text1"/>
          <w:sz w:val="20"/>
          <w:szCs w:val="20"/>
          <w:lang w:val="en-GB"/>
        </w:rPr>
        <w:t>.</w:t>
      </w:r>
      <w:proofErr w:type="gramEnd"/>
      <w:r w:rsidRPr="00F92FDB">
        <w:rPr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TG, DSC curves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and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 xml:space="preserve">signals </w:t>
      </w:r>
      <w:r w:rsidR="00D155E3" w:rsidRPr="00F92FDB">
        <w:rPr>
          <w:b w:val="0"/>
          <w:color w:val="000000" w:themeColor="text1"/>
          <w:sz w:val="20"/>
          <w:szCs w:val="20"/>
          <w:lang w:val="en-GB"/>
        </w:rPr>
        <w:t xml:space="preserve">from </w:t>
      </w:r>
      <w:r w:rsidRPr="00F92FDB">
        <w:rPr>
          <w:b w:val="0"/>
          <w:color w:val="000000" w:themeColor="text1"/>
          <w:sz w:val="20"/>
          <w:szCs w:val="20"/>
          <w:lang w:val="en-GB"/>
        </w:rPr>
        <w:t>MS of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undoped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xerogel</w:t>
      </w:r>
    </w:p>
    <w:p w:rsidR="004F1171" w:rsidRPr="000723F4" w:rsidRDefault="004F1171" w:rsidP="00520E4C">
      <w:pPr>
        <w:spacing w:line="360" w:lineRule="auto"/>
        <w:rPr>
          <w:lang w:val="en-GB"/>
        </w:rPr>
      </w:pPr>
    </w:p>
    <w:p w:rsidR="004F1171" w:rsidRDefault="004F1171" w:rsidP="00520E4C">
      <w:pPr>
        <w:spacing w:line="360" w:lineRule="auto"/>
      </w:pPr>
      <w:r>
        <w:object w:dxaOrig="4941" w:dyaOrig="3464">
          <v:shape id="_x0000_i1026" type="#_x0000_t75" style="width:226.65pt;height:161.55pt" o:ole="">
            <v:imagedata r:id="rId8" o:title="" croptop="6435f" cropbottom="3217f" cropleft="3778f" cropright="6766f"/>
          </v:shape>
          <o:OLEObject Type="Embed" ProgID="Origin50.Graph" ShapeID="_x0000_i1026" DrawAspect="Content" ObjectID="_1555438907" r:id="rId9"/>
        </w:object>
      </w:r>
    </w:p>
    <w:p w:rsidR="006951AD" w:rsidRDefault="004F1171" w:rsidP="00520E4C">
      <w:pPr>
        <w:spacing w:line="360" w:lineRule="auto"/>
      </w:pPr>
      <w:r>
        <w:object w:dxaOrig="4941" w:dyaOrig="3464">
          <v:shape id="_x0000_i1027" type="#_x0000_t75" style="width:226.65pt;height:161.55pt" o:ole="">
            <v:imagedata r:id="rId10" o:title="" croptop="6435f" cropbottom="3217f" cropleft="3778f" cropright="6766f"/>
          </v:shape>
          <o:OLEObject Type="Embed" ProgID="Origin50.Graph" ShapeID="_x0000_i1027" DrawAspect="Content" ObjectID="_1555438908" r:id="rId11"/>
        </w:object>
      </w:r>
    </w:p>
    <w:p w:rsidR="00826E15" w:rsidRDefault="002B336C" w:rsidP="00520E4C">
      <w:pPr>
        <w:pStyle w:val="Napis"/>
        <w:spacing w:line="360" w:lineRule="auto"/>
        <w:rPr>
          <w:b w:val="0"/>
          <w:color w:val="000000" w:themeColor="text1"/>
          <w:sz w:val="20"/>
          <w:szCs w:val="20"/>
          <w:lang w:val="en-GB"/>
        </w:rPr>
      </w:pPr>
      <w:proofErr w:type="gramStart"/>
      <w:r w:rsidRPr="00F92FDB">
        <w:rPr>
          <w:color w:val="000000" w:themeColor="text1"/>
          <w:sz w:val="20"/>
          <w:szCs w:val="20"/>
          <w:lang w:val="en-GB"/>
        </w:rPr>
        <w:t xml:space="preserve">Figure </w:t>
      </w:r>
      <w:proofErr w:type="gramEnd"/>
      <w:r w:rsidR="007A68BE" w:rsidRPr="00F92FDB">
        <w:rPr>
          <w:color w:val="000000" w:themeColor="text1"/>
          <w:sz w:val="20"/>
          <w:szCs w:val="20"/>
          <w:lang w:val="en-GB"/>
        </w:rPr>
        <w:fldChar w:fldCharType="begin"/>
      </w:r>
      <w:r w:rsidRPr="00F92FDB">
        <w:rPr>
          <w:color w:val="000000" w:themeColor="text1"/>
          <w:sz w:val="20"/>
          <w:szCs w:val="20"/>
          <w:lang w:val="en-GB"/>
        </w:rPr>
        <w:instrText xml:space="preserve"> SEQ Figure \* ARABIC </w:instrText>
      </w:r>
      <w:r w:rsidR="007A68BE" w:rsidRPr="00F92FDB">
        <w:rPr>
          <w:color w:val="000000" w:themeColor="text1"/>
          <w:sz w:val="20"/>
          <w:szCs w:val="20"/>
          <w:lang w:val="en-GB"/>
        </w:rPr>
        <w:fldChar w:fldCharType="separate"/>
      </w:r>
      <w:r w:rsidR="00536CED">
        <w:rPr>
          <w:noProof/>
          <w:color w:val="000000" w:themeColor="text1"/>
          <w:sz w:val="20"/>
          <w:szCs w:val="20"/>
          <w:lang w:val="en-GB"/>
        </w:rPr>
        <w:t>2</w:t>
      </w:r>
      <w:r w:rsidR="007A68BE" w:rsidRPr="00F92FDB">
        <w:rPr>
          <w:color w:val="000000" w:themeColor="text1"/>
          <w:sz w:val="20"/>
          <w:szCs w:val="20"/>
          <w:lang w:val="en-GB"/>
        </w:rPr>
        <w:fldChar w:fldCharType="end"/>
      </w:r>
      <w:proofErr w:type="gramStart"/>
      <w:r w:rsidRPr="00F92FDB">
        <w:rPr>
          <w:color w:val="000000" w:themeColor="text1"/>
          <w:sz w:val="20"/>
          <w:szCs w:val="20"/>
          <w:lang w:val="en-GB"/>
        </w:rPr>
        <w:t>.</w:t>
      </w:r>
      <w:proofErr w:type="gramEnd"/>
      <w:r w:rsidRPr="00F92FDB">
        <w:rPr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 comparison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of (a) TG and (b) DSC curves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of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doped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and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undoped</w:t>
      </w:r>
      <w:r w:rsidR="00F424E6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xerogels</w:t>
      </w:r>
    </w:p>
    <w:p w:rsidR="00F92FDB" w:rsidRPr="00F92FDB" w:rsidRDefault="00F92FDB" w:rsidP="00520E4C">
      <w:pPr>
        <w:spacing w:line="360" w:lineRule="auto"/>
        <w:rPr>
          <w:lang w:val="en-GB"/>
        </w:rPr>
      </w:pPr>
    </w:p>
    <w:p w:rsidR="00826E15" w:rsidRPr="008E264B" w:rsidRDefault="00F2671F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264B">
        <w:rPr>
          <w:rFonts w:ascii="Times New Roman" w:hAnsi="Times New Roman" w:cs="Times New Roman"/>
          <w:sz w:val="24"/>
          <w:szCs w:val="24"/>
          <w:lang w:val="en-GB"/>
        </w:rPr>
        <w:lastRenderedPageBreak/>
        <w:t>Thermal analyses of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26E15"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thin films </w:t>
      </w:r>
      <w:r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deposited </w:t>
      </w:r>
      <w:r w:rsidR="00826E15"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on </w:t>
      </w:r>
      <w:r w:rsidR="00D155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826E15"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aluminium foil were </w:t>
      </w:r>
      <w:r w:rsidR="006A6ED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also </w:t>
      </w:r>
      <w:r w:rsidR="00826E15"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investigated. Due to </w:t>
      </w:r>
      <w:r w:rsidR="00D155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826E15"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much heavier aluminium substrate </w:t>
      </w:r>
      <w:r w:rsidR="002363C4"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 comparison to</w:t>
      </w:r>
      <w:r w:rsidR="00F424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D155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2363C4"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thin layer, all </w:t>
      </w:r>
      <w:r w:rsidR="00D155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2363C4" w:rsidRPr="008E264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effects were much harder </w:t>
      </w:r>
      <w:r w:rsidR="00E559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to </w:t>
      </w:r>
      <w:r w:rsidR="00D155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detect</w:t>
      </w:r>
      <w:r w:rsidR="00E559E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026517" w:rsidRPr="008E264B">
        <w:rPr>
          <w:rFonts w:ascii="Times New Roman" w:hAnsi="Times New Roman" w:cs="Times New Roman"/>
          <w:sz w:val="24"/>
          <w:szCs w:val="24"/>
          <w:lang w:val="en-GB"/>
        </w:rPr>
        <w:t>Weight changes during the thermal treatment and also ex</w:t>
      </w:r>
      <w:r w:rsidRPr="008E264B">
        <w:rPr>
          <w:rFonts w:ascii="Times New Roman" w:hAnsi="Times New Roman" w:cs="Times New Roman"/>
          <w:sz w:val="24"/>
          <w:szCs w:val="24"/>
          <w:lang w:val="en-GB"/>
        </w:rPr>
        <w:t>othermic and endothermic effects</w:t>
      </w:r>
      <w:r w:rsidR="00026517"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 were very low and their interpretation was </w:t>
      </w:r>
      <w:r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easier in comparison to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E264B">
        <w:rPr>
          <w:rFonts w:ascii="Times New Roman" w:hAnsi="Times New Roman" w:cs="Times New Roman"/>
          <w:sz w:val="24"/>
          <w:szCs w:val="24"/>
          <w:lang w:val="en-GB"/>
        </w:rPr>
        <w:t>results of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26517" w:rsidRPr="008E264B">
        <w:rPr>
          <w:rFonts w:ascii="Times New Roman" w:hAnsi="Times New Roman" w:cs="Times New Roman"/>
          <w:sz w:val="24"/>
          <w:szCs w:val="24"/>
          <w:lang w:val="en-GB"/>
        </w:rPr>
        <w:t>xerogels.</w:t>
      </w:r>
      <w:r w:rsidR="003167DF" w:rsidRPr="008E264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22</w:t>
      </w:r>
      <w:proofErr w:type="gramStart"/>
      <w:r w:rsidR="00026517" w:rsidRPr="008E264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,2</w:t>
      </w:r>
      <w:r w:rsidR="003167DF" w:rsidRPr="008E264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proofErr w:type="gramEnd"/>
      <w:r w:rsidR="00E559EF">
        <w:rPr>
          <w:rFonts w:ascii="Times New Roman" w:hAnsi="Times New Roman" w:cs="Times New Roman"/>
          <w:sz w:val="24"/>
          <w:szCs w:val="24"/>
          <w:lang w:val="en-GB"/>
        </w:rPr>
        <w:t xml:space="preserve"> H</w:t>
      </w:r>
      <w:r w:rsidR="004B4BBB"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owever, </w:t>
      </w:r>
      <w:r w:rsidR="004B4BBB" w:rsidRPr="008E264B">
        <w:rPr>
          <w:rFonts w:ascii="Times New Roman" w:hAnsi="Times New Roman" w:cs="Times New Roman"/>
          <w:sz w:val="24"/>
          <w:szCs w:val="24"/>
        </w:rPr>
        <w:t xml:space="preserve">it </w:t>
      </w:r>
      <w:r w:rsidR="004B4BBB" w:rsidRPr="00E559EF">
        <w:rPr>
          <w:rFonts w:ascii="Times New Roman" w:hAnsi="Times New Roman" w:cs="Times New Roman"/>
          <w:sz w:val="24"/>
          <w:szCs w:val="24"/>
          <w:lang w:val="en-GB"/>
        </w:rPr>
        <w:t xml:space="preserve">should be </w:t>
      </w:r>
      <w:r w:rsidR="005A4FBE" w:rsidRPr="00E559EF">
        <w:rPr>
          <w:rFonts w:ascii="Times New Roman" w:hAnsi="Times New Roman" w:cs="Times New Roman"/>
          <w:sz w:val="24"/>
          <w:szCs w:val="24"/>
          <w:lang w:val="en-GB"/>
        </w:rPr>
        <w:t>taken into consideration</w:t>
      </w:r>
      <w:r w:rsidR="004B4BBB" w:rsidRPr="00E559EF">
        <w:rPr>
          <w:rFonts w:ascii="Times New Roman" w:hAnsi="Times New Roman" w:cs="Times New Roman"/>
          <w:sz w:val="24"/>
          <w:szCs w:val="24"/>
          <w:lang w:val="en-GB"/>
        </w:rPr>
        <w:t xml:space="preserve"> that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B4BBB" w:rsidRPr="00E559EF">
        <w:rPr>
          <w:rFonts w:ascii="Times New Roman" w:hAnsi="Times New Roman" w:cs="Times New Roman"/>
          <w:sz w:val="24"/>
          <w:szCs w:val="24"/>
          <w:lang w:val="en-GB"/>
        </w:rPr>
        <w:t xml:space="preserve">thermal decomposition of the thin films is often carried out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in a different way </w:t>
      </w:r>
      <w:r w:rsidR="004B4BBB" w:rsidRPr="00E559EF">
        <w:rPr>
          <w:rFonts w:ascii="Times New Roman" w:hAnsi="Times New Roman" w:cs="Times New Roman"/>
          <w:sz w:val="24"/>
          <w:szCs w:val="24"/>
          <w:lang w:val="en-GB"/>
        </w:rPr>
        <w:t>than in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4B4BBB" w:rsidRPr="00E559EF">
        <w:rPr>
          <w:rFonts w:ascii="Times New Roman" w:hAnsi="Times New Roman" w:cs="Times New Roman"/>
          <w:sz w:val="24"/>
          <w:szCs w:val="24"/>
          <w:lang w:val="en-GB"/>
        </w:rPr>
        <w:t>xerogel</w:t>
      </w:r>
      <w:r w:rsidR="005A4FBE" w:rsidRPr="00E559EF">
        <w:rPr>
          <w:rFonts w:ascii="Times New Roman" w:hAnsi="Times New Roman" w:cs="Times New Roman"/>
          <w:sz w:val="24"/>
          <w:szCs w:val="24"/>
          <w:lang w:val="en-GB"/>
        </w:rPr>
        <w:t>s.</w:t>
      </w:r>
      <w:r w:rsidR="005A4FBE" w:rsidRPr="00E559E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24</w:t>
      </w:r>
      <w:r w:rsidR="00E559EF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026517" w:rsidRPr="008E264B">
        <w:rPr>
          <w:rFonts w:ascii="Times New Roman" w:hAnsi="Times New Roman" w:cs="Times New Roman"/>
          <w:sz w:val="24"/>
          <w:szCs w:val="24"/>
          <w:lang w:val="en-GB"/>
        </w:rPr>
        <w:t>he total mass l</w:t>
      </w:r>
      <w:r w:rsidR="00135079" w:rsidRPr="008E264B">
        <w:rPr>
          <w:rFonts w:ascii="Times New Roman" w:hAnsi="Times New Roman" w:cs="Times New Roman"/>
          <w:sz w:val="24"/>
          <w:szCs w:val="24"/>
          <w:lang w:val="en-GB"/>
        </w:rPr>
        <w:t>oss in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135079"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 thin film</w:t>
      </w:r>
      <w:r w:rsidRPr="008E264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35079"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 was around 3.5</w:t>
      </w:r>
      <w:r w:rsidR="00026517" w:rsidRPr="008E264B">
        <w:rPr>
          <w:rFonts w:ascii="Times New Roman" w:hAnsi="Times New Roman" w:cs="Times New Roman"/>
          <w:sz w:val="24"/>
          <w:szCs w:val="24"/>
          <w:lang w:val="en-GB"/>
        </w:rPr>
        <w:t>%</w:t>
      </w:r>
      <w:r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D0D46">
        <w:rPr>
          <w:rFonts w:ascii="Times New Roman" w:hAnsi="Times New Roman" w:cs="Times New Roman"/>
          <w:sz w:val="24"/>
          <w:szCs w:val="24"/>
          <w:lang w:val="en-GB"/>
        </w:rPr>
        <w:t>Fig. 3</w:t>
      </w:r>
      <w:r w:rsidRPr="008E264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026517"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E05F0"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Because there were</w:t>
      </w:r>
      <w:r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no </w:t>
      </w:r>
      <w:r w:rsidR="006A6ED7"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noticeable </w:t>
      </w:r>
      <w:r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difference</w:t>
      </w:r>
      <w:r w:rsidR="00EB511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</w:t>
      </w:r>
      <w:r w:rsidR="006E05F0"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position of </w:t>
      </w:r>
      <w:r w:rsidR="00D155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6E05F0"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exothermic and endothermic peaks</w:t>
      </w:r>
      <w:r w:rsidR="00D155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F424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="00D155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nor</w:t>
      </w:r>
      <w:proofErr w:type="gramEnd"/>
      <w:r w:rsidR="00F424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995A2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 </w:t>
      </w:r>
      <w:r w:rsidR="006E05F0"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temperature stabilization</w:t>
      </w:r>
      <w:r w:rsidR="00F424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6E05F0" w:rsidRPr="006E05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of the mass</w:t>
      </w:r>
      <w:r w:rsidRPr="008E264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A4C66"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AA4C66" w:rsidRPr="008E264B">
        <w:rPr>
          <w:rFonts w:ascii="Times New Roman" w:hAnsi="Times New Roman" w:cs="Times New Roman"/>
          <w:sz w:val="24"/>
          <w:szCs w:val="24"/>
          <w:lang w:val="en-GB"/>
        </w:rPr>
        <w:t>better interpretation the results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E559E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>measured xerogels were mostly employed</w:t>
      </w:r>
      <w:r w:rsidR="00472C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C08BB" w:rsidRDefault="008E264B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E264B">
        <w:rPr>
          <w:rFonts w:ascii="Times New Roman" w:hAnsi="Times New Roman" w:cs="Times New Roman"/>
          <w:sz w:val="24"/>
          <w:szCs w:val="24"/>
          <w:lang w:val="en-GB"/>
        </w:rPr>
        <w:t xml:space="preserve">Based </w:t>
      </w:r>
      <w:r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4F7DF0">
        <w:rPr>
          <w:rFonts w:ascii="Times New Roman" w:hAnsi="Times New Roman" w:cs="Times New Roman"/>
          <w:sz w:val="24"/>
          <w:szCs w:val="24"/>
          <w:lang w:val="en-GB"/>
        </w:rPr>
        <w:t xml:space="preserve"> the results of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F7DF0">
        <w:rPr>
          <w:rFonts w:ascii="Times New Roman" w:hAnsi="Times New Roman" w:cs="Times New Roman"/>
          <w:sz w:val="24"/>
          <w:szCs w:val="24"/>
          <w:lang w:val="en-GB"/>
        </w:rPr>
        <w:t>thermal analysis, a range of annealing temperature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F7DF0">
        <w:rPr>
          <w:rFonts w:ascii="Times New Roman" w:hAnsi="Times New Roman" w:cs="Times New Roman"/>
          <w:sz w:val="24"/>
          <w:szCs w:val="24"/>
          <w:lang w:val="en-GB"/>
        </w:rPr>
        <w:t xml:space="preserve"> was selected.</w:t>
      </w:r>
      <w:r w:rsidR="00A00385">
        <w:rPr>
          <w:rFonts w:ascii="Times New Roman" w:hAnsi="Times New Roman" w:cs="Times New Roman"/>
          <w:sz w:val="24"/>
          <w:szCs w:val="24"/>
          <w:lang w:val="en-GB"/>
        </w:rPr>
        <w:t xml:space="preserve"> Because we could not determine the</w:t>
      </w:r>
      <w:r w:rsidR="00E559EF">
        <w:rPr>
          <w:rFonts w:ascii="Times New Roman" w:hAnsi="Times New Roman" w:cs="Times New Roman"/>
          <w:sz w:val="24"/>
          <w:szCs w:val="24"/>
          <w:lang w:val="en-GB"/>
        </w:rPr>
        <w:t xml:space="preserve"> exact</w:t>
      </w:r>
      <w:r w:rsidR="00A00385">
        <w:rPr>
          <w:rFonts w:ascii="Times New Roman" w:hAnsi="Times New Roman" w:cs="Times New Roman"/>
          <w:sz w:val="24"/>
          <w:szCs w:val="24"/>
          <w:lang w:val="en-GB"/>
        </w:rPr>
        <w:t xml:space="preserve"> temperature where the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>anatase-to-</w:t>
      </w:r>
      <w:r w:rsidR="00A00385">
        <w:rPr>
          <w:rFonts w:ascii="Times New Roman" w:hAnsi="Times New Roman" w:cs="Times New Roman"/>
          <w:sz w:val="24"/>
          <w:szCs w:val="24"/>
          <w:lang w:val="en-GB"/>
        </w:rPr>
        <w:t xml:space="preserve">rutile phase transition </w:t>
      </w:r>
      <w:r w:rsidR="00E559EF">
        <w:rPr>
          <w:rFonts w:ascii="Times New Roman" w:hAnsi="Times New Roman" w:cs="Times New Roman"/>
          <w:sz w:val="24"/>
          <w:szCs w:val="24"/>
          <w:lang w:val="en-GB"/>
        </w:rPr>
        <w:t>occurred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>nor</w:t>
      </w:r>
      <w:r w:rsidR="00611822">
        <w:rPr>
          <w:rFonts w:ascii="Times New Roman" w:hAnsi="Times New Roman" w:cs="Times New Roman"/>
          <w:sz w:val="24"/>
          <w:szCs w:val="24"/>
          <w:lang w:val="en-GB"/>
        </w:rPr>
        <w:t xml:space="preserve"> observe what </w:t>
      </w:r>
      <w:r w:rsidR="00E559EF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611822">
        <w:rPr>
          <w:rFonts w:ascii="Times New Roman" w:hAnsi="Times New Roman" w:cs="Times New Roman"/>
          <w:sz w:val="24"/>
          <w:szCs w:val="24"/>
          <w:lang w:val="en-GB"/>
        </w:rPr>
        <w:t xml:space="preserve"> happening with our sample</w:t>
      </w:r>
      <w:r w:rsidR="00E559E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11822">
        <w:rPr>
          <w:rFonts w:ascii="Times New Roman" w:hAnsi="Times New Roman" w:cs="Times New Roman"/>
          <w:sz w:val="24"/>
          <w:szCs w:val="24"/>
          <w:lang w:val="en-GB"/>
        </w:rPr>
        <w:t xml:space="preserve"> at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 xml:space="preserve"> different</w:t>
      </w:r>
      <w:r w:rsidR="00611822">
        <w:rPr>
          <w:rFonts w:ascii="Times New Roman" w:hAnsi="Times New Roman" w:cs="Times New Roman"/>
          <w:sz w:val="24"/>
          <w:szCs w:val="24"/>
          <w:lang w:val="en-GB"/>
        </w:rPr>
        <w:t xml:space="preserve"> temperatures</w:t>
      </w:r>
      <w:r w:rsidR="00A003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>we used</w:t>
      </w:r>
      <w:r w:rsidR="00F424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55E3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72C7A">
        <w:rPr>
          <w:rFonts w:ascii="Times New Roman" w:hAnsi="Times New Roman" w:cs="Times New Roman"/>
          <w:sz w:val="24"/>
          <w:szCs w:val="24"/>
          <w:lang w:val="en-GB"/>
        </w:rPr>
        <w:t xml:space="preserve">wider range of annealing temperatures. </w:t>
      </w:r>
      <w:r w:rsidR="00C01CB7">
        <w:rPr>
          <w:rFonts w:ascii="Times New Roman" w:hAnsi="Times New Roman" w:cs="Times New Roman"/>
          <w:sz w:val="24"/>
          <w:szCs w:val="24"/>
          <w:lang w:val="en-GB"/>
        </w:rPr>
        <w:t>The used</w:t>
      </w:r>
      <w:r w:rsidR="00472C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temperatures were 400, 500, 600, 700, 800, 900 and 1000 °C</w:t>
      </w:r>
      <w:r w:rsidR="00122C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C08BB" w:rsidRDefault="005C08BB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F1171" w:rsidRDefault="004F1171" w:rsidP="00520E4C">
      <w:pPr>
        <w:pStyle w:val="Brezrazmikov"/>
        <w:spacing w:line="360" w:lineRule="auto"/>
      </w:pPr>
      <w:r>
        <w:object w:dxaOrig="4941" w:dyaOrig="3464">
          <v:shape id="_x0000_i1028" type="#_x0000_t75" style="width:226.65pt;height:150.25pt" o:ole="">
            <v:imagedata r:id="rId12" o:title="" croptop="6435f" cropbottom="3217f" cropleft="3778f" cropright="2255f"/>
          </v:shape>
          <o:OLEObject Type="Embed" ProgID="Origin50.Graph" ShapeID="_x0000_i1028" DrawAspect="Content" ObjectID="_1555438909" r:id="rId13"/>
        </w:object>
      </w:r>
    </w:p>
    <w:p w:rsidR="005C08BB" w:rsidRDefault="004F1171" w:rsidP="00520E4C">
      <w:pPr>
        <w:pStyle w:val="Brezrazmikov"/>
        <w:spacing w:line="360" w:lineRule="auto"/>
      </w:pPr>
      <w:r>
        <w:object w:dxaOrig="4941" w:dyaOrig="3464">
          <v:shape id="_x0000_i1029" type="#_x0000_t75" style="width:226.65pt;height:150.25pt" o:ole="">
            <v:imagedata r:id="rId14" o:title="" croptop="6435f" cropbottom="3217f" cropleft="3778f" cropright="2255f"/>
          </v:shape>
          <o:OLEObject Type="Embed" ProgID="Origin50.Graph" ShapeID="_x0000_i1029" DrawAspect="Content" ObjectID="_1555438910" r:id="rId15"/>
        </w:object>
      </w:r>
    </w:p>
    <w:p w:rsidR="005C08BB" w:rsidRPr="005C08BB" w:rsidRDefault="005C08BB" w:rsidP="00520E4C">
      <w:pPr>
        <w:pStyle w:val="Napis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5C08BB">
        <w:rPr>
          <w:color w:val="000000" w:themeColor="text1"/>
          <w:sz w:val="20"/>
          <w:szCs w:val="20"/>
        </w:rPr>
        <w:t xml:space="preserve">Figure </w:t>
      </w:r>
      <w:r w:rsidR="007A68BE" w:rsidRPr="005C08BB">
        <w:rPr>
          <w:color w:val="000000" w:themeColor="text1"/>
          <w:sz w:val="20"/>
          <w:szCs w:val="20"/>
        </w:rPr>
        <w:fldChar w:fldCharType="begin"/>
      </w:r>
      <w:r w:rsidRPr="005C08BB">
        <w:rPr>
          <w:color w:val="000000" w:themeColor="text1"/>
          <w:sz w:val="20"/>
          <w:szCs w:val="20"/>
        </w:rPr>
        <w:instrText xml:space="preserve"> SEQ Figure \* ARABIC </w:instrText>
      </w:r>
      <w:r w:rsidR="007A68BE" w:rsidRPr="005C08BB">
        <w:rPr>
          <w:color w:val="000000" w:themeColor="text1"/>
          <w:sz w:val="20"/>
          <w:szCs w:val="20"/>
        </w:rPr>
        <w:fldChar w:fldCharType="separate"/>
      </w:r>
      <w:r w:rsidR="00536CED">
        <w:rPr>
          <w:noProof/>
          <w:color w:val="000000" w:themeColor="text1"/>
          <w:sz w:val="20"/>
          <w:szCs w:val="20"/>
        </w:rPr>
        <w:t>3</w:t>
      </w:r>
      <w:r w:rsidR="007A68BE" w:rsidRPr="005C08BB">
        <w:rPr>
          <w:color w:val="000000" w:themeColor="text1"/>
          <w:sz w:val="20"/>
          <w:szCs w:val="20"/>
        </w:rPr>
        <w:fldChar w:fldCharType="end"/>
      </w:r>
      <w:r w:rsidR="00EB5118">
        <w:rPr>
          <w:color w:val="000000" w:themeColor="text1"/>
          <w:sz w:val="20"/>
          <w:szCs w:val="20"/>
        </w:rPr>
        <w:t>.</w:t>
      </w:r>
      <w:r w:rsidR="00513BCD">
        <w:rPr>
          <w:color w:val="000000" w:themeColor="text1"/>
          <w:sz w:val="20"/>
          <w:szCs w:val="20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 xml:space="preserve">A comparison of (a) TG and (b) DSC curves </w:t>
      </w:r>
      <w:r w:rsidR="0038012C" w:rsidRPr="00F92FDB">
        <w:rPr>
          <w:b w:val="0"/>
          <w:color w:val="000000" w:themeColor="text1"/>
          <w:sz w:val="20"/>
          <w:szCs w:val="20"/>
          <w:lang w:val="en-GB"/>
        </w:rPr>
        <w:t xml:space="preserve">for the </w:t>
      </w:r>
      <w:r w:rsidRPr="00F92FDB">
        <w:rPr>
          <w:b w:val="0"/>
          <w:color w:val="000000" w:themeColor="text1"/>
          <w:sz w:val="20"/>
          <w:szCs w:val="20"/>
          <w:lang w:val="en-GB"/>
        </w:rPr>
        <w:t>undoped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 xml:space="preserve">xerogel and </w:t>
      </w:r>
      <w:r w:rsidR="0038012C" w:rsidRPr="00F92FDB">
        <w:rPr>
          <w:b w:val="0"/>
          <w:color w:val="000000" w:themeColor="text1"/>
          <w:sz w:val="20"/>
          <w:szCs w:val="20"/>
          <w:lang w:val="en-GB"/>
        </w:rPr>
        <w:t xml:space="preserve">the </w:t>
      </w:r>
      <w:r w:rsidRPr="00F92FDB">
        <w:rPr>
          <w:b w:val="0"/>
          <w:color w:val="000000" w:themeColor="text1"/>
          <w:sz w:val="20"/>
          <w:szCs w:val="20"/>
          <w:lang w:val="en-GB"/>
        </w:rPr>
        <w:t>thin film</w:t>
      </w:r>
    </w:p>
    <w:p w:rsidR="005C08BB" w:rsidRDefault="005C08BB" w:rsidP="00520E4C">
      <w:pPr>
        <w:spacing w:line="360" w:lineRule="auto"/>
      </w:pPr>
    </w:p>
    <w:p w:rsidR="00090AF5" w:rsidRDefault="004369CB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3.2</w:t>
      </w:r>
      <w:r w:rsidR="00090AF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 XRD Analysis</w:t>
      </w:r>
    </w:p>
    <w:p w:rsidR="00090AF5" w:rsidRPr="003D0A9A" w:rsidRDefault="00090AF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content of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anatase phase and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particle size were </w:t>
      </w:r>
      <w:r w:rsidR="00BD1C4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determined by XRD analysis and </w:t>
      </w:r>
      <w:r w:rsidR="005241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calculated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using the </w:t>
      </w:r>
      <w:proofErr w:type="spellStart"/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Rietveld</w:t>
      </w:r>
      <w:proofErr w:type="spellEnd"/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analysis and </w:t>
      </w:r>
      <w:proofErr w:type="spellStart"/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Scherrer</w:t>
      </w:r>
      <w:proofErr w:type="spellEnd"/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formula. </w:t>
      </w:r>
      <w:r w:rsidR="008200CD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The results </w:t>
      </w:r>
      <w:r w:rsidRPr="003D0A9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005241B5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calculated </w:t>
      </w:r>
      <w:r w:rsidRPr="003D0A9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>from all the peaks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the measuring range and not only from the peaks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2θ =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25.28°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(101)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and 27.40°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(110)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which are often taken as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characteristic peaks of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anatase and rutile phase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3167D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1,25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,2</w:t>
      </w:r>
      <w:r w:rsidR="003167D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6</w:t>
      </w:r>
    </w:p>
    <w:p w:rsidR="00101F43" w:rsidRDefault="00090AF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Firstly, the influence of adding phosphate ions on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101F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average particle size and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thermal stability of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anatase phase in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powders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were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monitored</w:t>
      </w:r>
      <w:r w:rsidR="004369C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(Fig. </w:t>
      </w:r>
      <w:r w:rsidR="0021662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). In </w:t>
      </w:r>
      <w:r w:rsidR="008200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undoped sample</w:t>
      </w:r>
      <w:r w:rsidR="00101F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3D0A9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101F43">
        <w:rPr>
          <w:rFonts w:ascii="Times New Roman" w:hAnsi="Times New Roman" w:cs="Times New Roman"/>
          <w:sz w:val="24"/>
          <w:szCs w:val="24"/>
          <w:lang w:val="en-GB"/>
        </w:rPr>
        <w:t>the content</w:t>
      </w:r>
      <w:r w:rsidR="005241B5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241B5">
        <w:rPr>
          <w:rFonts w:ascii="Times New Roman" w:hAnsi="Times New Roman" w:cs="Times New Roman"/>
          <w:sz w:val="24"/>
          <w:szCs w:val="24"/>
          <w:lang w:val="en-GB"/>
        </w:rPr>
        <w:t>anatase phase</w:t>
      </w:r>
      <w:r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quickly dropped </w:t>
      </w:r>
      <w:r w:rsidR="005241B5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 an increasing </w:t>
      </w:r>
      <w:r w:rsidR="005241B5">
        <w:rPr>
          <w:rFonts w:ascii="Times New Roman" w:hAnsi="Times New Roman" w:cs="Times New Roman"/>
          <w:sz w:val="24"/>
          <w:szCs w:val="24"/>
          <w:lang w:val="en-GB"/>
        </w:rPr>
        <w:t>annealing</w:t>
      </w:r>
      <w:r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temperature</w:t>
      </w:r>
      <w:r w:rsidR="00101F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241B5">
        <w:rPr>
          <w:rFonts w:ascii="Times New Roman" w:hAnsi="Times New Roman" w:cs="Times New Roman"/>
          <w:sz w:val="24"/>
          <w:szCs w:val="24"/>
          <w:lang w:val="en-GB"/>
        </w:rPr>
        <w:t xml:space="preserve">At 400 °C only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241B5">
        <w:rPr>
          <w:rFonts w:ascii="Times New Roman" w:hAnsi="Times New Roman" w:cs="Times New Roman"/>
          <w:sz w:val="24"/>
          <w:szCs w:val="24"/>
          <w:lang w:val="en-GB"/>
        </w:rPr>
        <w:t>anatase phase was present,</w:t>
      </w:r>
      <w:r w:rsidR="00101F43">
        <w:rPr>
          <w:rFonts w:ascii="Times New Roman" w:hAnsi="Times New Roman" w:cs="Times New Roman"/>
          <w:sz w:val="24"/>
          <w:szCs w:val="24"/>
          <w:lang w:val="en-GB"/>
        </w:rPr>
        <w:t xml:space="preserve"> but </w:t>
      </w:r>
      <w:r w:rsidR="005241B5">
        <w:rPr>
          <w:rFonts w:ascii="Times New Roman" w:hAnsi="Times New Roman" w:cs="Times New Roman"/>
          <w:sz w:val="24"/>
          <w:szCs w:val="24"/>
          <w:lang w:val="en-GB"/>
        </w:rPr>
        <w:t xml:space="preserve">the content </w:t>
      </w:r>
      <w:r w:rsidR="00101F43">
        <w:rPr>
          <w:rFonts w:ascii="Times New Roman" w:hAnsi="Times New Roman" w:cs="Times New Roman"/>
          <w:sz w:val="24"/>
          <w:szCs w:val="24"/>
          <w:lang w:val="en-GB"/>
        </w:rPr>
        <w:t>dropped rapidly to</w:t>
      </w:r>
      <w:r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6.4 wt%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01F43">
        <w:rPr>
          <w:rFonts w:ascii="Times New Roman" w:hAnsi="Times New Roman" w:cs="Times New Roman"/>
          <w:sz w:val="24"/>
          <w:szCs w:val="24"/>
          <w:lang w:val="en-GB"/>
        </w:rPr>
        <w:t xml:space="preserve"> when it was annealed</w:t>
      </w:r>
      <w:r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at 600 °C.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The anatase </w:t>
      </w:r>
      <w:r w:rsidR="00101F43">
        <w:rPr>
          <w:rFonts w:ascii="Times New Roman" w:hAnsi="Times New Roman" w:cs="Times New Roman"/>
          <w:sz w:val="24"/>
          <w:szCs w:val="24"/>
          <w:lang w:val="en-GB"/>
        </w:rPr>
        <w:t xml:space="preserve">particles grow very rapidly with </w:t>
      </w:r>
      <w:r w:rsidR="00995A23">
        <w:rPr>
          <w:rFonts w:ascii="Times New Roman" w:hAnsi="Times New Roman" w:cs="Times New Roman"/>
          <w:sz w:val="24"/>
          <w:szCs w:val="24"/>
          <w:lang w:val="en-GB"/>
        </w:rPr>
        <w:t>increasing temperature (Table </w:t>
      </w:r>
      <w:r w:rsidR="00101F43">
        <w:rPr>
          <w:rFonts w:ascii="Times New Roman" w:hAnsi="Times New Roman" w:cs="Times New Roman"/>
          <w:sz w:val="24"/>
          <w:szCs w:val="24"/>
          <w:lang w:val="en-GB"/>
        </w:rPr>
        <w:t xml:space="preserve">1). At some temperature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01F43">
        <w:rPr>
          <w:rFonts w:ascii="Times New Roman" w:hAnsi="Times New Roman" w:cs="Times New Roman"/>
          <w:sz w:val="24"/>
          <w:szCs w:val="24"/>
          <w:lang w:val="en-GB"/>
        </w:rPr>
        <w:t xml:space="preserve">anatase particles </w:t>
      </w:r>
      <w:r w:rsidR="006E422A">
        <w:rPr>
          <w:rFonts w:ascii="Times New Roman" w:hAnsi="Times New Roman" w:cs="Times New Roman"/>
          <w:sz w:val="24"/>
          <w:szCs w:val="24"/>
          <w:lang w:val="en-GB"/>
        </w:rPr>
        <w:t>are sufficiently large to start interact</w:t>
      </w:r>
      <w:r w:rsidR="005241B5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6E422A">
        <w:rPr>
          <w:rFonts w:ascii="Times New Roman" w:hAnsi="Times New Roman" w:cs="Times New Roman"/>
          <w:sz w:val="24"/>
          <w:szCs w:val="24"/>
          <w:lang w:val="en-GB"/>
        </w:rPr>
        <w:t xml:space="preserve"> with each other and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E422A">
        <w:rPr>
          <w:rFonts w:ascii="Times New Roman" w:hAnsi="Times New Roman" w:cs="Times New Roman"/>
          <w:sz w:val="24"/>
          <w:szCs w:val="24"/>
          <w:lang w:val="en-GB"/>
        </w:rPr>
        <w:t>phase transformation occurs at the interface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s between </w:t>
      </w:r>
      <w:r w:rsidR="006E422A">
        <w:rPr>
          <w:rFonts w:ascii="Times New Roman" w:hAnsi="Times New Roman" w:cs="Times New Roman"/>
          <w:sz w:val="24"/>
          <w:szCs w:val="24"/>
          <w:lang w:val="en-GB"/>
        </w:rPr>
        <w:t xml:space="preserve">them. With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an increasing </w:t>
      </w:r>
      <w:r w:rsidR="006E422A">
        <w:rPr>
          <w:rFonts w:ascii="Times New Roman" w:hAnsi="Times New Roman" w:cs="Times New Roman"/>
          <w:sz w:val="24"/>
          <w:szCs w:val="24"/>
          <w:lang w:val="en-GB"/>
        </w:rPr>
        <w:t xml:space="preserve">annealing temperature, more anatase particles </w:t>
      </w:r>
      <w:r w:rsidR="00622FA8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6E422A">
        <w:rPr>
          <w:rFonts w:ascii="Times New Roman" w:hAnsi="Times New Roman" w:cs="Times New Roman"/>
          <w:sz w:val="24"/>
          <w:szCs w:val="24"/>
          <w:lang w:val="en-GB"/>
        </w:rPr>
        <w:t xml:space="preserve"> converted to rutile and the phase transformation gradually extends over the entire TiO</w:t>
      </w:r>
      <w:r w:rsidR="006E422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6E422A">
        <w:rPr>
          <w:rFonts w:ascii="Times New Roman" w:hAnsi="Times New Roman" w:cs="Times New Roman"/>
          <w:sz w:val="24"/>
          <w:szCs w:val="24"/>
          <w:lang w:val="en-GB"/>
        </w:rPr>
        <w:t xml:space="preserve"> agglomerate</w:t>
      </w:r>
      <w:r w:rsidR="00622FA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E422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90AF5" w:rsidRPr="00E66D37" w:rsidRDefault="006E422A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E422A">
        <w:rPr>
          <w:rFonts w:ascii="Times New Roman" w:hAnsi="Times New Roman" w:cs="Times New Roman"/>
          <w:sz w:val="24"/>
          <w:szCs w:val="24"/>
          <w:lang w:val="en-GB"/>
        </w:rPr>
        <w:t>In doped TiO</w:t>
      </w:r>
      <w:r w:rsidRPr="006E422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6E422A">
        <w:rPr>
          <w:rFonts w:ascii="Times New Roman" w:hAnsi="Times New Roman" w:cs="Times New Roman"/>
          <w:sz w:val="24"/>
          <w:szCs w:val="24"/>
          <w:lang w:val="en-GB"/>
        </w:rPr>
        <w:t xml:space="preserve"> phosphate ions can easily react with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6E422A">
        <w:rPr>
          <w:rFonts w:ascii="Times New Roman" w:hAnsi="Times New Roman" w:cs="Times New Roman"/>
          <w:sz w:val="24"/>
          <w:szCs w:val="24"/>
          <w:lang w:val="en-GB"/>
        </w:rPr>
        <w:t>surface hydroxyl groups and enclose the surface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6E422A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6E422A">
        <w:rPr>
          <w:rFonts w:ascii="Times New Roman" w:hAnsi="Times New Roman" w:cs="Times New Roman"/>
          <w:sz w:val="24"/>
          <w:szCs w:val="24"/>
          <w:lang w:val="en-GB"/>
        </w:rPr>
        <w:t xml:space="preserve">anatase nanoparticles. </w:t>
      </w:r>
      <w:r w:rsidR="008200CD">
        <w:rPr>
          <w:rFonts w:ascii="Times New Roman" w:hAnsi="Times New Roman" w:cs="Times New Roman"/>
          <w:sz w:val="24"/>
          <w:szCs w:val="24"/>
          <w:lang w:val="en-GB"/>
        </w:rPr>
        <w:t xml:space="preserve">The phosphates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act like a steric barrier that </w:t>
      </w:r>
      <w:r w:rsidRPr="006E422A">
        <w:rPr>
          <w:rFonts w:ascii="Times New Roman" w:hAnsi="Times New Roman" w:cs="Times New Roman"/>
          <w:sz w:val="24"/>
          <w:szCs w:val="24"/>
          <w:lang w:val="en-GB"/>
        </w:rPr>
        <w:t>prevent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s any </w:t>
      </w:r>
      <w:r w:rsidRPr="006E422A">
        <w:rPr>
          <w:rFonts w:ascii="Times New Roman" w:hAnsi="Times New Roman" w:cs="Times New Roman"/>
          <w:sz w:val="24"/>
          <w:szCs w:val="24"/>
          <w:lang w:val="en-GB"/>
        </w:rPr>
        <w:t xml:space="preserve">direct contact between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>particles</w:t>
      </w:r>
      <w:r w:rsidR="00AB6E3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 inhibit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B6E30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 growth and 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 among </w:t>
      </w:r>
      <w:r w:rsidR="00AB6E30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. By inhibiting 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particle growth and preventing 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interaction between 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particles </w:t>
      </w:r>
      <w:r w:rsidR="00622FA8">
        <w:rPr>
          <w:rFonts w:ascii="Times New Roman" w:hAnsi="Times New Roman" w:cs="Times New Roman"/>
          <w:sz w:val="24"/>
          <w:szCs w:val="24"/>
          <w:lang w:val="en-US"/>
        </w:rPr>
        <w:t>the phase transformation occurs</w:t>
      </w:r>
      <w:r w:rsidRPr="006E422A">
        <w:rPr>
          <w:rFonts w:ascii="Times New Roman" w:hAnsi="Times New Roman" w:cs="Times New Roman"/>
          <w:sz w:val="24"/>
          <w:szCs w:val="24"/>
          <w:lang w:val="en-US"/>
        </w:rPr>
        <w:t xml:space="preserve"> at higher temperatures</w:t>
      </w:r>
      <w:r w:rsidRPr="006E422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E422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 The doped 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powders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(with 5, 10 and 15 mol%) 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showed better thermal stability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for the anatase 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increasing proportion of added dopant. The best results were shown by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>sample with 15 mol% of added dopant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where only the anatase phase</w:t>
      </w:r>
      <w:r w:rsidR="00135079">
        <w:rPr>
          <w:rFonts w:ascii="Times New Roman" w:hAnsi="Times New Roman" w:cs="Times New Roman"/>
          <w:sz w:val="24"/>
          <w:szCs w:val="24"/>
          <w:lang w:val="en-GB"/>
        </w:rPr>
        <w:t xml:space="preserve"> was present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up to 700 °C. At</w:t>
      </w:r>
      <w:r w:rsidR="00135079">
        <w:rPr>
          <w:rFonts w:ascii="Times New Roman" w:hAnsi="Times New Roman" w:cs="Times New Roman"/>
          <w:sz w:val="24"/>
          <w:szCs w:val="24"/>
          <w:lang w:val="en-GB"/>
        </w:rPr>
        <w:t xml:space="preserve"> 800 °C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35079">
        <w:rPr>
          <w:rFonts w:ascii="Times New Roman" w:hAnsi="Times New Roman" w:cs="Times New Roman"/>
          <w:sz w:val="24"/>
          <w:szCs w:val="24"/>
          <w:lang w:val="en-GB"/>
        </w:rPr>
        <w:t>anatase content decreased to 74.7% and at 900 °C to 6.8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>%. At higher dopant ratio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(10 and 15 </w:t>
      </w:r>
      <w:r w:rsidR="00090AF5">
        <w:rPr>
          <w:rFonts w:ascii="Times New Roman" w:hAnsi="Times New Roman" w:cs="Times New Roman"/>
          <w:sz w:val="24"/>
          <w:szCs w:val="24"/>
          <w:lang w:val="en-GB"/>
        </w:rPr>
        <w:t>mol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>%) and high annealing temperature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(900 and 1000 °</w:t>
      </w:r>
      <w:r w:rsidR="00090AF5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>formation of the new crystal phase, tit</w:t>
      </w:r>
      <w:r w:rsidR="00090AF5">
        <w:rPr>
          <w:rFonts w:ascii="Times New Roman" w:hAnsi="Times New Roman" w:cs="Times New Roman"/>
          <w:sz w:val="24"/>
          <w:szCs w:val="24"/>
          <w:lang w:val="en-GB"/>
        </w:rPr>
        <w:t>anyl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phosphate, was 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>observed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, otherwise only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anatase and </w:t>
      </w:r>
      <w:r w:rsidR="00135079">
        <w:rPr>
          <w:rFonts w:ascii="Times New Roman" w:hAnsi="Times New Roman" w:cs="Times New Roman"/>
          <w:sz w:val="24"/>
          <w:szCs w:val="24"/>
          <w:lang w:val="en-GB"/>
        </w:rPr>
        <w:t>rutile phases were present</w:t>
      </w:r>
      <w:r w:rsidR="00622FA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 All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90AF5" w:rsidRPr="003D0A9A">
        <w:rPr>
          <w:rFonts w:ascii="Times New Roman" w:hAnsi="Times New Roman" w:cs="Times New Roman"/>
          <w:sz w:val="24"/>
          <w:szCs w:val="24"/>
          <w:lang w:val="en-GB"/>
        </w:rPr>
        <w:t xml:space="preserve">samples annealed at 1000 °C contained, besides </w:t>
      </w:r>
      <w:r w:rsidR="00090AF5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titanium ph</w:t>
      </w:r>
      <w:r w:rsidR="000A37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osphate, only the rutile phase. The phosphate </w:t>
      </w:r>
      <w:r w:rsidR="00135079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ions</w:t>
      </w:r>
      <w:r w:rsidR="00090AF5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improved the thermal sta</w:t>
      </w:r>
      <w:r w:rsidR="00135079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bility of </w:t>
      </w:r>
      <w:r w:rsidR="000A37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135079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anatase phase</w:t>
      </w:r>
      <w:r w:rsidR="007D6864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r w:rsidR="00D16D8B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raised</w:t>
      </w:r>
      <w:r w:rsidR="00135079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 temperature </w:t>
      </w:r>
      <w:r w:rsid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of </w:t>
      </w:r>
      <w:r w:rsidR="000A37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present</w:t>
      </w:r>
      <w:r w:rsidR="007D6864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anatase</w:t>
      </w:r>
      <w:r w:rsid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phase</w:t>
      </w:r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</w:t>
      </w:r>
      <w:r w:rsidR="00090AF5" w:rsidRPr="002717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900 °C.</w:t>
      </w:r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135079">
        <w:rPr>
          <w:rFonts w:ascii="Times New Roman" w:hAnsi="Times New Roman" w:cs="Times New Roman"/>
          <w:sz w:val="24"/>
          <w:szCs w:val="24"/>
          <w:lang w:val="en-GB"/>
        </w:rPr>
        <w:t xml:space="preserve">At temperatures above 800 °C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35079">
        <w:rPr>
          <w:rFonts w:ascii="Times New Roman" w:hAnsi="Times New Roman" w:cs="Times New Roman"/>
          <w:sz w:val="24"/>
          <w:szCs w:val="24"/>
          <w:lang w:val="en-GB"/>
        </w:rPr>
        <w:t>steric barrier is no longer able to prevent the particle growth and the phase transformation starts to take place.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 xml:space="preserve"> On the other hand, the addition of phosphate ions increased the crystallization temperature of </w:t>
      </w:r>
      <w:r w:rsidR="000A376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>anatase phase from 400 °C to 500 °C.</w:t>
      </w:r>
    </w:p>
    <w:p w:rsidR="00090AF5" w:rsidRPr="00FC4A53" w:rsidRDefault="00090AF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90AF5" w:rsidRDefault="004F1171" w:rsidP="00520E4C">
      <w:pPr>
        <w:pStyle w:val="Brezrazmikov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object w:dxaOrig="4941" w:dyaOrig="3464">
          <v:shape id="_x0000_i1030" type="#_x0000_t75" style="width:226.65pt;height:167.15pt" o:ole="">
            <v:imagedata r:id="rId16" o:title="" croptop="5389f" cropbottom="3217f" cropleft="4511f" cropright="6766f"/>
          </v:shape>
          <o:OLEObject Type="Embed" ProgID="Origin50.Graph" ShapeID="_x0000_i1030" DrawAspect="Content" ObjectID="_1555438911" r:id="rId17"/>
        </w:object>
      </w:r>
    </w:p>
    <w:p w:rsidR="00090AF5" w:rsidRPr="00D16AFA" w:rsidRDefault="00090AF5" w:rsidP="00520E4C">
      <w:pPr>
        <w:pStyle w:val="Napis"/>
        <w:spacing w:line="360" w:lineRule="auto"/>
        <w:rPr>
          <w:color w:val="000000" w:themeColor="text1"/>
          <w:sz w:val="20"/>
          <w:szCs w:val="20"/>
          <w:lang w:val="en-US"/>
        </w:rPr>
      </w:pPr>
      <w:proofErr w:type="gramStart"/>
      <w:r w:rsidRPr="00D16AFA">
        <w:rPr>
          <w:color w:val="000000" w:themeColor="text1"/>
          <w:sz w:val="20"/>
          <w:szCs w:val="20"/>
          <w:lang w:val="en-US"/>
        </w:rPr>
        <w:t xml:space="preserve">Figure </w:t>
      </w:r>
      <w:proofErr w:type="gramEnd"/>
      <w:r w:rsidR="007A68BE" w:rsidRPr="00D16AFA">
        <w:rPr>
          <w:color w:val="000000" w:themeColor="text1"/>
          <w:sz w:val="20"/>
          <w:szCs w:val="20"/>
          <w:lang w:val="en-US"/>
        </w:rPr>
        <w:fldChar w:fldCharType="begin"/>
      </w:r>
      <w:r w:rsidRPr="00D16AFA">
        <w:rPr>
          <w:color w:val="000000" w:themeColor="text1"/>
          <w:sz w:val="20"/>
          <w:szCs w:val="20"/>
          <w:lang w:val="en-US"/>
        </w:rPr>
        <w:instrText xml:space="preserve"> SEQ Figure \* ARABIC </w:instrText>
      </w:r>
      <w:r w:rsidR="007A68BE" w:rsidRPr="00D16AFA">
        <w:rPr>
          <w:color w:val="000000" w:themeColor="text1"/>
          <w:sz w:val="20"/>
          <w:szCs w:val="20"/>
          <w:lang w:val="en-US"/>
        </w:rPr>
        <w:fldChar w:fldCharType="separate"/>
      </w:r>
      <w:r w:rsidR="00536CED">
        <w:rPr>
          <w:noProof/>
          <w:color w:val="000000" w:themeColor="text1"/>
          <w:sz w:val="20"/>
          <w:szCs w:val="20"/>
          <w:lang w:val="en-US"/>
        </w:rPr>
        <w:t>4</w:t>
      </w:r>
      <w:r w:rsidR="007A68BE" w:rsidRPr="00D16AFA">
        <w:rPr>
          <w:color w:val="000000" w:themeColor="text1"/>
          <w:sz w:val="20"/>
          <w:szCs w:val="20"/>
          <w:lang w:val="en-US"/>
        </w:rPr>
        <w:fldChar w:fldCharType="end"/>
      </w:r>
      <w:proofErr w:type="gramStart"/>
      <w:r w:rsidRPr="00D16AFA">
        <w:rPr>
          <w:color w:val="000000" w:themeColor="text1"/>
          <w:sz w:val="20"/>
          <w:szCs w:val="20"/>
          <w:lang w:val="en-US"/>
        </w:rPr>
        <w:t>.</w:t>
      </w:r>
      <w:proofErr w:type="gramEnd"/>
      <w:r w:rsidRPr="00D16AFA">
        <w:rPr>
          <w:color w:val="000000" w:themeColor="text1"/>
          <w:sz w:val="20"/>
          <w:szCs w:val="20"/>
          <w:lang w:val="en-US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US"/>
        </w:rPr>
        <w:t>Content</w:t>
      </w:r>
      <w:r w:rsidR="00513BCD">
        <w:rPr>
          <w:b w:val="0"/>
          <w:color w:val="000000" w:themeColor="text1"/>
          <w:sz w:val="20"/>
          <w:szCs w:val="20"/>
          <w:lang w:val="en-US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US"/>
        </w:rPr>
        <w:t>of</w:t>
      </w:r>
      <w:r w:rsidR="00513BCD">
        <w:rPr>
          <w:b w:val="0"/>
          <w:color w:val="000000" w:themeColor="text1"/>
          <w:sz w:val="20"/>
          <w:szCs w:val="20"/>
          <w:lang w:val="en-US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US"/>
        </w:rPr>
        <w:t>anatase</w:t>
      </w:r>
      <w:r w:rsidR="00513BCD">
        <w:rPr>
          <w:b w:val="0"/>
          <w:color w:val="000000" w:themeColor="text1"/>
          <w:sz w:val="20"/>
          <w:szCs w:val="20"/>
          <w:lang w:val="en-US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US"/>
        </w:rPr>
        <w:t>phase depend</w:t>
      </w:r>
      <w:r w:rsidR="00DC2819" w:rsidRPr="00F92FDB">
        <w:rPr>
          <w:b w:val="0"/>
          <w:color w:val="000000" w:themeColor="text1"/>
          <w:sz w:val="20"/>
          <w:szCs w:val="20"/>
          <w:lang w:val="en-US"/>
        </w:rPr>
        <w:t>ing</w:t>
      </w:r>
      <w:r w:rsidRPr="00F92FDB">
        <w:rPr>
          <w:b w:val="0"/>
          <w:color w:val="000000" w:themeColor="text1"/>
          <w:sz w:val="20"/>
          <w:szCs w:val="20"/>
          <w:lang w:val="en-US"/>
        </w:rPr>
        <w:t xml:space="preserve"> o</w:t>
      </w:r>
      <w:r w:rsidR="00DC2819" w:rsidRPr="00F92FDB">
        <w:rPr>
          <w:b w:val="0"/>
          <w:color w:val="000000" w:themeColor="text1"/>
          <w:sz w:val="20"/>
          <w:szCs w:val="20"/>
          <w:lang w:val="en-US"/>
        </w:rPr>
        <w:t>n</w:t>
      </w:r>
      <w:r w:rsidR="000A376F" w:rsidRPr="00F92FDB">
        <w:rPr>
          <w:b w:val="0"/>
          <w:color w:val="000000" w:themeColor="text1"/>
          <w:sz w:val="20"/>
          <w:szCs w:val="20"/>
          <w:lang w:val="en-US"/>
        </w:rPr>
        <w:t xml:space="preserve"> the </w:t>
      </w:r>
      <w:r w:rsidRPr="00F92FDB">
        <w:rPr>
          <w:b w:val="0"/>
          <w:color w:val="000000" w:themeColor="text1"/>
          <w:sz w:val="20"/>
          <w:szCs w:val="20"/>
          <w:lang w:val="en-US"/>
        </w:rPr>
        <w:t>dopant ratio at different</w:t>
      </w:r>
      <w:r w:rsidR="00513BCD">
        <w:rPr>
          <w:b w:val="0"/>
          <w:color w:val="000000" w:themeColor="text1"/>
          <w:sz w:val="20"/>
          <w:szCs w:val="20"/>
          <w:lang w:val="en-US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US"/>
        </w:rPr>
        <w:t>annealing</w:t>
      </w:r>
      <w:r w:rsidR="00513BCD">
        <w:rPr>
          <w:b w:val="0"/>
          <w:color w:val="000000" w:themeColor="text1"/>
          <w:sz w:val="20"/>
          <w:szCs w:val="20"/>
          <w:lang w:val="en-US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US"/>
        </w:rPr>
        <w:t xml:space="preserve">temperatures in </w:t>
      </w:r>
      <w:r w:rsidR="000A376F" w:rsidRPr="00F92FDB">
        <w:rPr>
          <w:b w:val="0"/>
          <w:color w:val="000000" w:themeColor="text1"/>
          <w:sz w:val="20"/>
          <w:szCs w:val="20"/>
          <w:lang w:val="en-US"/>
        </w:rPr>
        <w:t xml:space="preserve">the </w:t>
      </w:r>
      <w:r w:rsidRPr="00F92FDB">
        <w:rPr>
          <w:b w:val="0"/>
          <w:color w:val="000000" w:themeColor="text1"/>
          <w:sz w:val="20"/>
          <w:szCs w:val="20"/>
          <w:lang w:val="en-US"/>
        </w:rPr>
        <w:t>powders</w:t>
      </w:r>
    </w:p>
    <w:p w:rsidR="000A376F" w:rsidRDefault="000A376F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90AF5" w:rsidRPr="009D5441" w:rsidRDefault="00090AF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441">
        <w:rPr>
          <w:rFonts w:ascii="Times New Roman" w:hAnsi="Times New Roman" w:cs="Times New Roman"/>
          <w:sz w:val="24"/>
          <w:szCs w:val="24"/>
          <w:lang w:val="en-US"/>
        </w:rPr>
        <w:t>Fig. </w:t>
      </w:r>
      <w:r w:rsidR="0021662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4539F">
        <w:rPr>
          <w:rFonts w:ascii="Times New Roman" w:hAnsi="Times New Roman" w:cs="Times New Roman"/>
          <w:sz w:val="24"/>
          <w:szCs w:val="24"/>
          <w:lang w:val="en-US"/>
        </w:rPr>
        <w:t xml:space="preserve"> and Table 1 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>the average size of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35079" w:rsidRPr="009D5441">
        <w:rPr>
          <w:rFonts w:ascii="Times New Roman" w:hAnsi="Times New Roman" w:cs="Times New Roman"/>
          <w:sz w:val="24"/>
          <w:szCs w:val="24"/>
          <w:lang w:val="en-US"/>
        </w:rPr>
        <w:t>anatase particles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>. In</w:t>
      </w:r>
      <w:r w:rsidR="00D16AF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 xml:space="preserve">undoped </w:t>
      </w:r>
      <w:proofErr w:type="gramStart"/>
      <w:r w:rsidRPr="009D5441">
        <w:rPr>
          <w:rFonts w:ascii="Times New Roman" w:hAnsi="Times New Roman" w:cs="Times New Roman"/>
          <w:sz w:val="24"/>
          <w:szCs w:val="24"/>
          <w:lang w:val="en-US"/>
        </w:rPr>
        <w:t>sample</w:t>
      </w:r>
      <w:proofErr w:type="gramEnd"/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 xml:space="preserve">particle size increased dramatically with 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 xml:space="preserve">increasing temperature and it was 30 nm at 600 °C. In 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 xml:space="preserve">doped </w:t>
      </w:r>
      <w:proofErr w:type="gramStart"/>
      <w:r w:rsidRPr="009D5441">
        <w:rPr>
          <w:rFonts w:ascii="Times New Roman" w:hAnsi="Times New Roman" w:cs="Times New Roman"/>
          <w:sz w:val="24"/>
          <w:szCs w:val="24"/>
          <w:lang w:val="en-US"/>
        </w:rPr>
        <w:t>samples</w:t>
      </w:r>
      <w:proofErr w:type="gramEnd"/>
      <w:r w:rsidRPr="009D5441">
        <w:rPr>
          <w:rFonts w:ascii="Times New Roman" w:hAnsi="Times New Roman" w:cs="Times New Roman"/>
          <w:sz w:val="24"/>
          <w:szCs w:val="24"/>
          <w:lang w:val="en-US"/>
        </w:rPr>
        <w:t xml:space="preserve"> the average size of </w:t>
      </w:r>
      <w:r w:rsidR="00D16A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 xml:space="preserve">anatase particles was successfully inhibited by 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>phosphate ions up to 700 °C</w:t>
      </w:r>
      <w:r w:rsidR="000A37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 xml:space="preserve"> where the average particles size remained under 12 nm. At higher </w:t>
      </w:r>
      <w:proofErr w:type="gramStart"/>
      <w:r w:rsidRPr="009D5441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="00212A2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="00212A2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 xml:space="preserve"> particles </w:t>
      </w:r>
      <w:r w:rsidR="00212A29">
        <w:rPr>
          <w:rFonts w:ascii="Times New Roman" w:hAnsi="Times New Roman" w:cs="Times New Roman"/>
          <w:sz w:val="24"/>
          <w:szCs w:val="24"/>
          <w:lang w:val="en-US"/>
        </w:rPr>
        <w:t xml:space="preserve">grew 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>rapidly and the phase transformation</w:t>
      </w:r>
      <w:r w:rsidR="00212A29">
        <w:rPr>
          <w:rFonts w:ascii="Times New Roman" w:hAnsi="Times New Roman" w:cs="Times New Roman"/>
          <w:sz w:val="24"/>
          <w:szCs w:val="24"/>
          <w:lang w:val="en-US"/>
        </w:rPr>
        <w:t xml:space="preserve"> also began</w:t>
      </w:r>
      <w:r w:rsidRPr="009D54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116B" w:rsidRDefault="00090AF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441">
        <w:rPr>
          <w:rFonts w:ascii="Times New Roman" w:hAnsi="Times New Roman" w:cs="Times New Roman"/>
          <w:sz w:val="24"/>
          <w:szCs w:val="24"/>
          <w:lang w:val="en-GB"/>
        </w:rPr>
        <w:t>The formatio</w:t>
      </w:r>
      <w:r w:rsidR="00D16AFA">
        <w:rPr>
          <w:rFonts w:ascii="Times New Roman" w:hAnsi="Times New Roman" w:cs="Times New Roman"/>
          <w:sz w:val="24"/>
          <w:szCs w:val="24"/>
          <w:lang w:val="en-GB"/>
        </w:rPr>
        <w:t xml:space="preserve">n of all 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16AFA">
        <w:rPr>
          <w:rFonts w:ascii="Times New Roman" w:hAnsi="Times New Roman" w:cs="Times New Roman"/>
          <w:sz w:val="24"/>
          <w:szCs w:val="24"/>
          <w:lang w:val="en-GB"/>
        </w:rPr>
        <w:t>crystalline phases and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particle growth 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>are clear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from the 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>series</w:t>
      </w:r>
      <w:r w:rsidR="00CF7F96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of diffractograms (Fig. </w:t>
      </w:r>
      <w:r w:rsidR="00216620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 xml:space="preserve">that were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recorded 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after 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>heat</w:t>
      </w:r>
      <w:r w:rsidR="00D16AFA">
        <w:rPr>
          <w:rFonts w:ascii="Times New Roman" w:hAnsi="Times New Roman" w:cs="Times New Roman"/>
          <w:sz w:val="24"/>
          <w:szCs w:val="24"/>
          <w:lang w:val="en-GB"/>
        </w:rPr>
        <w:t xml:space="preserve"> treatment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at different temperatures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>undoped and (15 </w:t>
      </w:r>
      <w:proofErr w:type="gramStart"/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>mol%</w:t>
      </w:r>
      <w:proofErr w:type="gramEnd"/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>) doped powder samples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. In</w:t>
      </w:r>
      <w:r w:rsidR="00D16AF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undoped sample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in comparison to 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doped 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>sample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anatase peaks are narrower and have a greater intensity</w:t>
      </w:r>
      <w:r w:rsidR="00693782">
        <w:rPr>
          <w:rFonts w:ascii="Times New Roman" w:hAnsi="Times New Roman" w:cs="Times New Roman"/>
          <w:sz w:val="24"/>
          <w:szCs w:val="24"/>
          <w:lang w:val="en-GB"/>
        </w:rPr>
        <w:t xml:space="preserve">, which is indicative of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D16AFA">
        <w:rPr>
          <w:rFonts w:ascii="Times New Roman" w:hAnsi="Times New Roman" w:cs="Times New Roman"/>
          <w:sz w:val="24"/>
          <w:szCs w:val="24"/>
          <w:lang w:val="en-GB"/>
        </w:rPr>
        <w:t xml:space="preserve"> larger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particle size.</w:t>
      </w:r>
    </w:p>
    <w:p w:rsidR="00EC116B" w:rsidRPr="009D5441" w:rsidRDefault="00EC116B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F5" w:rsidRPr="00E11ED6" w:rsidRDefault="00EC116B" w:rsidP="00520E4C">
      <w:pPr>
        <w:pStyle w:val="Napis"/>
        <w:spacing w:line="360" w:lineRule="auto"/>
        <w:rPr>
          <w:color w:val="000000" w:themeColor="text1"/>
          <w:sz w:val="20"/>
          <w:szCs w:val="20"/>
          <w:lang w:val="en-GB"/>
        </w:rPr>
      </w:pPr>
      <w:r w:rsidRPr="00EC116B">
        <w:rPr>
          <w:color w:val="000000" w:themeColor="text1"/>
          <w:sz w:val="20"/>
          <w:szCs w:val="20"/>
        </w:rPr>
        <w:t xml:space="preserve">Table </w:t>
      </w:r>
      <w:r w:rsidR="007A68BE" w:rsidRPr="00EC116B">
        <w:rPr>
          <w:color w:val="000000" w:themeColor="text1"/>
          <w:sz w:val="20"/>
          <w:szCs w:val="20"/>
        </w:rPr>
        <w:fldChar w:fldCharType="begin"/>
      </w:r>
      <w:r w:rsidRPr="00EC116B">
        <w:rPr>
          <w:color w:val="000000" w:themeColor="text1"/>
          <w:sz w:val="20"/>
          <w:szCs w:val="20"/>
        </w:rPr>
        <w:instrText xml:space="preserve"> SEQ Table \* ARABIC </w:instrText>
      </w:r>
      <w:r w:rsidR="007A68BE" w:rsidRPr="00EC116B">
        <w:rPr>
          <w:color w:val="000000" w:themeColor="text1"/>
          <w:sz w:val="20"/>
          <w:szCs w:val="20"/>
        </w:rPr>
        <w:fldChar w:fldCharType="separate"/>
      </w:r>
      <w:r w:rsidR="00536CED">
        <w:rPr>
          <w:noProof/>
          <w:color w:val="000000" w:themeColor="text1"/>
          <w:sz w:val="20"/>
          <w:szCs w:val="20"/>
        </w:rPr>
        <w:t>1</w:t>
      </w:r>
      <w:r w:rsidR="007A68BE" w:rsidRPr="00EC116B">
        <w:rPr>
          <w:color w:val="000000" w:themeColor="text1"/>
          <w:sz w:val="20"/>
          <w:szCs w:val="20"/>
        </w:rPr>
        <w:fldChar w:fldCharType="end"/>
      </w:r>
      <w:r w:rsidR="00EB5118">
        <w:rPr>
          <w:color w:val="000000" w:themeColor="text1"/>
          <w:sz w:val="20"/>
          <w:szCs w:val="20"/>
          <w:lang w:val="en-GB"/>
        </w:rPr>
        <w:t>.</w:t>
      </w:r>
      <w:r w:rsidR="00513BCD">
        <w:rPr>
          <w:color w:val="000000" w:themeColor="text1"/>
          <w:sz w:val="20"/>
          <w:szCs w:val="20"/>
          <w:lang w:val="en-GB"/>
        </w:rPr>
        <w:t xml:space="preserve"> </w:t>
      </w:r>
      <w:r w:rsidR="00E11ED6" w:rsidRPr="00F92FDB">
        <w:rPr>
          <w:b w:val="0"/>
          <w:color w:val="000000" w:themeColor="text1"/>
          <w:sz w:val="20"/>
          <w:szCs w:val="20"/>
          <w:lang w:val="en-GB"/>
        </w:rPr>
        <w:t>Average size of the anatase particles in powders with different an</w:t>
      </w:r>
      <w:r w:rsidR="00F92FDB">
        <w:rPr>
          <w:b w:val="0"/>
          <w:color w:val="000000" w:themeColor="text1"/>
          <w:sz w:val="20"/>
          <w:szCs w:val="20"/>
          <w:lang w:val="en-GB"/>
        </w:rPr>
        <w:t xml:space="preserve">nealing temperatures and dopant </w:t>
      </w:r>
      <w:r w:rsidR="00E11ED6" w:rsidRPr="00F92FDB">
        <w:rPr>
          <w:b w:val="0"/>
          <w:color w:val="000000" w:themeColor="text1"/>
          <w:sz w:val="20"/>
          <w:szCs w:val="20"/>
          <w:lang w:val="en-GB"/>
        </w:rPr>
        <w:t>ratio</w:t>
      </w:r>
      <w:r w:rsidR="001C20E4" w:rsidRPr="00F92FDB">
        <w:rPr>
          <w:b w:val="0"/>
          <w:color w:val="000000" w:themeColor="text1"/>
          <w:sz w:val="20"/>
          <w:szCs w:val="20"/>
          <w:lang w:val="en-GB"/>
        </w:rPr>
        <w:t>s</w:t>
      </w:r>
    </w:p>
    <w:tbl>
      <w:tblPr>
        <w:tblStyle w:val="Tabela-mrea"/>
        <w:tblW w:w="0" w:type="auto"/>
        <w:tblLayout w:type="fixed"/>
        <w:tblLook w:val="04A0"/>
      </w:tblPr>
      <w:tblGrid>
        <w:gridCol w:w="1373"/>
        <w:gridCol w:w="720"/>
        <w:gridCol w:w="850"/>
        <w:gridCol w:w="709"/>
        <w:gridCol w:w="709"/>
      </w:tblGrid>
      <w:tr w:rsidR="00EC116B" w:rsidTr="008A3542">
        <w:tc>
          <w:tcPr>
            <w:tcW w:w="1373" w:type="dxa"/>
            <w:vMerge w:val="restart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b/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Annealing</w:t>
            </w:r>
          </w:p>
          <w:p w:rsidR="00EC116B" w:rsidRPr="004F1171" w:rsidRDefault="00EC116B" w:rsidP="00EC116B">
            <w:pPr>
              <w:pStyle w:val="Brezrazmikov"/>
              <w:jc w:val="center"/>
              <w:rPr>
                <w:b/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temperature</w:t>
            </w:r>
          </w:p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(°C)</w:t>
            </w:r>
          </w:p>
        </w:tc>
        <w:tc>
          <w:tcPr>
            <w:tcW w:w="2988" w:type="dxa"/>
            <w:gridSpan w:val="4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b/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Dopant ratio (</w:t>
            </w:r>
            <w:proofErr w:type="gramStart"/>
            <w:r w:rsidRPr="004F1171">
              <w:rPr>
                <w:b/>
                <w:sz w:val="20"/>
                <w:szCs w:val="20"/>
                <w:lang w:val="en-US"/>
              </w:rPr>
              <w:t>mol%</w:t>
            </w:r>
            <w:proofErr w:type="gramEnd"/>
            <w:r w:rsidRPr="004F1171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EC116B" w:rsidTr="008A3542">
        <w:tc>
          <w:tcPr>
            <w:tcW w:w="1373" w:type="dxa"/>
            <w:vMerge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15</w:t>
            </w:r>
          </w:p>
        </w:tc>
      </w:tr>
      <w:tr w:rsidR="00EC116B" w:rsidTr="008A3542">
        <w:tc>
          <w:tcPr>
            <w:tcW w:w="1373" w:type="dxa"/>
            <w:vMerge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88" w:type="dxa"/>
            <w:gridSpan w:val="4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b/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Average size of the anatase particles (nm)</w:t>
            </w:r>
          </w:p>
        </w:tc>
      </w:tr>
      <w:tr w:rsidR="00EC116B" w:rsidTr="008A3542">
        <w:tc>
          <w:tcPr>
            <w:tcW w:w="1373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72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7.9</w:t>
            </w:r>
          </w:p>
        </w:tc>
        <w:tc>
          <w:tcPr>
            <w:tcW w:w="85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="003C00BB"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="003C00BB"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="003C00BB"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C116B" w:rsidTr="008A3542">
        <w:tc>
          <w:tcPr>
            <w:tcW w:w="1373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72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16.6</w:t>
            </w:r>
          </w:p>
        </w:tc>
        <w:tc>
          <w:tcPr>
            <w:tcW w:w="85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6.7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9.8</w:t>
            </w:r>
          </w:p>
        </w:tc>
      </w:tr>
      <w:tr w:rsidR="00EC116B" w:rsidTr="008A3542">
        <w:tc>
          <w:tcPr>
            <w:tcW w:w="1373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72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30.0</w:t>
            </w:r>
          </w:p>
        </w:tc>
        <w:tc>
          <w:tcPr>
            <w:tcW w:w="85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8.4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6.6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6.0</w:t>
            </w:r>
          </w:p>
        </w:tc>
      </w:tr>
      <w:tr w:rsidR="00EC116B" w:rsidTr="008A3542">
        <w:tc>
          <w:tcPr>
            <w:tcW w:w="1373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72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="003C00BB"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85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11.7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8.1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7.8</w:t>
            </w:r>
          </w:p>
        </w:tc>
      </w:tr>
      <w:tr w:rsidR="00EC116B" w:rsidTr="008A3542">
        <w:tc>
          <w:tcPr>
            <w:tcW w:w="1373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720" w:type="dxa"/>
            <w:vAlign w:val="center"/>
          </w:tcPr>
          <w:p w:rsidR="00EC116B" w:rsidRPr="004F1171" w:rsidRDefault="00746249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85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22.9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25.9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28.7</w:t>
            </w:r>
          </w:p>
        </w:tc>
      </w:tr>
      <w:tr w:rsidR="00EC116B" w:rsidTr="008A3542">
        <w:tc>
          <w:tcPr>
            <w:tcW w:w="1373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720" w:type="dxa"/>
            <w:vAlign w:val="center"/>
          </w:tcPr>
          <w:p w:rsidR="00EC116B" w:rsidRPr="004F1171" w:rsidRDefault="00746249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850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26.4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38.8</w:t>
            </w:r>
          </w:p>
        </w:tc>
        <w:tc>
          <w:tcPr>
            <w:tcW w:w="709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43.6</w:t>
            </w:r>
          </w:p>
        </w:tc>
      </w:tr>
      <w:tr w:rsidR="00EC116B" w:rsidTr="008A3542">
        <w:tc>
          <w:tcPr>
            <w:tcW w:w="1373" w:type="dxa"/>
            <w:vAlign w:val="center"/>
          </w:tcPr>
          <w:p w:rsidR="00EC116B" w:rsidRPr="004F1171" w:rsidRDefault="00EC116B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720" w:type="dxa"/>
            <w:vAlign w:val="center"/>
          </w:tcPr>
          <w:p w:rsidR="00EC116B" w:rsidRPr="004F1171" w:rsidRDefault="00746249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850" w:type="dxa"/>
            <w:vAlign w:val="center"/>
          </w:tcPr>
          <w:p w:rsidR="00EC116B" w:rsidRPr="004F1171" w:rsidRDefault="00746249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09" w:type="dxa"/>
            <w:vAlign w:val="center"/>
          </w:tcPr>
          <w:p w:rsidR="00EC116B" w:rsidRPr="004F1171" w:rsidRDefault="00746249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09" w:type="dxa"/>
            <w:vAlign w:val="center"/>
          </w:tcPr>
          <w:p w:rsidR="00EC116B" w:rsidRPr="004F1171" w:rsidRDefault="00746249" w:rsidP="00EC116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3E5AD2" w:rsidTr="008A3542">
        <w:tc>
          <w:tcPr>
            <w:tcW w:w="4361" w:type="dxa"/>
            <w:gridSpan w:val="5"/>
            <w:tcBorders>
              <w:left w:val="nil"/>
              <w:right w:val="nil"/>
            </w:tcBorders>
            <w:vAlign w:val="center"/>
          </w:tcPr>
          <w:p w:rsidR="003E5AD2" w:rsidRDefault="003E5AD2" w:rsidP="003E5AD2">
            <w:pPr>
              <w:pStyle w:val="Brezrazmikov"/>
              <w:rPr>
                <w:sz w:val="16"/>
                <w:szCs w:val="16"/>
                <w:lang w:val="en-US"/>
              </w:rPr>
            </w:pPr>
            <w:r w:rsidRPr="003E5AD2">
              <w:rPr>
                <w:sz w:val="16"/>
                <w:szCs w:val="16"/>
                <w:lang w:val="en-US"/>
              </w:rPr>
              <w:t>a – amorphous phase</w:t>
            </w:r>
          </w:p>
          <w:p w:rsidR="003E5AD2" w:rsidRDefault="003E5AD2" w:rsidP="003E5AD2">
            <w:pPr>
              <w:pStyle w:val="Brezrazmikov"/>
              <w:rPr>
                <w:lang w:val="en-US"/>
              </w:rPr>
            </w:pPr>
            <w:r w:rsidRPr="003E5AD2">
              <w:rPr>
                <w:sz w:val="16"/>
                <w:szCs w:val="16"/>
                <w:lang w:val="en-US"/>
              </w:rPr>
              <w:t>b – all anatase has been converted to rutile</w:t>
            </w:r>
          </w:p>
        </w:tc>
      </w:tr>
    </w:tbl>
    <w:p w:rsidR="00E11ED6" w:rsidRDefault="00E11ED6" w:rsidP="00520E4C">
      <w:pPr>
        <w:pStyle w:val="Brezrazmikov"/>
        <w:spacing w:line="360" w:lineRule="auto"/>
        <w:rPr>
          <w:lang w:val="en-US"/>
        </w:rPr>
      </w:pPr>
    </w:p>
    <w:p w:rsidR="00090AF5" w:rsidRDefault="004F1171" w:rsidP="00520E4C">
      <w:pPr>
        <w:pStyle w:val="Brezrazmikov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object w:dxaOrig="4941" w:dyaOrig="3464">
          <v:shape id="_x0000_i1031" type="#_x0000_t75" style="width:226.65pt;height:169.65pt;mso-position-vertical:absolute" o:ole="">
            <v:imagedata r:id="rId18" o:title="" croptop="5389f" cropbottom="3217f" cropleft="5244f" cropright="6766f"/>
          </v:shape>
          <o:OLEObject Type="Embed" ProgID="Origin50.Graph" ShapeID="_x0000_i1031" DrawAspect="Content" ObjectID="_1555438912" r:id="rId19"/>
        </w:object>
      </w:r>
    </w:p>
    <w:p w:rsidR="00090AF5" w:rsidRPr="00962504" w:rsidRDefault="00090AF5" w:rsidP="00520E4C">
      <w:pPr>
        <w:pStyle w:val="Napis"/>
        <w:spacing w:line="360" w:lineRule="auto"/>
        <w:rPr>
          <w:color w:val="000000" w:themeColor="text1"/>
          <w:sz w:val="20"/>
          <w:szCs w:val="20"/>
          <w:lang w:val="en-GB"/>
        </w:rPr>
      </w:pPr>
      <w:proofErr w:type="gramStart"/>
      <w:r w:rsidRPr="00962504">
        <w:rPr>
          <w:color w:val="000000" w:themeColor="text1"/>
          <w:sz w:val="20"/>
          <w:szCs w:val="20"/>
          <w:lang w:val="en-GB"/>
        </w:rPr>
        <w:t xml:space="preserve">Figure </w:t>
      </w:r>
      <w:proofErr w:type="gramEnd"/>
      <w:r w:rsidR="007A68BE" w:rsidRPr="00962504">
        <w:rPr>
          <w:color w:val="000000" w:themeColor="text1"/>
          <w:sz w:val="20"/>
          <w:szCs w:val="20"/>
          <w:lang w:val="en-GB"/>
        </w:rPr>
        <w:fldChar w:fldCharType="begin"/>
      </w:r>
      <w:r w:rsidRPr="00962504">
        <w:rPr>
          <w:color w:val="000000" w:themeColor="text1"/>
          <w:sz w:val="20"/>
          <w:szCs w:val="20"/>
          <w:lang w:val="en-GB"/>
        </w:rPr>
        <w:instrText xml:space="preserve"> SEQ Figure \* ARABIC </w:instrText>
      </w:r>
      <w:r w:rsidR="007A68BE" w:rsidRPr="00962504">
        <w:rPr>
          <w:color w:val="000000" w:themeColor="text1"/>
          <w:sz w:val="20"/>
          <w:szCs w:val="20"/>
          <w:lang w:val="en-GB"/>
        </w:rPr>
        <w:fldChar w:fldCharType="separate"/>
      </w:r>
      <w:r w:rsidR="00536CED">
        <w:rPr>
          <w:noProof/>
          <w:color w:val="000000" w:themeColor="text1"/>
          <w:sz w:val="20"/>
          <w:szCs w:val="20"/>
          <w:lang w:val="en-GB"/>
        </w:rPr>
        <w:t>5</w:t>
      </w:r>
      <w:r w:rsidR="007A68BE" w:rsidRPr="00962504">
        <w:rPr>
          <w:color w:val="000000" w:themeColor="text1"/>
          <w:sz w:val="20"/>
          <w:szCs w:val="20"/>
          <w:lang w:val="en-GB"/>
        </w:rPr>
        <w:fldChar w:fldCharType="end"/>
      </w:r>
      <w:proofErr w:type="gramStart"/>
      <w:r w:rsidRPr="00962504">
        <w:rPr>
          <w:color w:val="000000" w:themeColor="text1"/>
          <w:sz w:val="20"/>
          <w:szCs w:val="20"/>
          <w:lang w:val="en-GB"/>
        </w:rPr>
        <w:t>.</w:t>
      </w:r>
      <w:proofErr w:type="gramEnd"/>
      <w:r w:rsidRPr="00962504">
        <w:rPr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Average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size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of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the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anatase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particles</w:t>
      </w:r>
      <w:r w:rsidR="00962504" w:rsidRPr="00F92FDB">
        <w:rPr>
          <w:b w:val="0"/>
          <w:color w:val="000000" w:themeColor="text1"/>
          <w:sz w:val="20"/>
          <w:szCs w:val="20"/>
          <w:lang w:val="en-GB"/>
        </w:rPr>
        <w:t xml:space="preserve"> depend</w:t>
      </w:r>
      <w:r w:rsidR="00DC2819" w:rsidRPr="00F92FDB">
        <w:rPr>
          <w:b w:val="0"/>
          <w:color w:val="000000" w:themeColor="text1"/>
          <w:sz w:val="20"/>
          <w:szCs w:val="20"/>
          <w:lang w:val="en-GB"/>
        </w:rPr>
        <w:t xml:space="preserve">ing </w:t>
      </w:r>
      <w:r w:rsidRPr="00F92FDB">
        <w:rPr>
          <w:b w:val="0"/>
          <w:color w:val="000000" w:themeColor="text1"/>
          <w:sz w:val="20"/>
          <w:szCs w:val="20"/>
          <w:lang w:val="en-GB"/>
        </w:rPr>
        <w:t>o</w:t>
      </w:r>
      <w:r w:rsidR="00DC2819" w:rsidRPr="00F92FDB">
        <w:rPr>
          <w:b w:val="0"/>
          <w:color w:val="000000" w:themeColor="text1"/>
          <w:sz w:val="20"/>
          <w:szCs w:val="20"/>
          <w:lang w:val="en-GB"/>
        </w:rPr>
        <w:t xml:space="preserve">n </w:t>
      </w:r>
      <w:r w:rsidR="001C20E4" w:rsidRPr="00F92FDB">
        <w:rPr>
          <w:b w:val="0"/>
          <w:color w:val="000000" w:themeColor="text1"/>
          <w:sz w:val="20"/>
          <w:szCs w:val="20"/>
          <w:lang w:val="en-GB"/>
        </w:rPr>
        <w:t xml:space="preserve">the </w:t>
      </w:r>
      <w:r w:rsidRPr="00F92FDB">
        <w:rPr>
          <w:b w:val="0"/>
          <w:color w:val="000000" w:themeColor="text1"/>
          <w:sz w:val="20"/>
          <w:szCs w:val="20"/>
          <w:lang w:val="en-GB"/>
        </w:rPr>
        <w:t>dopant ratio at different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annealing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 xml:space="preserve">temperatures in </w:t>
      </w:r>
      <w:r w:rsidR="001C20E4" w:rsidRPr="00F92FDB">
        <w:rPr>
          <w:b w:val="0"/>
          <w:color w:val="000000" w:themeColor="text1"/>
          <w:sz w:val="20"/>
          <w:szCs w:val="20"/>
          <w:lang w:val="en-GB"/>
        </w:rPr>
        <w:t xml:space="preserve">the </w:t>
      </w:r>
      <w:r w:rsidRPr="00F92FDB">
        <w:rPr>
          <w:b w:val="0"/>
          <w:color w:val="000000" w:themeColor="text1"/>
          <w:sz w:val="20"/>
          <w:szCs w:val="20"/>
          <w:lang w:val="en-GB"/>
        </w:rPr>
        <w:t>powders</w:t>
      </w:r>
    </w:p>
    <w:p w:rsidR="00CF7F96" w:rsidRDefault="00CF7F96" w:rsidP="00520E4C">
      <w:pPr>
        <w:spacing w:line="360" w:lineRule="auto"/>
      </w:pPr>
    </w:p>
    <w:p w:rsidR="00090AF5" w:rsidRDefault="00DA17DC" w:rsidP="00520E4C">
      <w:pPr>
        <w:spacing w:line="360" w:lineRule="auto"/>
      </w:pPr>
      <w:r>
        <w:object w:dxaOrig="4941" w:dyaOrig="3464">
          <v:shape id="_x0000_i1032" type="#_x0000_t75" style="width:368.75pt;height:236.05pt" o:ole="">
            <v:imagedata r:id="rId20" o:title="" croptop="3217f" cropbottom="3217f" cropleft="1522f"/>
          </v:shape>
          <o:OLEObject Type="Embed" ProgID="Origin50.Graph" ShapeID="_x0000_i1032" DrawAspect="Content" ObjectID="_1555438913" r:id="rId21"/>
        </w:object>
      </w:r>
    </w:p>
    <w:p w:rsidR="00090AF5" w:rsidRDefault="00DA17DC" w:rsidP="00520E4C">
      <w:pPr>
        <w:spacing w:line="360" w:lineRule="auto"/>
      </w:pPr>
      <w:r>
        <w:object w:dxaOrig="4941" w:dyaOrig="3464">
          <v:shape id="_x0000_i1033" type="#_x0000_t75" style="width:368.75pt;height:236.05pt" o:ole="">
            <v:imagedata r:id="rId22" o:title="" croptop="3217f" cropbottom="3217f" cropleft="1522f"/>
          </v:shape>
          <o:OLEObject Type="Embed" ProgID="Origin50.Graph" ShapeID="_x0000_i1033" DrawAspect="Content" ObjectID="_1555438914" r:id="rId23"/>
        </w:object>
      </w:r>
    </w:p>
    <w:p w:rsidR="00090AF5" w:rsidRPr="00184E1C" w:rsidRDefault="00090AF5" w:rsidP="00520E4C">
      <w:pPr>
        <w:pStyle w:val="Napis"/>
        <w:spacing w:line="360" w:lineRule="auto"/>
        <w:rPr>
          <w:color w:val="000000" w:themeColor="text1"/>
          <w:sz w:val="20"/>
          <w:szCs w:val="20"/>
          <w:lang w:val="en-GB"/>
        </w:rPr>
      </w:pPr>
      <w:proofErr w:type="gramStart"/>
      <w:r w:rsidRPr="00184E1C">
        <w:rPr>
          <w:color w:val="000000" w:themeColor="text1"/>
          <w:sz w:val="20"/>
          <w:szCs w:val="20"/>
          <w:lang w:val="en-GB"/>
        </w:rPr>
        <w:t xml:space="preserve">Figure </w:t>
      </w:r>
      <w:proofErr w:type="gramEnd"/>
      <w:r w:rsidR="007A68BE" w:rsidRPr="00184E1C">
        <w:rPr>
          <w:color w:val="000000" w:themeColor="text1"/>
          <w:sz w:val="20"/>
          <w:szCs w:val="20"/>
          <w:lang w:val="en-GB"/>
        </w:rPr>
        <w:fldChar w:fldCharType="begin"/>
      </w:r>
      <w:r w:rsidRPr="00184E1C">
        <w:rPr>
          <w:color w:val="000000" w:themeColor="text1"/>
          <w:sz w:val="20"/>
          <w:szCs w:val="20"/>
          <w:lang w:val="en-GB"/>
        </w:rPr>
        <w:instrText xml:space="preserve"> SEQ Figure \* ARABIC </w:instrText>
      </w:r>
      <w:r w:rsidR="007A68BE" w:rsidRPr="00184E1C">
        <w:rPr>
          <w:color w:val="000000" w:themeColor="text1"/>
          <w:sz w:val="20"/>
          <w:szCs w:val="20"/>
          <w:lang w:val="en-GB"/>
        </w:rPr>
        <w:fldChar w:fldCharType="separate"/>
      </w:r>
      <w:r w:rsidR="00536CED">
        <w:rPr>
          <w:noProof/>
          <w:color w:val="000000" w:themeColor="text1"/>
          <w:sz w:val="20"/>
          <w:szCs w:val="20"/>
          <w:lang w:val="en-GB"/>
        </w:rPr>
        <w:t>6</w:t>
      </w:r>
      <w:r w:rsidR="007A68BE" w:rsidRPr="00184E1C">
        <w:rPr>
          <w:color w:val="000000" w:themeColor="text1"/>
          <w:sz w:val="20"/>
          <w:szCs w:val="20"/>
          <w:lang w:val="en-GB"/>
        </w:rPr>
        <w:fldChar w:fldCharType="end"/>
      </w:r>
      <w:proofErr w:type="gramStart"/>
      <w:r w:rsidRPr="00184E1C">
        <w:rPr>
          <w:color w:val="000000" w:themeColor="text1"/>
          <w:sz w:val="20"/>
          <w:szCs w:val="20"/>
          <w:lang w:val="en-GB"/>
        </w:rPr>
        <w:t>.</w:t>
      </w:r>
      <w:proofErr w:type="gramEnd"/>
      <w:r w:rsidRPr="00184E1C">
        <w:rPr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Evolution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of</w:t>
      </w:r>
      <w:r w:rsidR="001C20E4" w:rsidRPr="00F92FDB">
        <w:rPr>
          <w:b w:val="0"/>
          <w:color w:val="000000" w:themeColor="text1"/>
          <w:sz w:val="20"/>
          <w:szCs w:val="20"/>
          <w:lang w:val="en-GB"/>
        </w:rPr>
        <w:t xml:space="preserve"> the </w:t>
      </w:r>
      <w:r w:rsidRPr="00F92FDB">
        <w:rPr>
          <w:b w:val="0"/>
          <w:color w:val="000000" w:themeColor="text1"/>
          <w:sz w:val="20"/>
          <w:szCs w:val="20"/>
          <w:lang w:val="en-GB"/>
        </w:rPr>
        <w:t>recorded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powder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diffraction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patterns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with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increasing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annealing temperature (a: undoped TiO</w:t>
      </w:r>
      <w:r w:rsidR="00367B4E" w:rsidRPr="00F92FDB">
        <w:rPr>
          <w:b w:val="0"/>
          <w:color w:val="000000" w:themeColor="text1"/>
          <w:sz w:val="20"/>
          <w:szCs w:val="20"/>
          <w:vertAlign w:val="subscript"/>
          <w:lang w:val="en-GB"/>
        </w:rPr>
        <w:t>2</w:t>
      </w:r>
      <w:r w:rsidRPr="00F92FDB">
        <w:rPr>
          <w:b w:val="0"/>
          <w:color w:val="000000" w:themeColor="text1"/>
          <w:sz w:val="20"/>
          <w:szCs w:val="20"/>
          <w:lang w:val="en-GB"/>
        </w:rPr>
        <w:t xml:space="preserve"> nanoparticles, b: TiO</w:t>
      </w:r>
      <w:r w:rsidR="00367B4E" w:rsidRPr="00F92FDB">
        <w:rPr>
          <w:b w:val="0"/>
          <w:color w:val="000000" w:themeColor="text1"/>
          <w:sz w:val="20"/>
          <w:szCs w:val="20"/>
          <w:vertAlign w:val="subscript"/>
          <w:lang w:val="en-GB"/>
        </w:rPr>
        <w:t>2</w:t>
      </w:r>
      <w:r w:rsidRPr="00F92FDB">
        <w:rPr>
          <w:b w:val="0"/>
          <w:color w:val="000000" w:themeColor="text1"/>
          <w:sz w:val="20"/>
          <w:szCs w:val="20"/>
          <w:lang w:val="en-GB"/>
        </w:rPr>
        <w:t xml:space="preserve"> nanoparticles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doped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with 15 mol% of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phosphate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ions)</w:t>
      </w:r>
    </w:p>
    <w:p w:rsidR="00090AF5" w:rsidRPr="003B38D9" w:rsidRDefault="00090AF5" w:rsidP="00520E4C">
      <w:pPr>
        <w:spacing w:line="360" w:lineRule="auto"/>
        <w:rPr>
          <w:lang w:val="en-GB"/>
        </w:rPr>
      </w:pPr>
    </w:p>
    <w:p w:rsidR="00090AF5" w:rsidRPr="009D5441" w:rsidRDefault="00090AF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44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he influence of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phosphate ions on </w:t>
      </w:r>
      <w:r w:rsidR="001C20E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Pr="009D5441">
        <w:rPr>
          <w:rFonts w:ascii="Times New Roman" w:hAnsi="Times New Roman" w:cs="Times New Roman"/>
          <w:sz w:val="24"/>
          <w:szCs w:val="24"/>
          <w:lang w:val="en-GB"/>
        </w:rPr>
        <w:t>anatase</w:t>
      </w:r>
      <w:r w:rsidR="001C20E4">
        <w:rPr>
          <w:rFonts w:ascii="Times New Roman" w:hAnsi="Times New Roman" w:cs="Times New Roman"/>
          <w:sz w:val="24"/>
          <w:szCs w:val="24"/>
          <w:lang w:val="en-GB"/>
        </w:rPr>
        <w:t>’s</w:t>
      </w:r>
      <w:proofErr w:type="spellEnd"/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thermal stability in thin films </w:t>
      </w:r>
      <w:r w:rsidR="001C20E4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illustrated in Fig. </w:t>
      </w:r>
      <w:r w:rsidR="00216620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. In thin films</w:t>
      </w:r>
      <w:r w:rsidR="001C20E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compared </w:t>
      </w:r>
      <w:r w:rsidR="001C20E4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powders, </w:t>
      </w:r>
      <w:r w:rsidR="001C20E4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much smaller difference between </w:t>
      </w:r>
      <w:r w:rsidR="001C20E4">
        <w:rPr>
          <w:rFonts w:ascii="Times New Roman" w:hAnsi="Times New Roman" w:cs="Times New Roman"/>
          <w:sz w:val="24"/>
          <w:szCs w:val="24"/>
          <w:lang w:val="en-GB"/>
        </w:rPr>
        <w:t xml:space="preserve">the doped and 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undoped samples was detected. In </w:t>
      </w:r>
      <w:r w:rsidR="001C20E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undoped sample, even at 800 °C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only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anatase phase was present. At higher temperatures, the content of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anatase phase dropped rapidly and at 900 °C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was approximately 70 wt%. At 1000 °C only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rutile phase was detected. The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rmal stability of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anatase phase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slightly improved by adding phosphate ions. The best results were shown by 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sample with 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>5 mol%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dopant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where at 900 °C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 xml:space="preserve"> there was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 approximately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90 wt% of anatase phase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>. Even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at 1000 °C,</w:t>
      </w:r>
      <w:r w:rsidR="00135079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approximately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5 wt% of anatase phase was detected. In all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samples and 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 xml:space="preserve">at all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annealing temperatures only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anatase and rutile phase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were present and no titanyl phosp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hate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formed. In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>thin films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doped with a higher content of dopant (10 and 15 mol%) the temperature of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anatase crystallization increased from 500 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>°C to 600 °C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 xml:space="preserve"> unlike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sample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with 5 mol% of phosphate ions,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anatase phase was already crystallized at 500 °C.</w:t>
      </w:r>
    </w:p>
    <w:p w:rsidR="00090AF5" w:rsidRDefault="00090AF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The reason why </w:t>
      </w:r>
      <w:r w:rsidR="00AB6E3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anatase phase in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undoped thin films 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more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stable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than in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powders is in the thickness of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thin films. In thin films 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there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is a limited amount of TiO</w:t>
      </w:r>
      <w:r w:rsidRPr="009D5441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bec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>ause the layer is very thin and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 is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blocked by the substrate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 xml:space="preserve"> on one side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Such a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thin layer 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does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not </w:t>
      </w:r>
      <w:r w:rsidR="003167DF" w:rsidRPr="009D5441">
        <w:rPr>
          <w:rFonts w:ascii="Times New Roman" w:hAnsi="Times New Roman" w:cs="Times New Roman"/>
          <w:sz w:val="24"/>
          <w:szCs w:val="24"/>
          <w:lang w:val="en-GB"/>
        </w:rPr>
        <w:t>provide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enough material for the growth of the anatase particles</w:t>
      </w:r>
      <w:r w:rsidR="00304BF9">
        <w:rPr>
          <w:rFonts w:ascii="Times New Roman" w:hAnsi="Times New Roman" w:cs="Times New Roman"/>
          <w:sz w:val="24"/>
          <w:szCs w:val="24"/>
          <w:lang w:val="en-GB"/>
        </w:rPr>
        <w:t xml:space="preserve"> (Table 2)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and the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transformation to rutile. The formation of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anatase and rutile phases and their particle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growth is evidenced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the series of diffractograms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>thin films on silicon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(Fig. </w:t>
      </w:r>
      <w:r w:rsidR="00216620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which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recorded after annealing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at different temperatures. Also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the difference between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>undoped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 xml:space="preserve"> sample 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and the sample </w:t>
      </w:r>
      <w:r w:rsidR="00035790">
        <w:rPr>
          <w:rFonts w:ascii="Times New Roman" w:hAnsi="Times New Roman" w:cs="Times New Roman"/>
          <w:sz w:val="24"/>
          <w:szCs w:val="24"/>
          <w:lang w:val="en-GB"/>
        </w:rPr>
        <w:t>doped</w:t>
      </w:r>
      <w:r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 with 5 mol% </w:t>
      </w:r>
      <w:r w:rsidR="00A2360C" w:rsidRPr="009D5441">
        <w:rPr>
          <w:rFonts w:ascii="Times New Roman" w:hAnsi="Times New Roman" w:cs="Times New Roman"/>
          <w:sz w:val="24"/>
          <w:szCs w:val="24"/>
          <w:lang w:val="en-GB"/>
        </w:rPr>
        <w:t xml:space="preserve">of phosphate ions </w:t>
      </w:r>
      <w:r w:rsidR="00073152">
        <w:rPr>
          <w:rFonts w:ascii="Times New Roman" w:hAnsi="Times New Roman" w:cs="Times New Roman"/>
          <w:sz w:val="24"/>
          <w:szCs w:val="24"/>
          <w:lang w:val="en-GB"/>
        </w:rPr>
        <w:t>was apparent.</w:t>
      </w:r>
    </w:p>
    <w:p w:rsidR="003E5AD2" w:rsidRPr="00304BF9" w:rsidRDefault="003E5AD2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90AF5" w:rsidRDefault="004F1171" w:rsidP="00520E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4941" w:dyaOrig="3464">
          <v:shape id="_x0000_i1034" type="#_x0000_t75" style="width:226.65pt;height:167.15pt" o:ole="">
            <v:imagedata r:id="rId24" o:title="" croptop="5389f" cropbottom="3217f" cropleft="4511f" cropright="6766f"/>
          </v:shape>
          <o:OLEObject Type="Embed" ProgID="Origin50.Graph" ShapeID="_x0000_i1034" DrawAspect="Content" ObjectID="_1555438915" r:id="rId25"/>
        </w:object>
      </w:r>
    </w:p>
    <w:p w:rsidR="003E5AD2" w:rsidRDefault="00090AF5" w:rsidP="00520E4C">
      <w:pPr>
        <w:pStyle w:val="Napis"/>
        <w:spacing w:line="360" w:lineRule="auto"/>
        <w:rPr>
          <w:color w:val="000000" w:themeColor="text1"/>
          <w:sz w:val="20"/>
          <w:szCs w:val="20"/>
          <w:lang w:val="en-GB"/>
        </w:rPr>
      </w:pPr>
      <w:proofErr w:type="gramStart"/>
      <w:r w:rsidRPr="00C90F1C">
        <w:rPr>
          <w:color w:val="000000" w:themeColor="text1"/>
          <w:sz w:val="20"/>
          <w:szCs w:val="20"/>
          <w:lang w:val="en-GB"/>
        </w:rPr>
        <w:t xml:space="preserve">Figure </w:t>
      </w:r>
      <w:proofErr w:type="gramEnd"/>
      <w:r w:rsidR="007A68BE" w:rsidRPr="00C90F1C">
        <w:rPr>
          <w:color w:val="000000" w:themeColor="text1"/>
          <w:sz w:val="20"/>
          <w:szCs w:val="20"/>
          <w:lang w:val="en-GB"/>
        </w:rPr>
        <w:fldChar w:fldCharType="begin"/>
      </w:r>
      <w:r w:rsidRPr="00C90F1C">
        <w:rPr>
          <w:color w:val="000000" w:themeColor="text1"/>
          <w:sz w:val="20"/>
          <w:szCs w:val="20"/>
          <w:lang w:val="en-GB"/>
        </w:rPr>
        <w:instrText xml:space="preserve"> SEQ Figure \* ARABIC </w:instrText>
      </w:r>
      <w:r w:rsidR="007A68BE" w:rsidRPr="00C90F1C">
        <w:rPr>
          <w:color w:val="000000" w:themeColor="text1"/>
          <w:sz w:val="20"/>
          <w:szCs w:val="20"/>
          <w:lang w:val="en-GB"/>
        </w:rPr>
        <w:fldChar w:fldCharType="separate"/>
      </w:r>
      <w:r w:rsidR="00536CED">
        <w:rPr>
          <w:noProof/>
          <w:color w:val="000000" w:themeColor="text1"/>
          <w:sz w:val="20"/>
          <w:szCs w:val="20"/>
          <w:lang w:val="en-GB"/>
        </w:rPr>
        <w:t>7</w:t>
      </w:r>
      <w:r w:rsidR="007A68BE" w:rsidRPr="00C90F1C">
        <w:rPr>
          <w:color w:val="000000" w:themeColor="text1"/>
          <w:sz w:val="20"/>
          <w:szCs w:val="20"/>
          <w:lang w:val="en-GB"/>
        </w:rPr>
        <w:fldChar w:fldCharType="end"/>
      </w:r>
      <w:proofErr w:type="gramStart"/>
      <w:r w:rsidRPr="00C90F1C">
        <w:rPr>
          <w:color w:val="000000" w:themeColor="text1"/>
          <w:sz w:val="20"/>
          <w:szCs w:val="20"/>
          <w:lang w:val="en-GB"/>
        </w:rPr>
        <w:t>.</w:t>
      </w:r>
      <w:proofErr w:type="gramEnd"/>
      <w:r w:rsidRPr="00C90F1C">
        <w:rPr>
          <w:color w:val="000000" w:themeColor="text1"/>
          <w:sz w:val="20"/>
          <w:szCs w:val="20"/>
          <w:lang w:val="en-GB"/>
        </w:rPr>
        <w:t xml:space="preserve"> </w:t>
      </w:r>
      <w:r w:rsidR="00F8170B" w:rsidRPr="00F92FDB">
        <w:rPr>
          <w:b w:val="0"/>
          <w:color w:val="000000" w:themeColor="text1"/>
          <w:sz w:val="20"/>
          <w:szCs w:val="20"/>
          <w:lang w:val="en-GB"/>
        </w:rPr>
        <w:t xml:space="preserve">Dependence </w:t>
      </w:r>
      <w:r w:rsidRPr="00F92FDB">
        <w:rPr>
          <w:b w:val="0"/>
          <w:color w:val="000000" w:themeColor="text1"/>
          <w:sz w:val="20"/>
          <w:szCs w:val="20"/>
          <w:lang w:val="en-GB"/>
        </w:rPr>
        <w:t>of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the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</w:t>
      </w:r>
      <w:r w:rsidR="00F8170B" w:rsidRPr="00F92FDB">
        <w:rPr>
          <w:b w:val="0"/>
          <w:color w:val="000000" w:themeColor="text1"/>
          <w:sz w:val="20"/>
          <w:szCs w:val="20"/>
          <w:lang w:val="en-GB"/>
        </w:rPr>
        <w:t>mount of a</w:t>
      </w:r>
      <w:r w:rsidRPr="00F92FDB">
        <w:rPr>
          <w:b w:val="0"/>
          <w:color w:val="000000" w:themeColor="text1"/>
          <w:sz w:val="20"/>
          <w:szCs w:val="20"/>
          <w:lang w:val="en-GB"/>
        </w:rPr>
        <w:t>natase</w:t>
      </w:r>
      <w:r w:rsidR="00F8170B" w:rsidRPr="00F92FDB">
        <w:rPr>
          <w:b w:val="0"/>
          <w:color w:val="000000" w:themeColor="text1"/>
          <w:sz w:val="20"/>
          <w:szCs w:val="20"/>
          <w:lang w:val="en-GB"/>
        </w:rPr>
        <w:t xml:space="preserve"> phase on the dopant ratio for </w:t>
      </w:r>
      <w:r w:rsidRPr="00F92FDB">
        <w:rPr>
          <w:b w:val="0"/>
          <w:color w:val="000000" w:themeColor="text1"/>
          <w:sz w:val="20"/>
          <w:szCs w:val="20"/>
          <w:lang w:val="en-GB"/>
        </w:rPr>
        <w:t>different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annealing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temperatures in thin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films</w:t>
      </w:r>
    </w:p>
    <w:p w:rsidR="004F1171" w:rsidRPr="004F1171" w:rsidRDefault="004F1171" w:rsidP="00520E4C">
      <w:pPr>
        <w:spacing w:line="360" w:lineRule="auto"/>
        <w:rPr>
          <w:lang w:val="en-GB"/>
        </w:rPr>
      </w:pPr>
    </w:p>
    <w:p w:rsidR="00304BF9" w:rsidRPr="00E11ED6" w:rsidRDefault="00304BF9" w:rsidP="00520E4C">
      <w:pPr>
        <w:pStyle w:val="Napis"/>
        <w:spacing w:line="360" w:lineRule="auto"/>
        <w:rPr>
          <w:color w:val="000000" w:themeColor="text1"/>
          <w:sz w:val="20"/>
          <w:szCs w:val="20"/>
          <w:lang w:val="en-GB"/>
        </w:rPr>
      </w:pPr>
      <w:r w:rsidRPr="00EC116B">
        <w:rPr>
          <w:color w:val="000000" w:themeColor="text1"/>
          <w:sz w:val="20"/>
          <w:szCs w:val="20"/>
        </w:rPr>
        <w:t>Table</w:t>
      </w:r>
      <w:r w:rsidR="00513BCD">
        <w:rPr>
          <w:color w:val="000000" w:themeColor="text1"/>
          <w:sz w:val="20"/>
          <w:szCs w:val="20"/>
        </w:rPr>
        <w:t xml:space="preserve"> </w:t>
      </w:r>
      <w:r w:rsidR="007A68BE" w:rsidRPr="00EC116B">
        <w:rPr>
          <w:color w:val="000000" w:themeColor="text1"/>
          <w:sz w:val="20"/>
          <w:szCs w:val="20"/>
        </w:rPr>
        <w:fldChar w:fldCharType="begin"/>
      </w:r>
      <w:r w:rsidRPr="00EC116B">
        <w:rPr>
          <w:color w:val="000000" w:themeColor="text1"/>
          <w:sz w:val="20"/>
          <w:szCs w:val="20"/>
        </w:rPr>
        <w:instrText xml:space="preserve"> SEQ Table \* ARABIC </w:instrText>
      </w:r>
      <w:r w:rsidR="007A68BE" w:rsidRPr="00EC116B">
        <w:rPr>
          <w:color w:val="000000" w:themeColor="text1"/>
          <w:sz w:val="20"/>
          <w:szCs w:val="20"/>
        </w:rPr>
        <w:fldChar w:fldCharType="separate"/>
      </w:r>
      <w:r w:rsidR="00536CED">
        <w:rPr>
          <w:noProof/>
          <w:color w:val="000000" w:themeColor="text1"/>
          <w:sz w:val="20"/>
          <w:szCs w:val="20"/>
        </w:rPr>
        <w:t>2</w:t>
      </w:r>
      <w:r w:rsidR="007A68BE" w:rsidRPr="00EC116B"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  <w:lang w:val="en-GB"/>
        </w:rPr>
        <w:t>.</w:t>
      </w:r>
      <w:r w:rsidR="00513BCD">
        <w:rPr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Average size of the anatase particles in thin films with different annealing temperatures and dopant ratio</w:t>
      </w:r>
      <w:r w:rsidR="00F8170B" w:rsidRPr="00F92FDB">
        <w:rPr>
          <w:b w:val="0"/>
          <w:color w:val="000000" w:themeColor="text1"/>
          <w:sz w:val="20"/>
          <w:szCs w:val="20"/>
          <w:lang w:val="en-GB"/>
        </w:rPr>
        <w:t>s</w:t>
      </w:r>
    </w:p>
    <w:tbl>
      <w:tblPr>
        <w:tblStyle w:val="Tabela-mrea"/>
        <w:tblW w:w="0" w:type="auto"/>
        <w:tblLayout w:type="fixed"/>
        <w:tblLook w:val="04A0"/>
      </w:tblPr>
      <w:tblGrid>
        <w:gridCol w:w="1384"/>
        <w:gridCol w:w="709"/>
        <w:gridCol w:w="709"/>
        <w:gridCol w:w="850"/>
        <w:gridCol w:w="709"/>
      </w:tblGrid>
      <w:tr w:rsidR="00304BF9" w:rsidTr="008A3542">
        <w:tc>
          <w:tcPr>
            <w:tcW w:w="1384" w:type="dxa"/>
            <w:vMerge w:val="restart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b/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Annealing</w:t>
            </w:r>
          </w:p>
          <w:p w:rsidR="00304BF9" w:rsidRPr="004F1171" w:rsidRDefault="00304BF9" w:rsidP="00BC428B">
            <w:pPr>
              <w:pStyle w:val="Brezrazmikov"/>
              <w:jc w:val="center"/>
              <w:rPr>
                <w:b/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temperature</w:t>
            </w:r>
          </w:p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(°C)</w:t>
            </w:r>
          </w:p>
        </w:tc>
        <w:tc>
          <w:tcPr>
            <w:tcW w:w="2977" w:type="dxa"/>
            <w:gridSpan w:val="4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b/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Dopant ratio (</w:t>
            </w:r>
            <w:proofErr w:type="gramStart"/>
            <w:r w:rsidRPr="004F1171">
              <w:rPr>
                <w:b/>
                <w:sz w:val="20"/>
                <w:szCs w:val="20"/>
                <w:lang w:val="en-US"/>
              </w:rPr>
              <w:t>mol%</w:t>
            </w:r>
            <w:proofErr w:type="gramEnd"/>
            <w:r w:rsidRPr="004F1171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304BF9" w:rsidTr="008A3542">
        <w:tc>
          <w:tcPr>
            <w:tcW w:w="1384" w:type="dxa"/>
            <w:vMerge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15</w:t>
            </w:r>
          </w:p>
        </w:tc>
      </w:tr>
      <w:tr w:rsidR="00304BF9" w:rsidTr="008A3542">
        <w:tc>
          <w:tcPr>
            <w:tcW w:w="1384" w:type="dxa"/>
            <w:vMerge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b/>
                <w:sz w:val="20"/>
                <w:szCs w:val="20"/>
                <w:lang w:val="en-US"/>
              </w:rPr>
            </w:pPr>
            <w:r w:rsidRPr="004F1171">
              <w:rPr>
                <w:b/>
                <w:sz w:val="20"/>
                <w:szCs w:val="20"/>
                <w:lang w:val="en-US"/>
              </w:rPr>
              <w:t>Average size of the anatase particles (nm)</w:t>
            </w:r>
          </w:p>
        </w:tc>
      </w:tr>
      <w:tr w:rsidR="00304BF9" w:rsidTr="008A3542">
        <w:tc>
          <w:tcPr>
            <w:tcW w:w="1384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="00763CBE"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09" w:type="dxa"/>
            <w:vAlign w:val="center"/>
          </w:tcPr>
          <w:p w:rsidR="00304BF9" w:rsidRPr="004F1171" w:rsidRDefault="00763CBE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0" w:type="dxa"/>
            <w:vAlign w:val="center"/>
          </w:tcPr>
          <w:p w:rsidR="00304BF9" w:rsidRPr="004F1171" w:rsidRDefault="00763CBE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09" w:type="dxa"/>
            <w:vAlign w:val="center"/>
          </w:tcPr>
          <w:p w:rsidR="00304BF9" w:rsidRPr="004F1171" w:rsidRDefault="00763CBE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304BF9" w:rsidTr="008A3542">
        <w:tc>
          <w:tcPr>
            <w:tcW w:w="1384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18.2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13.7</w:t>
            </w:r>
          </w:p>
        </w:tc>
        <w:tc>
          <w:tcPr>
            <w:tcW w:w="850" w:type="dxa"/>
            <w:vAlign w:val="center"/>
          </w:tcPr>
          <w:p w:rsidR="00304BF9" w:rsidRPr="004F1171" w:rsidRDefault="00763CBE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709" w:type="dxa"/>
            <w:vAlign w:val="center"/>
          </w:tcPr>
          <w:p w:rsidR="00304BF9" w:rsidRPr="004F1171" w:rsidRDefault="00763CBE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304BF9" w:rsidTr="008A3542">
        <w:tc>
          <w:tcPr>
            <w:tcW w:w="1384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21.6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14.5</w:t>
            </w:r>
          </w:p>
        </w:tc>
        <w:tc>
          <w:tcPr>
            <w:tcW w:w="850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9.1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10.7</w:t>
            </w:r>
          </w:p>
        </w:tc>
      </w:tr>
      <w:tr w:rsidR="00304BF9" w:rsidTr="008A3542">
        <w:tc>
          <w:tcPr>
            <w:tcW w:w="1384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27.7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15.1</w:t>
            </w:r>
          </w:p>
        </w:tc>
        <w:tc>
          <w:tcPr>
            <w:tcW w:w="850" w:type="dxa"/>
            <w:vAlign w:val="center"/>
          </w:tcPr>
          <w:p w:rsidR="00304BF9" w:rsidRPr="004F1171" w:rsidRDefault="00304BF9" w:rsidP="00304BF9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8.6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8.6</w:t>
            </w:r>
          </w:p>
        </w:tc>
      </w:tr>
      <w:tr w:rsidR="00304BF9" w:rsidTr="008A3542">
        <w:tc>
          <w:tcPr>
            <w:tcW w:w="1384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29.4</w:t>
            </w:r>
          </w:p>
        </w:tc>
        <w:tc>
          <w:tcPr>
            <w:tcW w:w="850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29.0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17.0</w:t>
            </w:r>
          </w:p>
        </w:tc>
      </w:tr>
      <w:tr w:rsidR="00304BF9" w:rsidTr="008A3542">
        <w:tc>
          <w:tcPr>
            <w:tcW w:w="1384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58.6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58.4</w:t>
            </w:r>
          </w:p>
        </w:tc>
        <w:tc>
          <w:tcPr>
            <w:tcW w:w="850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64.1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65.2</w:t>
            </w:r>
          </w:p>
        </w:tc>
      </w:tr>
      <w:tr w:rsidR="00304BF9" w:rsidTr="008A3542">
        <w:tc>
          <w:tcPr>
            <w:tcW w:w="1384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709" w:type="dxa"/>
            <w:vAlign w:val="center"/>
          </w:tcPr>
          <w:p w:rsidR="00304BF9" w:rsidRPr="004F1171" w:rsidRDefault="00763CBE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53.3</w:t>
            </w:r>
          </w:p>
        </w:tc>
        <w:tc>
          <w:tcPr>
            <w:tcW w:w="850" w:type="dxa"/>
            <w:vAlign w:val="center"/>
          </w:tcPr>
          <w:p w:rsidR="00304BF9" w:rsidRPr="004F1171" w:rsidRDefault="00763CBE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0</w:t>
            </w:r>
            <w:r w:rsidR="00746249" w:rsidRPr="004F1171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09" w:type="dxa"/>
            <w:vAlign w:val="center"/>
          </w:tcPr>
          <w:p w:rsidR="00304BF9" w:rsidRPr="004F1171" w:rsidRDefault="00304BF9" w:rsidP="00BC428B">
            <w:pPr>
              <w:pStyle w:val="Brezrazmikov"/>
              <w:jc w:val="center"/>
              <w:rPr>
                <w:sz w:val="20"/>
                <w:szCs w:val="20"/>
                <w:lang w:val="en-US"/>
              </w:rPr>
            </w:pPr>
            <w:r w:rsidRPr="004F1171">
              <w:rPr>
                <w:sz w:val="20"/>
                <w:szCs w:val="20"/>
                <w:lang w:val="en-US"/>
              </w:rPr>
              <w:t>52.4</w:t>
            </w:r>
          </w:p>
        </w:tc>
      </w:tr>
      <w:tr w:rsidR="003E5AD2" w:rsidTr="008A3542">
        <w:tc>
          <w:tcPr>
            <w:tcW w:w="4361" w:type="dxa"/>
            <w:gridSpan w:val="5"/>
            <w:tcBorders>
              <w:left w:val="nil"/>
              <w:right w:val="nil"/>
            </w:tcBorders>
            <w:vAlign w:val="center"/>
          </w:tcPr>
          <w:p w:rsidR="003E5AD2" w:rsidRDefault="003E5AD2" w:rsidP="003E5AD2">
            <w:pPr>
              <w:pStyle w:val="Brezrazmikov"/>
              <w:rPr>
                <w:sz w:val="16"/>
                <w:szCs w:val="16"/>
                <w:lang w:val="en-US"/>
              </w:rPr>
            </w:pPr>
            <w:r w:rsidRPr="003E5AD2">
              <w:rPr>
                <w:sz w:val="16"/>
                <w:szCs w:val="16"/>
                <w:lang w:val="en-US"/>
              </w:rPr>
              <w:t>a – amorphous phase</w:t>
            </w:r>
          </w:p>
          <w:p w:rsidR="003E5AD2" w:rsidRDefault="003E5AD2" w:rsidP="003E5AD2">
            <w:pPr>
              <w:pStyle w:val="Brezrazmikov"/>
              <w:rPr>
                <w:lang w:val="en-US"/>
              </w:rPr>
            </w:pPr>
            <w:r w:rsidRPr="003E5AD2">
              <w:rPr>
                <w:sz w:val="16"/>
                <w:szCs w:val="16"/>
                <w:lang w:val="en-US"/>
              </w:rPr>
              <w:t>b – all anatase has been converted to rutile</w:t>
            </w:r>
          </w:p>
        </w:tc>
      </w:tr>
      <w:tr w:rsidR="003E5AD2" w:rsidTr="008A3542">
        <w:trPr>
          <w:trHeight w:val="680"/>
        </w:trPr>
        <w:tc>
          <w:tcPr>
            <w:tcW w:w="4361" w:type="dxa"/>
            <w:gridSpan w:val="5"/>
            <w:tcBorders>
              <w:left w:val="nil"/>
              <w:bottom w:val="nil"/>
              <w:right w:val="nil"/>
            </w:tcBorders>
          </w:tcPr>
          <w:p w:rsidR="003E5AD2" w:rsidRDefault="003E5AD2" w:rsidP="003E5AD2">
            <w:pPr>
              <w:pStyle w:val="Brezrazmikov"/>
              <w:tabs>
                <w:tab w:val="left" w:pos="1830"/>
              </w:tabs>
              <w:rPr>
                <w:lang w:val="en-US"/>
              </w:rPr>
            </w:pPr>
          </w:p>
        </w:tc>
      </w:tr>
    </w:tbl>
    <w:p w:rsidR="00090AF5" w:rsidRPr="00C27990" w:rsidRDefault="00090AF5" w:rsidP="00520E4C">
      <w:pPr>
        <w:spacing w:line="360" w:lineRule="auto"/>
        <w:rPr>
          <w:lang w:val="en-GB"/>
        </w:rPr>
      </w:pPr>
    </w:p>
    <w:p w:rsidR="00090AF5" w:rsidRDefault="008A3542" w:rsidP="00520E4C">
      <w:pPr>
        <w:spacing w:line="360" w:lineRule="auto"/>
      </w:pPr>
      <w:r>
        <w:object w:dxaOrig="4941" w:dyaOrig="3464">
          <v:shape id="_x0000_i1035" type="#_x0000_t75" style="width:226.65pt;height:145.25pt" o:ole="">
            <v:imagedata r:id="rId26" o:title="" croptop="3217f" cropbottom="3217f" cropleft="1522f"/>
          </v:shape>
          <o:OLEObject Type="Embed" ProgID="Origin50.Graph" ShapeID="_x0000_i1035" DrawAspect="Content" ObjectID="_1555438916" r:id="rId27"/>
        </w:object>
      </w:r>
    </w:p>
    <w:p w:rsidR="00090AF5" w:rsidRDefault="008A3542" w:rsidP="00520E4C">
      <w:pPr>
        <w:spacing w:line="360" w:lineRule="auto"/>
      </w:pPr>
      <w:r>
        <w:object w:dxaOrig="4941" w:dyaOrig="3464">
          <v:shape id="_x0000_i1036" type="#_x0000_t75" style="width:226.65pt;height:145.25pt" o:ole="">
            <v:imagedata r:id="rId28" o:title="" croptop="3217f" cropbottom="3217f" cropleft="1522f"/>
          </v:shape>
          <o:OLEObject Type="Embed" ProgID="Origin50.Graph" ShapeID="_x0000_i1036" DrawAspect="Content" ObjectID="_1555438917" r:id="rId29"/>
        </w:object>
      </w:r>
    </w:p>
    <w:p w:rsidR="00090AF5" w:rsidRPr="00C90F1C" w:rsidRDefault="00090AF5" w:rsidP="00520E4C">
      <w:pPr>
        <w:pStyle w:val="Napis"/>
        <w:spacing w:line="360" w:lineRule="auto"/>
        <w:rPr>
          <w:color w:val="000000" w:themeColor="text1"/>
          <w:sz w:val="20"/>
          <w:szCs w:val="20"/>
          <w:lang w:val="en-GB"/>
        </w:rPr>
      </w:pPr>
      <w:proofErr w:type="gramStart"/>
      <w:r w:rsidRPr="00C90F1C">
        <w:rPr>
          <w:color w:val="000000" w:themeColor="text1"/>
          <w:sz w:val="20"/>
          <w:szCs w:val="20"/>
          <w:lang w:val="en-GB"/>
        </w:rPr>
        <w:t xml:space="preserve">Figure </w:t>
      </w:r>
      <w:proofErr w:type="gramEnd"/>
      <w:r w:rsidR="007A68BE" w:rsidRPr="00C90F1C">
        <w:rPr>
          <w:color w:val="000000" w:themeColor="text1"/>
          <w:sz w:val="20"/>
          <w:szCs w:val="20"/>
          <w:lang w:val="en-GB"/>
        </w:rPr>
        <w:fldChar w:fldCharType="begin"/>
      </w:r>
      <w:r w:rsidRPr="00C90F1C">
        <w:rPr>
          <w:color w:val="000000" w:themeColor="text1"/>
          <w:sz w:val="20"/>
          <w:szCs w:val="20"/>
          <w:lang w:val="en-GB"/>
        </w:rPr>
        <w:instrText xml:space="preserve"> SEQ Figure \* ARABIC </w:instrText>
      </w:r>
      <w:r w:rsidR="007A68BE" w:rsidRPr="00C90F1C">
        <w:rPr>
          <w:color w:val="000000" w:themeColor="text1"/>
          <w:sz w:val="20"/>
          <w:szCs w:val="20"/>
          <w:lang w:val="en-GB"/>
        </w:rPr>
        <w:fldChar w:fldCharType="separate"/>
      </w:r>
      <w:r w:rsidR="00536CED">
        <w:rPr>
          <w:noProof/>
          <w:color w:val="000000" w:themeColor="text1"/>
          <w:sz w:val="20"/>
          <w:szCs w:val="20"/>
          <w:lang w:val="en-GB"/>
        </w:rPr>
        <w:t>8</w:t>
      </w:r>
      <w:r w:rsidR="007A68BE" w:rsidRPr="00C90F1C">
        <w:rPr>
          <w:color w:val="000000" w:themeColor="text1"/>
          <w:sz w:val="20"/>
          <w:szCs w:val="20"/>
          <w:lang w:val="en-GB"/>
        </w:rPr>
        <w:fldChar w:fldCharType="end"/>
      </w:r>
      <w:proofErr w:type="gramStart"/>
      <w:r w:rsidRPr="00C90F1C">
        <w:rPr>
          <w:color w:val="000000" w:themeColor="text1"/>
          <w:sz w:val="20"/>
          <w:szCs w:val="20"/>
          <w:lang w:val="en-GB"/>
        </w:rPr>
        <w:t>.</w:t>
      </w:r>
      <w:proofErr w:type="gramEnd"/>
      <w:r w:rsidRPr="00C90F1C">
        <w:rPr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Evolution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of</w:t>
      </w:r>
      <w:r w:rsidR="00F8170B" w:rsidRPr="00F92FDB">
        <w:rPr>
          <w:b w:val="0"/>
          <w:color w:val="000000" w:themeColor="text1"/>
          <w:sz w:val="20"/>
          <w:szCs w:val="20"/>
          <w:lang w:val="en-GB"/>
        </w:rPr>
        <w:t xml:space="preserve"> the </w:t>
      </w:r>
      <w:r w:rsidRPr="00F92FDB">
        <w:rPr>
          <w:b w:val="0"/>
          <w:color w:val="000000" w:themeColor="text1"/>
          <w:sz w:val="20"/>
          <w:szCs w:val="20"/>
          <w:lang w:val="en-GB"/>
        </w:rPr>
        <w:t>recorded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diffraction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patterns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with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increasing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annealing temperature (a: undoped TiO</w:t>
      </w:r>
      <w:r w:rsidRPr="00F92FDB">
        <w:rPr>
          <w:b w:val="0"/>
          <w:color w:val="000000" w:themeColor="text1"/>
          <w:sz w:val="20"/>
          <w:szCs w:val="20"/>
          <w:vertAlign w:val="subscript"/>
          <w:lang w:val="en-GB"/>
        </w:rPr>
        <w:t>2</w:t>
      </w:r>
      <w:r w:rsidRPr="00F92FDB">
        <w:rPr>
          <w:b w:val="0"/>
          <w:color w:val="000000" w:themeColor="text1"/>
          <w:sz w:val="20"/>
          <w:szCs w:val="20"/>
          <w:lang w:val="en-GB"/>
        </w:rPr>
        <w:t xml:space="preserve"> thin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films, b: TiO</w:t>
      </w:r>
      <w:r w:rsidRPr="00F92FDB">
        <w:rPr>
          <w:b w:val="0"/>
          <w:color w:val="000000" w:themeColor="text1"/>
          <w:sz w:val="20"/>
          <w:szCs w:val="20"/>
          <w:vertAlign w:val="subscript"/>
          <w:lang w:val="en-GB"/>
        </w:rPr>
        <w:t>2</w:t>
      </w:r>
      <w:r w:rsidRPr="00F92FDB">
        <w:rPr>
          <w:b w:val="0"/>
          <w:color w:val="000000" w:themeColor="text1"/>
          <w:sz w:val="20"/>
          <w:szCs w:val="20"/>
          <w:lang w:val="en-GB"/>
        </w:rPr>
        <w:t xml:space="preserve"> thin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films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doped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with 5 mol% of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phosphate</w:t>
      </w:r>
      <w:r w:rsidR="00513BCD">
        <w:rPr>
          <w:b w:val="0"/>
          <w:color w:val="000000" w:themeColor="text1"/>
          <w:sz w:val="20"/>
          <w:szCs w:val="20"/>
          <w:lang w:val="en-GB"/>
        </w:rPr>
        <w:t xml:space="preserve"> </w:t>
      </w:r>
      <w:r w:rsidRPr="00F92FDB">
        <w:rPr>
          <w:b w:val="0"/>
          <w:color w:val="000000" w:themeColor="text1"/>
          <w:sz w:val="20"/>
          <w:szCs w:val="20"/>
          <w:lang w:val="en-GB"/>
        </w:rPr>
        <w:t>ions)</w:t>
      </w:r>
    </w:p>
    <w:p w:rsidR="00090AF5" w:rsidRDefault="00090AF5" w:rsidP="00520E4C">
      <w:pPr>
        <w:spacing w:line="360" w:lineRule="auto"/>
        <w:rPr>
          <w:lang w:val="en-GB"/>
        </w:rPr>
      </w:pPr>
    </w:p>
    <w:p w:rsidR="0006580F" w:rsidRDefault="0006580F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3.3. SEM Analysis</w:t>
      </w:r>
    </w:p>
    <w:p w:rsidR="002B336C" w:rsidRDefault="00103D76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study </w:t>
      </w:r>
      <w:r w:rsidR="00166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morph</w:t>
      </w:r>
      <w:r w:rsidR="00361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ology, particle shape and size,</w:t>
      </w:r>
      <w:r w:rsidR="00166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SEM images of all </w:t>
      </w:r>
      <w:r w:rsidR="003836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166F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prepared thin films and p</w:t>
      </w:r>
      <w:r w:rsidR="001D3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owders </w:t>
      </w:r>
      <w:proofErr w:type="gramStart"/>
      <w:r w:rsidR="001D3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taken</w:t>
      </w:r>
      <w:proofErr w:type="gramEnd"/>
      <w:r w:rsidR="001D3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nanoparticles </w:t>
      </w:r>
      <w:r w:rsidR="001D3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1D3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powders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were not </w:t>
      </w:r>
      <w:r w:rsidR="00C93C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isolated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1D3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but large agglomerates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361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several micrometers in size and</w:t>
      </w:r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324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various shapes </w:t>
      </w:r>
      <w:proofErr w:type="gramStart"/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 w:rsidR="001D3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formed</w:t>
      </w:r>
      <w:proofErr w:type="gramEnd"/>
      <w:r w:rsidR="001D31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 S</w:t>
      </w:r>
      <w:r w:rsidR="00781F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 micrograph in Fig. </w:t>
      </w:r>
      <w:r w:rsidR="00216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DA03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show</w:t>
      </w:r>
      <w:r w:rsidR="00781F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that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781F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phosphate ions</w:t>
      </w:r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A6D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strongly inhibited</w:t>
      </w:r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A6D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particle growth. At the same annealing temperature</w:t>
      </w:r>
      <w:r w:rsidR="00AB6E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8A6D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average particle size decreased with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</w:t>
      </w:r>
      <w:r w:rsidR="008A6D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increasing </w:t>
      </w:r>
      <w:r w:rsidR="00781F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amount of</w:t>
      </w:r>
      <w:r w:rsidR="000F1B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dopant</w:t>
      </w:r>
      <w:r w:rsidR="008A6D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particle </w:t>
      </w:r>
      <w:r w:rsidR="00361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size in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361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undoped samples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increased </w:t>
      </w:r>
      <w:r w:rsidR="006D6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rapidly with the temperature and at 1000 °</w:t>
      </w:r>
      <w:proofErr w:type="gramStart"/>
      <w:r w:rsidR="006D6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gramEnd"/>
      <w:r w:rsidR="006D6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9100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particles were</w:t>
      </w:r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16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larger than 100 nm (Fig. 9c and 9</w:t>
      </w:r>
      <w:r w:rsidR="001324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d).</w:t>
      </w:r>
    </w:p>
    <w:p w:rsidR="002B336C" w:rsidRPr="00AB6E30" w:rsidRDefault="00910082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P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thin films, </w:t>
      </w:r>
      <w:r w:rsidRPr="00AB6E30">
        <w:rPr>
          <w:rStyle w:val="alt-edited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uniformly</w:t>
      </w:r>
      <w:r w:rsidRP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distributed and homogenous layer</w:t>
      </w:r>
      <w:r w:rsid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 were</w:t>
      </w:r>
      <w:r w:rsidRP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observed. </w:t>
      </w:r>
      <w:r w:rsidR="00361E33" w:rsidRPr="00AB6E30">
        <w:rPr>
          <w:rFonts w:ascii="Times New Roman" w:hAnsi="Times New Roman" w:cs="Times New Roman"/>
          <w:sz w:val="24"/>
          <w:szCs w:val="24"/>
          <w:lang w:val="en-GB"/>
        </w:rPr>
        <w:t>Even though</w:t>
      </w:r>
      <w:r w:rsidR="009829A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thin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films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prepared</w:t>
      </w:r>
      <w:r w:rsidR="00361E33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 by depositing only a single layer,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1E33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films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covered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whole substrate </w:t>
      </w:r>
      <w:r w:rsidR="00361E33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equally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>nd no areas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>without</w:t>
      </w:r>
      <w:r w:rsidR="009829A0">
        <w:rPr>
          <w:rFonts w:ascii="Times New Roman" w:hAnsi="Times New Roman" w:cs="Times New Roman"/>
          <w:sz w:val="24"/>
          <w:szCs w:val="24"/>
          <w:lang w:val="en-GB"/>
        </w:rPr>
        <w:t xml:space="preserve"> any 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>thin film were</w:t>
      </w:r>
      <w:r w:rsidR="00513B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72E" w:rsidRPr="00AB6E30">
        <w:rPr>
          <w:rFonts w:ascii="Times New Roman" w:hAnsi="Times New Roman" w:cs="Times New Roman"/>
          <w:sz w:val="24"/>
          <w:szCs w:val="24"/>
          <w:lang w:val="en-GB"/>
        </w:rPr>
        <w:t>detected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. Due to the </w:t>
      </w:r>
      <w:r w:rsidR="001D779B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limited amount of material </w:t>
      </w:r>
      <w:r w:rsidR="00560572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9829A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60572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thin films </w:t>
      </w:r>
      <w:r w:rsidR="001D779B" w:rsidRPr="00AB6E30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9829A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560572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presence of a </w:t>
      </w:r>
      <w:r w:rsidR="001D779B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substrate on </w:t>
      </w:r>
      <w:r w:rsidR="001D779B" w:rsidRP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one side</w:t>
      </w:r>
      <w:r w:rsidR="00560572" w:rsidRP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9829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="00A00C53" w:rsidRP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much</w:t>
      </w:r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00C53" w:rsidRPr="00AB6E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smaller</w:t>
      </w:r>
      <w:r w:rsidR="00513BC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average particle size in comparison to </w:t>
      </w:r>
      <w:r w:rsidR="009829A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powders was observed </w:t>
      </w:r>
      <w:r w:rsidR="00216620" w:rsidRPr="00AB6E30">
        <w:rPr>
          <w:rFonts w:ascii="Times New Roman" w:hAnsi="Times New Roman" w:cs="Times New Roman"/>
          <w:sz w:val="24"/>
          <w:szCs w:val="24"/>
          <w:lang w:val="en-GB"/>
        </w:rPr>
        <w:t>(Fig. 10</w:t>
      </w:r>
      <w:r w:rsidR="00565B1E" w:rsidRPr="00AB6E3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829A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>and even at higher annealing temperature</w:t>
      </w:r>
      <w:r w:rsidR="009829A0">
        <w:rPr>
          <w:rFonts w:ascii="Times New Roman" w:hAnsi="Times New Roman" w:cs="Times New Roman"/>
          <w:sz w:val="24"/>
          <w:szCs w:val="24"/>
          <w:lang w:val="en-GB"/>
        </w:rPr>
        <w:t xml:space="preserve">s the 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 xml:space="preserve">particles were not </w:t>
      </w:r>
      <w:r w:rsidR="00644081" w:rsidRPr="00AB6E30">
        <w:rPr>
          <w:rFonts w:ascii="Times New Roman" w:hAnsi="Times New Roman" w:cs="Times New Roman"/>
          <w:sz w:val="24"/>
          <w:szCs w:val="24"/>
          <w:lang w:val="en-GB"/>
        </w:rPr>
        <w:t>large</w:t>
      </w:r>
      <w:r w:rsidR="00A00C53" w:rsidRPr="00AB6E30">
        <w:rPr>
          <w:rFonts w:ascii="Times New Roman" w:hAnsi="Times New Roman" w:cs="Times New Roman"/>
          <w:sz w:val="24"/>
          <w:szCs w:val="24"/>
          <w:lang w:val="en-GB"/>
        </w:rPr>
        <w:t>r than 65 nm.</w:t>
      </w:r>
    </w:p>
    <w:p w:rsidR="00644081" w:rsidRPr="00BA3691" w:rsidRDefault="00644081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36C" w:rsidRDefault="00731480" w:rsidP="00520E4C">
      <w:pPr>
        <w:pStyle w:val="Brezrazmikov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880000" cy="2293200"/>
            <wp:effectExtent l="0" t="0" r="0" b="0"/>
            <wp:docPr id="11" name="Slika 11" descr="C:\Users\Uros\Desktop\Članek\SEM-članek\Prahov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ros\Desktop\Članek\SEM-članek\Prahovi-2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29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36C" w:rsidRPr="00DD6812" w:rsidRDefault="002B336C" w:rsidP="00520E4C">
      <w:pPr>
        <w:pStyle w:val="Napis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2B336C">
        <w:rPr>
          <w:color w:val="000000" w:themeColor="text1"/>
          <w:sz w:val="20"/>
          <w:szCs w:val="20"/>
        </w:rPr>
        <w:t xml:space="preserve">Figure </w:t>
      </w:r>
      <w:r w:rsidR="007A68BE" w:rsidRPr="002B336C">
        <w:rPr>
          <w:color w:val="000000" w:themeColor="text1"/>
          <w:sz w:val="20"/>
          <w:szCs w:val="20"/>
        </w:rPr>
        <w:fldChar w:fldCharType="begin"/>
      </w:r>
      <w:r w:rsidRPr="002B336C">
        <w:rPr>
          <w:color w:val="000000" w:themeColor="text1"/>
          <w:sz w:val="20"/>
          <w:szCs w:val="20"/>
        </w:rPr>
        <w:instrText xml:space="preserve"> SEQ Figure \* ARABIC </w:instrText>
      </w:r>
      <w:r w:rsidR="007A68BE" w:rsidRPr="002B336C">
        <w:rPr>
          <w:color w:val="000000" w:themeColor="text1"/>
          <w:sz w:val="20"/>
          <w:szCs w:val="20"/>
        </w:rPr>
        <w:fldChar w:fldCharType="separate"/>
      </w:r>
      <w:r w:rsidR="00536CED">
        <w:rPr>
          <w:noProof/>
          <w:color w:val="000000" w:themeColor="text1"/>
          <w:sz w:val="20"/>
          <w:szCs w:val="20"/>
        </w:rPr>
        <w:t>9</w:t>
      </w:r>
      <w:r w:rsidR="007A68BE" w:rsidRPr="002B336C">
        <w:rPr>
          <w:color w:val="000000" w:themeColor="text1"/>
          <w:sz w:val="20"/>
          <w:szCs w:val="20"/>
        </w:rPr>
        <w:fldChar w:fldCharType="end"/>
      </w:r>
      <w:r w:rsidRPr="002B336C">
        <w:rPr>
          <w:color w:val="000000" w:themeColor="text1"/>
          <w:sz w:val="20"/>
          <w:szCs w:val="20"/>
        </w:rPr>
        <w:t>.</w:t>
      </w:r>
      <w:r w:rsidR="00B35D14">
        <w:rPr>
          <w:color w:val="000000" w:themeColor="text1"/>
          <w:sz w:val="20"/>
          <w:szCs w:val="20"/>
        </w:rPr>
        <w:t xml:space="preserve"> </w:t>
      </w:r>
      <w:r w:rsidR="00362501" w:rsidRPr="00F92FDB">
        <w:rPr>
          <w:b w:val="0"/>
          <w:color w:val="000000" w:themeColor="text1"/>
          <w:sz w:val="20"/>
          <w:szCs w:val="20"/>
        </w:rPr>
        <w:t xml:space="preserve">SEM </w:t>
      </w:r>
      <w:r w:rsidR="00362501" w:rsidRPr="00F92FDB">
        <w:rPr>
          <w:b w:val="0"/>
          <w:color w:val="000000" w:themeColor="text1"/>
          <w:sz w:val="20"/>
          <w:szCs w:val="20"/>
          <w:lang w:val="en-US"/>
        </w:rPr>
        <w:t>micrographs of powders: a) 0% PO</w:t>
      </w:r>
      <w:r w:rsidR="00362501" w:rsidRPr="00F92FDB">
        <w:rPr>
          <w:b w:val="0"/>
          <w:color w:val="000000" w:themeColor="text1"/>
          <w:sz w:val="20"/>
          <w:szCs w:val="20"/>
          <w:vertAlign w:val="subscript"/>
          <w:lang w:val="en-US"/>
        </w:rPr>
        <w:t>4</w:t>
      </w:r>
      <w:r w:rsidR="00362501" w:rsidRPr="00F92FDB">
        <w:rPr>
          <w:b w:val="0"/>
          <w:color w:val="000000" w:themeColor="text1"/>
          <w:sz w:val="20"/>
          <w:szCs w:val="20"/>
          <w:vertAlign w:val="superscript"/>
          <w:lang w:val="en-US"/>
        </w:rPr>
        <w:t>3-</w:t>
      </w:r>
      <w:r w:rsidR="00362501" w:rsidRPr="00F92FDB">
        <w:rPr>
          <w:b w:val="0"/>
          <w:color w:val="000000" w:themeColor="text1"/>
          <w:sz w:val="20"/>
          <w:szCs w:val="20"/>
          <w:lang w:val="en-US"/>
        </w:rPr>
        <w:t>, 800°C b) 15% PO</w:t>
      </w:r>
      <w:r w:rsidR="00362501" w:rsidRPr="00F92FDB">
        <w:rPr>
          <w:b w:val="0"/>
          <w:color w:val="000000" w:themeColor="text1"/>
          <w:sz w:val="20"/>
          <w:szCs w:val="20"/>
          <w:vertAlign w:val="subscript"/>
          <w:lang w:val="en-US"/>
        </w:rPr>
        <w:t>4</w:t>
      </w:r>
      <w:r w:rsidR="00362501" w:rsidRPr="00F92FDB">
        <w:rPr>
          <w:b w:val="0"/>
          <w:color w:val="000000" w:themeColor="text1"/>
          <w:sz w:val="20"/>
          <w:szCs w:val="20"/>
          <w:vertAlign w:val="superscript"/>
          <w:lang w:val="en-US"/>
        </w:rPr>
        <w:t>3-</w:t>
      </w:r>
      <w:r w:rsidR="00362501" w:rsidRPr="00F92FDB">
        <w:rPr>
          <w:b w:val="0"/>
          <w:color w:val="000000" w:themeColor="text1"/>
          <w:sz w:val="20"/>
          <w:szCs w:val="20"/>
          <w:lang w:val="en-US"/>
        </w:rPr>
        <w:t>, 800°C c) 5% PO</w:t>
      </w:r>
      <w:r w:rsidR="00362501" w:rsidRPr="00F92FDB">
        <w:rPr>
          <w:b w:val="0"/>
          <w:color w:val="000000" w:themeColor="text1"/>
          <w:sz w:val="20"/>
          <w:szCs w:val="20"/>
          <w:vertAlign w:val="subscript"/>
          <w:lang w:val="en-US"/>
        </w:rPr>
        <w:t>4</w:t>
      </w:r>
      <w:r w:rsidR="00362501" w:rsidRPr="00F92FDB">
        <w:rPr>
          <w:b w:val="0"/>
          <w:color w:val="000000" w:themeColor="text1"/>
          <w:sz w:val="20"/>
          <w:szCs w:val="20"/>
          <w:vertAlign w:val="superscript"/>
          <w:lang w:val="en-US"/>
        </w:rPr>
        <w:t>3-</w:t>
      </w:r>
      <w:r w:rsidR="00362501" w:rsidRPr="00F92FDB">
        <w:rPr>
          <w:b w:val="0"/>
          <w:color w:val="000000" w:themeColor="text1"/>
          <w:sz w:val="20"/>
          <w:szCs w:val="20"/>
          <w:lang w:val="en-US"/>
        </w:rPr>
        <w:t>, 1000°C and d) 5% PO</w:t>
      </w:r>
      <w:r w:rsidR="00362501" w:rsidRPr="00F92FDB">
        <w:rPr>
          <w:b w:val="0"/>
          <w:color w:val="000000" w:themeColor="text1"/>
          <w:sz w:val="20"/>
          <w:szCs w:val="20"/>
          <w:vertAlign w:val="subscript"/>
          <w:lang w:val="en-US"/>
        </w:rPr>
        <w:t>4</w:t>
      </w:r>
      <w:r w:rsidR="00362501" w:rsidRPr="00F92FDB">
        <w:rPr>
          <w:b w:val="0"/>
          <w:color w:val="000000" w:themeColor="text1"/>
          <w:sz w:val="20"/>
          <w:szCs w:val="20"/>
          <w:vertAlign w:val="superscript"/>
          <w:lang w:val="en-US"/>
        </w:rPr>
        <w:t>3-</w:t>
      </w:r>
      <w:r w:rsidR="009D5441" w:rsidRPr="00F92FDB">
        <w:rPr>
          <w:b w:val="0"/>
          <w:color w:val="000000" w:themeColor="text1"/>
          <w:sz w:val="20"/>
          <w:szCs w:val="20"/>
          <w:lang w:val="en-US"/>
        </w:rPr>
        <w:t>, 500°C</w:t>
      </w:r>
    </w:p>
    <w:p w:rsidR="002B336C" w:rsidRDefault="002B336C" w:rsidP="00520E4C">
      <w:pPr>
        <w:pStyle w:val="Brezrazmikov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B336C" w:rsidRDefault="00AB22E3" w:rsidP="00520E4C">
      <w:pPr>
        <w:pStyle w:val="Brezrazmikov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879406" cy="1640509"/>
            <wp:effectExtent l="0" t="0" r="0" b="0"/>
            <wp:docPr id="12" name="Slika 12" descr="C:\Users\Uros\Desktop\Članek\SEM-članek\Tanka plast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ros\Desktop\Članek\SEM-članek\Tanka plast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/>
                    <a:srcRect l="1488" t="2483"/>
                    <a:stretch/>
                  </pic:blipFill>
                  <pic:spPr bwMode="auto">
                    <a:xfrm>
                      <a:off x="0" y="0"/>
                      <a:ext cx="2880000" cy="164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80F" w:rsidRPr="0067643F" w:rsidRDefault="002B336C" w:rsidP="00520E4C">
      <w:pPr>
        <w:pStyle w:val="Napis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2B336C">
        <w:rPr>
          <w:color w:val="000000" w:themeColor="text1"/>
          <w:sz w:val="20"/>
          <w:szCs w:val="20"/>
        </w:rPr>
        <w:t xml:space="preserve">Figure </w:t>
      </w:r>
      <w:r w:rsidR="007A68BE" w:rsidRPr="002B336C">
        <w:rPr>
          <w:color w:val="000000" w:themeColor="text1"/>
          <w:sz w:val="20"/>
          <w:szCs w:val="20"/>
        </w:rPr>
        <w:fldChar w:fldCharType="begin"/>
      </w:r>
      <w:r w:rsidRPr="002B336C">
        <w:rPr>
          <w:color w:val="000000" w:themeColor="text1"/>
          <w:sz w:val="20"/>
          <w:szCs w:val="20"/>
        </w:rPr>
        <w:instrText xml:space="preserve"> SEQ Figure \* ARABIC </w:instrText>
      </w:r>
      <w:r w:rsidR="007A68BE" w:rsidRPr="002B336C">
        <w:rPr>
          <w:color w:val="000000" w:themeColor="text1"/>
          <w:sz w:val="20"/>
          <w:szCs w:val="20"/>
        </w:rPr>
        <w:fldChar w:fldCharType="separate"/>
      </w:r>
      <w:r w:rsidR="00536CED">
        <w:rPr>
          <w:noProof/>
          <w:color w:val="000000" w:themeColor="text1"/>
          <w:sz w:val="20"/>
          <w:szCs w:val="20"/>
        </w:rPr>
        <w:t>10</w:t>
      </w:r>
      <w:r w:rsidR="007A68BE" w:rsidRPr="002B336C">
        <w:rPr>
          <w:color w:val="000000" w:themeColor="text1"/>
          <w:sz w:val="20"/>
          <w:szCs w:val="20"/>
        </w:rPr>
        <w:fldChar w:fldCharType="end"/>
      </w:r>
      <w:r w:rsidRPr="002B336C">
        <w:rPr>
          <w:color w:val="000000" w:themeColor="text1"/>
          <w:sz w:val="20"/>
          <w:szCs w:val="20"/>
        </w:rPr>
        <w:t>.</w:t>
      </w:r>
      <w:r w:rsidR="00B35D14">
        <w:rPr>
          <w:color w:val="000000" w:themeColor="text1"/>
          <w:sz w:val="20"/>
          <w:szCs w:val="20"/>
        </w:rPr>
        <w:t xml:space="preserve"> </w:t>
      </w:r>
      <w:r w:rsidR="00362501" w:rsidRPr="00F92FDB">
        <w:rPr>
          <w:b w:val="0"/>
          <w:color w:val="000000" w:themeColor="text1"/>
          <w:sz w:val="20"/>
          <w:szCs w:val="20"/>
          <w:lang w:val="en-US"/>
        </w:rPr>
        <w:t>SEM micrographs of thin films: a) 0% PO</w:t>
      </w:r>
      <w:r w:rsidR="00362501" w:rsidRPr="00F92FDB">
        <w:rPr>
          <w:b w:val="0"/>
          <w:color w:val="000000" w:themeColor="text1"/>
          <w:sz w:val="20"/>
          <w:szCs w:val="20"/>
          <w:vertAlign w:val="subscript"/>
          <w:lang w:val="en-US"/>
        </w:rPr>
        <w:t>4</w:t>
      </w:r>
      <w:r w:rsidR="00362501" w:rsidRPr="00F92FDB">
        <w:rPr>
          <w:b w:val="0"/>
          <w:color w:val="000000" w:themeColor="text1"/>
          <w:sz w:val="20"/>
          <w:szCs w:val="20"/>
          <w:vertAlign w:val="superscript"/>
          <w:lang w:val="en-US"/>
        </w:rPr>
        <w:t>3-</w:t>
      </w:r>
      <w:r w:rsidR="00362501" w:rsidRPr="00F92FDB">
        <w:rPr>
          <w:b w:val="0"/>
          <w:color w:val="000000" w:themeColor="text1"/>
          <w:sz w:val="20"/>
          <w:szCs w:val="20"/>
          <w:lang w:val="en-US"/>
        </w:rPr>
        <w:t>, 1000°C and b) 0% PO</w:t>
      </w:r>
      <w:r w:rsidR="00362501" w:rsidRPr="00F92FDB">
        <w:rPr>
          <w:b w:val="0"/>
          <w:color w:val="000000" w:themeColor="text1"/>
          <w:sz w:val="20"/>
          <w:szCs w:val="20"/>
          <w:vertAlign w:val="subscript"/>
          <w:lang w:val="en-US"/>
        </w:rPr>
        <w:t>4</w:t>
      </w:r>
      <w:r w:rsidR="00362501" w:rsidRPr="00F92FDB">
        <w:rPr>
          <w:b w:val="0"/>
          <w:color w:val="000000" w:themeColor="text1"/>
          <w:sz w:val="20"/>
          <w:szCs w:val="20"/>
          <w:vertAlign w:val="superscript"/>
          <w:lang w:val="en-US"/>
        </w:rPr>
        <w:t>3-</w:t>
      </w:r>
      <w:r w:rsidR="00362501" w:rsidRPr="00F92FDB">
        <w:rPr>
          <w:b w:val="0"/>
          <w:color w:val="000000" w:themeColor="text1"/>
          <w:sz w:val="20"/>
          <w:szCs w:val="20"/>
          <w:lang w:val="en-US"/>
        </w:rPr>
        <w:t>, 600</w:t>
      </w:r>
      <w:r w:rsidR="00362501" w:rsidRPr="00F92FDB">
        <w:rPr>
          <w:b w:val="0"/>
          <w:color w:val="000000" w:themeColor="text1"/>
          <w:sz w:val="20"/>
          <w:szCs w:val="20"/>
        </w:rPr>
        <w:t>°C</w:t>
      </w:r>
    </w:p>
    <w:p w:rsidR="00520E4C" w:rsidRDefault="00520E4C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6580F" w:rsidRDefault="0006580F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3.4. EDS Analysis</w:t>
      </w:r>
    </w:p>
    <w:p w:rsidR="0006580F" w:rsidRPr="00177839" w:rsidRDefault="00781F68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B59B7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elemental </w:t>
      </w:r>
      <w:r w:rsidR="005466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makeup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5466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powders and thin films </w:t>
      </w:r>
      <w:r w:rsidR="005466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was investigated with </w:t>
      </w:r>
      <w:proofErr w:type="gramStart"/>
      <w:r w:rsidR="00AB59B7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EDS</w:t>
      </w:r>
      <w:proofErr w:type="gramEnd"/>
      <w:r w:rsidR="00AB59B7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466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analyses. </w:t>
      </w:r>
      <w:r w:rsidR="001D02F8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doped </w:t>
      </w:r>
      <w:proofErr w:type="gramStart"/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samples</w:t>
      </w:r>
      <w:proofErr w:type="gramEnd"/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1D02F8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larger areas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were mapped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evaluate the homogeneity of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phosphorous distribution</w:t>
      </w:r>
      <w:r w:rsidR="006220A6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315EE6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point </w:t>
      </w:r>
      <w:proofErr w:type="gramStart"/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analyses</w:t>
      </w:r>
      <w:proofErr w:type="gramEnd"/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15EE6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molar ratios be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tween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titanium and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phosphorous</w:t>
      </w:r>
      <w:r w:rsidR="00315EE6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were measured.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results </w:t>
      </w:r>
      <w:r w:rsidR="00CD513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D513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mapping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analyses </w:t>
      </w:r>
      <w:r w:rsidR="00CD513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showed a uniform distribution of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CA3967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elements Ti, O and P on the examined surface of the powders and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thin films. In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gramStart"/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powde</w:t>
      </w:r>
      <w:r w:rsidR="00D14BFD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</w:t>
      </w:r>
      <w:proofErr w:type="gramEnd"/>
      <w:r w:rsidR="00D14BFD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quantity of detected</w:t>
      </w:r>
      <w:r w:rsidR="00A01C6B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dopant </w:t>
      </w:r>
      <w:r w:rsidR="00820DAD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varied</w:t>
      </w:r>
      <w:r w:rsidR="00A01C6B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greatly</w:t>
      </w:r>
      <w:r w:rsidR="00B35D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around the value of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177839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initially added amount</w:t>
      </w:r>
      <w:r w:rsidR="009463CB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during the synthesis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These values were strongly</w:t>
      </w:r>
      <w:r w:rsidR="00A01C6B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dependent on the size and shape of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01C6B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agglomerates. In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01C6B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smaller a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gglomerates and in those with a rough surface,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measured content</w:t>
      </w:r>
      <w:r w:rsidR="0035438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</w:t>
      </w:r>
      <w:r w:rsidR="00820DAD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higher</w:t>
      </w:r>
      <w:r w:rsidR="00820DAD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than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expected </w:t>
      </w:r>
      <w:r w:rsidR="0035438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case of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larger </w:t>
      </w:r>
      <w:r w:rsidR="0035438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agglomerates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5438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where due to the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larger </w:t>
      </w:r>
      <w:proofErr w:type="gramStart"/>
      <w:r w:rsidR="0035438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volume,</w:t>
      </w:r>
      <w:proofErr w:type="gramEnd"/>
      <w:r w:rsidR="0035438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only</w:t>
      </w:r>
      <w:r w:rsidR="00820DAD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35438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upper su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rface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were measured.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results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indicate</w:t>
      </w:r>
      <w:r w:rsidR="006D21E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6D21E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was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mainly </w:t>
      </w:r>
      <w:r w:rsidR="006D21E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phosphate ions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</w:t>
      </w:r>
      <w:r w:rsidR="00354380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coated</w:t>
      </w:r>
      <w:r w:rsidR="00C639AB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6D21E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surface of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6D21E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particles</w:t>
      </w:r>
      <w:proofErr w:type="gramEnd"/>
      <w:r w:rsidR="00C639AB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127325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127325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thin films 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127325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smaller dif</w:t>
      </w:r>
      <w:r w:rsidR="00A3592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ferenc</w:t>
      </w:r>
      <w:r w:rsidR="00127325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between </w:t>
      </w:r>
      <w:r w:rsidR="00A3592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added and measured content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 phosphorous</w:t>
      </w:r>
      <w:r w:rsidR="00A3592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observed</w:t>
      </w:r>
      <w:r w:rsidR="003A5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3592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which </w:t>
      </w:r>
      <w:proofErr w:type="gramStart"/>
      <w:r w:rsidR="00A3592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</w:t>
      </w:r>
      <w:proofErr w:type="gramEnd"/>
      <w:r w:rsidR="00A3592E" w:rsidRPr="001778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 attributed to the homogeneous surface of the thin layer</w:t>
      </w:r>
      <w:r w:rsidR="00F25D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127325" w:rsidRPr="00127325" w:rsidRDefault="0012732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580F" w:rsidRDefault="0006580F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4. Conclusion</w:t>
      </w:r>
    </w:p>
    <w:p w:rsidR="00D31A36" w:rsidRDefault="008105F8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TiO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nanopowders and thin films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prepared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a si</w:t>
      </w:r>
      <w:r w:rsidR="00CC6C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mple and quick sol-gel</w:t>
      </w:r>
      <w:r w:rsidR="00B35D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90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method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using titanium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butoxide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</w:t>
      </w:r>
      <w:r w:rsidR="009911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precursor. </w:t>
      </w:r>
      <w:r w:rsidR="009911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samples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 doped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phosphate ions and </w:t>
      </w:r>
      <w:r w:rsidR="00B608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their influence on </w:t>
      </w:r>
      <w:r w:rsidR="009911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608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thermal stability of </w:t>
      </w:r>
      <w:r w:rsidR="009911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B608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anatase phase was investigated. 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Increasing the content of</w:t>
      </w:r>
      <w:r w:rsidR="00820D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added dopant influenced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last stage of</w:t>
      </w:r>
      <w:r w:rsidR="009911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thermal decomposition</w:t>
      </w:r>
      <w:r w:rsidR="009911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which was shifted to higher temperatures </w:t>
      </w:r>
      <w:proofErr w:type="gramStart"/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also</w:t>
      </w:r>
      <w:proofErr w:type="gramEnd"/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impacted</w:t>
      </w:r>
      <w:r w:rsidR="00F25D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anatase crystallization temperature. </w:t>
      </w:r>
      <w:r w:rsidR="00DD23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add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ition of</w:t>
      </w:r>
      <w:r w:rsidR="00DD23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phosphate ions successfully inhibited the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anatase-to-</w:t>
      </w:r>
      <w:r w:rsidR="00DD23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rutile phase transition. </w:t>
      </w:r>
      <w:r w:rsidR="00A92E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gramStart"/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powders</w:t>
      </w:r>
      <w:proofErr w:type="gramEnd"/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temperature of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stable anatase phase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rose</w:t>
      </w:r>
      <w:r w:rsidR="00A92E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from 600 °C to 900 °C. 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 the s</w:t>
      </w:r>
      <w:r w:rsidR="007F66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urface 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gramStart"/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nanoparticles</w:t>
      </w:r>
      <w:proofErr w:type="gramEnd"/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phosphate ions</w:t>
      </w:r>
      <w:r w:rsidR="007F66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acted as a steric barrier and inhibited the particle 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interaction and growth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7F66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which 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shifted the</w:t>
      </w:r>
      <w:r w:rsidR="00B35D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015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phase transition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higher temperatures</w:t>
      </w:r>
      <w:r w:rsidR="005015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In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B19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undoped</w:t>
      </w:r>
      <w:r w:rsidR="00B35D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015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thin films, the an</w:t>
      </w:r>
      <w:r w:rsidR="00266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atase phase showed a good</w:t>
      </w:r>
      <w:r w:rsidR="005015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thermal sta</w:t>
      </w:r>
      <w:r w:rsidR="00266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bility</w:t>
      </w:r>
      <w:r w:rsidR="00820D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where at 900 °C there was </w:t>
      </w:r>
      <w:r w:rsidR="00D078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still around 70 </w:t>
      </w:r>
      <w:proofErr w:type="gramStart"/>
      <w:r w:rsidR="00D078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wt%</w:t>
      </w:r>
      <w:proofErr w:type="gramEnd"/>
      <w:r w:rsidR="00D078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anatase phase.</w:t>
      </w:r>
      <w:r w:rsidR="00266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</w:t>
      </w:r>
      <w:r w:rsidR="002137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addition of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137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phosphate ions improved the </w:t>
      </w:r>
      <w:r w:rsidR="00FA7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thermal </w:t>
      </w:r>
      <w:r w:rsidR="002137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stability </w:t>
      </w:r>
      <w:r w:rsidR="00266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66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2137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even at 1000 °</w:t>
      </w:r>
      <w:proofErr w:type="gramStart"/>
      <w:r w:rsidR="002137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gramEnd"/>
      <w:r w:rsidR="002137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some amount of anatase phase was observed.</w:t>
      </w:r>
      <w:r w:rsidR="00D45F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reasons for such differ</w:t>
      </w:r>
      <w:r w:rsidR="002174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 behavior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</w:t>
      </w:r>
      <w:r w:rsidR="002174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D45F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nanopowders and thin films could be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D45F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limited </w:t>
      </w:r>
      <w:r w:rsidR="005367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amount of material in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5367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thin layer</w:t>
      </w:r>
      <w:r w:rsidR="00D45F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which </w:t>
      </w:r>
      <w:r w:rsidR="00D31A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does</w:t>
      </w:r>
      <w:r w:rsidR="00D45F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not provide enough material for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66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particle </w:t>
      </w:r>
      <w:r w:rsidR="00D31A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growth and phase tra</w:t>
      </w:r>
      <w:r w:rsidR="00266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nsformation of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66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anatase to rutile</w:t>
      </w:r>
      <w:r w:rsidR="00FA7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805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surfaces of a</w:t>
      </w:r>
      <w:r w:rsidR="00FA7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ll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FA7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thin films were homogenous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FA7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uniformly distributed layer</w:t>
      </w:r>
      <w:r w:rsidR="006D2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805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in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gramStart"/>
      <w:r w:rsidR="00805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powders</w:t>
      </w:r>
      <w:proofErr w:type="gramEnd"/>
      <w:r w:rsidR="00805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larger </w:t>
      </w:r>
      <w:r w:rsidR="00805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agglomerates were formed.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6D2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EDS analysis </w:t>
      </w:r>
      <w:r w:rsidR="00342B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proved</w:t>
      </w:r>
      <w:r w:rsidR="006D2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phosphate ions were mainl</w:t>
      </w:r>
      <w:r w:rsidR="00820D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 bound to the particle surface.</w:t>
      </w:r>
    </w:p>
    <w:p w:rsidR="00520E4C" w:rsidRDefault="00520E4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</w:p>
    <w:p w:rsidR="00CB16A6" w:rsidRDefault="004D7169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5</w:t>
      </w:r>
      <w:r w:rsidR="00CB16A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 References</w:t>
      </w:r>
    </w:p>
    <w:p w:rsidR="00CB16A6" w:rsidRDefault="00CB16A6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B16A6" w:rsidRPr="004261CD" w:rsidRDefault="00367B4E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67B4E">
        <w:rPr>
          <w:rFonts w:ascii="Times New Roman" w:hAnsi="Times New Roman" w:cs="Times New Roman"/>
          <w:sz w:val="24"/>
          <w:szCs w:val="24"/>
          <w:lang w:val="fr-FR"/>
        </w:rPr>
        <w:t xml:space="preserve">L.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fr-FR"/>
        </w:rPr>
        <w:t>Jing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7B4E">
        <w:rPr>
          <w:rFonts w:ascii="Times New Roman" w:hAnsi="Times New Roman" w:cs="Times New Roman"/>
          <w:sz w:val="24"/>
          <w:szCs w:val="24"/>
          <w:lang w:val="fr-FR"/>
        </w:rPr>
        <w:t xml:space="preserve">X. Qin, Y.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fr-FR"/>
        </w:rPr>
        <w:t>Luan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fr-FR"/>
        </w:rPr>
        <w:t xml:space="preserve">, Y.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fr-FR"/>
        </w:rPr>
        <w:t>Qu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fr-FR"/>
        </w:rPr>
        <w:t xml:space="preserve">, M.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fr-FR"/>
        </w:rPr>
        <w:t>Xie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6A5A">
        <w:rPr>
          <w:rFonts w:ascii="Times New Roman" w:hAnsi="Times New Roman" w:cs="Times New Roman"/>
          <w:i/>
          <w:sz w:val="24"/>
          <w:szCs w:val="24"/>
          <w:lang w:val="fr-FR"/>
        </w:rPr>
        <w:t>Appl</w:t>
      </w:r>
      <w:proofErr w:type="spellEnd"/>
      <w:r w:rsidR="00E76A5A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Surf. </w:t>
      </w:r>
      <w:proofErr w:type="spellStart"/>
      <w:r w:rsidR="00E76A5A">
        <w:rPr>
          <w:rFonts w:ascii="Times New Roman" w:hAnsi="Times New Roman" w:cs="Times New Roman"/>
          <w:i/>
          <w:sz w:val="24"/>
          <w:szCs w:val="24"/>
          <w:lang w:val="fr-FR"/>
        </w:rPr>
        <w:t>Sci</w:t>
      </w:r>
      <w:proofErr w:type="spellEnd"/>
      <w:r w:rsidR="00E76A5A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401AAE">
        <w:rPr>
          <w:rFonts w:ascii="Times New Roman" w:hAnsi="Times New Roman" w:cs="Times New Roman"/>
          <w:b/>
          <w:sz w:val="24"/>
          <w:szCs w:val="24"/>
          <w:lang w:val="fr-FR"/>
        </w:rPr>
        <w:t>2012</w:t>
      </w:r>
      <w:r w:rsidRPr="00401AA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01AAE">
        <w:rPr>
          <w:rFonts w:ascii="Times New Roman" w:hAnsi="Times New Roman" w:cs="Times New Roman"/>
          <w:i/>
          <w:sz w:val="24"/>
          <w:szCs w:val="24"/>
          <w:lang w:val="fr-FR"/>
        </w:rPr>
        <w:t>258</w:t>
      </w:r>
      <w:r w:rsidRPr="00401AAE">
        <w:rPr>
          <w:rFonts w:ascii="Times New Roman" w:hAnsi="Times New Roman" w:cs="Times New Roman"/>
          <w:sz w:val="24"/>
          <w:szCs w:val="24"/>
          <w:lang w:val="fr-FR"/>
        </w:rPr>
        <w:t>, 3340 ̶ 3349</w:t>
      </w:r>
      <w:r w:rsidRPr="00367B4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D7169" w:rsidRPr="00E4359F" w:rsidRDefault="00367B4E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67B4E">
        <w:rPr>
          <w:rFonts w:ascii="Times New Roman" w:hAnsi="Times New Roman" w:cs="Times New Roman"/>
          <w:sz w:val="24"/>
          <w:szCs w:val="24"/>
          <w:lang w:val="de-DE"/>
        </w:rPr>
        <w:t xml:space="preserve">M. R. Hoffmann, S. T. Martin, W. Choi, D. W.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de-DE"/>
        </w:rPr>
        <w:t>Bahnemann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76A5A">
        <w:rPr>
          <w:rFonts w:ascii="Times New Roman" w:hAnsi="Times New Roman" w:cs="Times New Roman"/>
          <w:i/>
          <w:sz w:val="24"/>
          <w:szCs w:val="24"/>
          <w:lang w:val="de-DE"/>
        </w:rPr>
        <w:t>Chem.</w:t>
      </w:r>
      <w:r w:rsidR="00E76A5A">
        <w:rPr>
          <w:rFonts w:ascii="Times New Roman" w:hAnsi="Times New Roman" w:cs="Times New Roman"/>
          <w:i/>
          <w:sz w:val="24"/>
          <w:szCs w:val="24"/>
          <w:lang w:val="en-GB"/>
        </w:rPr>
        <w:t>Rev.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4359F" w:rsidRPr="00401AAE">
        <w:rPr>
          <w:rFonts w:ascii="Times New Roman" w:hAnsi="Times New Roman" w:cs="Times New Roman"/>
          <w:b/>
          <w:sz w:val="24"/>
          <w:szCs w:val="24"/>
          <w:lang w:val="en-GB"/>
        </w:rPr>
        <w:t>1995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4359F" w:rsidRPr="00401AAE">
        <w:rPr>
          <w:rFonts w:ascii="Times New Roman" w:hAnsi="Times New Roman" w:cs="Times New Roman"/>
          <w:i/>
          <w:sz w:val="24"/>
          <w:szCs w:val="24"/>
          <w:lang w:val="en-GB"/>
        </w:rPr>
        <w:t>95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>, 69–96</w:t>
      </w:r>
      <w:r w:rsidR="00E4359F" w:rsidRPr="00E4359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4359F" w:rsidRPr="00E4359F" w:rsidRDefault="00EE7707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</w:t>
      </w:r>
      <w:r w:rsidR="009D152C">
        <w:rPr>
          <w:rFonts w:ascii="Times New Roman" w:hAnsi="Times New Roman" w:cs="Times New Roman"/>
          <w:sz w:val="24"/>
          <w:szCs w:val="24"/>
          <w:lang w:val="en-GB"/>
        </w:rPr>
        <w:t>rösi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I.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Deka</w:t>
      </w:r>
      <w:r w:rsidR="009D152C">
        <w:rPr>
          <w:rFonts w:ascii="Times New Roman" w:hAnsi="Times New Roman" w:cs="Times New Roman"/>
          <w:sz w:val="24"/>
          <w:szCs w:val="24"/>
          <w:lang w:val="en-GB"/>
        </w:rPr>
        <w:t>ny</w:t>
      </w:r>
      <w:proofErr w:type="spellEnd"/>
      <w:r w:rsidR="009D152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76A5A">
        <w:rPr>
          <w:rFonts w:ascii="Times New Roman" w:hAnsi="Times New Roman" w:cs="Times New Roman"/>
          <w:i/>
          <w:sz w:val="24"/>
          <w:szCs w:val="24"/>
          <w:lang w:val="en-GB"/>
        </w:rPr>
        <w:t xml:space="preserve">Colloids Surf. A: </w:t>
      </w:r>
      <w:proofErr w:type="spellStart"/>
      <w:r w:rsidR="00E76A5A">
        <w:rPr>
          <w:rFonts w:ascii="Times New Roman" w:hAnsi="Times New Roman" w:cs="Times New Roman"/>
          <w:i/>
          <w:sz w:val="24"/>
          <w:szCs w:val="24"/>
          <w:lang w:val="en-GB"/>
        </w:rPr>
        <w:t>Physicochem</w:t>
      </w:r>
      <w:proofErr w:type="spellEnd"/>
      <w:r w:rsidR="00E76A5A">
        <w:rPr>
          <w:rFonts w:ascii="Times New Roman" w:hAnsi="Times New Roman" w:cs="Times New Roman"/>
          <w:i/>
          <w:sz w:val="24"/>
          <w:szCs w:val="24"/>
          <w:lang w:val="en-GB"/>
        </w:rPr>
        <w:t>. Eng. Asp.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4359F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2006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4359F" w:rsidRPr="00401AAE">
        <w:rPr>
          <w:rFonts w:ascii="Times New Roman" w:hAnsi="Times New Roman" w:cs="Times New Roman"/>
          <w:i/>
          <w:sz w:val="24"/>
          <w:szCs w:val="24"/>
          <w:lang w:val="en-GB"/>
        </w:rPr>
        <w:t>280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>, 146 ̶ 154</w:t>
      </w:r>
      <w:r w:rsidR="00E4359F" w:rsidRPr="00E4359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4359F" w:rsidRDefault="009D152C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J. Kumar, A.</w:t>
      </w:r>
      <w:r w:rsidR="00E4359F" w:rsidRPr="00E435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359F" w:rsidRPr="00E4359F">
        <w:rPr>
          <w:rFonts w:ascii="Times New Roman" w:hAnsi="Times New Roman" w:cs="Times New Roman"/>
          <w:sz w:val="24"/>
          <w:szCs w:val="24"/>
          <w:lang w:val="en-GB"/>
        </w:rPr>
        <w:t>Bansal</w:t>
      </w:r>
      <w:proofErr w:type="spellEnd"/>
      <w:r w:rsidR="00E4359F" w:rsidRPr="00E4359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359F">
        <w:rPr>
          <w:rFonts w:ascii="Times New Roman" w:hAnsi="Times New Roman" w:cs="Times New Roman"/>
          <w:i/>
          <w:sz w:val="24"/>
          <w:szCs w:val="24"/>
          <w:lang w:val="en-GB"/>
        </w:rPr>
        <w:t xml:space="preserve">Water Air Soil </w:t>
      </w:r>
      <w:proofErr w:type="spellStart"/>
      <w:r w:rsidR="00E4359F">
        <w:rPr>
          <w:rFonts w:ascii="Times New Roman" w:hAnsi="Times New Roman" w:cs="Times New Roman"/>
          <w:i/>
          <w:sz w:val="24"/>
          <w:szCs w:val="24"/>
          <w:lang w:val="en-GB"/>
        </w:rPr>
        <w:t>Pollut</w:t>
      </w:r>
      <w:proofErr w:type="spellEnd"/>
      <w:r w:rsidR="00E4359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359F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2013</w:t>
      </w:r>
      <w:r w:rsidR="00820DAD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20DAD" w:rsidRPr="00401AAE">
        <w:rPr>
          <w:rFonts w:ascii="Times New Roman" w:hAnsi="Times New Roman" w:cs="Times New Roman"/>
          <w:i/>
          <w:sz w:val="24"/>
          <w:szCs w:val="24"/>
          <w:lang w:val="en-GB"/>
        </w:rPr>
        <w:t>224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>, 1</w:t>
      </w:r>
      <w:r w:rsidR="00AA012A" w:rsidRPr="00401AAE">
        <w:rPr>
          <w:rFonts w:ascii="Times New Roman" w:hAnsi="Times New Roman" w:cs="Times New Roman"/>
          <w:sz w:val="24"/>
          <w:szCs w:val="24"/>
          <w:lang w:val="en-GB"/>
        </w:rPr>
        <w:t>–11</w:t>
      </w:r>
      <w:r w:rsidR="00AA012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4359F" w:rsidRDefault="009D152C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D. P.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Macwan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P. N. Dave, S.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Chaturvedi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76A5A">
        <w:rPr>
          <w:rFonts w:ascii="Times New Roman" w:hAnsi="Times New Roman" w:cs="Times New Roman"/>
          <w:i/>
          <w:sz w:val="24"/>
          <w:szCs w:val="24"/>
          <w:lang w:val="en-GB"/>
        </w:rPr>
        <w:t>J. Mater. Sci.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4359F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2011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4359F" w:rsidRPr="00401AAE">
        <w:rPr>
          <w:rFonts w:ascii="Times New Roman" w:hAnsi="Times New Roman" w:cs="Times New Roman"/>
          <w:i/>
          <w:sz w:val="24"/>
          <w:szCs w:val="24"/>
          <w:lang w:val="en-GB"/>
        </w:rPr>
        <w:t>46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>, 3669 ̶ 3686</w:t>
      </w:r>
      <w:r w:rsidR="00E4359F" w:rsidRPr="00E4359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4359F" w:rsidRPr="00401AAE" w:rsidRDefault="009D152C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Elghniji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Soro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Rossignol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Ksibi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4465">
        <w:rPr>
          <w:rFonts w:ascii="Times New Roman" w:hAnsi="Times New Roman" w:cs="Times New Roman"/>
          <w:i/>
          <w:sz w:val="24"/>
          <w:szCs w:val="24"/>
          <w:lang w:val="en-GB"/>
        </w:rPr>
        <w:t>J. Taiwan Inst. Chem. Eng.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4359F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2012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4359F" w:rsidRPr="00401AAE">
        <w:rPr>
          <w:rFonts w:ascii="Times New Roman" w:hAnsi="Times New Roman" w:cs="Times New Roman"/>
          <w:i/>
          <w:sz w:val="24"/>
          <w:szCs w:val="24"/>
          <w:lang w:val="en-GB"/>
        </w:rPr>
        <w:t>43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>, 132 ̶ 139.</w:t>
      </w:r>
    </w:p>
    <w:p w:rsidR="00E4359F" w:rsidRPr="00401AAE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Khataee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G. A.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Mansoori</w:t>
      </w:r>
      <w:proofErr w:type="spellEnd"/>
      <w:r w:rsidR="00B6723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E4359F" w:rsidRPr="00B6723C">
        <w:rPr>
          <w:rFonts w:ascii="Times New Roman" w:hAnsi="Times New Roman" w:cs="Times New Roman"/>
          <w:iCs/>
          <w:sz w:val="24"/>
          <w:szCs w:val="24"/>
          <w:lang w:val="en-GB"/>
        </w:rPr>
        <w:t>Nanostructured</w:t>
      </w:r>
      <w:proofErr w:type="spellEnd"/>
      <w:r w:rsidR="00E4359F" w:rsidRPr="00B6723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Titanium Dioxide Materials. Properties, Preparation and Applications</w:t>
      </w:r>
      <w:r w:rsidRPr="00B6723C">
        <w:rPr>
          <w:rFonts w:ascii="Times New Roman" w:hAnsi="Times New Roman" w:cs="Times New Roman"/>
          <w:sz w:val="24"/>
          <w:szCs w:val="24"/>
          <w:lang w:val="en-GB"/>
        </w:rPr>
        <w:t>, World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Scientific</w:t>
      </w:r>
      <w:r w:rsidR="00B6723C">
        <w:rPr>
          <w:rFonts w:ascii="Times New Roman" w:hAnsi="Times New Roman" w:cs="Times New Roman"/>
          <w:sz w:val="24"/>
          <w:szCs w:val="24"/>
          <w:lang w:val="en-GB"/>
        </w:rPr>
        <w:t xml:space="preserve"> Publishing Co. Pte. Ltd.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723C">
        <w:rPr>
          <w:rFonts w:ascii="Times New Roman" w:hAnsi="Times New Roman" w:cs="Times New Roman"/>
          <w:sz w:val="24"/>
          <w:szCs w:val="24"/>
          <w:lang w:val="en-GB"/>
        </w:rPr>
        <w:t>Singapore</w:t>
      </w:r>
      <w:r w:rsidR="00B6723C" w:rsidRPr="00401A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359F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2012</w:t>
      </w:r>
      <w:r w:rsidRPr="00401A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6723C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 pp.</w:t>
      </w:r>
      <w:r w:rsidR="00E4359F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 1 ̶ 97.</w:t>
      </w:r>
    </w:p>
    <w:p w:rsidR="00E4359F" w:rsidRPr="00401AAE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A. </w:t>
      </w:r>
      <w:proofErr w:type="spellStart"/>
      <w:r w:rsidR="00AA012A" w:rsidRPr="00AA012A">
        <w:rPr>
          <w:rFonts w:ascii="Times New Roman" w:hAnsi="Times New Roman" w:cs="Times New Roman"/>
          <w:sz w:val="24"/>
          <w:szCs w:val="24"/>
          <w:lang w:val="en-GB"/>
        </w:rPr>
        <w:t>Fujishima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T. N.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D. A.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Tryk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 xml:space="preserve">J.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Photochem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Photobiol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C: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Photochem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. Rev.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AA012A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2000</w:t>
      </w:r>
      <w:r w:rsidR="00AA012A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A012A" w:rsidRPr="00401AAE">
        <w:rPr>
          <w:rFonts w:ascii="Times New Roman" w:hAnsi="Times New Roman" w:cs="Times New Roman"/>
          <w:i/>
          <w:sz w:val="24"/>
          <w:szCs w:val="24"/>
          <w:lang w:val="en-GB"/>
        </w:rPr>
        <w:t>1</w:t>
      </w:r>
      <w:r w:rsidR="00AA012A" w:rsidRPr="00401AAE">
        <w:rPr>
          <w:rFonts w:ascii="Times New Roman" w:hAnsi="Times New Roman" w:cs="Times New Roman"/>
          <w:sz w:val="24"/>
          <w:szCs w:val="24"/>
          <w:lang w:val="en-GB"/>
        </w:rPr>
        <w:t>, 1 ̶ 21.</w:t>
      </w:r>
    </w:p>
    <w:p w:rsidR="00AA012A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X.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Zhuo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G.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Maeng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K.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Sohlberg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Int. J.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AA012A">
        <w:rPr>
          <w:rFonts w:ascii="Times New Roman" w:hAnsi="Times New Roman" w:cs="Times New Roman"/>
          <w:i/>
          <w:sz w:val="24"/>
          <w:szCs w:val="24"/>
          <w:lang w:val="en-GB"/>
        </w:rPr>
        <w:t>Photoenergy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AA012A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2009</w:t>
      </w:r>
      <w:r w:rsidR="00AA012A" w:rsidRPr="00401AAE">
        <w:rPr>
          <w:rFonts w:ascii="Times New Roman" w:hAnsi="Times New Roman" w:cs="Times New Roman"/>
          <w:sz w:val="24"/>
          <w:szCs w:val="24"/>
          <w:lang w:val="en-GB"/>
        </w:rPr>
        <w:t>, 1–22</w:t>
      </w:r>
      <w:r w:rsidR="00AA012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A012A" w:rsidRPr="00401AAE" w:rsidRDefault="00367B4E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D. A.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Hanaor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, M. H. N.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Assadi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>, S. Li</w:t>
      </w:r>
      <w:proofErr w:type="gramStart"/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gramEnd"/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A.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Yu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, C. C.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Sorrell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Comput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Mech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401AAE">
        <w:rPr>
          <w:rFonts w:ascii="Times New Roman" w:hAnsi="Times New Roman" w:cs="Times New Roman"/>
          <w:b/>
          <w:sz w:val="24"/>
          <w:szCs w:val="24"/>
          <w:lang w:val="it-IT"/>
        </w:rPr>
        <w:t>2012</w:t>
      </w:r>
      <w:r w:rsidRPr="00401AA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401AAE">
        <w:rPr>
          <w:rFonts w:ascii="Times New Roman" w:hAnsi="Times New Roman" w:cs="Times New Roman"/>
          <w:i/>
          <w:sz w:val="24"/>
          <w:szCs w:val="24"/>
          <w:lang w:val="it-IT"/>
        </w:rPr>
        <w:t>50</w:t>
      </w:r>
      <w:r w:rsidRPr="00401AAE">
        <w:rPr>
          <w:rFonts w:ascii="Times New Roman" w:hAnsi="Times New Roman" w:cs="Times New Roman"/>
          <w:sz w:val="24"/>
          <w:szCs w:val="24"/>
          <w:lang w:val="it-IT"/>
        </w:rPr>
        <w:t>, 185 ̶ 194.</w:t>
      </w:r>
    </w:p>
    <w:p w:rsidR="00AA012A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D. A. H. </w:t>
      </w:r>
      <w:proofErr w:type="spellStart"/>
      <w:r w:rsidR="00AA012A" w:rsidRPr="00AA012A">
        <w:rPr>
          <w:rFonts w:ascii="Times New Roman" w:hAnsi="Times New Roman" w:cs="Times New Roman"/>
          <w:sz w:val="24"/>
          <w:szCs w:val="24"/>
          <w:lang w:val="en-GB"/>
        </w:rPr>
        <w:t>Hanaor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C. C. Sorrell,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J. Mater. Sci.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AA012A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2011</w:t>
      </w:r>
      <w:r w:rsidR="00AA012A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A012A" w:rsidRPr="00401AAE">
        <w:rPr>
          <w:rFonts w:ascii="Times New Roman" w:hAnsi="Times New Roman" w:cs="Times New Roman"/>
          <w:i/>
          <w:sz w:val="24"/>
          <w:szCs w:val="24"/>
          <w:lang w:val="en-GB"/>
        </w:rPr>
        <w:t>46</w:t>
      </w:r>
      <w:r w:rsidR="00AA012A" w:rsidRPr="00401AAE">
        <w:rPr>
          <w:rFonts w:ascii="Times New Roman" w:hAnsi="Times New Roman" w:cs="Times New Roman"/>
          <w:sz w:val="24"/>
          <w:szCs w:val="24"/>
          <w:lang w:val="en-GB"/>
        </w:rPr>
        <w:t>, 855 ̶ 874</w:t>
      </w:r>
      <w:r w:rsidR="00AA012A" w:rsidRPr="00AA012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A012A" w:rsidRPr="004261CD" w:rsidRDefault="00EE7707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I.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Hagarova</w:t>
      </w:r>
      <w:proofErr w:type="spellEnd"/>
      <w:r w:rsidR="00FA111C">
        <w:rPr>
          <w:rFonts w:ascii="Times New Roman" w:hAnsi="Times New Roman" w:cs="Times New Roman"/>
          <w:sz w:val="24"/>
          <w:szCs w:val="24"/>
          <w:lang w:val="es-ES"/>
        </w:rPr>
        <w:t xml:space="preserve">, P. </w:t>
      </w:r>
      <w:proofErr w:type="spellStart"/>
      <w:r w:rsidR="00FA111C">
        <w:rPr>
          <w:rFonts w:ascii="Times New Roman" w:hAnsi="Times New Roman" w:cs="Times New Roman"/>
          <w:sz w:val="24"/>
          <w:szCs w:val="24"/>
          <w:lang w:val="es-ES"/>
        </w:rPr>
        <w:t>Matuš</w:t>
      </w:r>
      <w:proofErr w:type="spellEnd"/>
      <w:r w:rsidR="00FA111C">
        <w:rPr>
          <w:rFonts w:ascii="Times New Roman" w:hAnsi="Times New Roman" w:cs="Times New Roman"/>
          <w:sz w:val="24"/>
          <w:szCs w:val="24"/>
          <w:lang w:val="es-ES"/>
        </w:rPr>
        <w:t xml:space="preserve">, M. </w:t>
      </w:r>
      <w:proofErr w:type="spellStart"/>
      <w:r w:rsidR="00FA111C">
        <w:rPr>
          <w:rFonts w:ascii="Times New Roman" w:hAnsi="Times New Roman" w:cs="Times New Roman"/>
          <w:sz w:val="24"/>
          <w:szCs w:val="24"/>
          <w:lang w:val="es-ES"/>
        </w:rPr>
        <w:t>Bujdoš</w:t>
      </w:r>
      <w:proofErr w:type="spellEnd"/>
      <w:r w:rsidR="00FA111C">
        <w:rPr>
          <w:rFonts w:ascii="Times New Roman" w:hAnsi="Times New Roman" w:cs="Times New Roman"/>
          <w:sz w:val="24"/>
          <w:szCs w:val="24"/>
          <w:lang w:val="es-ES"/>
        </w:rPr>
        <w:t xml:space="preserve">, J. </w:t>
      </w:r>
      <w:proofErr w:type="spellStart"/>
      <w:r w:rsidR="00FA111C">
        <w:rPr>
          <w:rFonts w:ascii="Times New Roman" w:hAnsi="Times New Roman" w:cs="Times New Roman"/>
          <w:sz w:val="24"/>
          <w:szCs w:val="24"/>
          <w:lang w:val="es-ES"/>
        </w:rPr>
        <w:t>Kubova</w:t>
      </w:r>
      <w:proofErr w:type="spellEnd"/>
      <w:r w:rsidR="00367B4E" w:rsidRPr="00367B4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7B4E" w:rsidRPr="00367B4E">
        <w:rPr>
          <w:rFonts w:ascii="Times New Roman" w:hAnsi="Times New Roman" w:cs="Times New Roman"/>
          <w:i/>
          <w:sz w:val="24"/>
          <w:szCs w:val="24"/>
          <w:lang w:val="es-ES"/>
        </w:rPr>
        <w:t>Acta</w:t>
      </w:r>
      <w:r w:rsidR="00B35D1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es-ES"/>
        </w:rPr>
        <w:t>Chim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es-ES"/>
        </w:rPr>
        <w:t>Slov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367B4E" w:rsidRPr="00401AAE">
        <w:rPr>
          <w:rFonts w:ascii="Times New Roman" w:hAnsi="Times New Roman" w:cs="Times New Roman"/>
          <w:b/>
          <w:sz w:val="24"/>
          <w:szCs w:val="24"/>
          <w:lang w:val="es-ES"/>
        </w:rPr>
        <w:t>2012</w:t>
      </w:r>
      <w:r w:rsidR="00367B4E" w:rsidRPr="00401AA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67B4E" w:rsidRPr="00401AAE">
        <w:rPr>
          <w:rFonts w:ascii="Times New Roman" w:hAnsi="Times New Roman" w:cs="Times New Roman"/>
          <w:i/>
          <w:sz w:val="24"/>
          <w:szCs w:val="24"/>
          <w:lang w:val="es-ES"/>
        </w:rPr>
        <w:t>59</w:t>
      </w:r>
      <w:r w:rsidR="00367B4E" w:rsidRPr="00401AAE">
        <w:rPr>
          <w:rFonts w:ascii="Times New Roman" w:hAnsi="Times New Roman" w:cs="Times New Roman"/>
          <w:sz w:val="24"/>
          <w:szCs w:val="24"/>
          <w:lang w:val="es-ES"/>
        </w:rPr>
        <w:t>, 102–108</w:t>
      </w:r>
      <w:r w:rsidR="00367B4E" w:rsidRPr="00367B4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5605C7" w:rsidRPr="00401AAE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J. Chen, Q.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Shunchen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Z.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Yuexiang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X.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Youchang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 xml:space="preserve">Chinese J.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Catal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605C7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2011</w:t>
      </w:r>
      <w:r w:rsidR="005605C7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605C7" w:rsidRPr="00401AAE">
        <w:rPr>
          <w:rFonts w:ascii="Times New Roman" w:hAnsi="Times New Roman" w:cs="Times New Roman"/>
          <w:i/>
          <w:sz w:val="24"/>
          <w:szCs w:val="24"/>
          <w:lang w:val="en-GB"/>
        </w:rPr>
        <w:t>32</w:t>
      </w:r>
      <w:r w:rsidR="005605C7" w:rsidRPr="00401AAE">
        <w:rPr>
          <w:rFonts w:ascii="Times New Roman" w:hAnsi="Times New Roman" w:cs="Times New Roman"/>
          <w:sz w:val="24"/>
          <w:szCs w:val="24"/>
          <w:lang w:val="en-GB"/>
        </w:rPr>
        <w:t>, 1173–1179.</w:t>
      </w:r>
    </w:p>
    <w:p w:rsidR="005605C7" w:rsidRPr="004261CD" w:rsidRDefault="00367B4E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S.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Albonetti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, S.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Blasioli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, M.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Bugani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, C.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Lehaut-Burnouf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 xml:space="preserve">, S. </w:t>
      </w:r>
      <w:proofErr w:type="spellStart"/>
      <w:r w:rsidRPr="00367B4E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FA111C">
        <w:rPr>
          <w:rFonts w:ascii="Times New Roman" w:hAnsi="Times New Roman" w:cs="Times New Roman"/>
          <w:sz w:val="24"/>
          <w:szCs w:val="24"/>
          <w:lang w:val="it-IT"/>
        </w:rPr>
        <w:t>ugustine</w:t>
      </w:r>
      <w:proofErr w:type="spellEnd"/>
      <w:r w:rsidR="00FA111C">
        <w:rPr>
          <w:rFonts w:ascii="Times New Roman" w:hAnsi="Times New Roman" w:cs="Times New Roman"/>
          <w:sz w:val="24"/>
          <w:szCs w:val="24"/>
          <w:lang w:val="it-IT"/>
        </w:rPr>
        <w:t xml:space="preserve">, E. </w:t>
      </w:r>
      <w:proofErr w:type="spellStart"/>
      <w:r w:rsidR="00FA111C">
        <w:rPr>
          <w:rFonts w:ascii="Times New Roman" w:hAnsi="Times New Roman" w:cs="Times New Roman"/>
          <w:sz w:val="24"/>
          <w:szCs w:val="24"/>
          <w:lang w:val="it-IT"/>
        </w:rPr>
        <w:t>Roncari</w:t>
      </w:r>
      <w:proofErr w:type="spellEnd"/>
      <w:r w:rsidR="00FA111C">
        <w:rPr>
          <w:rFonts w:ascii="Times New Roman" w:hAnsi="Times New Roman" w:cs="Times New Roman"/>
          <w:sz w:val="24"/>
          <w:szCs w:val="24"/>
          <w:lang w:val="it-IT"/>
        </w:rPr>
        <w:t xml:space="preserve">, F. </w:t>
      </w:r>
      <w:proofErr w:type="spellStart"/>
      <w:r w:rsidR="00FA111C">
        <w:rPr>
          <w:rFonts w:ascii="Times New Roman" w:hAnsi="Times New Roman" w:cs="Times New Roman"/>
          <w:sz w:val="24"/>
          <w:szCs w:val="24"/>
          <w:lang w:val="it-IT"/>
        </w:rPr>
        <w:t>Trifiro</w:t>
      </w:r>
      <w:proofErr w:type="spellEnd"/>
      <w:r w:rsidRPr="00367B4E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Environ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Chem</w:t>
      </w:r>
      <w:proofErr w:type="spellEnd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gramStart"/>
      <w:r w:rsidR="00B370B6">
        <w:rPr>
          <w:rFonts w:ascii="Times New Roman" w:hAnsi="Times New Roman" w:cs="Times New Roman"/>
          <w:i/>
          <w:sz w:val="24"/>
          <w:szCs w:val="24"/>
          <w:lang w:val="it-IT"/>
        </w:rPr>
        <w:t>Lett.</w:t>
      </w:r>
      <w:proofErr w:type="gramEnd"/>
      <w:r w:rsidR="00B35D14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401AAE">
        <w:rPr>
          <w:rFonts w:ascii="Times New Roman" w:hAnsi="Times New Roman" w:cs="Times New Roman"/>
          <w:b/>
          <w:sz w:val="24"/>
          <w:szCs w:val="24"/>
          <w:lang w:val="it-IT"/>
        </w:rPr>
        <w:t>2003</w:t>
      </w:r>
      <w:r w:rsidRPr="00401AA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401AAE">
        <w:rPr>
          <w:rFonts w:ascii="Times New Roman" w:hAnsi="Times New Roman" w:cs="Times New Roman"/>
          <w:i/>
          <w:sz w:val="24"/>
          <w:szCs w:val="24"/>
          <w:lang w:val="it-IT"/>
        </w:rPr>
        <w:t>1</w:t>
      </w:r>
      <w:r w:rsidRPr="00401AAE">
        <w:rPr>
          <w:rFonts w:ascii="Times New Roman" w:hAnsi="Times New Roman" w:cs="Times New Roman"/>
          <w:sz w:val="24"/>
          <w:szCs w:val="24"/>
          <w:lang w:val="it-IT"/>
        </w:rPr>
        <w:t>, 197–200</w:t>
      </w:r>
      <w:r w:rsidRPr="00367B4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5605C7" w:rsidRPr="00401AAE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T. A.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Sedneva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E. P.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Lokshin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A. T.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Belyaevskii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T.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Kalinnkov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Inorg</w:t>
      </w:r>
      <w:proofErr w:type="spellEnd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 Mater.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4C4679" w:rsidRPr="00401AAE">
        <w:rPr>
          <w:rFonts w:ascii="Times New Roman" w:hAnsi="Times New Roman" w:cs="Times New Roman"/>
          <w:b/>
          <w:sz w:val="24"/>
          <w:szCs w:val="24"/>
          <w:lang w:val="en-GB"/>
        </w:rPr>
        <w:t>2008</w:t>
      </w:r>
      <w:r w:rsidR="004C4679" w:rsidRPr="00401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C4679" w:rsidRPr="00401AAE">
        <w:rPr>
          <w:rFonts w:ascii="Times New Roman" w:hAnsi="Times New Roman" w:cs="Times New Roman"/>
          <w:i/>
          <w:sz w:val="24"/>
          <w:szCs w:val="24"/>
          <w:lang w:val="en-GB"/>
        </w:rPr>
        <w:t>44</w:t>
      </w:r>
      <w:r w:rsidR="004C4679" w:rsidRPr="00401AAE">
        <w:rPr>
          <w:rFonts w:ascii="Times New Roman" w:hAnsi="Times New Roman" w:cs="Times New Roman"/>
          <w:sz w:val="24"/>
          <w:szCs w:val="24"/>
          <w:lang w:val="en-GB"/>
        </w:rPr>
        <w:t>, 726–732.</w:t>
      </w:r>
    </w:p>
    <w:p w:rsidR="004C4679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Žunič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S. D.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Škapin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Maček-Kržmanc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I.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Bračko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A. Sever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Škapin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D. Suvorov, 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 xml:space="preserve">Appl. </w:t>
      </w:r>
      <w:proofErr w:type="spellStart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Catal</w:t>
      </w:r>
      <w:proofErr w:type="spellEnd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4C4679" w:rsidRPr="004C467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A: General</w:t>
      </w:r>
      <w:r w:rsidR="00B72D7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4679" w:rsidRPr="004C4679">
        <w:rPr>
          <w:rFonts w:ascii="Times New Roman" w:hAnsi="Times New Roman" w:cs="Times New Roman"/>
          <w:b/>
          <w:sz w:val="24"/>
          <w:szCs w:val="24"/>
          <w:lang w:val="en-GB"/>
        </w:rPr>
        <w:t>2011</w:t>
      </w:r>
      <w:r w:rsidR="004C4679" w:rsidRPr="004C467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C4679" w:rsidRPr="00401AAE">
        <w:rPr>
          <w:rFonts w:ascii="Times New Roman" w:hAnsi="Times New Roman" w:cs="Times New Roman"/>
          <w:i/>
          <w:sz w:val="24"/>
          <w:szCs w:val="24"/>
          <w:lang w:val="en-GB"/>
        </w:rPr>
        <w:t>397</w:t>
      </w:r>
      <w:r w:rsidR="004C4679" w:rsidRPr="004C4679">
        <w:rPr>
          <w:rFonts w:ascii="Times New Roman" w:hAnsi="Times New Roman" w:cs="Times New Roman"/>
          <w:sz w:val="24"/>
          <w:szCs w:val="24"/>
          <w:lang w:val="en-GB"/>
        </w:rPr>
        <w:t>, 241 ̶ 249.</w:t>
      </w:r>
    </w:p>
    <w:p w:rsidR="004C4679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J. Zhang, M. J. Li, Z. C.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Feng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J. Chen, C. Li,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J. Phys. Chem.</w:t>
      </w:r>
      <w:r w:rsidR="004C467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4C4679">
        <w:rPr>
          <w:rFonts w:ascii="Times New Roman" w:hAnsi="Times New Roman" w:cs="Times New Roman"/>
          <w:b/>
          <w:sz w:val="24"/>
          <w:szCs w:val="24"/>
          <w:lang w:val="en-GB"/>
        </w:rPr>
        <w:t>2006</w:t>
      </w:r>
      <w:r w:rsidR="004C467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C4679" w:rsidRPr="00401AAE">
        <w:rPr>
          <w:rFonts w:ascii="Times New Roman" w:hAnsi="Times New Roman" w:cs="Times New Roman"/>
          <w:i/>
          <w:sz w:val="24"/>
          <w:szCs w:val="24"/>
          <w:lang w:val="en-GB"/>
        </w:rPr>
        <w:t>110</w:t>
      </w:r>
      <w:r w:rsidR="004C4679">
        <w:rPr>
          <w:rFonts w:ascii="Times New Roman" w:hAnsi="Times New Roman" w:cs="Times New Roman"/>
          <w:sz w:val="24"/>
          <w:szCs w:val="24"/>
          <w:lang w:val="en-GB"/>
        </w:rPr>
        <w:t>, 927–935.</w:t>
      </w:r>
    </w:p>
    <w:p w:rsidR="003B3612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D. J.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Reidy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D. J. Holmes, M. A. Morris, 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Ceram. Int.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B3612">
        <w:rPr>
          <w:rFonts w:ascii="Times New Roman" w:hAnsi="Times New Roman" w:cs="Times New Roman"/>
          <w:b/>
          <w:sz w:val="24"/>
          <w:szCs w:val="24"/>
          <w:lang w:val="en-GB"/>
        </w:rPr>
        <w:t>2006</w:t>
      </w:r>
      <w:r w:rsidR="003B36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B3612" w:rsidRPr="00401AAE">
        <w:rPr>
          <w:rFonts w:ascii="Times New Roman" w:hAnsi="Times New Roman" w:cs="Times New Roman"/>
          <w:i/>
          <w:sz w:val="24"/>
          <w:szCs w:val="24"/>
          <w:lang w:val="en-GB"/>
        </w:rPr>
        <w:t>32</w:t>
      </w:r>
      <w:r w:rsidR="003B3612">
        <w:rPr>
          <w:rFonts w:ascii="Times New Roman" w:hAnsi="Times New Roman" w:cs="Times New Roman"/>
          <w:sz w:val="24"/>
          <w:szCs w:val="24"/>
          <w:lang w:val="en-GB"/>
        </w:rPr>
        <w:t>, 235–239.</w:t>
      </w:r>
    </w:p>
    <w:p w:rsidR="004C4679" w:rsidRPr="003B3612" w:rsidRDefault="008A1EA0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U. Schubert, N. </w:t>
      </w:r>
      <w:proofErr w:type="spellStart"/>
      <w:r w:rsidR="003B3612" w:rsidRPr="003B3612">
        <w:rPr>
          <w:rFonts w:ascii="Times New Roman" w:hAnsi="Times New Roman" w:cs="Times New Roman"/>
          <w:sz w:val="24"/>
          <w:szCs w:val="24"/>
          <w:lang w:val="en-GB"/>
        </w:rPr>
        <w:t>Hüsing</w:t>
      </w:r>
      <w:proofErr w:type="spellEnd"/>
      <w:r w:rsidR="003B3612" w:rsidRPr="003B36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B3612" w:rsidRPr="00B72D75">
        <w:rPr>
          <w:rFonts w:ascii="Times New Roman" w:hAnsi="Times New Roman" w:cs="Times New Roman"/>
          <w:sz w:val="24"/>
          <w:szCs w:val="24"/>
          <w:lang w:val="en-GB"/>
        </w:rPr>
        <w:t>Synthesis of Inorganic Materials</w:t>
      </w:r>
      <w:r w:rsidR="00FC653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B3612" w:rsidRPr="003B3612"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="00FC6531">
        <w:rPr>
          <w:rFonts w:ascii="Times New Roman" w:hAnsi="Times New Roman" w:cs="Times New Roman"/>
          <w:sz w:val="24"/>
          <w:szCs w:val="24"/>
          <w:lang w:val="en-GB"/>
        </w:rPr>
        <w:t xml:space="preserve">ILEY-VCH </w:t>
      </w:r>
      <w:proofErr w:type="spellStart"/>
      <w:r w:rsidR="00FC6531">
        <w:rPr>
          <w:rFonts w:ascii="Times New Roman" w:hAnsi="Times New Roman" w:cs="Times New Roman"/>
          <w:sz w:val="24"/>
          <w:szCs w:val="24"/>
          <w:lang w:val="en-GB"/>
        </w:rPr>
        <w:t>Verlag</w:t>
      </w:r>
      <w:proofErr w:type="spellEnd"/>
      <w:r w:rsidR="00FC6531">
        <w:rPr>
          <w:rFonts w:ascii="Times New Roman" w:hAnsi="Times New Roman" w:cs="Times New Roman"/>
          <w:sz w:val="24"/>
          <w:szCs w:val="24"/>
          <w:lang w:val="en-GB"/>
        </w:rPr>
        <w:t xml:space="preserve"> GmbH &amp; Co. </w:t>
      </w:r>
      <w:proofErr w:type="spellStart"/>
      <w:r w:rsidR="00FC6531">
        <w:rPr>
          <w:rFonts w:ascii="Times New Roman" w:hAnsi="Times New Roman" w:cs="Times New Roman"/>
          <w:sz w:val="24"/>
          <w:szCs w:val="24"/>
          <w:lang w:val="en-GB"/>
        </w:rPr>
        <w:t>KGaA</w:t>
      </w:r>
      <w:proofErr w:type="spellEnd"/>
      <w:r w:rsidR="00FC65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C6531">
        <w:rPr>
          <w:rFonts w:ascii="Times New Roman" w:hAnsi="Times New Roman" w:cs="Times New Roman"/>
          <w:sz w:val="24"/>
          <w:szCs w:val="24"/>
          <w:lang w:val="en-GB"/>
        </w:rPr>
        <w:t>Weinheim</w:t>
      </w:r>
      <w:proofErr w:type="spellEnd"/>
      <w:r w:rsidR="00FA111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B3612" w:rsidRPr="00FC6531">
        <w:rPr>
          <w:rFonts w:ascii="Times New Roman" w:hAnsi="Times New Roman" w:cs="Times New Roman"/>
          <w:b/>
          <w:sz w:val="24"/>
          <w:szCs w:val="24"/>
          <w:lang w:val="en-GB"/>
        </w:rPr>
        <w:t>2012</w:t>
      </w:r>
      <w:r w:rsidR="00FC653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D75">
        <w:rPr>
          <w:rFonts w:ascii="Times New Roman" w:hAnsi="Times New Roman" w:cs="Times New Roman"/>
          <w:sz w:val="24"/>
          <w:szCs w:val="24"/>
          <w:lang w:val="en-GB"/>
        </w:rPr>
        <w:t xml:space="preserve">pp. </w:t>
      </w:r>
      <w:r w:rsidR="003B3612" w:rsidRPr="003B3612">
        <w:rPr>
          <w:rFonts w:ascii="Times New Roman" w:hAnsi="Times New Roman" w:cs="Times New Roman"/>
          <w:sz w:val="24"/>
          <w:szCs w:val="24"/>
          <w:lang w:val="en-GB"/>
        </w:rPr>
        <w:t>155 ̶ 210.</w:t>
      </w:r>
    </w:p>
    <w:p w:rsidR="003B3612" w:rsidRPr="003B3612" w:rsidRDefault="00FC6531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J. Schneider, M. Matsuoka, M. Takeuchi, J. Zhang, Y.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Horiuchi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Anpo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D. W.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Bahnemann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Chem. Rev.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B3612" w:rsidRPr="003B3612">
        <w:rPr>
          <w:rFonts w:ascii="Times New Roman" w:hAnsi="Times New Roman" w:cs="Times New Roman"/>
          <w:b/>
          <w:sz w:val="24"/>
          <w:szCs w:val="24"/>
          <w:lang w:val="en-GB"/>
        </w:rPr>
        <w:t>2014</w:t>
      </w:r>
      <w:r w:rsidR="003B3612" w:rsidRPr="003B36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B3612" w:rsidRPr="00401AAE">
        <w:rPr>
          <w:rFonts w:ascii="Times New Roman" w:hAnsi="Times New Roman" w:cs="Times New Roman"/>
          <w:i/>
          <w:sz w:val="24"/>
          <w:szCs w:val="24"/>
          <w:lang w:val="en-GB"/>
        </w:rPr>
        <w:t>114</w:t>
      </w:r>
      <w:r w:rsidR="003B3612" w:rsidRPr="003B3612">
        <w:rPr>
          <w:rFonts w:ascii="Times New Roman" w:hAnsi="Times New Roman" w:cs="Times New Roman"/>
          <w:sz w:val="24"/>
          <w:szCs w:val="24"/>
          <w:lang w:val="en-GB"/>
        </w:rPr>
        <w:t>, 9919 ̶ 9986.</w:t>
      </w:r>
    </w:p>
    <w:p w:rsidR="003167DF" w:rsidRDefault="003167DF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Dassler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Feltz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J. Jung, W. Ludwig, E.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Kaisersberg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J. Therm.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Anal.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1988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01AAE">
        <w:rPr>
          <w:rFonts w:ascii="Times New Roman" w:hAnsi="Times New Roman" w:cs="Times New Roman"/>
          <w:i/>
          <w:sz w:val="24"/>
          <w:szCs w:val="24"/>
          <w:lang w:val="en-GB"/>
        </w:rPr>
        <w:t>33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803–809. </w:t>
      </w:r>
    </w:p>
    <w:p w:rsidR="003167DF" w:rsidRDefault="003167DF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Cerc</w:t>
      </w:r>
      <w:proofErr w:type="spellEnd"/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Korošec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B.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Pihlar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Padežnik</w:t>
      </w:r>
      <w:proofErr w:type="spellEnd"/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Gomilšek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Thermochim</w:t>
      </w:r>
      <w:proofErr w:type="spellEnd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Acta</w:t>
      </w:r>
      <w:proofErr w:type="spellEnd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2003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01AAE">
        <w:rPr>
          <w:rFonts w:ascii="Times New Roman" w:hAnsi="Times New Roman" w:cs="Times New Roman"/>
          <w:i/>
          <w:sz w:val="24"/>
          <w:szCs w:val="24"/>
          <w:lang w:val="en-GB"/>
        </w:rPr>
        <w:t>402</w:t>
      </w:r>
      <w:r>
        <w:rPr>
          <w:rFonts w:ascii="Times New Roman" w:hAnsi="Times New Roman" w:cs="Times New Roman"/>
          <w:sz w:val="24"/>
          <w:szCs w:val="24"/>
          <w:lang w:val="en-GB"/>
        </w:rPr>
        <w:t>, 57–67.</w:t>
      </w:r>
    </w:p>
    <w:p w:rsidR="003167DF" w:rsidRDefault="003167DF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Cerc</w:t>
      </w:r>
      <w:proofErr w:type="spellEnd"/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Korošec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74C91">
        <w:rPr>
          <w:rFonts w:ascii="Times New Roman" w:hAnsi="Times New Roman" w:cs="Times New Roman"/>
          <w:sz w:val="24"/>
          <w:szCs w:val="24"/>
          <w:lang w:val="en-GB"/>
        </w:rPr>
        <w:t xml:space="preserve"> in: P. R. </w:t>
      </w:r>
      <w:proofErr w:type="spellStart"/>
      <w:r w:rsidR="00C74C91">
        <w:rPr>
          <w:rFonts w:ascii="Times New Roman" w:hAnsi="Times New Roman" w:cs="Times New Roman"/>
          <w:sz w:val="24"/>
          <w:szCs w:val="24"/>
          <w:lang w:val="en-GB"/>
        </w:rPr>
        <w:t>Somani</w:t>
      </w:r>
      <w:proofErr w:type="spellEnd"/>
      <w:r w:rsidR="00C74C91">
        <w:rPr>
          <w:rFonts w:ascii="Times New Roman" w:hAnsi="Times New Roman" w:cs="Times New Roman"/>
          <w:sz w:val="24"/>
          <w:szCs w:val="24"/>
          <w:lang w:val="en-GB"/>
        </w:rPr>
        <w:t xml:space="preserve"> (Ed</w:t>
      </w:r>
      <w:r w:rsidR="00C74C91" w:rsidRPr="00C74C91">
        <w:rPr>
          <w:rFonts w:ascii="Times New Roman" w:hAnsi="Times New Roman" w:cs="Times New Roman"/>
          <w:sz w:val="24"/>
          <w:szCs w:val="24"/>
          <w:lang w:val="en-GB"/>
        </w:rPr>
        <w:t>):</w:t>
      </w:r>
      <w:r w:rsidRPr="00C74C91">
        <w:rPr>
          <w:rFonts w:ascii="Times New Roman" w:hAnsi="Times New Roman" w:cs="Times New Roman"/>
          <w:sz w:val="24"/>
          <w:szCs w:val="24"/>
          <w:lang w:val="en-GB"/>
        </w:rPr>
        <w:t xml:space="preserve"> Chromic materials, phenomena and t</w:t>
      </w:r>
      <w:r w:rsidR="00C74C91">
        <w:rPr>
          <w:rFonts w:ascii="Times New Roman" w:hAnsi="Times New Roman" w:cs="Times New Roman"/>
          <w:sz w:val="24"/>
          <w:szCs w:val="24"/>
          <w:lang w:val="en-GB"/>
        </w:rPr>
        <w:t>heir technological applications.</w:t>
      </w:r>
      <w:r w:rsidRPr="00C74C91">
        <w:rPr>
          <w:rFonts w:ascii="Times New Roman" w:hAnsi="Times New Roman" w:cs="Times New Roman"/>
          <w:sz w:val="24"/>
          <w:szCs w:val="24"/>
          <w:lang w:val="en-GB"/>
        </w:rPr>
        <w:t xml:space="preserve"> Multifunctional materials and devices, Applied</w:t>
      </w:r>
      <w:r w:rsidR="00C74C91">
        <w:rPr>
          <w:rFonts w:ascii="Times New Roman" w:hAnsi="Times New Roman" w:cs="Times New Roman"/>
          <w:sz w:val="24"/>
          <w:szCs w:val="24"/>
          <w:lang w:val="en-GB"/>
        </w:rPr>
        <w:t xml:space="preserve"> Science Innovations Pvt. Ltd., </w:t>
      </w:r>
      <w:proofErr w:type="spellStart"/>
      <w:r w:rsidR="00C74C91">
        <w:rPr>
          <w:rFonts w:ascii="Times New Roman" w:hAnsi="Times New Roman" w:cs="Times New Roman"/>
          <w:sz w:val="24"/>
          <w:szCs w:val="24"/>
          <w:lang w:val="en-GB"/>
        </w:rPr>
        <w:t>Pune</w:t>
      </w:r>
      <w:proofErr w:type="spellEnd"/>
      <w:r w:rsidR="00C74C91">
        <w:rPr>
          <w:rFonts w:ascii="Times New Roman" w:hAnsi="Times New Roman" w:cs="Times New Roman"/>
          <w:sz w:val="24"/>
          <w:szCs w:val="24"/>
          <w:lang w:val="en-GB"/>
        </w:rPr>
        <w:t>, India,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2010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74C91">
        <w:rPr>
          <w:rFonts w:ascii="Times New Roman" w:hAnsi="Times New Roman" w:cs="Times New Roman"/>
          <w:sz w:val="24"/>
          <w:szCs w:val="24"/>
          <w:lang w:val="en-GB"/>
        </w:rPr>
        <w:t xml:space="preserve">pp. </w:t>
      </w:r>
      <w:r>
        <w:rPr>
          <w:rFonts w:ascii="Times New Roman" w:hAnsi="Times New Roman" w:cs="Times New Roman"/>
          <w:sz w:val="24"/>
          <w:szCs w:val="24"/>
          <w:lang w:val="en-GB"/>
        </w:rPr>
        <w:t>241–282.</w:t>
      </w:r>
    </w:p>
    <w:p w:rsidR="003167DF" w:rsidRDefault="003167DF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Cerc</w:t>
      </w:r>
      <w:proofErr w:type="spellEnd"/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Korošec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I.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Kozjek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Škofic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Bukovec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Thermochim</w:t>
      </w:r>
      <w:proofErr w:type="spellEnd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A111C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="004B4BBB">
        <w:rPr>
          <w:rFonts w:ascii="Times New Roman" w:hAnsi="Times New Roman" w:cs="Times New Roman"/>
          <w:i/>
          <w:sz w:val="24"/>
          <w:szCs w:val="24"/>
          <w:lang w:val="en-GB"/>
        </w:rPr>
        <w:t>cta</w:t>
      </w:r>
      <w:proofErr w:type="spellEnd"/>
      <w:r w:rsidR="00FA111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B4BBB">
        <w:rPr>
          <w:rFonts w:ascii="Times New Roman" w:hAnsi="Times New Roman" w:cs="Times New Roman"/>
          <w:b/>
          <w:sz w:val="24"/>
          <w:szCs w:val="24"/>
          <w:lang w:val="en-GB"/>
        </w:rPr>
        <w:t>2004</w:t>
      </w:r>
      <w:r w:rsidR="004B4BBB">
        <w:rPr>
          <w:rFonts w:ascii="Times New Roman" w:hAnsi="Times New Roman" w:cs="Times New Roman"/>
          <w:sz w:val="24"/>
          <w:szCs w:val="24"/>
          <w:lang w:val="en-GB"/>
        </w:rPr>
        <w:t xml:space="preserve">, 2, 211–217. </w:t>
      </w:r>
    </w:p>
    <w:p w:rsidR="003B3612" w:rsidRDefault="00FC6531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L. Q. Jing, B. F.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Xin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F. L. Yuan, L. P.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Xue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B. Q. Wang,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J. Phys. Chem.</w:t>
      </w:r>
      <w:r w:rsidR="003B361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B3612">
        <w:rPr>
          <w:rFonts w:ascii="Times New Roman" w:hAnsi="Times New Roman" w:cs="Times New Roman"/>
          <w:b/>
          <w:sz w:val="24"/>
          <w:szCs w:val="24"/>
          <w:lang w:val="en-GB"/>
        </w:rPr>
        <w:t>2006</w:t>
      </w:r>
      <w:r w:rsidR="003B36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B3612" w:rsidRPr="00401AAE">
        <w:rPr>
          <w:rFonts w:ascii="Times New Roman" w:hAnsi="Times New Roman" w:cs="Times New Roman"/>
          <w:i/>
          <w:sz w:val="24"/>
          <w:szCs w:val="24"/>
          <w:lang w:val="en-GB"/>
        </w:rPr>
        <w:t>110</w:t>
      </w:r>
      <w:r w:rsidR="003B3612">
        <w:rPr>
          <w:rFonts w:ascii="Times New Roman" w:hAnsi="Times New Roman" w:cs="Times New Roman"/>
          <w:sz w:val="24"/>
          <w:szCs w:val="24"/>
          <w:lang w:val="en-GB"/>
        </w:rPr>
        <w:t>, 17860–17865.</w:t>
      </w:r>
    </w:p>
    <w:p w:rsidR="004B4BBB" w:rsidRPr="004B4BBB" w:rsidRDefault="00FC6531" w:rsidP="00520E4C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L. Q. Jing, H. G. Fu,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B. Q. Wang, D. J. Wang, B. F.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Xin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S. D. Li, J. Z. Sun,</w:t>
      </w:r>
      <w:r w:rsidR="00B35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 xml:space="preserve">Appl. </w:t>
      </w:r>
      <w:proofErr w:type="spellStart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Catal</w:t>
      </w:r>
      <w:proofErr w:type="spellEnd"/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3B361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</w:t>
      </w:r>
      <w:r w:rsidR="00B72D75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B35D1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94B03">
        <w:rPr>
          <w:rFonts w:ascii="Times New Roman" w:hAnsi="Times New Roman" w:cs="Times New Roman"/>
          <w:b/>
          <w:sz w:val="24"/>
          <w:szCs w:val="24"/>
          <w:lang w:val="en-GB"/>
        </w:rPr>
        <w:t>2006</w:t>
      </w:r>
      <w:r w:rsidR="00694B0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94B03" w:rsidRPr="00401AAE">
        <w:rPr>
          <w:rFonts w:ascii="Times New Roman" w:hAnsi="Times New Roman" w:cs="Times New Roman"/>
          <w:i/>
          <w:sz w:val="24"/>
          <w:szCs w:val="24"/>
          <w:lang w:val="en-GB"/>
        </w:rPr>
        <w:t>62</w:t>
      </w:r>
      <w:r w:rsidR="00694B03">
        <w:rPr>
          <w:rFonts w:ascii="Times New Roman" w:hAnsi="Times New Roman" w:cs="Times New Roman"/>
          <w:sz w:val="24"/>
          <w:szCs w:val="24"/>
          <w:lang w:val="en-GB"/>
        </w:rPr>
        <w:t>, 282–291.</w:t>
      </w:r>
      <w:r w:rsidR="004B4BBB" w:rsidRPr="004B4B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bookmarkStart w:id="0" w:name="_GoBack"/>
      <w:bookmarkEnd w:id="0"/>
    </w:p>
    <w:p w:rsidR="00E409C5" w:rsidRPr="00652281" w:rsidRDefault="00E409C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2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Povzetek</w:t>
      </w:r>
    </w:p>
    <w:p w:rsidR="00E409C5" w:rsidRPr="00652281" w:rsidRDefault="00652281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Prahove in tanke plasti TiO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smo pripravili po sol-gel sintezni metodi, kjer smo kot prekurzor uporabili titanov butoksid</w:t>
      </w:r>
      <w:r w:rsidR="00820DAD">
        <w:rPr>
          <w:rFonts w:ascii="Times New Roman" w:hAnsi="Times New Roman" w:cs="Times New Roman"/>
          <w:color w:val="000000" w:themeColor="text1"/>
          <w:sz w:val="24"/>
          <w:szCs w:val="24"/>
        </w:rPr>
        <w:t>, ki smo 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dodali citronsko kislino. Tanke plasti smo na različne podlage nanesli s tehniko potapljanja. Plasti in prahove smo dopirali s fosfatnimi ioni ter proučevali njihov vpliv na termično stabilnost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anatasne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faze. Tanke plasti v primerjavi z nanodelci pogosto prikazujejo </w:t>
      </w:r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različne lastnosti, zato smo analizirali tudi kako oblika pripravljenega vzorca vpliva na fazni prehod anatas-rutil. Odvisnost vsebnosti </w:t>
      </w:r>
      <w:proofErr w:type="spellStart"/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>anatasne</w:t>
      </w:r>
      <w:proofErr w:type="spellEnd"/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faze in velikost </w:t>
      </w:r>
      <w:proofErr w:type="spellStart"/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>kristalitov</w:t>
      </w:r>
      <w:proofErr w:type="spellEnd"/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odvisnosti od temperature</w:t>
      </w:r>
      <w:r w:rsidR="00EE7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termične obdelave</w:t>
      </w:r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smo spremljali z </w:t>
      </w:r>
      <w:r w:rsidR="00EE7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rentgensko </w:t>
      </w:r>
      <w:proofErr w:type="spellStart"/>
      <w:r w:rsidR="00EE7707">
        <w:rPr>
          <w:rFonts w:ascii="Times New Roman" w:hAnsi="Times New Roman" w:cs="Times New Roman"/>
          <w:color w:val="000000" w:themeColor="text1"/>
          <w:sz w:val="24"/>
          <w:szCs w:val="24"/>
        </w:rPr>
        <w:t>praškovno</w:t>
      </w:r>
      <w:proofErr w:type="spellEnd"/>
      <w:r w:rsidR="00EE7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difrakcijo</w:t>
      </w:r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Potek termičnega razpada smo analizirali s termično analizo. Z vrstičnim elektronskim mikroskopom smo proučevali obliko, velikost delcev in morfologijo pripravljenih tankih plasti ter s pomočjo </w:t>
      </w:r>
      <w:r w:rsidR="00EE7707">
        <w:rPr>
          <w:rFonts w:ascii="Times New Roman" w:hAnsi="Times New Roman" w:cs="Times New Roman"/>
          <w:color w:val="000000" w:themeColor="text1"/>
          <w:sz w:val="24"/>
          <w:szCs w:val="24"/>
        </w:rPr>
        <w:t>energijsko disperzijske spektroskopije</w:t>
      </w:r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tudi njihovo elementno sestavo. Rezultati prikazujejo, da fosfatni ioni uspešno zavirajo rast delcev ter s tem posledično </w:t>
      </w:r>
      <w:r w:rsidR="00F90E39">
        <w:rPr>
          <w:rFonts w:ascii="Times New Roman" w:hAnsi="Times New Roman" w:cs="Times New Roman"/>
          <w:color w:val="000000" w:themeColor="text1"/>
          <w:sz w:val="24"/>
          <w:szCs w:val="24"/>
        </w:rPr>
        <w:t>pomaknejo</w:t>
      </w:r>
      <w:r w:rsidR="005B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fazni prehod anatas-rutil k višjim temperaturam.</w:t>
      </w:r>
    </w:p>
    <w:p w:rsidR="00E409C5" w:rsidRPr="00652281" w:rsidRDefault="00E409C5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9C5" w:rsidRPr="009D5441" w:rsidRDefault="005B6816" w:rsidP="00520E4C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Ključne besede</w:t>
      </w:r>
      <w:r w:rsidR="00E409C5" w:rsidRPr="00652281">
        <w:rPr>
          <w:rFonts w:ascii="Times New Roman" w:hAnsi="Times New Roman" w:cs="Times New Roman"/>
          <w:b/>
          <w:sz w:val="24"/>
          <w:szCs w:val="24"/>
        </w:rPr>
        <w:t>:</w:t>
      </w:r>
      <w:r w:rsidR="00E409C5" w:rsidRPr="0065228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natas, fosfati</w:t>
      </w:r>
      <w:r w:rsidR="00E409C5" w:rsidRPr="00652281">
        <w:rPr>
          <w:rFonts w:ascii="Times New Roman" w:hAnsi="Times New Roman" w:cs="Times New Roman"/>
          <w:sz w:val="24"/>
          <w:szCs w:val="24"/>
        </w:rPr>
        <w:t xml:space="preserve">, sol-gel, </w:t>
      </w:r>
      <w:r>
        <w:rPr>
          <w:rFonts w:ascii="Times New Roman" w:hAnsi="Times New Roman" w:cs="Times New Roman"/>
          <w:sz w:val="24"/>
          <w:szCs w:val="24"/>
        </w:rPr>
        <w:t>tanke plasti, termična stabilnost</w:t>
      </w:r>
    </w:p>
    <w:sectPr w:rsidR="00E409C5" w:rsidRPr="009D5441" w:rsidSect="008318D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A3814"/>
    <w:multiLevelType w:val="hybridMultilevel"/>
    <w:tmpl w:val="CA164F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A04AE4"/>
    <w:multiLevelType w:val="hybridMultilevel"/>
    <w:tmpl w:val="B7EC5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</w:compat>
  <w:rsids>
    <w:rsidRoot w:val="003375B8"/>
    <w:rsid w:val="0000204B"/>
    <w:rsid w:val="00003B68"/>
    <w:rsid w:val="0001044C"/>
    <w:rsid w:val="000234DE"/>
    <w:rsid w:val="00023E44"/>
    <w:rsid w:val="00026517"/>
    <w:rsid w:val="00026649"/>
    <w:rsid w:val="00026A57"/>
    <w:rsid w:val="00035790"/>
    <w:rsid w:val="000465E2"/>
    <w:rsid w:val="00055030"/>
    <w:rsid w:val="000562E3"/>
    <w:rsid w:val="0006580F"/>
    <w:rsid w:val="000723F4"/>
    <w:rsid w:val="000724AB"/>
    <w:rsid w:val="00072BAC"/>
    <w:rsid w:val="00072BEF"/>
    <w:rsid w:val="00073152"/>
    <w:rsid w:val="00073C09"/>
    <w:rsid w:val="000747CB"/>
    <w:rsid w:val="00080648"/>
    <w:rsid w:val="000867E5"/>
    <w:rsid w:val="00090AF5"/>
    <w:rsid w:val="00090C00"/>
    <w:rsid w:val="000A1635"/>
    <w:rsid w:val="000A376F"/>
    <w:rsid w:val="000A3902"/>
    <w:rsid w:val="000C2A1E"/>
    <w:rsid w:val="000D10C3"/>
    <w:rsid w:val="000D10E2"/>
    <w:rsid w:val="000D3550"/>
    <w:rsid w:val="000D57F9"/>
    <w:rsid w:val="000E5CA7"/>
    <w:rsid w:val="000E76F3"/>
    <w:rsid w:val="000F1B25"/>
    <w:rsid w:val="00101E26"/>
    <w:rsid w:val="00101F43"/>
    <w:rsid w:val="00103D76"/>
    <w:rsid w:val="00112EDD"/>
    <w:rsid w:val="00113163"/>
    <w:rsid w:val="001209F4"/>
    <w:rsid w:val="00122CFF"/>
    <w:rsid w:val="00125188"/>
    <w:rsid w:val="00125F15"/>
    <w:rsid w:val="00127325"/>
    <w:rsid w:val="0013242C"/>
    <w:rsid w:val="00132EC2"/>
    <w:rsid w:val="00135079"/>
    <w:rsid w:val="00141F79"/>
    <w:rsid w:val="00145787"/>
    <w:rsid w:val="00145845"/>
    <w:rsid w:val="0014798B"/>
    <w:rsid w:val="00154C27"/>
    <w:rsid w:val="0015729A"/>
    <w:rsid w:val="001640FA"/>
    <w:rsid w:val="00166498"/>
    <w:rsid w:val="00166F87"/>
    <w:rsid w:val="00170FE5"/>
    <w:rsid w:val="00177839"/>
    <w:rsid w:val="00184E1C"/>
    <w:rsid w:val="00185DCA"/>
    <w:rsid w:val="00196495"/>
    <w:rsid w:val="001A0E2C"/>
    <w:rsid w:val="001B261A"/>
    <w:rsid w:val="001B746B"/>
    <w:rsid w:val="001C20E4"/>
    <w:rsid w:val="001C5691"/>
    <w:rsid w:val="001C71C1"/>
    <w:rsid w:val="001C7AD1"/>
    <w:rsid w:val="001D02F8"/>
    <w:rsid w:val="001D0FE3"/>
    <w:rsid w:val="001D310B"/>
    <w:rsid w:val="001D5AF2"/>
    <w:rsid w:val="001D779B"/>
    <w:rsid w:val="001D7CAC"/>
    <w:rsid w:val="001E2463"/>
    <w:rsid w:val="001E3E19"/>
    <w:rsid w:val="001E5AD8"/>
    <w:rsid w:val="001F0FFD"/>
    <w:rsid w:val="00202344"/>
    <w:rsid w:val="00204B6D"/>
    <w:rsid w:val="002056A2"/>
    <w:rsid w:val="00210D4C"/>
    <w:rsid w:val="00211982"/>
    <w:rsid w:val="00212A29"/>
    <w:rsid w:val="002136B5"/>
    <w:rsid w:val="00213785"/>
    <w:rsid w:val="0021522F"/>
    <w:rsid w:val="00216620"/>
    <w:rsid w:val="0021747E"/>
    <w:rsid w:val="002335D1"/>
    <w:rsid w:val="00235FAC"/>
    <w:rsid w:val="002363C4"/>
    <w:rsid w:val="0024020F"/>
    <w:rsid w:val="0024136E"/>
    <w:rsid w:val="00244176"/>
    <w:rsid w:val="0026319F"/>
    <w:rsid w:val="002666F7"/>
    <w:rsid w:val="002674F2"/>
    <w:rsid w:val="0027171D"/>
    <w:rsid w:val="00274207"/>
    <w:rsid w:val="0027554F"/>
    <w:rsid w:val="002837F9"/>
    <w:rsid w:val="00286485"/>
    <w:rsid w:val="002A09E6"/>
    <w:rsid w:val="002A4174"/>
    <w:rsid w:val="002B19E3"/>
    <w:rsid w:val="002B336C"/>
    <w:rsid w:val="002B7E39"/>
    <w:rsid w:val="002C5825"/>
    <w:rsid w:val="002D677C"/>
    <w:rsid w:val="002E0C96"/>
    <w:rsid w:val="002E1C46"/>
    <w:rsid w:val="002E301C"/>
    <w:rsid w:val="002E5219"/>
    <w:rsid w:val="002E5C30"/>
    <w:rsid w:val="002E744C"/>
    <w:rsid w:val="002F25C3"/>
    <w:rsid w:val="002F5460"/>
    <w:rsid w:val="003019B1"/>
    <w:rsid w:val="00304BF9"/>
    <w:rsid w:val="00305627"/>
    <w:rsid w:val="00310379"/>
    <w:rsid w:val="00315EE6"/>
    <w:rsid w:val="003167DF"/>
    <w:rsid w:val="0031772D"/>
    <w:rsid w:val="003207D4"/>
    <w:rsid w:val="00322685"/>
    <w:rsid w:val="003317E8"/>
    <w:rsid w:val="00335201"/>
    <w:rsid w:val="003375B8"/>
    <w:rsid w:val="00342BF5"/>
    <w:rsid w:val="00354380"/>
    <w:rsid w:val="00361E33"/>
    <w:rsid w:val="0036227D"/>
    <w:rsid w:val="00362501"/>
    <w:rsid w:val="003670A4"/>
    <w:rsid w:val="00367B4E"/>
    <w:rsid w:val="00374F83"/>
    <w:rsid w:val="0038012C"/>
    <w:rsid w:val="0038366A"/>
    <w:rsid w:val="00386635"/>
    <w:rsid w:val="003976A3"/>
    <w:rsid w:val="003A24AE"/>
    <w:rsid w:val="003A5EBE"/>
    <w:rsid w:val="003B1BCE"/>
    <w:rsid w:val="003B3612"/>
    <w:rsid w:val="003B38D9"/>
    <w:rsid w:val="003B7987"/>
    <w:rsid w:val="003C00BB"/>
    <w:rsid w:val="003D0A9A"/>
    <w:rsid w:val="003D1C26"/>
    <w:rsid w:val="003D290F"/>
    <w:rsid w:val="003E2350"/>
    <w:rsid w:val="003E5AD2"/>
    <w:rsid w:val="003F0BC5"/>
    <w:rsid w:val="003F0DA3"/>
    <w:rsid w:val="00401AAE"/>
    <w:rsid w:val="00403984"/>
    <w:rsid w:val="00405527"/>
    <w:rsid w:val="00407006"/>
    <w:rsid w:val="00415F72"/>
    <w:rsid w:val="00416C05"/>
    <w:rsid w:val="004174D4"/>
    <w:rsid w:val="004261CD"/>
    <w:rsid w:val="00426C71"/>
    <w:rsid w:val="0043176C"/>
    <w:rsid w:val="004369CB"/>
    <w:rsid w:val="00470B2B"/>
    <w:rsid w:val="00472C7A"/>
    <w:rsid w:val="004736AD"/>
    <w:rsid w:val="00481B25"/>
    <w:rsid w:val="00485F1F"/>
    <w:rsid w:val="00496AFF"/>
    <w:rsid w:val="004B4BBB"/>
    <w:rsid w:val="004C07B4"/>
    <w:rsid w:val="004C1C9A"/>
    <w:rsid w:val="004C25BF"/>
    <w:rsid w:val="004C4679"/>
    <w:rsid w:val="004D1C1E"/>
    <w:rsid w:val="004D7169"/>
    <w:rsid w:val="004E731B"/>
    <w:rsid w:val="004F1171"/>
    <w:rsid w:val="004F2248"/>
    <w:rsid w:val="004F2317"/>
    <w:rsid w:val="004F7DF0"/>
    <w:rsid w:val="0050010F"/>
    <w:rsid w:val="00500416"/>
    <w:rsid w:val="00501510"/>
    <w:rsid w:val="00503DF1"/>
    <w:rsid w:val="0050478C"/>
    <w:rsid w:val="0050650B"/>
    <w:rsid w:val="00513BCD"/>
    <w:rsid w:val="005179FF"/>
    <w:rsid w:val="00517F58"/>
    <w:rsid w:val="00520E4C"/>
    <w:rsid w:val="00521E06"/>
    <w:rsid w:val="00522BE9"/>
    <w:rsid w:val="00523EC5"/>
    <w:rsid w:val="005241B5"/>
    <w:rsid w:val="005247F4"/>
    <w:rsid w:val="005367D1"/>
    <w:rsid w:val="00536CED"/>
    <w:rsid w:val="0053718F"/>
    <w:rsid w:val="00541C80"/>
    <w:rsid w:val="0054539F"/>
    <w:rsid w:val="005466D6"/>
    <w:rsid w:val="00557CD2"/>
    <w:rsid w:val="00560572"/>
    <w:rsid w:val="005605C7"/>
    <w:rsid w:val="00565B1E"/>
    <w:rsid w:val="00572696"/>
    <w:rsid w:val="00591FEE"/>
    <w:rsid w:val="00595697"/>
    <w:rsid w:val="005975AF"/>
    <w:rsid w:val="005A0633"/>
    <w:rsid w:val="005A41B3"/>
    <w:rsid w:val="005A4263"/>
    <w:rsid w:val="005A4FBE"/>
    <w:rsid w:val="005B6816"/>
    <w:rsid w:val="005C08BB"/>
    <w:rsid w:val="005C115B"/>
    <w:rsid w:val="005D54BA"/>
    <w:rsid w:val="005E172A"/>
    <w:rsid w:val="005F1505"/>
    <w:rsid w:val="005F15CE"/>
    <w:rsid w:val="005F3128"/>
    <w:rsid w:val="005F6F8A"/>
    <w:rsid w:val="00602AB0"/>
    <w:rsid w:val="006058BA"/>
    <w:rsid w:val="00611822"/>
    <w:rsid w:val="006119D5"/>
    <w:rsid w:val="00612218"/>
    <w:rsid w:val="00613A72"/>
    <w:rsid w:val="006152B8"/>
    <w:rsid w:val="006220A6"/>
    <w:rsid w:val="00622FA8"/>
    <w:rsid w:val="006251A2"/>
    <w:rsid w:val="00627114"/>
    <w:rsid w:val="006359BF"/>
    <w:rsid w:val="006360D5"/>
    <w:rsid w:val="00644081"/>
    <w:rsid w:val="00646147"/>
    <w:rsid w:val="00652281"/>
    <w:rsid w:val="00653173"/>
    <w:rsid w:val="006541E0"/>
    <w:rsid w:val="00656E9F"/>
    <w:rsid w:val="006667F0"/>
    <w:rsid w:val="00674C6E"/>
    <w:rsid w:val="0067643F"/>
    <w:rsid w:val="0068115D"/>
    <w:rsid w:val="00690F50"/>
    <w:rsid w:val="00693782"/>
    <w:rsid w:val="00694B03"/>
    <w:rsid w:val="006951AD"/>
    <w:rsid w:val="006A2BC5"/>
    <w:rsid w:val="006A6ED7"/>
    <w:rsid w:val="006B10AB"/>
    <w:rsid w:val="006B122D"/>
    <w:rsid w:val="006B3967"/>
    <w:rsid w:val="006C3CA2"/>
    <w:rsid w:val="006C4ACC"/>
    <w:rsid w:val="006D21EE"/>
    <w:rsid w:val="006D61B9"/>
    <w:rsid w:val="006D65A4"/>
    <w:rsid w:val="006E05F0"/>
    <w:rsid w:val="006E422A"/>
    <w:rsid w:val="006E5536"/>
    <w:rsid w:val="006E6E79"/>
    <w:rsid w:val="006F01B2"/>
    <w:rsid w:val="006F73E3"/>
    <w:rsid w:val="007007F4"/>
    <w:rsid w:val="00711335"/>
    <w:rsid w:val="007119F6"/>
    <w:rsid w:val="00713978"/>
    <w:rsid w:val="007213C9"/>
    <w:rsid w:val="00721598"/>
    <w:rsid w:val="007303E9"/>
    <w:rsid w:val="00730ECC"/>
    <w:rsid w:val="00731480"/>
    <w:rsid w:val="00736E8C"/>
    <w:rsid w:val="00736EBE"/>
    <w:rsid w:val="0074317F"/>
    <w:rsid w:val="007455E8"/>
    <w:rsid w:val="00746249"/>
    <w:rsid w:val="00750C88"/>
    <w:rsid w:val="00757D6E"/>
    <w:rsid w:val="0076010C"/>
    <w:rsid w:val="00763CBE"/>
    <w:rsid w:val="0078103C"/>
    <w:rsid w:val="00781F68"/>
    <w:rsid w:val="007950D0"/>
    <w:rsid w:val="007A68BE"/>
    <w:rsid w:val="007B3BD8"/>
    <w:rsid w:val="007B40CA"/>
    <w:rsid w:val="007B6711"/>
    <w:rsid w:val="007C1D27"/>
    <w:rsid w:val="007C63E6"/>
    <w:rsid w:val="007D6864"/>
    <w:rsid w:val="007E0C5E"/>
    <w:rsid w:val="007E1370"/>
    <w:rsid w:val="007E51F6"/>
    <w:rsid w:val="007F09F4"/>
    <w:rsid w:val="007F66E9"/>
    <w:rsid w:val="0080065A"/>
    <w:rsid w:val="00804594"/>
    <w:rsid w:val="008058C3"/>
    <w:rsid w:val="0081050E"/>
    <w:rsid w:val="008105F8"/>
    <w:rsid w:val="008200CD"/>
    <w:rsid w:val="0082072D"/>
    <w:rsid w:val="00820DAD"/>
    <w:rsid w:val="00826E15"/>
    <w:rsid w:val="008318D2"/>
    <w:rsid w:val="00833DD9"/>
    <w:rsid w:val="008371AE"/>
    <w:rsid w:val="00842099"/>
    <w:rsid w:val="00843D18"/>
    <w:rsid w:val="00860DFE"/>
    <w:rsid w:val="00863055"/>
    <w:rsid w:val="00870312"/>
    <w:rsid w:val="00895DA9"/>
    <w:rsid w:val="00895E93"/>
    <w:rsid w:val="008A1DAA"/>
    <w:rsid w:val="008A1EA0"/>
    <w:rsid w:val="008A3542"/>
    <w:rsid w:val="008A6D7A"/>
    <w:rsid w:val="008B0753"/>
    <w:rsid w:val="008C19AC"/>
    <w:rsid w:val="008C572E"/>
    <w:rsid w:val="008D1BB7"/>
    <w:rsid w:val="008D460F"/>
    <w:rsid w:val="008D4A1E"/>
    <w:rsid w:val="008D7F95"/>
    <w:rsid w:val="008E264B"/>
    <w:rsid w:val="008E515F"/>
    <w:rsid w:val="008F012C"/>
    <w:rsid w:val="008F27FA"/>
    <w:rsid w:val="008F444A"/>
    <w:rsid w:val="008F715F"/>
    <w:rsid w:val="0090273E"/>
    <w:rsid w:val="00910082"/>
    <w:rsid w:val="009202C5"/>
    <w:rsid w:val="009302B2"/>
    <w:rsid w:val="00931E56"/>
    <w:rsid w:val="00936FBE"/>
    <w:rsid w:val="00941BE6"/>
    <w:rsid w:val="009463CB"/>
    <w:rsid w:val="00961468"/>
    <w:rsid w:val="00962504"/>
    <w:rsid w:val="00974DCA"/>
    <w:rsid w:val="00976521"/>
    <w:rsid w:val="0097738F"/>
    <w:rsid w:val="009776F3"/>
    <w:rsid w:val="009829A0"/>
    <w:rsid w:val="00985E69"/>
    <w:rsid w:val="009911AD"/>
    <w:rsid w:val="0099339B"/>
    <w:rsid w:val="00995A23"/>
    <w:rsid w:val="009A5991"/>
    <w:rsid w:val="009A76A0"/>
    <w:rsid w:val="009A7F36"/>
    <w:rsid w:val="009B6CC9"/>
    <w:rsid w:val="009C081F"/>
    <w:rsid w:val="009C1531"/>
    <w:rsid w:val="009C5A63"/>
    <w:rsid w:val="009C5FA8"/>
    <w:rsid w:val="009D0C25"/>
    <w:rsid w:val="009D152C"/>
    <w:rsid w:val="009D1609"/>
    <w:rsid w:val="009D5441"/>
    <w:rsid w:val="009E717D"/>
    <w:rsid w:val="009E744A"/>
    <w:rsid w:val="009F29BF"/>
    <w:rsid w:val="009F653F"/>
    <w:rsid w:val="00A00385"/>
    <w:rsid w:val="00A00C53"/>
    <w:rsid w:val="00A01C6B"/>
    <w:rsid w:val="00A045B2"/>
    <w:rsid w:val="00A1207D"/>
    <w:rsid w:val="00A21E0C"/>
    <w:rsid w:val="00A2360C"/>
    <w:rsid w:val="00A24DF2"/>
    <w:rsid w:val="00A263A5"/>
    <w:rsid w:val="00A3592E"/>
    <w:rsid w:val="00A36578"/>
    <w:rsid w:val="00A4289F"/>
    <w:rsid w:val="00A47F47"/>
    <w:rsid w:val="00A54D5B"/>
    <w:rsid w:val="00A60514"/>
    <w:rsid w:val="00A65F1B"/>
    <w:rsid w:val="00A85A75"/>
    <w:rsid w:val="00A92E0F"/>
    <w:rsid w:val="00AA012A"/>
    <w:rsid w:val="00AA2BEB"/>
    <w:rsid w:val="00AA2CB9"/>
    <w:rsid w:val="00AA4C66"/>
    <w:rsid w:val="00AA5109"/>
    <w:rsid w:val="00AB22E3"/>
    <w:rsid w:val="00AB59B7"/>
    <w:rsid w:val="00AB6E30"/>
    <w:rsid w:val="00AB7601"/>
    <w:rsid w:val="00AC5039"/>
    <w:rsid w:val="00AD1FCD"/>
    <w:rsid w:val="00AD58CA"/>
    <w:rsid w:val="00AD782B"/>
    <w:rsid w:val="00AF13EF"/>
    <w:rsid w:val="00AF1DBB"/>
    <w:rsid w:val="00AF7DDC"/>
    <w:rsid w:val="00B0616C"/>
    <w:rsid w:val="00B1040F"/>
    <w:rsid w:val="00B10A03"/>
    <w:rsid w:val="00B14063"/>
    <w:rsid w:val="00B30B3F"/>
    <w:rsid w:val="00B30CAF"/>
    <w:rsid w:val="00B346C9"/>
    <w:rsid w:val="00B35D14"/>
    <w:rsid w:val="00B370B6"/>
    <w:rsid w:val="00B40962"/>
    <w:rsid w:val="00B40E80"/>
    <w:rsid w:val="00B42F5B"/>
    <w:rsid w:val="00B47A91"/>
    <w:rsid w:val="00B55949"/>
    <w:rsid w:val="00B60850"/>
    <w:rsid w:val="00B670E3"/>
    <w:rsid w:val="00B6723C"/>
    <w:rsid w:val="00B72D75"/>
    <w:rsid w:val="00B76EB6"/>
    <w:rsid w:val="00B82F57"/>
    <w:rsid w:val="00B84D0D"/>
    <w:rsid w:val="00B931D8"/>
    <w:rsid w:val="00B939F1"/>
    <w:rsid w:val="00BA18AC"/>
    <w:rsid w:val="00BA3691"/>
    <w:rsid w:val="00BA5762"/>
    <w:rsid w:val="00BC428B"/>
    <w:rsid w:val="00BD0D46"/>
    <w:rsid w:val="00BD1C45"/>
    <w:rsid w:val="00BD4160"/>
    <w:rsid w:val="00BD6CD0"/>
    <w:rsid w:val="00BD7CB0"/>
    <w:rsid w:val="00BE06E1"/>
    <w:rsid w:val="00BE4117"/>
    <w:rsid w:val="00BE6108"/>
    <w:rsid w:val="00BF437E"/>
    <w:rsid w:val="00C0124B"/>
    <w:rsid w:val="00C01CB7"/>
    <w:rsid w:val="00C203D0"/>
    <w:rsid w:val="00C2198D"/>
    <w:rsid w:val="00C27990"/>
    <w:rsid w:val="00C27E4E"/>
    <w:rsid w:val="00C40AE8"/>
    <w:rsid w:val="00C47389"/>
    <w:rsid w:val="00C51720"/>
    <w:rsid w:val="00C6194D"/>
    <w:rsid w:val="00C639AB"/>
    <w:rsid w:val="00C7100F"/>
    <w:rsid w:val="00C72D90"/>
    <w:rsid w:val="00C74C91"/>
    <w:rsid w:val="00C76487"/>
    <w:rsid w:val="00C83537"/>
    <w:rsid w:val="00C90F1C"/>
    <w:rsid w:val="00C9170C"/>
    <w:rsid w:val="00C93CC1"/>
    <w:rsid w:val="00CA1A45"/>
    <w:rsid w:val="00CA3967"/>
    <w:rsid w:val="00CA3A10"/>
    <w:rsid w:val="00CA3B43"/>
    <w:rsid w:val="00CA47B1"/>
    <w:rsid w:val="00CB16A6"/>
    <w:rsid w:val="00CB23D2"/>
    <w:rsid w:val="00CB40AC"/>
    <w:rsid w:val="00CC6CC8"/>
    <w:rsid w:val="00CD5130"/>
    <w:rsid w:val="00CD7255"/>
    <w:rsid w:val="00CE30CB"/>
    <w:rsid w:val="00CE52D4"/>
    <w:rsid w:val="00CF7F96"/>
    <w:rsid w:val="00D0789E"/>
    <w:rsid w:val="00D14BFD"/>
    <w:rsid w:val="00D155E3"/>
    <w:rsid w:val="00D16AFA"/>
    <w:rsid w:val="00D16D8B"/>
    <w:rsid w:val="00D2020E"/>
    <w:rsid w:val="00D31A36"/>
    <w:rsid w:val="00D32AE4"/>
    <w:rsid w:val="00D40041"/>
    <w:rsid w:val="00D40F94"/>
    <w:rsid w:val="00D41A34"/>
    <w:rsid w:val="00D45FA7"/>
    <w:rsid w:val="00D55903"/>
    <w:rsid w:val="00D57992"/>
    <w:rsid w:val="00D60231"/>
    <w:rsid w:val="00D621D9"/>
    <w:rsid w:val="00D7085D"/>
    <w:rsid w:val="00D852A7"/>
    <w:rsid w:val="00D87508"/>
    <w:rsid w:val="00D9116B"/>
    <w:rsid w:val="00D921B3"/>
    <w:rsid w:val="00D92A72"/>
    <w:rsid w:val="00DA03B6"/>
    <w:rsid w:val="00DA17DC"/>
    <w:rsid w:val="00DA2011"/>
    <w:rsid w:val="00DA255E"/>
    <w:rsid w:val="00DA2A27"/>
    <w:rsid w:val="00DA41C2"/>
    <w:rsid w:val="00DB16E1"/>
    <w:rsid w:val="00DB27CB"/>
    <w:rsid w:val="00DB43FD"/>
    <w:rsid w:val="00DB78AD"/>
    <w:rsid w:val="00DC2819"/>
    <w:rsid w:val="00DC316F"/>
    <w:rsid w:val="00DD23E8"/>
    <w:rsid w:val="00DD26DD"/>
    <w:rsid w:val="00DD6812"/>
    <w:rsid w:val="00DE4465"/>
    <w:rsid w:val="00E007CE"/>
    <w:rsid w:val="00E00FA8"/>
    <w:rsid w:val="00E05697"/>
    <w:rsid w:val="00E1137C"/>
    <w:rsid w:val="00E11ED6"/>
    <w:rsid w:val="00E248F8"/>
    <w:rsid w:val="00E33711"/>
    <w:rsid w:val="00E376A7"/>
    <w:rsid w:val="00E405D5"/>
    <w:rsid w:val="00E409C5"/>
    <w:rsid w:val="00E4359F"/>
    <w:rsid w:val="00E545FB"/>
    <w:rsid w:val="00E5499B"/>
    <w:rsid w:val="00E559EF"/>
    <w:rsid w:val="00E654CC"/>
    <w:rsid w:val="00E66D37"/>
    <w:rsid w:val="00E71F7E"/>
    <w:rsid w:val="00E7224A"/>
    <w:rsid w:val="00E729E2"/>
    <w:rsid w:val="00E76644"/>
    <w:rsid w:val="00E76A5A"/>
    <w:rsid w:val="00E820F6"/>
    <w:rsid w:val="00E83B1D"/>
    <w:rsid w:val="00EA5632"/>
    <w:rsid w:val="00EB5118"/>
    <w:rsid w:val="00EB6D4C"/>
    <w:rsid w:val="00EC116B"/>
    <w:rsid w:val="00EC3287"/>
    <w:rsid w:val="00EE7707"/>
    <w:rsid w:val="00EF0220"/>
    <w:rsid w:val="00EF219F"/>
    <w:rsid w:val="00EF4A01"/>
    <w:rsid w:val="00F04321"/>
    <w:rsid w:val="00F21537"/>
    <w:rsid w:val="00F22102"/>
    <w:rsid w:val="00F222EB"/>
    <w:rsid w:val="00F25D0C"/>
    <w:rsid w:val="00F2671F"/>
    <w:rsid w:val="00F3355C"/>
    <w:rsid w:val="00F3645F"/>
    <w:rsid w:val="00F41BDF"/>
    <w:rsid w:val="00F424E6"/>
    <w:rsid w:val="00F42AC5"/>
    <w:rsid w:val="00F44624"/>
    <w:rsid w:val="00F45559"/>
    <w:rsid w:val="00F61A3E"/>
    <w:rsid w:val="00F8170B"/>
    <w:rsid w:val="00F90E39"/>
    <w:rsid w:val="00F92FDB"/>
    <w:rsid w:val="00FA111C"/>
    <w:rsid w:val="00FA60BB"/>
    <w:rsid w:val="00FA7A70"/>
    <w:rsid w:val="00FA7CFB"/>
    <w:rsid w:val="00FB4537"/>
    <w:rsid w:val="00FB670F"/>
    <w:rsid w:val="00FB7C25"/>
    <w:rsid w:val="00FB7F11"/>
    <w:rsid w:val="00FC4A53"/>
    <w:rsid w:val="00FC5BB6"/>
    <w:rsid w:val="00FC6531"/>
    <w:rsid w:val="00FE0FA6"/>
    <w:rsid w:val="00FE2A40"/>
    <w:rsid w:val="00FE73F9"/>
    <w:rsid w:val="00FF4C34"/>
    <w:rsid w:val="00FF604B"/>
    <w:rsid w:val="00FF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63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375B8"/>
    <w:pPr>
      <w:spacing w:after="0" w:line="240" w:lineRule="auto"/>
    </w:pPr>
  </w:style>
  <w:style w:type="character" w:customStyle="1" w:styleId="shorttext">
    <w:name w:val="short_text"/>
    <w:basedOn w:val="Privzetapisavaodstavka"/>
    <w:rsid w:val="0021198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0379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uiPriority w:val="35"/>
    <w:unhideWhenUsed/>
    <w:qFormat/>
    <w:rsid w:val="00B061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AA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D7169"/>
    <w:pPr>
      <w:ind w:left="720"/>
      <w:contextualSpacing/>
    </w:pPr>
  </w:style>
  <w:style w:type="character" w:customStyle="1" w:styleId="alt-edited">
    <w:name w:val="alt-edited"/>
    <w:basedOn w:val="Privzetapisavaodstavka"/>
    <w:rsid w:val="00910082"/>
  </w:style>
  <w:style w:type="character" w:styleId="Komentar-sklic">
    <w:name w:val="annotation reference"/>
    <w:basedOn w:val="Privzetapisavaodstavka"/>
    <w:uiPriority w:val="99"/>
    <w:semiHidden/>
    <w:unhideWhenUsed/>
    <w:rsid w:val="005C115B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5C115B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5C115B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5C115B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5C115B"/>
    <w:rPr>
      <w:b/>
      <w:bCs/>
      <w:sz w:val="20"/>
      <w:szCs w:val="20"/>
    </w:rPr>
  </w:style>
  <w:style w:type="table" w:styleId="Tabela-mrea">
    <w:name w:val="Table Grid"/>
    <w:basedOn w:val="Navadnatabela"/>
    <w:uiPriority w:val="59"/>
    <w:rsid w:val="00EC1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vrstice">
    <w:name w:val="line number"/>
    <w:basedOn w:val="Privzetapisavaodstavka"/>
    <w:uiPriority w:val="99"/>
    <w:semiHidden/>
    <w:unhideWhenUsed/>
    <w:rsid w:val="00831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CB20-27A6-439E-A494-A9EE56FD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18</Pages>
  <Words>4481</Words>
  <Characters>25545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Uros</cp:lastModifiedBy>
  <cp:revision>26</cp:revision>
  <cp:lastPrinted>2017-05-04T19:33:00Z</cp:lastPrinted>
  <dcterms:created xsi:type="dcterms:W3CDTF">2017-04-25T07:35:00Z</dcterms:created>
  <dcterms:modified xsi:type="dcterms:W3CDTF">2017-05-04T19:34:00Z</dcterms:modified>
</cp:coreProperties>
</file>