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F002E" w:rsidRPr="001F002E" w:rsidRDefault="001F002E" w:rsidP="00C50EA3">
      <w:pPr>
        <w:spacing w:line="276" w:lineRule="auto"/>
        <w:ind w:left="0" w:firstLine="0"/>
        <w:jc w:val="center"/>
        <w:rPr>
          <w:b/>
          <w:sz w:val="28"/>
          <w:lang w:val="en-GB"/>
        </w:rPr>
      </w:pPr>
      <w:r w:rsidRPr="001F002E">
        <w:rPr>
          <w:b/>
          <w:sz w:val="28"/>
          <w:lang w:val="en-GB"/>
        </w:rPr>
        <w:t xml:space="preserve">Discrimination between Synechocystis members (Cyanobacteria) </w:t>
      </w:r>
    </w:p>
    <w:p w:rsidR="00F20794" w:rsidRDefault="001F002E" w:rsidP="001F002E">
      <w:pPr>
        <w:spacing w:line="480" w:lineRule="auto"/>
        <w:ind w:left="0" w:firstLine="0"/>
        <w:jc w:val="center"/>
        <w:rPr>
          <w:b/>
          <w:sz w:val="28"/>
          <w:lang w:val="en-GB"/>
        </w:rPr>
      </w:pPr>
      <w:proofErr w:type="gramStart"/>
      <w:r w:rsidRPr="001F002E">
        <w:rPr>
          <w:b/>
          <w:sz w:val="28"/>
          <w:lang w:val="en-GB"/>
        </w:rPr>
        <w:t>based</w:t>
      </w:r>
      <w:proofErr w:type="gramEnd"/>
      <w:r w:rsidRPr="001F002E">
        <w:rPr>
          <w:b/>
          <w:sz w:val="28"/>
          <w:lang w:val="en-GB"/>
        </w:rPr>
        <w:t xml:space="preserve"> on heterogeneity of their 16S </w:t>
      </w:r>
      <w:proofErr w:type="spellStart"/>
      <w:r w:rsidRPr="001F002E">
        <w:rPr>
          <w:b/>
          <w:sz w:val="28"/>
          <w:lang w:val="en-GB"/>
        </w:rPr>
        <w:t>rRNA</w:t>
      </w:r>
      <w:proofErr w:type="spellEnd"/>
      <w:r w:rsidRPr="001F002E">
        <w:rPr>
          <w:b/>
          <w:sz w:val="28"/>
          <w:lang w:val="en-GB"/>
        </w:rPr>
        <w:t xml:space="preserve"> and ITS regions</w:t>
      </w:r>
    </w:p>
    <w:p w:rsidR="001F002E" w:rsidRDefault="001F002E" w:rsidP="00F20794">
      <w:pPr>
        <w:spacing w:line="480" w:lineRule="auto"/>
        <w:ind w:left="0" w:firstLine="0"/>
        <w:jc w:val="center"/>
        <w:rPr>
          <w:b/>
          <w:sz w:val="28"/>
          <w:lang w:val="en-GB"/>
        </w:rPr>
      </w:pPr>
    </w:p>
    <w:p w:rsidR="00F20794" w:rsidRDefault="00C50EA3" w:rsidP="00F20794">
      <w:pPr>
        <w:spacing w:line="480" w:lineRule="auto"/>
        <w:ind w:left="0" w:firstLine="0"/>
        <w:jc w:val="center"/>
        <w:rPr>
          <w:b/>
          <w:sz w:val="28"/>
          <w:lang w:val="en-GB"/>
        </w:rPr>
      </w:pPr>
      <w:r>
        <w:rPr>
          <w:b/>
          <w:sz w:val="28"/>
          <w:lang w:val="en-GB"/>
        </w:rPr>
        <w:t>Appendix</w:t>
      </w:r>
    </w:p>
    <w:p w:rsidR="00F20794" w:rsidRDefault="00F20794" w:rsidP="00F20794">
      <w:pPr>
        <w:spacing w:line="480" w:lineRule="auto"/>
        <w:ind w:left="0" w:firstLine="0"/>
        <w:jc w:val="center"/>
        <w:rPr>
          <w:b/>
          <w:sz w:val="28"/>
          <w:lang w:val="en-GB"/>
        </w:rPr>
      </w:pPr>
    </w:p>
    <w:p w:rsidR="00C50911" w:rsidRDefault="00C50911" w:rsidP="00C50911">
      <w:pPr>
        <w:spacing w:line="480" w:lineRule="auto"/>
        <w:ind w:left="0" w:firstLine="0"/>
        <w:rPr>
          <w:lang w:val="en-GB"/>
        </w:rPr>
      </w:pPr>
      <w:r w:rsidRPr="00C50911">
        <w:rPr>
          <w:lang w:val="en-GB"/>
        </w:rPr>
        <w:t xml:space="preserve">Figure </w:t>
      </w:r>
      <w:r w:rsidR="001F002E">
        <w:rPr>
          <w:lang w:val="en-GB"/>
        </w:rPr>
        <w:t>A</w:t>
      </w:r>
      <w:r w:rsidRPr="00C50911">
        <w:rPr>
          <w:lang w:val="en-GB"/>
        </w:rPr>
        <w:t xml:space="preserve"> </w:t>
      </w:r>
      <w:r>
        <w:rPr>
          <w:lang w:val="en-GB"/>
        </w:rPr>
        <w:t>represent</w:t>
      </w:r>
      <w:r w:rsidR="001F002E">
        <w:rPr>
          <w:lang w:val="en-GB"/>
        </w:rPr>
        <w:t>s a concatenated</w:t>
      </w:r>
      <w:r>
        <w:rPr>
          <w:lang w:val="en-GB"/>
        </w:rPr>
        <w:t xml:space="preserve"> phylogenetic tree based on alignm</w:t>
      </w:r>
      <w:bookmarkStart w:id="0" w:name="_GoBack"/>
      <w:bookmarkEnd w:id="0"/>
      <w:r>
        <w:rPr>
          <w:lang w:val="en-GB"/>
        </w:rPr>
        <w:t>ents of</w:t>
      </w:r>
      <w:r w:rsidR="001F002E">
        <w:rPr>
          <w:lang w:val="en-GB"/>
        </w:rPr>
        <w:t xml:space="preserve"> both the</w:t>
      </w:r>
      <w:r>
        <w:rPr>
          <w:lang w:val="en-GB"/>
        </w:rPr>
        <w:t xml:space="preserve"> 16S rDNA variable region sequences and ITS regions. </w:t>
      </w:r>
      <w:r w:rsidR="001F002E">
        <w:rPr>
          <w:lang w:val="en-GB"/>
        </w:rPr>
        <w:t xml:space="preserve">This tree shows rather minor differences when compared to single trees (Fig. 4 in the paper) and can be considered </w:t>
      </w:r>
      <w:r>
        <w:rPr>
          <w:lang w:val="en-GB"/>
        </w:rPr>
        <w:t xml:space="preserve">a suitable representation of phylogenetic </w:t>
      </w:r>
      <w:r w:rsidR="009232DD">
        <w:rPr>
          <w:lang w:val="en-GB"/>
        </w:rPr>
        <w:t xml:space="preserve">relatedness based on sequences of </w:t>
      </w:r>
      <w:r>
        <w:rPr>
          <w:lang w:val="en-GB"/>
        </w:rPr>
        <w:t xml:space="preserve">the </w:t>
      </w:r>
      <w:r w:rsidR="001F002E">
        <w:rPr>
          <w:lang w:val="en-GB"/>
        </w:rPr>
        <w:t xml:space="preserve">two </w:t>
      </w:r>
      <w:r>
        <w:rPr>
          <w:lang w:val="en-GB"/>
        </w:rPr>
        <w:t>analysed genomic regions.</w:t>
      </w:r>
    </w:p>
    <w:p w:rsidR="00C50EA3" w:rsidRDefault="00C50EA3" w:rsidP="00C50911">
      <w:pPr>
        <w:spacing w:line="480" w:lineRule="auto"/>
        <w:ind w:left="0" w:firstLine="0"/>
        <w:rPr>
          <w:lang w:val="en-GB"/>
        </w:rPr>
      </w:pPr>
      <w:r>
        <w:rPr>
          <w:lang w:val="en-GB"/>
        </w:rPr>
        <w:t xml:space="preserve">Figure B depicts the location of species/strains that we have analysed in the context of other cyanobacterial groups. </w:t>
      </w:r>
      <w:r w:rsidRPr="005D7712">
        <w:rPr>
          <w:lang w:val="en-GB"/>
        </w:rPr>
        <w:t>Presentation</w:t>
      </w:r>
      <w:r>
        <w:rPr>
          <w:lang w:val="en-GB"/>
        </w:rPr>
        <w:t xml:space="preserve"> of the phylogenetic tree</w:t>
      </w:r>
      <w:r w:rsidRPr="005D7712">
        <w:rPr>
          <w:lang w:val="en-GB"/>
        </w:rPr>
        <w:t xml:space="preserve"> was on purpose </w:t>
      </w:r>
      <w:r>
        <w:rPr>
          <w:lang w:val="en-GB"/>
        </w:rPr>
        <w:t xml:space="preserve">made </w:t>
      </w:r>
      <w:r w:rsidRPr="005D7712">
        <w:rPr>
          <w:lang w:val="en-GB"/>
        </w:rPr>
        <w:t xml:space="preserve">in a similar manner to Fig. 1 in </w:t>
      </w:r>
      <w:r w:rsidRPr="00C50EA3">
        <w:rPr>
          <w:vertAlign w:val="superscript"/>
          <w:lang w:val="en-GB"/>
        </w:rPr>
        <w:t>24</w:t>
      </w:r>
      <w:r w:rsidRPr="005D7712">
        <w:rPr>
          <w:lang w:val="en-GB"/>
        </w:rPr>
        <w:t xml:space="preserve"> for easier comparison.</w:t>
      </w:r>
    </w:p>
    <w:p w:rsidR="00C50911" w:rsidRDefault="00C50911">
      <w:pPr>
        <w:spacing w:line="259" w:lineRule="auto"/>
        <w:ind w:left="0" w:firstLine="0"/>
        <w:rPr>
          <w:lang w:val="en-GB"/>
        </w:rPr>
      </w:pPr>
      <w:r>
        <w:rPr>
          <w:lang w:val="en-GB"/>
        </w:rPr>
        <w:br w:type="page"/>
      </w:r>
    </w:p>
    <w:p w:rsidR="00F20794" w:rsidRDefault="00F20794" w:rsidP="00C50911">
      <w:pPr>
        <w:spacing w:line="480" w:lineRule="auto"/>
        <w:ind w:left="0" w:firstLine="0"/>
        <w:rPr>
          <w:lang w:val="en-GB"/>
        </w:rPr>
      </w:pPr>
    </w:p>
    <w:p w:rsidR="005D7712" w:rsidRDefault="005D7712" w:rsidP="005D7712">
      <w:pPr>
        <w:spacing w:line="480" w:lineRule="auto"/>
        <w:ind w:left="0" w:firstLine="0"/>
        <w:jc w:val="both"/>
        <w:rPr>
          <w:b/>
          <w:lang w:val="en-GB"/>
        </w:rPr>
      </w:pPr>
      <w:r>
        <w:rPr>
          <w:noProof/>
        </w:rPr>
        <w:drawing>
          <wp:anchor distT="0" distB="0" distL="114300" distR="114300" simplePos="0" relativeHeight="251659264" behindDoc="0" locked="0" layoutInCell="1" allowOverlap="1">
            <wp:simplePos x="0" y="0"/>
            <wp:positionH relativeFrom="column">
              <wp:posOffset>-4445</wp:posOffset>
            </wp:positionH>
            <wp:positionV relativeFrom="paragraph">
              <wp:posOffset>3175</wp:posOffset>
            </wp:positionV>
            <wp:extent cx="5760720" cy="3649345"/>
            <wp:effectExtent l="0" t="0" r="0" b="825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60720" cy="3649345"/>
                    </a:xfrm>
                    <a:prstGeom prst="rect">
                      <a:avLst/>
                    </a:prstGeom>
                  </pic:spPr>
                </pic:pic>
              </a:graphicData>
            </a:graphic>
          </wp:anchor>
        </w:drawing>
      </w:r>
    </w:p>
    <w:p w:rsidR="00023B15" w:rsidRDefault="00C50911" w:rsidP="005D7712">
      <w:pPr>
        <w:spacing w:line="480" w:lineRule="auto"/>
        <w:ind w:left="0" w:firstLine="0"/>
        <w:jc w:val="both"/>
      </w:pPr>
      <w:r w:rsidRPr="009232DD">
        <w:rPr>
          <w:b/>
          <w:lang w:val="en-GB"/>
        </w:rPr>
        <w:t xml:space="preserve">Figure </w:t>
      </w:r>
      <w:r w:rsidR="001F002E">
        <w:rPr>
          <w:b/>
          <w:lang w:val="en-GB"/>
        </w:rPr>
        <w:t>A</w:t>
      </w:r>
      <w:r w:rsidRPr="009232DD">
        <w:rPr>
          <w:b/>
          <w:lang w:val="en-GB"/>
        </w:rPr>
        <w:t>.</w:t>
      </w:r>
      <w:r w:rsidR="005D7712">
        <w:rPr>
          <w:b/>
          <w:lang w:val="en-GB"/>
        </w:rPr>
        <w:t xml:space="preserve"> </w:t>
      </w:r>
      <w:r w:rsidR="005D7712" w:rsidRPr="005D7712">
        <w:rPr>
          <w:b/>
          <w:lang w:val="en-GB"/>
        </w:rPr>
        <w:t xml:space="preserve">A </w:t>
      </w:r>
      <w:r w:rsidR="005D7712">
        <w:rPr>
          <w:b/>
          <w:lang w:val="en-GB"/>
        </w:rPr>
        <w:t xml:space="preserve">concatenated </w:t>
      </w:r>
      <w:r w:rsidR="005D7712" w:rsidRPr="005D7712">
        <w:rPr>
          <w:b/>
          <w:lang w:val="en-GB"/>
        </w:rPr>
        <w:t xml:space="preserve">phylogenetic tree for the analysed members of the </w:t>
      </w:r>
      <w:r w:rsidR="005D7712" w:rsidRPr="005D7712">
        <w:rPr>
          <w:b/>
          <w:i/>
          <w:lang w:val="en-GB"/>
        </w:rPr>
        <w:t>Synechocystis</w:t>
      </w:r>
      <w:r w:rsidR="005D7712" w:rsidRPr="005D7712">
        <w:rPr>
          <w:b/>
          <w:lang w:val="en-GB"/>
        </w:rPr>
        <w:t xml:space="preserve"> genus.</w:t>
      </w:r>
      <w:r w:rsidR="005D7712">
        <w:rPr>
          <w:b/>
          <w:lang w:val="en-GB"/>
        </w:rPr>
        <w:t xml:space="preserve"> </w:t>
      </w:r>
      <w:r w:rsidR="005D7712" w:rsidRPr="005D7712">
        <w:rPr>
          <w:lang w:val="en-GB"/>
        </w:rPr>
        <w:t xml:space="preserve">Tree is based on our sequencing results of the 16S </w:t>
      </w:r>
      <w:proofErr w:type="spellStart"/>
      <w:r w:rsidR="005D7712" w:rsidRPr="005D7712">
        <w:rPr>
          <w:lang w:val="en-GB"/>
        </w:rPr>
        <w:t>rRNA</w:t>
      </w:r>
      <w:proofErr w:type="spellEnd"/>
      <w:r w:rsidR="005D7712" w:rsidRPr="005D7712">
        <w:rPr>
          <w:lang w:val="en-GB"/>
        </w:rPr>
        <w:t xml:space="preserve"> coding region and the ITS region combined (</w:t>
      </w:r>
      <w:r w:rsidR="005D7712" w:rsidRPr="005D7712">
        <w:rPr>
          <w:i/>
          <w:lang w:val="en-GB"/>
        </w:rPr>
        <w:t xml:space="preserve">S. </w:t>
      </w:r>
      <w:proofErr w:type="spellStart"/>
      <w:r w:rsidR="005D7712" w:rsidRPr="005D7712">
        <w:rPr>
          <w:i/>
          <w:lang w:val="en-GB"/>
        </w:rPr>
        <w:t>nigrescens</w:t>
      </w:r>
      <w:proofErr w:type="spellEnd"/>
      <w:r w:rsidR="005D7712" w:rsidRPr="005D7712">
        <w:rPr>
          <w:lang w:val="en-GB"/>
        </w:rPr>
        <w:t xml:space="preserve"> is not included as </w:t>
      </w:r>
      <w:proofErr w:type="gramStart"/>
      <w:r w:rsidR="005D7712" w:rsidRPr="005D7712">
        <w:rPr>
          <w:lang w:val="en-GB"/>
        </w:rPr>
        <w:t>its</w:t>
      </w:r>
      <w:proofErr w:type="gramEnd"/>
      <w:r w:rsidR="005D7712" w:rsidRPr="005D7712">
        <w:rPr>
          <w:lang w:val="en-GB"/>
        </w:rPr>
        <w:t xml:space="preserve"> </w:t>
      </w:r>
      <w:proofErr w:type="spellStart"/>
      <w:r w:rsidR="005D7712" w:rsidRPr="005D7712">
        <w:rPr>
          <w:lang w:val="en-GB"/>
        </w:rPr>
        <w:t>ITS</w:t>
      </w:r>
      <w:proofErr w:type="spellEnd"/>
      <w:r w:rsidR="005D7712" w:rsidRPr="005D7712">
        <w:rPr>
          <w:lang w:val="en-GB"/>
        </w:rPr>
        <w:t xml:space="preserve"> region(s) could not be amplified). It was built by the </w:t>
      </w:r>
      <w:proofErr w:type="spellStart"/>
      <w:r w:rsidR="005D7712" w:rsidRPr="005D7712">
        <w:rPr>
          <w:lang w:val="en-GB"/>
        </w:rPr>
        <w:t>neighbourghood</w:t>
      </w:r>
      <w:proofErr w:type="spellEnd"/>
      <w:r w:rsidR="005D7712" w:rsidRPr="005D7712">
        <w:rPr>
          <w:lang w:val="en-GB"/>
        </w:rPr>
        <w:t>-joining method applying Jukes-Cantor model. Bootstrap values are given at nodes of the tree. The tree is drawn to scale with evolutionary distances in the units of the number of base substitutions per site. For comparison, sequence data for PCC 6714 and PCC 7509 as deposited in GenBank were included along with some non-Synechocystis members for which we found a high sequence similarity with strains from Table 1. Strains whose sequences are from GenBank are underlined.</w:t>
      </w:r>
    </w:p>
    <w:p w:rsidR="00C50911" w:rsidRDefault="00C50911"/>
    <w:p w:rsidR="005D7712" w:rsidRDefault="005D7712">
      <w:pPr>
        <w:spacing w:line="259" w:lineRule="auto"/>
        <w:ind w:left="0" w:firstLine="0"/>
        <w:rPr>
          <w:b/>
          <w:lang w:val="en-GB"/>
        </w:rPr>
      </w:pPr>
      <w:r>
        <w:rPr>
          <w:b/>
          <w:lang w:val="en-GB"/>
        </w:rPr>
        <w:br w:type="page"/>
      </w:r>
    </w:p>
    <w:p w:rsidR="005D7712" w:rsidRDefault="005D7712">
      <w:pPr>
        <w:spacing w:line="259" w:lineRule="auto"/>
        <w:ind w:left="0" w:firstLine="0"/>
        <w:rPr>
          <w:b/>
          <w:lang w:val="en-GB"/>
        </w:rPr>
      </w:pPr>
      <w:r>
        <w:rPr>
          <w:noProof/>
        </w:rPr>
        <w:lastRenderedPageBreak/>
        <w:drawing>
          <wp:anchor distT="0" distB="0" distL="114300" distR="114300" simplePos="0" relativeHeight="251658240" behindDoc="0" locked="0" layoutInCell="1" allowOverlap="1">
            <wp:simplePos x="0" y="0"/>
            <wp:positionH relativeFrom="column">
              <wp:posOffset>-4445</wp:posOffset>
            </wp:positionH>
            <wp:positionV relativeFrom="paragraph">
              <wp:posOffset>0</wp:posOffset>
            </wp:positionV>
            <wp:extent cx="4410075" cy="9696345"/>
            <wp:effectExtent l="0" t="0" r="0" b="63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4410075" cy="9696345"/>
                    </a:xfrm>
                    <a:prstGeom prst="rect">
                      <a:avLst/>
                    </a:prstGeom>
                  </pic:spPr>
                </pic:pic>
              </a:graphicData>
            </a:graphic>
          </wp:anchor>
        </w:drawing>
      </w:r>
      <w:r>
        <w:rPr>
          <w:b/>
          <w:lang w:val="en-GB"/>
        </w:rPr>
        <w:br w:type="page"/>
      </w:r>
    </w:p>
    <w:p w:rsidR="005D7712" w:rsidRPr="005D7712" w:rsidRDefault="00C50911" w:rsidP="005D7712">
      <w:pPr>
        <w:spacing w:line="480" w:lineRule="auto"/>
        <w:ind w:left="0" w:firstLine="0"/>
        <w:jc w:val="both"/>
        <w:rPr>
          <w:b/>
          <w:lang w:val="en-GB"/>
        </w:rPr>
      </w:pPr>
      <w:r w:rsidRPr="009232DD">
        <w:rPr>
          <w:b/>
          <w:lang w:val="en-GB"/>
        </w:rPr>
        <w:lastRenderedPageBreak/>
        <w:t xml:space="preserve">Figure </w:t>
      </w:r>
      <w:r w:rsidR="005D7712">
        <w:rPr>
          <w:b/>
          <w:lang w:val="en-GB"/>
        </w:rPr>
        <w:t>B</w:t>
      </w:r>
      <w:r w:rsidRPr="009232DD">
        <w:rPr>
          <w:b/>
          <w:lang w:val="en-GB"/>
        </w:rPr>
        <w:t xml:space="preserve">. </w:t>
      </w:r>
      <w:r w:rsidR="005D7712" w:rsidRPr="005D7712">
        <w:rPr>
          <w:b/>
          <w:lang w:val="en-GB"/>
        </w:rPr>
        <w:t xml:space="preserve">A phylogenetic tree representing the analysed members of the </w:t>
      </w:r>
      <w:r w:rsidR="005D7712" w:rsidRPr="005D7712">
        <w:rPr>
          <w:b/>
          <w:i/>
          <w:lang w:val="en-GB"/>
        </w:rPr>
        <w:t>Synechocystis</w:t>
      </w:r>
      <w:r w:rsidR="005D7712" w:rsidRPr="005D7712">
        <w:rPr>
          <w:b/>
          <w:lang w:val="en-GB"/>
        </w:rPr>
        <w:t xml:space="preserve"> genus in context of other cyanobacteria.</w:t>
      </w:r>
    </w:p>
    <w:p w:rsidR="005D7712" w:rsidRPr="005D7712" w:rsidRDefault="005D7712" w:rsidP="005D7712">
      <w:pPr>
        <w:spacing w:line="480" w:lineRule="auto"/>
        <w:ind w:left="0" w:firstLine="0"/>
        <w:jc w:val="both"/>
        <w:rPr>
          <w:lang w:val="en-GB"/>
        </w:rPr>
      </w:pPr>
      <w:r w:rsidRPr="005D7712">
        <w:rPr>
          <w:lang w:val="en-GB"/>
        </w:rPr>
        <w:t xml:space="preserve">This tree is based on our sequencing results of the 16S </w:t>
      </w:r>
      <w:proofErr w:type="spellStart"/>
      <w:r w:rsidRPr="005D7712">
        <w:rPr>
          <w:lang w:val="en-GB"/>
        </w:rPr>
        <w:t>rRNA</w:t>
      </w:r>
      <w:proofErr w:type="spellEnd"/>
      <w:r w:rsidRPr="005D7712">
        <w:rPr>
          <w:lang w:val="en-GB"/>
        </w:rPr>
        <w:t xml:space="preserve"> region along with database data for selected members of other cyanobacterial orders. It was built by the </w:t>
      </w:r>
      <w:proofErr w:type="spellStart"/>
      <w:r w:rsidRPr="005D7712">
        <w:rPr>
          <w:lang w:val="en-GB"/>
        </w:rPr>
        <w:t>neighbourghood</w:t>
      </w:r>
      <w:proofErr w:type="spellEnd"/>
      <w:r w:rsidRPr="005D7712">
        <w:rPr>
          <w:lang w:val="en-GB"/>
        </w:rPr>
        <w:t xml:space="preserve">-joining method applying Jukes-Cantor model. Bootstrap values are given at nodes of the tree. The tree is drawn to scale with evolutionary distances in the units of the number of base substitutions per site. Species/strains that were positioned in the tree based on our results are marked with black arrows. An additional member of the genus that evades (based on database sequences) the expected </w:t>
      </w:r>
      <w:proofErr w:type="spellStart"/>
      <w:r w:rsidRPr="005D7712">
        <w:rPr>
          <w:lang w:val="en-GB"/>
        </w:rPr>
        <w:t>Chroococcales</w:t>
      </w:r>
      <w:proofErr w:type="spellEnd"/>
      <w:r w:rsidRPr="005D7712">
        <w:rPr>
          <w:lang w:val="en-GB"/>
        </w:rPr>
        <w:t xml:space="preserve"> order is marked with a grey arrow.</w:t>
      </w:r>
    </w:p>
    <w:sectPr w:rsidR="005D7712" w:rsidRPr="005D7712" w:rsidSect="00C50EA3">
      <w:pgSz w:w="11906" w:h="16838"/>
      <w:pgMar w:top="993"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0794"/>
    <w:rsid w:val="00023B15"/>
    <w:rsid w:val="001F002E"/>
    <w:rsid w:val="005D7712"/>
    <w:rsid w:val="009232DD"/>
    <w:rsid w:val="00C50911"/>
    <w:rsid w:val="00C50EA3"/>
    <w:rsid w:val="00F20794"/>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DEA4F90-8230-41EB-9B24-BE90F0EAE9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50911"/>
    <w:pPr>
      <w:spacing w:line="240" w:lineRule="auto"/>
      <w:ind w:left="640" w:hanging="640"/>
    </w:pPr>
    <w:rPr>
      <w:rFonts w:ascii="Times New Roman" w:eastAsia="Times New Roman" w:hAnsi="Times New Roman" w:cs="Times New Roman"/>
      <w:color w:val="000000"/>
      <w:sz w:val="24"/>
      <w:szCs w:val="24"/>
      <w:lang w:eastAsia="sl-SI"/>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4</Pages>
  <Words>338</Words>
  <Characters>1931</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MarkoD</dc:creator>
  <cp:keywords/>
  <dc:description/>
  <cp:lastModifiedBy>MarkoD</cp:lastModifiedBy>
  <cp:revision>2</cp:revision>
  <dcterms:created xsi:type="dcterms:W3CDTF">2017-02-02T16:43:00Z</dcterms:created>
  <dcterms:modified xsi:type="dcterms:W3CDTF">2017-02-02T16:43:00Z</dcterms:modified>
</cp:coreProperties>
</file>