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F7" w:rsidRPr="004104F7" w:rsidRDefault="004104F7" w:rsidP="004104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CFDFE"/>
        </w:rPr>
      </w:pPr>
      <w:bookmarkStart w:id="0" w:name="_GoBack"/>
      <w:bookmarkEnd w:id="0"/>
      <w:r w:rsidRPr="004104F7">
        <w:rPr>
          <w:rFonts w:ascii="Times New Roman" w:hAnsi="Times New Roman"/>
          <w:b/>
          <w:color w:val="000000"/>
          <w:sz w:val="24"/>
          <w:szCs w:val="24"/>
          <w:shd w:val="clear" w:color="auto" w:fill="FCFDFE"/>
        </w:rPr>
        <w:t>Biosorption of 2,4 dichlorophenol onto Turkish Sweetgum bark in a batch system: Analysis, equilibrium and kinetic modeling</w:t>
      </w:r>
    </w:p>
    <w:p w:rsidR="005707F9" w:rsidRDefault="00930170" w:rsidP="00BC5C2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Dilek YILDIZ</w:t>
      </w:r>
      <w:r w:rsidR="00BC5C27">
        <w:rPr>
          <w:rFonts w:ascii="Times New Roman" w:hAnsi="Times New Roman"/>
          <w:sz w:val="24"/>
          <w:szCs w:val="24"/>
          <w:lang w:val="en-US"/>
        </w:rPr>
        <w:t>,</w:t>
      </w:r>
      <w:r w:rsidR="00152457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="00D271C9">
        <w:rPr>
          <w:rFonts w:ascii="Times New Roman" w:hAnsi="Times New Roman"/>
          <w:sz w:val="24"/>
          <w:szCs w:val="24"/>
          <w:vertAlign w:val="superscript"/>
          <w:lang w:val="en-US"/>
        </w:rPr>
        <w:t>,*</w:t>
      </w:r>
      <w:r w:rsidR="00152457">
        <w:rPr>
          <w:rFonts w:ascii="Times New Roman" w:hAnsi="Times New Roman"/>
          <w:sz w:val="24"/>
          <w:szCs w:val="24"/>
          <w:lang w:val="en-US"/>
        </w:rPr>
        <w:t xml:space="preserve"> Feyyaz KESKİN</w:t>
      </w:r>
      <w:r w:rsidR="00BC5C27">
        <w:rPr>
          <w:rFonts w:ascii="Times New Roman" w:hAnsi="Times New Roman"/>
          <w:sz w:val="24"/>
          <w:szCs w:val="24"/>
          <w:lang w:val="en-US"/>
        </w:rPr>
        <w:t>,</w:t>
      </w:r>
      <w:r w:rsidR="00152457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="00152457">
        <w:rPr>
          <w:rFonts w:ascii="Times New Roman" w:hAnsi="Times New Roman"/>
          <w:sz w:val="24"/>
          <w:szCs w:val="24"/>
          <w:lang w:val="en-US"/>
        </w:rPr>
        <w:t xml:space="preserve"> Ahmet DEMİRAK</w:t>
      </w:r>
      <w:r w:rsidR="00152457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</w:p>
    <w:p w:rsidR="00152457" w:rsidRPr="00152457" w:rsidRDefault="00152457" w:rsidP="00E85EB4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  <w:r w:rsidRPr="00152457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52457">
        <w:rPr>
          <w:rFonts w:ascii="Times New Roman" w:hAnsi="Times New Roman"/>
          <w:sz w:val="20"/>
          <w:szCs w:val="20"/>
          <w:lang w:val="en-US"/>
        </w:rPr>
        <w:t xml:space="preserve">Mugla Sıtkı Kocman University, </w:t>
      </w:r>
      <w:r w:rsidR="00AD176B">
        <w:rPr>
          <w:rFonts w:ascii="Times New Roman" w:hAnsi="Times New Roman"/>
          <w:sz w:val="20"/>
          <w:szCs w:val="20"/>
          <w:lang w:val="en-US"/>
        </w:rPr>
        <w:t>Research and Application Centre For Research Laboratories</w:t>
      </w:r>
      <w:r w:rsidR="00D271C9">
        <w:rPr>
          <w:rFonts w:ascii="Times New Roman" w:hAnsi="Times New Roman"/>
          <w:sz w:val="20"/>
          <w:szCs w:val="20"/>
          <w:lang w:val="en-US"/>
        </w:rPr>
        <w:t>, 48000 Mugla, Turkey</w:t>
      </w:r>
    </w:p>
    <w:p w:rsidR="008B189E" w:rsidRPr="008B189E" w:rsidRDefault="00152457" w:rsidP="00E85EB4">
      <w:pPr>
        <w:spacing w:after="0" w:line="360" w:lineRule="auto"/>
        <w:rPr>
          <w:rFonts w:ascii="Times New Roman" w:hAnsi="Times New Roman"/>
          <w:sz w:val="20"/>
          <w:szCs w:val="20"/>
          <w:lang w:eastAsia="tr-TR"/>
        </w:rPr>
      </w:pPr>
      <w:r w:rsidRPr="00152457">
        <w:rPr>
          <w:rFonts w:ascii="Times New Roman" w:hAnsi="Times New Roman"/>
          <w:sz w:val="20"/>
          <w:szCs w:val="20"/>
          <w:vertAlign w:val="superscript"/>
          <w:lang w:eastAsia="tr-TR"/>
        </w:rPr>
        <w:t>b</w:t>
      </w:r>
      <w:r>
        <w:rPr>
          <w:rFonts w:ascii="Times New Roman" w:hAnsi="Times New Roman"/>
          <w:sz w:val="20"/>
          <w:szCs w:val="20"/>
          <w:vertAlign w:val="superscript"/>
          <w:lang w:eastAsia="tr-TR"/>
        </w:rPr>
        <w:t xml:space="preserve"> </w:t>
      </w:r>
      <w:r w:rsidRPr="00152457">
        <w:rPr>
          <w:rFonts w:ascii="Times New Roman" w:hAnsi="Times New Roman"/>
          <w:sz w:val="20"/>
          <w:szCs w:val="20"/>
          <w:lang w:eastAsia="tr-TR"/>
        </w:rPr>
        <w:t>Mugla</w:t>
      </w:r>
      <w:r>
        <w:rPr>
          <w:rFonts w:ascii="Times New Roman" w:hAnsi="Times New Roman"/>
          <w:sz w:val="20"/>
          <w:szCs w:val="20"/>
          <w:lang w:eastAsia="tr-TR"/>
        </w:rPr>
        <w:t xml:space="preserve"> Sıtkı Kocman</w:t>
      </w:r>
      <w:r w:rsidRPr="00152457">
        <w:rPr>
          <w:rFonts w:ascii="Times New Roman" w:hAnsi="Times New Roman"/>
          <w:sz w:val="20"/>
          <w:szCs w:val="20"/>
          <w:lang w:eastAsia="tr-TR"/>
        </w:rPr>
        <w:t xml:space="preserve"> University, Department of Chemistry, 48000 Mugla, Turkey</w:t>
      </w:r>
    </w:p>
    <w:p w:rsidR="008B189E" w:rsidRDefault="008B189E" w:rsidP="00E85EB4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  <w:r w:rsidRPr="00D271C9">
        <w:rPr>
          <w:rFonts w:ascii="Times New Roman" w:hAnsi="Times New Roman"/>
          <w:sz w:val="20"/>
          <w:szCs w:val="20"/>
          <w:lang w:eastAsia="tr-TR"/>
        </w:rPr>
        <w:t>Corresponding author at:</w:t>
      </w:r>
      <w:r w:rsidRPr="00D271C9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152457">
        <w:rPr>
          <w:rFonts w:ascii="Times New Roman" w:hAnsi="Times New Roman"/>
          <w:sz w:val="20"/>
          <w:szCs w:val="20"/>
          <w:lang w:val="en-US"/>
        </w:rPr>
        <w:t xml:space="preserve">Mugla Sıtkı Kocman University, </w:t>
      </w:r>
      <w:r>
        <w:rPr>
          <w:rFonts w:ascii="Times New Roman" w:hAnsi="Times New Roman"/>
          <w:sz w:val="20"/>
          <w:szCs w:val="20"/>
          <w:lang w:val="en-US"/>
        </w:rPr>
        <w:t>Research and Application Centre For Research Laboratories, 48000 Mugla, Turkey, Tel: +90 0 252 211 1675</w:t>
      </w:r>
    </w:p>
    <w:p w:rsidR="008B189E" w:rsidRPr="00D271C9" w:rsidRDefault="008B189E" w:rsidP="00E85EB4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  <w:r w:rsidRPr="00D271C9">
        <w:rPr>
          <w:rFonts w:ascii="Times New Roman" w:hAnsi="Times New Roman"/>
          <w:sz w:val="20"/>
          <w:szCs w:val="20"/>
          <w:lang w:eastAsia="tr-TR"/>
        </w:rPr>
        <w:t>E-mail address:</w:t>
      </w:r>
      <w:r>
        <w:rPr>
          <w:rFonts w:ascii="Times New Roman" w:hAnsi="Times New Roman"/>
          <w:sz w:val="20"/>
          <w:szCs w:val="20"/>
          <w:lang w:eastAsia="tr-TR"/>
        </w:rPr>
        <w:t xml:space="preserve"> dilekyildiz2003@hotmail.com</w:t>
      </w:r>
    </w:p>
    <w:p w:rsidR="008B189E" w:rsidRDefault="008B189E" w:rsidP="008B1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707F9" w:rsidRDefault="005707F9" w:rsidP="008B1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8D6F2E" w:rsidRPr="00411101" w:rsidRDefault="008D6F2E" w:rsidP="008B1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41726" w:rsidRPr="00411101" w:rsidRDefault="005707F9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In this s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 xml:space="preserve">tudy, Turkish Sweetgum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bark was used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as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 new biosorbent to </w:t>
      </w:r>
      <w:r w:rsidR="00152457" w:rsidRPr="00411101">
        <w:rPr>
          <w:rFonts w:ascii="Times New Roman" w:hAnsi="Times New Roman"/>
          <w:sz w:val="24"/>
          <w:szCs w:val="24"/>
          <w:lang w:val="en-US"/>
        </w:rPr>
        <w:t>investigate hazardous</w:t>
      </w:r>
      <w:r w:rsidR="000A070B" w:rsidRPr="00411101">
        <w:rPr>
          <w:rFonts w:ascii="Times New Roman" w:hAnsi="Times New Roman"/>
          <w:sz w:val="24"/>
          <w:szCs w:val="24"/>
          <w:lang w:val="en-US"/>
        </w:rPr>
        <w:t xml:space="preserve"> 2</w:t>
      </w:r>
      <w:r w:rsidR="00A82B0A" w:rsidRPr="00411101">
        <w:rPr>
          <w:rFonts w:ascii="Times New Roman" w:hAnsi="Times New Roman"/>
          <w:sz w:val="24"/>
          <w:szCs w:val="24"/>
          <w:lang w:val="en-US"/>
        </w:rPr>
        <w:t>, 4</w:t>
      </w:r>
      <w:r w:rsidR="000735F7">
        <w:rPr>
          <w:rFonts w:ascii="Times New Roman" w:hAnsi="Times New Roman"/>
          <w:sz w:val="24"/>
          <w:szCs w:val="24"/>
          <w:lang w:val="en-US"/>
        </w:rPr>
        <w:t xml:space="preserve"> dich</w:t>
      </w:r>
      <w:r w:rsidR="000A070B" w:rsidRPr="00411101">
        <w:rPr>
          <w:rFonts w:ascii="Times New Roman" w:hAnsi="Times New Roman"/>
          <w:sz w:val="24"/>
          <w:szCs w:val="24"/>
          <w:lang w:val="en-US"/>
        </w:rPr>
        <w:t>lorophenol (2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A82B0A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0A070B" w:rsidRPr="00411101">
        <w:rPr>
          <w:rFonts w:ascii="Times New Roman" w:hAnsi="Times New Roman"/>
          <w:sz w:val="24"/>
          <w:szCs w:val="24"/>
          <w:lang w:val="en-US"/>
        </w:rPr>
        <w:t xml:space="preserve">-DCP) from aqueous solutions in batch biosoption experiments. The </w:t>
      </w:r>
      <w:r w:rsidR="008A46BB" w:rsidRPr="00411101">
        <w:rPr>
          <w:rFonts w:ascii="Times New Roman" w:hAnsi="Times New Roman"/>
          <w:sz w:val="24"/>
          <w:szCs w:val="24"/>
          <w:lang w:val="en-US"/>
        </w:rPr>
        <w:t>effective usa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 xml:space="preserve">ge of Turkish sweetgum </w:t>
      </w:r>
      <w:r w:rsidR="008A46BB" w:rsidRPr="00411101">
        <w:rPr>
          <w:rFonts w:ascii="Times New Roman" w:hAnsi="Times New Roman"/>
          <w:sz w:val="24"/>
          <w:szCs w:val="24"/>
          <w:lang w:val="en-US"/>
        </w:rPr>
        <w:t>bark is a meaning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>ful</w:t>
      </w:r>
      <w:r w:rsidR="008A46BB" w:rsidRPr="00411101">
        <w:rPr>
          <w:rFonts w:ascii="Times New Roman" w:hAnsi="Times New Roman"/>
          <w:sz w:val="24"/>
          <w:szCs w:val="24"/>
          <w:lang w:val="en-US"/>
        </w:rPr>
        <w:t xml:space="preserve"> work for environmental utilization of agricultural residues.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 xml:space="preserve"> The effects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>o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 xml:space="preserve">f experimental parameters </w:t>
      </w:r>
      <w:r w:rsidR="00152457" w:rsidRPr="00411101">
        <w:rPr>
          <w:rFonts w:ascii="Times New Roman" w:hAnsi="Times New Roman"/>
          <w:sz w:val="24"/>
          <w:szCs w:val="24"/>
          <w:lang w:val="en-US"/>
        </w:rPr>
        <w:t>like solution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 xml:space="preserve"> pH, contact time, initial concentration of adsorbate and amount of bisorbent dosage were investigate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>d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 xml:space="preserve"> in a series of batch </w:t>
      </w:r>
      <w:r w:rsidR="00947907" w:rsidRPr="00152457">
        <w:rPr>
          <w:rFonts w:ascii="Times New Roman" w:hAnsi="Times New Roman"/>
          <w:sz w:val="24"/>
          <w:szCs w:val="24"/>
          <w:lang w:val="en-US"/>
        </w:rPr>
        <w:t xml:space="preserve">studies at 25 </w:t>
      </w:r>
      <w:r w:rsidR="00947907" w:rsidRPr="00152457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947907" w:rsidRPr="00152457">
        <w:rPr>
          <w:rFonts w:ascii="Times New Roman" w:hAnsi="Times New Roman"/>
          <w:sz w:val="24"/>
          <w:szCs w:val="24"/>
          <w:lang w:val="en-US"/>
        </w:rPr>
        <w:t>C</w:t>
      </w:r>
      <w:r w:rsidR="00AE3B63" w:rsidRPr="00152457">
        <w:rPr>
          <w:rFonts w:ascii="Times New Roman" w:hAnsi="Times New Roman"/>
          <w:sz w:val="24"/>
          <w:szCs w:val="24"/>
          <w:lang w:val="en-US"/>
        </w:rPr>
        <w:t>.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5268" w:rsidRPr="00411101">
        <w:rPr>
          <w:rFonts w:ascii="Times New Roman" w:hAnsi="Times New Roman"/>
          <w:sz w:val="24"/>
          <w:szCs w:val="24"/>
          <w:lang w:val="en-US"/>
        </w:rPr>
        <w:t xml:space="preserve"> Taguchi’s Orthogonal Array (OA) analysis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was used </w:t>
      </w:r>
      <w:r w:rsidR="00F55268" w:rsidRPr="00411101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E660AC" w:rsidRPr="00411101">
        <w:rPr>
          <w:rFonts w:ascii="Times New Roman" w:hAnsi="Times New Roman"/>
          <w:sz w:val="24"/>
          <w:szCs w:val="24"/>
          <w:lang w:val="en-US"/>
        </w:rPr>
        <w:t>find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E660AC" w:rsidRPr="00411101">
        <w:rPr>
          <w:rFonts w:ascii="Times New Roman" w:hAnsi="Times New Roman"/>
          <w:sz w:val="24"/>
          <w:szCs w:val="24"/>
          <w:lang w:val="en-US"/>
        </w:rPr>
        <w:t xml:space="preserve"> best</w:t>
      </w:r>
      <w:r w:rsidR="00F55268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60AC" w:rsidRPr="00411101">
        <w:rPr>
          <w:rFonts w:ascii="Times New Roman" w:hAnsi="Times New Roman"/>
          <w:sz w:val="24"/>
          <w:szCs w:val="24"/>
          <w:lang w:val="en-US"/>
        </w:rPr>
        <w:t>experimental parameters</w:t>
      </w:r>
      <w:r w:rsidR="00F55268" w:rsidRPr="00411101">
        <w:rPr>
          <w:rFonts w:ascii="Times New Roman" w:hAnsi="Times New Roman"/>
          <w:sz w:val="24"/>
          <w:szCs w:val="24"/>
          <w:lang w:val="en-US"/>
        </w:rPr>
        <w:t xml:space="preserve"> for the optimum design process</w:t>
      </w:r>
      <w:r w:rsidR="00E660AC" w:rsidRPr="00411101">
        <w:rPr>
          <w:rFonts w:ascii="Times New Roman" w:hAnsi="Times New Roman"/>
          <w:sz w:val="24"/>
          <w:szCs w:val="24"/>
          <w:lang w:val="en-US"/>
        </w:rPr>
        <w:t xml:space="preserve"> in this study</w:t>
      </w:r>
      <w:r w:rsidR="001F6209" w:rsidRPr="004111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 xml:space="preserve">functional groups and </w:t>
      </w:r>
      <w:r w:rsidR="00AE3B63" w:rsidRPr="00411101">
        <w:rPr>
          <w:rFonts w:ascii="Times New Roman" w:hAnsi="Times New Roman"/>
          <w:sz w:val="24"/>
          <w:szCs w:val="24"/>
          <w:lang w:val="en-US"/>
        </w:rPr>
        <w:t>surface prope</w:t>
      </w:r>
      <w:r w:rsidR="00A25E7E" w:rsidRPr="00411101">
        <w:rPr>
          <w:rFonts w:ascii="Times New Roman" w:hAnsi="Times New Roman"/>
          <w:sz w:val="24"/>
          <w:szCs w:val="24"/>
          <w:lang w:val="en-US"/>
        </w:rPr>
        <w:t>rties of biosor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>bent</w:t>
      </w:r>
      <w:r w:rsidR="00A25E7E" w:rsidRPr="00411101">
        <w:rPr>
          <w:rFonts w:ascii="Times New Roman" w:hAnsi="Times New Roman"/>
          <w:sz w:val="24"/>
          <w:szCs w:val="24"/>
          <w:lang w:val="en-US"/>
        </w:rPr>
        <w:t xml:space="preserve"> were characterized by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 using</w:t>
      </w:r>
      <w:r w:rsidR="00A25E7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>Fourier transformer infrared (FTIR) and</w:t>
      </w:r>
      <w:r w:rsidR="00A25E7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>scanning</w:t>
      </w:r>
      <w:r w:rsidR="00A25E7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>electron microscopy (SEM) techniques. The experimental data were fitted to</w:t>
      </w:r>
      <w:r w:rsidR="00F934B4" w:rsidRPr="00411101">
        <w:rPr>
          <w:rFonts w:ascii="Times New Roman" w:hAnsi="Times New Roman"/>
          <w:sz w:val="24"/>
          <w:szCs w:val="24"/>
          <w:lang w:val="en-US"/>
        </w:rPr>
        <w:t xml:space="preserve"> Lan</w:t>
      </w:r>
      <w:r w:rsidR="00947907" w:rsidRPr="00411101">
        <w:rPr>
          <w:rFonts w:ascii="Times New Roman" w:hAnsi="Times New Roman"/>
          <w:sz w:val="24"/>
          <w:szCs w:val="24"/>
          <w:lang w:val="en-US"/>
        </w:rPr>
        <w:t xml:space="preserve">gmuir isotherm and Freundlich isotherm models. 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 xml:space="preserve">There is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 xml:space="preserve">good agreement between the parameters and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this 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>confirms the monolayer adsorption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152457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>-</w:t>
      </w:r>
      <w:r w:rsidR="00AD176B" w:rsidRPr="00411101">
        <w:rPr>
          <w:rFonts w:ascii="Times New Roman" w:hAnsi="Times New Roman"/>
          <w:sz w:val="24"/>
          <w:szCs w:val="24"/>
          <w:lang w:val="en-US"/>
        </w:rPr>
        <w:t>DCP onto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 xml:space="preserve"> sweetgum bark</w:t>
      </w:r>
      <w:r w:rsidR="00D41726" w:rsidRPr="004111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>As a result of k</w:t>
      </w:r>
      <w:r w:rsidR="007B06A8" w:rsidRPr="00411101">
        <w:rPr>
          <w:rFonts w:ascii="Times New Roman" w:hAnsi="Times New Roman"/>
          <w:sz w:val="24"/>
          <w:szCs w:val="24"/>
          <w:lang w:val="en-US"/>
        </w:rPr>
        <w:t>inetic studies</w:t>
      </w:r>
      <w:r w:rsidR="00152457" w:rsidRPr="00411101">
        <w:rPr>
          <w:rFonts w:ascii="Times New Roman" w:hAnsi="Times New Roman"/>
          <w:sz w:val="24"/>
          <w:szCs w:val="24"/>
          <w:lang w:val="en-US"/>
        </w:rPr>
        <w:t>, the</w:t>
      </w:r>
      <w:r w:rsidR="00F934B4" w:rsidRPr="00411101">
        <w:rPr>
          <w:rFonts w:ascii="Times New Roman" w:hAnsi="Times New Roman"/>
          <w:sz w:val="24"/>
          <w:szCs w:val="24"/>
          <w:lang w:val="en-US"/>
        </w:rPr>
        <w:t xml:space="preserve"> pseudo-second-order kinetic model was </w:t>
      </w:r>
      <w:r w:rsidR="00821CB7" w:rsidRPr="00411101">
        <w:rPr>
          <w:rFonts w:ascii="Times New Roman" w:hAnsi="Times New Roman"/>
          <w:sz w:val="24"/>
          <w:szCs w:val="24"/>
          <w:lang w:val="en-US"/>
        </w:rPr>
        <w:t xml:space="preserve">found to be </w:t>
      </w:r>
      <w:r w:rsidR="00F934B4" w:rsidRPr="00411101">
        <w:rPr>
          <w:rFonts w:ascii="Times New Roman" w:hAnsi="Times New Roman"/>
          <w:sz w:val="24"/>
          <w:szCs w:val="24"/>
          <w:lang w:val="en-US"/>
        </w:rPr>
        <w:t>suitable for all the data.</w:t>
      </w:r>
      <w:r w:rsidR="00D41726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A46BB" w:rsidRPr="00411101" w:rsidRDefault="00D41726" w:rsidP="00D271C9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2</w:t>
      </w:r>
      <w:r w:rsidR="00FB0FBC">
        <w:rPr>
          <w:rFonts w:ascii="Times New Roman" w:hAnsi="Times New Roman"/>
          <w:sz w:val="24"/>
          <w:szCs w:val="24"/>
          <w:lang w:val="en-US"/>
        </w:rPr>
        <w:t>,</w:t>
      </w:r>
      <w:r w:rsidR="00AD176B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0735F7">
        <w:rPr>
          <w:rFonts w:ascii="Times New Roman" w:hAnsi="Times New Roman"/>
          <w:sz w:val="24"/>
          <w:szCs w:val="24"/>
          <w:lang w:val="en-US"/>
        </w:rPr>
        <w:t xml:space="preserve"> dich</w:t>
      </w:r>
      <w:r w:rsidRPr="00411101">
        <w:rPr>
          <w:rFonts w:ascii="Times New Roman" w:hAnsi="Times New Roman"/>
          <w:sz w:val="24"/>
          <w:szCs w:val="24"/>
          <w:lang w:val="en-US"/>
        </w:rPr>
        <w:t>lorophenol</w:t>
      </w:r>
      <w:r w:rsidR="00E44A3A">
        <w:rPr>
          <w:rFonts w:ascii="Times New Roman" w:hAnsi="Times New Roman"/>
          <w:sz w:val="24"/>
          <w:szCs w:val="24"/>
          <w:lang w:val="en-US"/>
        </w:rPr>
        <w:t>;</w:t>
      </w:r>
      <w:r w:rsidR="0086328D">
        <w:rPr>
          <w:rFonts w:ascii="Times New Roman" w:hAnsi="Times New Roman"/>
          <w:sz w:val="24"/>
          <w:szCs w:val="24"/>
          <w:lang w:val="en-US"/>
        </w:rPr>
        <w:t xml:space="preserve"> B</w:t>
      </w:r>
      <w:r w:rsidR="00E44A3A">
        <w:rPr>
          <w:rFonts w:ascii="Times New Roman" w:hAnsi="Times New Roman"/>
          <w:sz w:val="24"/>
          <w:szCs w:val="24"/>
          <w:lang w:val="en-US"/>
        </w:rPr>
        <w:t>iosorption; Turkish Sweetgum;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4A3A">
        <w:rPr>
          <w:rFonts w:ascii="Times New Roman" w:hAnsi="Times New Roman"/>
          <w:sz w:val="24"/>
          <w:szCs w:val="24"/>
          <w:lang w:val="en-US"/>
        </w:rPr>
        <w:t>Kinetics;</w:t>
      </w:r>
      <w:r w:rsidR="0086328D">
        <w:rPr>
          <w:rFonts w:ascii="Times New Roman" w:hAnsi="Times New Roman"/>
          <w:sz w:val="24"/>
          <w:szCs w:val="24"/>
          <w:lang w:val="en-US"/>
        </w:rPr>
        <w:t xml:space="preserve"> Taguchi’s Orthogonal Array </w:t>
      </w:r>
    </w:p>
    <w:p w:rsidR="008D6F2E" w:rsidRPr="008D6F2E" w:rsidRDefault="00995DBA" w:rsidP="008D6F2E">
      <w:pPr>
        <w:pStyle w:val="ListeParagraf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D6F2E">
        <w:rPr>
          <w:rFonts w:ascii="Times New Roman" w:hAnsi="Times New Roman"/>
          <w:b/>
          <w:sz w:val="24"/>
          <w:szCs w:val="24"/>
          <w:lang w:val="en-US"/>
        </w:rPr>
        <w:t>Introduction</w:t>
      </w:r>
    </w:p>
    <w:p w:rsidR="00244615" w:rsidRPr="008B189E" w:rsidRDefault="00821CB7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378C0">
        <w:rPr>
          <w:rFonts w:ascii="Times New Roman" w:hAnsi="Times New Roman"/>
          <w:sz w:val="24"/>
          <w:szCs w:val="24"/>
          <w:lang w:val="en-US"/>
        </w:rPr>
        <w:t>One type of dangerous wastes that are chiefly produced during chemical and many othr industrial and agricultural activities is p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henols and phenol compounds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14360A">
        <w:rPr>
          <w:rFonts w:ascii="Times New Roman" w:hAnsi="Times New Roman"/>
          <w:sz w:val="24"/>
          <w:szCs w:val="24"/>
          <w:vertAlign w:val="superscript"/>
          <w:lang w:val="en-US"/>
        </w:rPr>
        <w:t>1-6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0C5" w:rsidRPr="007378C0">
        <w:rPr>
          <w:rFonts w:ascii="Times New Roman" w:hAnsi="Times New Roman"/>
          <w:sz w:val="24"/>
          <w:szCs w:val="24"/>
          <w:lang w:val="en-US"/>
        </w:rPr>
        <w:t xml:space="preserve">If the 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 xml:space="preserve">low </w:t>
      </w:r>
      <w:r w:rsidR="005170C5" w:rsidRPr="007378C0">
        <w:rPr>
          <w:rFonts w:ascii="Times New Roman" w:hAnsi="Times New Roman"/>
          <w:sz w:val="24"/>
          <w:szCs w:val="24"/>
          <w:lang w:val="en-US"/>
        </w:rPr>
        <w:t>concentrations of pollutants are harmful to organism</w:t>
      </w:r>
      <w:r w:rsidRPr="007378C0">
        <w:rPr>
          <w:rFonts w:ascii="Times New Roman" w:hAnsi="Times New Roman"/>
          <w:sz w:val="24"/>
          <w:szCs w:val="24"/>
          <w:lang w:val="en-US"/>
        </w:rPr>
        <w:t>,</w:t>
      </w:r>
      <w:r w:rsidR="005170C5" w:rsidRPr="007378C0">
        <w:rPr>
          <w:rFonts w:ascii="Times New Roman" w:hAnsi="Times New Roman"/>
          <w:sz w:val="24"/>
          <w:szCs w:val="24"/>
          <w:lang w:val="en-US"/>
        </w:rPr>
        <w:t xml:space="preserve"> these pollutants are considered as priority pollutants. Many of them have potential to harm human 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>health</w:t>
      </w:r>
      <w:r w:rsidRPr="007378C0">
        <w:rPr>
          <w:rFonts w:ascii="Times New Roman" w:hAnsi="Times New Roman"/>
          <w:sz w:val="24"/>
          <w:szCs w:val="24"/>
          <w:lang w:val="en-US"/>
        </w:rPr>
        <w:t>;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 xml:space="preserve"> therefore</w:t>
      </w:r>
      <w:r w:rsidRPr="007378C0">
        <w:rPr>
          <w:rFonts w:ascii="Times New Roman" w:hAnsi="Times New Roman"/>
          <w:sz w:val="24"/>
          <w:szCs w:val="24"/>
          <w:lang w:val="en-US"/>
        </w:rPr>
        <w:t>,</w:t>
      </w:r>
      <w:r w:rsidR="005170C5" w:rsidRPr="007378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>they have been clas</w:t>
      </w:r>
      <w:r w:rsidR="00E960A6">
        <w:rPr>
          <w:rFonts w:ascii="Times New Roman" w:hAnsi="Times New Roman"/>
          <w:sz w:val="24"/>
          <w:szCs w:val="24"/>
          <w:lang w:val="en-US"/>
        </w:rPr>
        <w:t>sified as hazardous pollutants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E960A6">
        <w:rPr>
          <w:rFonts w:ascii="Times New Roman" w:hAnsi="Times New Roman"/>
          <w:sz w:val="24"/>
          <w:szCs w:val="24"/>
          <w:vertAlign w:val="superscript"/>
          <w:lang w:val="en-US"/>
        </w:rPr>
        <w:t>7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 xml:space="preserve"> United State Environmental Prote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 xml:space="preserve">ction Agency (USEPA) has   registered 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phenolic compounds</w:t>
      </w:r>
      <w:r w:rsidR="007A57DE" w:rsidRPr="007378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 xml:space="preserve">as priority </w:t>
      </w:r>
      <w:r w:rsidR="007378C0" w:rsidRPr="007378C0">
        <w:rPr>
          <w:rFonts w:ascii="Times New Roman" w:hAnsi="Times New Roman"/>
          <w:sz w:val="24"/>
          <w:szCs w:val="24"/>
          <w:lang w:val="en-US"/>
        </w:rPr>
        <w:t xml:space="preserve">pollutants. 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>M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 xml:space="preserve">ost of 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F54869" w:rsidRPr="007378C0">
        <w:rPr>
          <w:rFonts w:ascii="Times New Roman" w:hAnsi="Times New Roman"/>
          <w:sz w:val="24"/>
          <w:szCs w:val="24"/>
          <w:lang w:val="en-US"/>
        </w:rPr>
        <w:t>phenolic compounds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 xml:space="preserve"> are toxic and hardly biodegradable, and 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 xml:space="preserve">it can be really difficult to get rid of them in 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the environment. Especially chlorophenols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(CPs)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 xml:space="preserve"> are believed to create bad taste and odor in drinking </w:t>
      </w:r>
      <w:r w:rsidR="00A82B0A" w:rsidRPr="007378C0">
        <w:rPr>
          <w:rFonts w:ascii="Times New Roman" w:hAnsi="Times New Roman"/>
          <w:sz w:val="24"/>
          <w:szCs w:val="24"/>
          <w:lang w:val="en-US"/>
        </w:rPr>
        <w:t>water at</w:t>
      </w:r>
      <w:r w:rsidR="00DF0CBD" w:rsidRPr="007378C0">
        <w:rPr>
          <w:rFonts w:ascii="Times New Roman" w:hAnsi="Times New Roman"/>
          <w:sz w:val="24"/>
          <w:szCs w:val="24"/>
          <w:lang w:val="en-US"/>
        </w:rPr>
        <w:t xml:space="preserve"> concentrations below 0.1 g/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L</w:t>
      </w:r>
      <w:r w:rsidR="00DF0CBD" w:rsidRPr="007378C0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A82B0A" w:rsidRPr="007378C0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82B0A" w:rsidRPr="007378C0">
        <w:rPr>
          <w:rFonts w:ascii="Times New Roman" w:hAnsi="Times New Roman"/>
          <w:sz w:val="24"/>
          <w:szCs w:val="24"/>
        </w:rPr>
        <w:t>cause</w:t>
      </w:r>
      <w:r w:rsidR="00E45454" w:rsidRPr="007378C0">
        <w:rPr>
          <w:rFonts w:ascii="Times New Roman" w:hAnsi="Times New Roman"/>
          <w:sz w:val="24"/>
          <w:szCs w:val="24"/>
        </w:rPr>
        <w:t xml:space="preserve"> </w:t>
      </w:r>
      <w:r w:rsidR="00E45454" w:rsidRPr="007378C0">
        <w:rPr>
          <w:rFonts w:ascii="Times New Roman" w:hAnsi="Times New Roman"/>
          <w:sz w:val="24"/>
          <w:szCs w:val="24"/>
          <w:lang w:val="en-US"/>
        </w:rPr>
        <w:t xml:space="preserve">adverse impacts </w:t>
      </w:r>
      <w:r w:rsidR="00995DBA" w:rsidRPr="007378C0">
        <w:rPr>
          <w:rFonts w:ascii="Times New Roman" w:hAnsi="Times New Roman"/>
          <w:sz w:val="24"/>
          <w:szCs w:val="24"/>
          <w:lang w:val="en-US"/>
        </w:rPr>
        <w:t>on the environ</w:t>
      </w:r>
      <w:r w:rsidR="00E960A6">
        <w:rPr>
          <w:rFonts w:ascii="Times New Roman" w:hAnsi="Times New Roman"/>
          <w:sz w:val="24"/>
          <w:szCs w:val="24"/>
          <w:lang w:val="en-US"/>
        </w:rPr>
        <w:t>ment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E960A6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="00E960A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44A3A" w:rsidRPr="00082582" w:rsidRDefault="00995DBA" w:rsidP="0008258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lastRenderedPageBreak/>
        <w:t>Some physicochemical and biological methods including adsorption, extraction by chemical solvents, air</w:t>
      </w:r>
      <w:r w:rsidR="00AF7C20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stripping, freezing and crystallization, chemical oxidation,</w:t>
      </w:r>
      <w:r w:rsidR="00AF7C20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wet oxidation, advanced oxidation processes, biological degradation biosorption, coagulation, chlorination and liquid membrane permeation have been developed for the removal of phenolic c</w:t>
      </w:r>
      <w:r w:rsidR="00E960A6">
        <w:rPr>
          <w:rFonts w:ascii="Times New Roman" w:hAnsi="Times New Roman"/>
          <w:sz w:val="24"/>
          <w:szCs w:val="24"/>
          <w:lang w:val="en-US"/>
        </w:rPr>
        <w:t>ompounds from aqueous solutions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8D37BD">
        <w:rPr>
          <w:rFonts w:ascii="Times New Roman" w:hAnsi="Times New Roman"/>
          <w:sz w:val="24"/>
          <w:szCs w:val="24"/>
          <w:vertAlign w:val="superscript"/>
          <w:lang w:val="en-US"/>
        </w:rPr>
        <w:t>6,7,9,10-</w:t>
      </w:r>
      <w:r w:rsidR="00E960A6">
        <w:rPr>
          <w:rFonts w:ascii="Times New Roman" w:hAnsi="Times New Roman"/>
          <w:sz w:val="24"/>
          <w:szCs w:val="24"/>
          <w:vertAlign w:val="superscript"/>
          <w:lang w:val="en-US"/>
        </w:rPr>
        <w:t>13</w:t>
      </w:r>
      <w:r w:rsidR="00D448D2"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 xml:space="preserve">Among these methods, 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 xml:space="preserve">the ones used for the concentration of the chlorinated phenols on the solid phase are 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>a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dsorption and ion exchange </w:t>
      </w:r>
      <w:r w:rsidR="00D271C9" w:rsidRPr="00411101">
        <w:rPr>
          <w:rFonts w:ascii="Times New Roman" w:hAnsi="Times New Roman"/>
          <w:sz w:val="24"/>
          <w:szCs w:val="24"/>
          <w:lang w:val="en-US"/>
        </w:rPr>
        <w:t>methods but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 xml:space="preserve">they are </w:t>
      </w:r>
      <w:r w:rsidRPr="00411101">
        <w:rPr>
          <w:rFonts w:ascii="Times New Roman" w:hAnsi="Times New Roman"/>
          <w:sz w:val="24"/>
          <w:szCs w:val="24"/>
          <w:lang w:val="en-US"/>
        </w:rPr>
        <w:t>not for</w:t>
      </w:r>
      <w:r w:rsidR="006434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complete mineralization. 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>The ones used for complete mineralization and combination of chlorophenols are chemical or biological oxidation methods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.</w:t>
      </w:r>
      <w:r w:rsidR="00D448D2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>While one advantage of c</w:t>
      </w:r>
      <w:r w:rsidRPr="00411101">
        <w:rPr>
          <w:rFonts w:ascii="Times New Roman" w:hAnsi="Times New Roman"/>
          <w:sz w:val="24"/>
          <w:szCs w:val="24"/>
          <w:lang w:val="en-US"/>
        </w:rPr>
        <w:t>hemical oxidation methods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 xml:space="preserve"> is their being fast, they might result in undesirable by-products and they are </w:t>
      </w:r>
      <w:r w:rsidR="00D271C9" w:rsidRPr="00411101">
        <w:rPr>
          <w:rFonts w:ascii="Times New Roman" w:hAnsi="Times New Roman"/>
          <w:sz w:val="24"/>
          <w:szCs w:val="24"/>
          <w:lang w:val="en-US"/>
        </w:rPr>
        <w:t xml:space="preserve">expensive. </w:t>
      </w:r>
      <w:r w:rsidRPr="00411101">
        <w:rPr>
          <w:rFonts w:ascii="Times New Roman" w:hAnsi="Times New Roman"/>
          <w:sz w:val="24"/>
          <w:szCs w:val="24"/>
          <w:lang w:val="en-US"/>
        </w:rPr>
        <w:t>Biodegradation of chlorophenols are more specific and relatively</w:t>
      </w:r>
      <w:r w:rsidR="00220CB5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0CBD" w:rsidRPr="00411101">
        <w:rPr>
          <w:rFonts w:ascii="Times New Roman" w:hAnsi="Times New Roman"/>
          <w:sz w:val="24"/>
          <w:szCs w:val="24"/>
          <w:lang w:val="en-US"/>
        </w:rPr>
        <w:t>cheap</w:t>
      </w:r>
      <w:r w:rsidR="00262DB4" w:rsidRPr="00411101">
        <w:rPr>
          <w:rFonts w:ascii="Times New Roman" w:hAnsi="Times New Roman"/>
          <w:sz w:val="24"/>
          <w:szCs w:val="24"/>
          <w:lang w:val="en-US"/>
        </w:rPr>
        <w:t xml:space="preserve"> than chemical oxidation methods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. Biodegradation </w:t>
      </w:r>
      <w:r w:rsidR="00C37989" w:rsidRPr="00411101">
        <w:rPr>
          <w:rFonts w:ascii="Times New Roman" w:hAnsi="Times New Roman"/>
          <w:sz w:val="24"/>
          <w:szCs w:val="24"/>
          <w:lang w:val="en-US"/>
        </w:rPr>
        <w:t xml:space="preserve">methods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of chlorophenols </w:t>
      </w:r>
      <w:r w:rsidR="00D271C9" w:rsidRPr="00411101">
        <w:rPr>
          <w:rFonts w:ascii="Times New Roman" w:hAnsi="Times New Roman"/>
          <w:sz w:val="24"/>
          <w:szCs w:val="24"/>
          <w:lang w:val="en-US"/>
        </w:rPr>
        <w:t>were also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</w:t>
      </w:r>
      <w:r w:rsidR="00C37989" w:rsidRPr="00411101">
        <w:rPr>
          <w:rFonts w:ascii="Times New Roman" w:hAnsi="Times New Roman"/>
          <w:sz w:val="24"/>
          <w:szCs w:val="24"/>
          <w:lang w:val="en-US"/>
        </w:rPr>
        <w:t>vestigated by many researchers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7E0551">
        <w:rPr>
          <w:rFonts w:ascii="Times New Roman" w:hAnsi="Times New Roman"/>
          <w:sz w:val="24"/>
          <w:szCs w:val="24"/>
          <w:vertAlign w:val="superscript"/>
          <w:lang w:val="en-US"/>
        </w:rPr>
        <w:t>7-10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22AC" w:rsidRPr="00411101">
        <w:rPr>
          <w:rFonts w:ascii="Times New Roman" w:hAnsi="Times New Roman"/>
          <w:sz w:val="24"/>
          <w:szCs w:val="24"/>
          <w:lang w:val="en-US"/>
        </w:rPr>
        <w:t xml:space="preserve">According to recent studies, some natural minerals, industrial wastes, agricultural wastes, and forest wastes are </w:t>
      </w:r>
      <w:r w:rsidR="004B50C3" w:rsidRPr="00411101">
        <w:rPr>
          <w:rFonts w:ascii="Times New Roman" w:hAnsi="Times New Roman"/>
          <w:sz w:val="24"/>
          <w:szCs w:val="24"/>
          <w:lang w:val="en-US"/>
        </w:rPr>
        <w:t>low-cost adsor</w:t>
      </w:r>
      <w:r w:rsidR="00622494">
        <w:rPr>
          <w:rFonts w:ascii="Times New Roman" w:hAnsi="Times New Roman"/>
          <w:sz w:val="24"/>
          <w:szCs w:val="24"/>
          <w:lang w:val="en-US"/>
        </w:rPr>
        <w:t>bent materials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622494">
        <w:rPr>
          <w:rFonts w:ascii="Times New Roman" w:hAnsi="Times New Roman"/>
          <w:sz w:val="24"/>
          <w:szCs w:val="24"/>
          <w:vertAlign w:val="superscript"/>
          <w:lang w:val="en-US"/>
        </w:rPr>
        <w:t>14-17</w:t>
      </w:r>
      <w:r w:rsidR="004B50C3"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11101">
        <w:rPr>
          <w:rFonts w:ascii="Times New Roman" w:hAnsi="Times New Roman"/>
          <w:sz w:val="24"/>
          <w:szCs w:val="24"/>
          <w:lang w:val="en-US"/>
        </w:rPr>
        <w:t>Agricultural was</w:t>
      </w:r>
      <w:r w:rsidR="00DA6250" w:rsidRPr="00411101">
        <w:rPr>
          <w:rFonts w:ascii="Times New Roman" w:hAnsi="Times New Roman"/>
          <w:sz w:val="24"/>
          <w:szCs w:val="24"/>
          <w:lang w:val="en-US"/>
        </w:rPr>
        <w:t>tes</w:t>
      </w:r>
      <w:r w:rsidR="00ED22AC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633B" w:rsidRPr="00411101">
        <w:rPr>
          <w:rFonts w:ascii="Times New Roman" w:hAnsi="Times New Roman"/>
          <w:sz w:val="24"/>
          <w:szCs w:val="24"/>
          <w:lang w:val="en-US"/>
        </w:rPr>
        <w:t xml:space="preserve">among </w:t>
      </w:r>
      <w:r w:rsidR="00D271C9" w:rsidRPr="00411101">
        <w:rPr>
          <w:rFonts w:ascii="Times New Roman" w:hAnsi="Times New Roman"/>
          <w:sz w:val="24"/>
          <w:szCs w:val="24"/>
          <w:lang w:val="en-US"/>
        </w:rPr>
        <w:t>them are</w:t>
      </w:r>
      <w:r w:rsidR="00ED22AC" w:rsidRPr="00411101">
        <w:rPr>
          <w:rFonts w:ascii="Times New Roman" w:hAnsi="Times New Roman"/>
          <w:sz w:val="24"/>
          <w:szCs w:val="24"/>
          <w:lang w:val="en-US"/>
        </w:rPr>
        <w:t xml:space="preserve"> one of the most </w:t>
      </w:r>
      <w:r w:rsidR="00D271C9" w:rsidRPr="00411101">
        <w:rPr>
          <w:rFonts w:ascii="Times New Roman" w:hAnsi="Times New Roman"/>
          <w:sz w:val="24"/>
          <w:szCs w:val="24"/>
          <w:lang w:val="en-US"/>
        </w:rPr>
        <w:t>promising groups</w:t>
      </w:r>
      <w:r w:rsidR="00220CB5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22AC" w:rsidRPr="00411101">
        <w:rPr>
          <w:rFonts w:ascii="Times New Roman" w:hAnsi="Times New Roman"/>
          <w:sz w:val="24"/>
          <w:szCs w:val="24"/>
          <w:lang w:val="en-US"/>
        </w:rPr>
        <w:t>of adsorbent materials.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5ACE" w:rsidRPr="00411101">
        <w:rPr>
          <w:rFonts w:ascii="Times New Roman" w:hAnsi="Times New Roman"/>
          <w:sz w:val="24"/>
          <w:szCs w:val="24"/>
          <w:lang w:val="en-US"/>
        </w:rPr>
        <w:t xml:space="preserve">Their unique chemical composition makes these wastes economic and eco-friendly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alternatives the</w:t>
      </w:r>
      <w:r w:rsidR="0022297F">
        <w:rPr>
          <w:rFonts w:ascii="Times New Roman" w:hAnsi="Times New Roman"/>
          <w:sz w:val="24"/>
          <w:szCs w:val="24"/>
          <w:lang w:val="en-US"/>
        </w:rPr>
        <w:t xml:space="preserve"> removal of chlorophenols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22297F">
        <w:rPr>
          <w:rFonts w:ascii="Times New Roman" w:hAnsi="Times New Roman"/>
          <w:sz w:val="24"/>
          <w:szCs w:val="24"/>
          <w:vertAlign w:val="superscript"/>
          <w:lang w:val="en-US"/>
        </w:rPr>
        <w:t>6,7,18,19</w:t>
      </w:r>
      <w:r w:rsidR="0064347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We are interested in bark of</w:t>
      </w:r>
      <w:r w:rsidR="00DA6250" w:rsidRPr="00411101">
        <w:rPr>
          <w:rFonts w:ascii="Times New Roman" w:hAnsi="Times New Roman"/>
          <w:sz w:val="24"/>
          <w:szCs w:val="24"/>
          <w:lang w:val="en-US"/>
        </w:rPr>
        <w:t xml:space="preserve"> Turkish Sweetgum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as biosorbent. </w:t>
      </w:r>
      <w:r w:rsidR="00DA6250" w:rsidRPr="00411101">
        <w:rPr>
          <w:rFonts w:ascii="Times New Roman" w:hAnsi="Times New Roman"/>
          <w:sz w:val="24"/>
          <w:szCs w:val="24"/>
          <w:lang w:val="en-US"/>
        </w:rPr>
        <w:t>The s</w:t>
      </w:r>
      <w:r w:rsidRPr="00411101">
        <w:rPr>
          <w:rFonts w:ascii="Times New Roman" w:hAnsi="Times New Roman"/>
          <w:sz w:val="24"/>
          <w:szCs w:val="24"/>
          <w:lang w:val="en-US"/>
        </w:rPr>
        <w:t>weetgum</w:t>
      </w:r>
      <w:r w:rsidR="00540D0A" w:rsidRPr="00411101">
        <w:rPr>
          <w:rFonts w:ascii="Times New Roman" w:hAnsi="Times New Roman"/>
          <w:sz w:val="24"/>
          <w:szCs w:val="24"/>
          <w:lang w:val="en-US"/>
        </w:rPr>
        <w:t>, which is widely known as Turkish sweetgum.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is a deciduous tree native to the eastern Mediterranean region</w:t>
      </w:r>
      <w:r w:rsidR="00DA6250"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11101">
        <w:rPr>
          <w:rFonts w:ascii="Times New Roman" w:hAnsi="Times New Roman"/>
          <w:sz w:val="24"/>
          <w:szCs w:val="24"/>
          <w:lang w:val="en-US"/>
        </w:rPr>
        <w:t>Styrax</w:t>
      </w:r>
      <w:r w:rsidR="00220CB5" w:rsidRPr="00411101">
        <w:rPr>
          <w:rFonts w:ascii="Times New Roman" w:hAnsi="Times New Roman"/>
          <w:sz w:val="24"/>
          <w:szCs w:val="24"/>
          <w:lang w:val="en-US"/>
        </w:rPr>
        <w:t xml:space="preserve"> liquidu</w:t>
      </w:r>
      <w:r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DA6250" w:rsidRPr="00411101">
        <w:rPr>
          <w:rFonts w:ascii="Times New Roman" w:hAnsi="Times New Roman"/>
          <w:sz w:val="24"/>
          <w:szCs w:val="24"/>
          <w:lang w:val="en-US"/>
        </w:rPr>
        <w:t xml:space="preserve">  obtained from sweetgum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have been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known since 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very old times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they are known to have been used to mummify pharoses in ancient Egypt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. The volatile oil </w:t>
      </w:r>
      <w:r w:rsidR="0065006A">
        <w:rPr>
          <w:rFonts w:ascii="Times New Roman" w:hAnsi="Times New Roman"/>
          <w:sz w:val="24"/>
          <w:szCs w:val="24"/>
          <w:lang w:val="en-US"/>
        </w:rPr>
        <w:t xml:space="preserve">extracted from </w:t>
      </w:r>
      <w:r w:rsidRPr="00411101">
        <w:rPr>
          <w:rFonts w:ascii="Times New Roman" w:hAnsi="Times New Roman"/>
          <w:sz w:val="24"/>
          <w:szCs w:val="24"/>
          <w:lang w:val="en-US"/>
        </w:rPr>
        <w:t>Styrax</w:t>
      </w:r>
      <w:r w:rsidR="00220CB5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liquidus 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has been utilized for the production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of pharmaceutical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and cosmetic 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products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921B0" w:rsidRPr="00411101">
        <w:rPr>
          <w:rFonts w:ascii="Times New Roman" w:hAnsi="Times New Roman"/>
          <w:sz w:val="24"/>
          <w:szCs w:val="24"/>
          <w:lang w:val="en-US"/>
        </w:rPr>
        <w:t xml:space="preserve">they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are made</w:t>
      </w:r>
      <w:r w:rsidR="00680BA1" w:rsidRPr="00411101">
        <w:rPr>
          <w:rFonts w:ascii="Times New Roman" w:hAnsi="Times New Roman"/>
          <w:sz w:val="24"/>
          <w:szCs w:val="24"/>
          <w:lang w:val="en-US"/>
        </w:rPr>
        <w:t xml:space="preserve"> ava</w:t>
      </w:r>
      <w:r w:rsidR="0022297F">
        <w:rPr>
          <w:rFonts w:ascii="Times New Roman" w:hAnsi="Times New Roman"/>
          <w:sz w:val="24"/>
          <w:szCs w:val="24"/>
          <w:lang w:val="en-US"/>
        </w:rPr>
        <w:t>ilable in Turkey through export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22297F">
        <w:rPr>
          <w:rFonts w:ascii="Times New Roman" w:hAnsi="Times New Roman"/>
          <w:sz w:val="24"/>
          <w:szCs w:val="24"/>
          <w:vertAlign w:val="superscript"/>
          <w:lang w:val="en-US"/>
        </w:rPr>
        <w:t>20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322E4E" w:rsidRPr="00411101">
        <w:rPr>
          <w:rFonts w:ascii="Times New Roman" w:hAnsi="Times New Roman"/>
          <w:sz w:val="24"/>
          <w:szCs w:val="24"/>
          <w:lang w:val="en-US"/>
        </w:rPr>
        <w:t>barks of sweetgum are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 forest waste</w:t>
      </w:r>
      <w:r w:rsidR="007A6A07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to obtain the export goods from sweetgum plant</w:t>
      </w:r>
      <w:r w:rsidR="00D5251D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6A07" w:rsidRPr="00411101">
        <w:rPr>
          <w:rFonts w:ascii="Times New Roman" w:hAnsi="Times New Roman"/>
          <w:sz w:val="24"/>
          <w:szCs w:val="24"/>
          <w:lang w:val="en-US"/>
        </w:rPr>
        <w:t xml:space="preserve">and Styrax liquidus. </w:t>
      </w:r>
      <w:r w:rsidR="006434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30F5E" w:rsidRPr="00411101">
        <w:rPr>
          <w:rFonts w:ascii="Times New Roman" w:hAnsi="Times New Roman"/>
          <w:sz w:val="24"/>
          <w:szCs w:val="24"/>
          <w:lang w:val="en-US"/>
        </w:rPr>
        <w:t>There are main objective of the present study is to explore the ability of sweetgum (</w:t>
      </w:r>
      <w:r w:rsidR="0010106C" w:rsidRPr="00411101">
        <w:rPr>
          <w:rFonts w:ascii="Times New Roman" w:hAnsi="Times New Roman"/>
          <w:sz w:val="24"/>
          <w:szCs w:val="24"/>
          <w:lang w:val="en-US"/>
        </w:rPr>
        <w:t>Turkish S</w:t>
      </w:r>
      <w:r w:rsidR="00B30F5E" w:rsidRPr="00411101">
        <w:rPr>
          <w:rFonts w:ascii="Times New Roman" w:hAnsi="Times New Roman"/>
          <w:sz w:val="24"/>
          <w:szCs w:val="24"/>
          <w:lang w:val="en-US"/>
        </w:rPr>
        <w:t>weetgum) bark</w:t>
      </w:r>
      <w:r w:rsidR="00A921B0" w:rsidRPr="00411101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4E7BB1">
        <w:rPr>
          <w:rFonts w:ascii="Times New Roman" w:hAnsi="Times New Roman"/>
          <w:sz w:val="24"/>
          <w:szCs w:val="24"/>
          <w:lang w:val="en-US"/>
        </w:rPr>
        <w:t>remove 2,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B30F5E" w:rsidRPr="00411101">
        <w:rPr>
          <w:rFonts w:ascii="Times New Roman" w:hAnsi="Times New Roman"/>
          <w:sz w:val="24"/>
          <w:szCs w:val="24"/>
          <w:lang w:val="en-US"/>
        </w:rPr>
        <w:t>-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DCP from</w:t>
      </w:r>
      <w:r w:rsidR="00B30F5E" w:rsidRPr="00411101">
        <w:rPr>
          <w:rFonts w:ascii="Times New Roman" w:hAnsi="Times New Roman"/>
          <w:sz w:val="24"/>
          <w:szCs w:val="24"/>
          <w:lang w:val="en-US"/>
        </w:rPr>
        <w:t xml:space="preserve"> aqueous solutions</w:t>
      </w:r>
      <w:r w:rsidR="00457DC6" w:rsidRPr="004111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1101">
        <w:rPr>
          <w:rFonts w:ascii="Times New Roman" w:hAnsi="Times New Roman"/>
          <w:sz w:val="24"/>
          <w:szCs w:val="24"/>
          <w:lang w:val="en-US"/>
        </w:rPr>
        <w:t>For</w:t>
      </w:r>
      <w:r w:rsidR="00AB2714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th</w:t>
      </w:r>
      <w:r w:rsidR="00A921B0" w:rsidRPr="00411101">
        <w:rPr>
          <w:rFonts w:ascii="Times New Roman" w:hAnsi="Times New Roman"/>
          <w:sz w:val="24"/>
          <w:szCs w:val="24"/>
          <w:lang w:val="en-US"/>
        </w:rPr>
        <w:t>is</w:t>
      </w:r>
      <w:r w:rsidR="00AB2714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reason,</w:t>
      </w:r>
      <w:r w:rsidR="00457DC6" w:rsidRPr="00411101">
        <w:rPr>
          <w:rFonts w:ascii="Times New Roman" w:hAnsi="Times New Roman"/>
          <w:sz w:val="24"/>
          <w:szCs w:val="24"/>
          <w:lang w:val="en-US"/>
        </w:rPr>
        <w:t xml:space="preserve"> biosorbent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was characterized</w:t>
      </w:r>
      <w:r w:rsidR="00457DC6" w:rsidRPr="00411101">
        <w:rPr>
          <w:rFonts w:ascii="Times New Roman" w:hAnsi="Times New Roman"/>
          <w:sz w:val="24"/>
          <w:szCs w:val="24"/>
          <w:lang w:val="en-US"/>
        </w:rPr>
        <w:t xml:space="preserve"> using Fourier transformer infrared spectroscopy (FTIR) and Scanning Electron Microscopy (SEM). In addition, experimental parameters such as solution pH, contact time, initial concentration of adsorbate and amount of bi</w:t>
      </w:r>
      <w:r w:rsidR="000735F7">
        <w:rPr>
          <w:rFonts w:ascii="Times New Roman" w:hAnsi="Times New Roman"/>
          <w:sz w:val="24"/>
          <w:szCs w:val="24"/>
          <w:lang w:val="en-US"/>
        </w:rPr>
        <w:t>o</w:t>
      </w:r>
      <w:r w:rsidR="00457DC6" w:rsidRPr="00411101">
        <w:rPr>
          <w:rFonts w:ascii="Times New Roman" w:hAnsi="Times New Roman"/>
          <w:sz w:val="24"/>
          <w:szCs w:val="24"/>
          <w:lang w:val="en-US"/>
        </w:rPr>
        <w:t>sorbent dosage were investigated</w:t>
      </w:r>
      <w:r w:rsidR="00611503" w:rsidRPr="00411101">
        <w:rPr>
          <w:rFonts w:ascii="Times New Roman" w:hAnsi="Times New Roman"/>
          <w:sz w:val="24"/>
          <w:szCs w:val="24"/>
          <w:lang w:val="en-US"/>
        </w:rPr>
        <w:t xml:space="preserve">. A statistical optimization was used </w:t>
      </w:r>
      <w:r w:rsidR="0010106C" w:rsidRPr="00411101">
        <w:rPr>
          <w:rFonts w:ascii="Times New Roman" w:hAnsi="Times New Roman"/>
          <w:sz w:val="24"/>
          <w:szCs w:val="24"/>
          <w:lang w:val="en-US"/>
        </w:rPr>
        <w:t>to determine the optimum bi</w:t>
      </w:r>
      <w:r w:rsidR="000735F7">
        <w:rPr>
          <w:rFonts w:ascii="Times New Roman" w:hAnsi="Times New Roman"/>
          <w:sz w:val="24"/>
          <w:szCs w:val="24"/>
          <w:lang w:val="en-US"/>
        </w:rPr>
        <w:t>o</w:t>
      </w:r>
      <w:r w:rsidR="0010106C" w:rsidRPr="00411101">
        <w:rPr>
          <w:rFonts w:ascii="Times New Roman" w:hAnsi="Times New Roman"/>
          <w:sz w:val="24"/>
          <w:szCs w:val="24"/>
          <w:lang w:val="en-US"/>
        </w:rPr>
        <w:t>sorption conditions for removal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10106C" w:rsidRPr="00411101">
        <w:rPr>
          <w:rFonts w:ascii="Times New Roman" w:hAnsi="Times New Roman"/>
          <w:sz w:val="24"/>
          <w:szCs w:val="24"/>
          <w:lang w:val="en-US"/>
        </w:rPr>
        <w:t>-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DCP from</w:t>
      </w:r>
      <w:r w:rsidR="0010106C" w:rsidRPr="00411101">
        <w:rPr>
          <w:rFonts w:ascii="Times New Roman" w:hAnsi="Times New Roman"/>
          <w:sz w:val="24"/>
          <w:szCs w:val="24"/>
          <w:lang w:val="en-US"/>
        </w:rPr>
        <w:t xml:space="preserve"> aqueous solutions in sweetgum bark. Moreover, adsorption </w:t>
      </w:r>
      <w:r w:rsidR="00457DC6" w:rsidRPr="00411101">
        <w:rPr>
          <w:rFonts w:ascii="Times New Roman" w:hAnsi="Times New Roman"/>
          <w:sz w:val="24"/>
          <w:szCs w:val="24"/>
          <w:lang w:val="en-US"/>
        </w:rPr>
        <w:t>isotherm models an</w:t>
      </w:r>
      <w:r w:rsidR="00082582">
        <w:rPr>
          <w:rFonts w:ascii="Times New Roman" w:hAnsi="Times New Roman"/>
          <w:sz w:val="24"/>
          <w:szCs w:val="24"/>
          <w:lang w:val="en-US"/>
        </w:rPr>
        <w:t>d kinetics models were studied.</w:t>
      </w:r>
    </w:p>
    <w:p w:rsidR="0003408F" w:rsidRPr="00411101" w:rsidRDefault="0003408F" w:rsidP="00C8604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AA4CF9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3A09E9">
        <w:rPr>
          <w:rFonts w:ascii="Times New Roman" w:hAnsi="Times New Roman"/>
          <w:b/>
          <w:bCs/>
          <w:sz w:val="24"/>
          <w:szCs w:val="24"/>
          <w:lang w:val="en-US"/>
        </w:rPr>
        <w:t>Materials and M</w:t>
      </w:r>
      <w:r w:rsidR="003A09E9"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ethods </w:t>
      </w:r>
    </w:p>
    <w:p w:rsidR="0003408F" w:rsidRPr="00244615" w:rsidRDefault="0003408F" w:rsidP="00C86045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2.1 Materials </w:t>
      </w:r>
    </w:p>
    <w:p w:rsidR="008D6F2E" w:rsidRPr="00411101" w:rsidRDefault="0003408F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lastRenderedPageBreak/>
        <w:t>The bark of sw</w:t>
      </w:r>
      <w:r w:rsidR="000735F7">
        <w:rPr>
          <w:rFonts w:ascii="Times New Roman" w:hAnsi="Times New Roman"/>
          <w:sz w:val="24"/>
          <w:szCs w:val="24"/>
          <w:lang w:val="en-US"/>
        </w:rPr>
        <w:t>eetgum was obtained from the Mug</w:t>
      </w:r>
      <w:r w:rsidRPr="00411101">
        <w:rPr>
          <w:rFonts w:ascii="Times New Roman" w:hAnsi="Times New Roman"/>
          <w:sz w:val="24"/>
          <w:szCs w:val="24"/>
          <w:lang w:val="en-US"/>
        </w:rPr>
        <w:t>la Manager</w:t>
      </w:r>
      <w:r w:rsidR="001B1A1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ship of Governmental Operation of Forestry, General Directorate of Forestry, Ministry of Environment and Forestry, Republic of Turkey at November,</w:t>
      </w:r>
      <w:r w:rsidR="00A921B0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2015.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All chemicals </w:t>
      </w:r>
      <w:r w:rsidRPr="00411101">
        <w:rPr>
          <w:rFonts w:ascii="Times New Roman" w:hAnsi="Times New Roman"/>
          <w:sz w:val="24"/>
          <w:szCs w:val="24"/>
          <w:lang w:val="en-US"/>
        </w:rPr>
        <w:t>were obtained from Merck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 in this study</w:t>
      </w:r>
      <w:r w:rsidRPr="00411101">
        <w:rPr>
          <w:rFonts w:ascii="Times New Roman" w:hAnsi="Times New Roman"/>
          <w:sz w:val="24"/>
          <w:szCs w:val="24"/>
          <w:lang w:val="en-US"/>
        </w:rPr>
        <w:t>.</w:t>
      </w:r>
    </w:p>
    <w:p w:rsidR="008D6F2E" w:rsidRPr="008D6F2E" w:rsidRDefault="0003408F" w:rsidP="00C86045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2.2 Equipment and Analysis </w:t>
      </w:r>
    </w:p>
    <w:p w:rsidR="008D6F2E" w:rsidRPr="00C86045" w:rsidRDefault="00A921B0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A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pH meter (WTW)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was used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>measurement of pH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. The concentrations of phenol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>compound were analyzed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calorimetrically by using 4-aminoantipyrine and potassium ferriciyanid at pH 7.9±0.1 according to the Standard </w:t>
      </w:r>
      <w:r w:rsidR="0003408F" w:rsidRPr="002B7521">
        <w:rPr>
          <w:rFonts w:ascii="Times New Roman" w:hAnsi="Times New Roman"/>
          <w:color w:val="000000"/>
          <w:sz w:val="24"/>
          <w:szCs w:val="24"/>
          <w:lang w:val="en-US"/>
        </w:rPr>
        <w:t>Methods</w:t>
      </w:r>
      <w:r w:rsidR="0065006A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0D7332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21</w:t>
      </w:r>
      <w:r w:rsidR="006959EF" w:rsidRPr="0041110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All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>analys</w:t>
      </w:r>
      <w:r w:rsidRPr="00411101">
        <w:rPr>
          <w:rFonts w:ascii="Times New Roman" w:hAnsi="Times New Roman"/>
          <w:sz w:val="24"/>
          <w:szCs w:val="24"/>
          <w:lang w:val="en-US"/>
        </w:rPr>
        <w:t>es</w:t>
      </w:r>
      <w:r w:rsidR="006959EF" w:rsidRPr="00411101">
        <w:rPr>
          <w:rFonts w:ascii="Times New Roman" w:hAnsi="Times New Roman"/>
          <w:sz w:val="24"/>
          <w:szCs w:val="24"/>
          <w:lang w:val="en-US"/>
        </w:rPr>
        <w:t xml:space="preserve"> of this study were</w:t>
      </w:r>
      <w:r w:rsidR="007C15C6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performed in</w:t>
      </w:r>
      <w:r w:rsidR="007C15C6" w:rsidRPr="00411101">
        <w:rPr>
          <w:rFonts w:ascii="Times New Roman" w:hAnsi="Times New Roman"/>
          <w:sz w:val="24"/>
          <w:szCs w:val="24"/>
          <w:lang w:val="en-US"/>
        </w:rPr>
        <w:t xml:space="preserve"> the l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aboratory</w:t>
      </w:r>
      <w:r w:rsidR="007C15C6" w:rsidRPr="00411101">
        <w:rPr>
          <w:rFonts w:ascii="Times New Roman" w:hAnsi="Times New Roman"/>
          <w:sz w:val="24"/>
          <w:szCs w:val="24"/>
          <w:lang w:val="en-US"/>
        </w:rPr>
        <w:t xml:space="preserve"> that ha</w:t>
      </w:r>
      <w:r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7C15C6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framework of ISO IEC 17025 Laboratory accreditation </w:t>
      </w:r>
    </w:p>
    <w:p w:rsidR="008D6F2E" w:rsidRPr="008D6F2E" w:rsidRDefault="0003408F" w:rsidP="00C86045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bCs/>
          <w:i/>
          <w:sz w:val="24"/>
          <w:szCs w:val="24"/>
          <w:lang w:val="en-US"/>
        </w:rPr>
        <w:t>2.3 Biosorbent</w:t>
      </w:r>
    </w:p>
    <w:p w:rsidR="0003408F" w:rsidRPr="00411101" w:rsidRDefault="007B12C4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The barks of sweetgum were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dried in the oven at 60 °C for 48 </w:t>
      </w:r>
      <w:r w:rsidRPr="00411101">
        <w:rPr>
          <w:rFonts w:ascii="Times New Roman" w:hAnsi="Times New Roman"/>
          <w:sz w:val="24"/>
          <w:szCs w:val="24"/>
          <w:lang w:val="en-US"/>
        </w:rPr>
        <w:t>h and then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passed through a </w:t>
      </w:r>
      <w:r w:rsidRPr="00411101">
        <w:rPr>
          <w:rFonts w:ascii="Times New Roman" w:hAnsi="Times New Roman"/>
          <w:sz w:val="24"/>
          <w:szCs w:val="24"/>
          <w:lang w:val="en-US"/>
        </w:rPr>
        <w:t>100-mesh size screen to use it in the study.</w:t>
      </w:r>
    </w:p>
    <w:p w:rsidR="008D6F2E" w:rsidRPr="00244615" w:rsidRDefault="0003408F" w:rsidP="00C8604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2.4. Preparation of synthetic sample</w:t>
      </w:r>
    </w:p>
    <w:p w:rsidR="000633BD" w:rsidRPr="008D6F2E" w:rsidRDefault="007B12C4" w:rsidP="008D6F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It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was prepared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for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a stock solution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4</w:t>
      </w:r>
      <w:r w:rsidRPr="00411101">
        <w:rPr>
          <w:rFonts w:ascii="Times New Roman" w:hAnsi="Times New Roman"/>
          <w:sz w:val="24"/>
          <w:szCs w:val="24"/>
          <w:lang w:val="en-US"/>
        </w:rPr>
        <w:t>-DCP (1000 mg/l) with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distilled water. </w:t>
      </w:r>
      <w:r w:rsidR="008814C1" w:rsidRPr="00411101">
        <w:rPr>
          <w:rFonts w:ascii="Times New Roman" w:hAnsi="Times New Roman"/>
          <w:sz w:val="24"/>
          <w:szCs w:val="24"/>
          <w:lang w:val="en-US"/>
        </w:rPr>
        <w:t>To obtain all the solutions of varying concentrations, the stock solution was used in the current study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. The pH of each solution was adjusted to the desired value using 0.1 M HCl and 0.1 M NaOH.</w:t>
      </w:r>
    </w:p>
    <w:p w:rsidR="0003408F" w:rsidRPr="00244615" w:rsidRDefault="0003408F" w:rsidP="00C86045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2.5. Batch sorption experiments</w:t>
      </w:r>
    </w:p>
    <w:p w:rsidR="008B189E" w:rsidRDefault="000953B0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The batch technique was used to conduct the experiments of sorption in a routine 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 xml:space="preserve">manner.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Closed </w:t>
      </w:r>
      <w:r w:rsidR="0003408F" w:rsidRPr="00411101">
        <w:rPr>
          <w:rFonts w:ascii="Times New Roman" w:hAnsi="Times New Roman"/>
          <w:bCs/>
          <w:color w:val="000000"/>
          <w:sz w:val="24"/>
          <w:szCs w:val="24"/>
          <w:lang w:val="en-US"/>
        </w:rPr>
        <w:t>polyethylene bottles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containing a volume of 100 cm</w:t>
      </w:r>
      <w:r w:rsidR="0003408F"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of the solutions of 2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, 4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-DCP</w:t>
      </w:r>
      <w:r w:rsidR="00F67DCC" w:rsidRPr="00411101">
        <w:rPr>
          <w:rFonts w:ascii="Times New Roman" w:hAnsi="Times New Roman"/>
          <w:sz w:val="24"/>
          <w:szCs w:val="24"/>
          <w:lang w:val="en-US"/>
        </w:rPr>
        <w:t xml:space="preserve"> that known-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concentration were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placed in a shaking assembly. The dry biomass (1</w:t>
      </w:r>
      <w:r w:rsidR="00523AEC">
        <w:rPr>
          <w:rFonts w:ascii="Times New Roman" w:hAnsi="Times New Roman"/>
          <w:sz w:val="24"/>
          <w:szCs w:val="24"/>
          <w:lang w:val="en-US"/>
        </w:rPr>
        <w:t>,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0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g) was shaken with 50 ml of 2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, 4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-DCP solution at a concentration of 150 mg/l in a shaker at room temperature (20±0.5 °C) for about 150 minute</w:t>
      </w:r>
      <w:r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.</w:t>
      </w:r>
      <w:r w:rsidR="00F67DCC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257" w:rsidRPr="00411101">
        <w:rPr>
          <w:rFonts w:ascii="Times New Roman" w:hAnsi="Times New Roman"/>
          <w:sz w:val="24"/>
          <w:szCs w:val="24"/>
          <w:lang w:val="en-US"/>
        </w:rPr>
        <w:t>For the separation of the particles of sweetgum barks by filtration</w:t>
      </w:r>
      <w:r w:rsidR="007378C0" w:rsidRPr="00411101">
        <w:rPr>
          <w:rFonts w:ascii="Times New Roman" w:hAnsi="Times New Roman"/>
          <w:sz w:val="24"/>
          <w:szCs w:val="24"/>
          <w:lang w:val="en-US"/>
        </w:rPr>
        <w:t>, a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0.45 μm membrane filter</w:t>
      </w:r>
      <w:r w:rsidR="00582257" w:rsidRPr="00411101">
        <w:rPr>
          <w:rFonts w:ascii="Times New Roman" w:hAnsi="Times New Roman"/>
          <w:sz w:val="24"/>
          <w:szCs w:val="24"/>
          <w:lang w:val="en-US"/>
        </w:rPr>
        <w:t xml:space="preserve"> was used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. T</w:t>
      </w:r>
      <w:r w:rsidR="002E2BEF" w:rsidRPr="00411101">
        <w:rPr>
          <w:rFonts w:ascii="Times New Roman" w:hAnsi="Times New Roman"/>
          <w:sz w:val="24"/>
          <w:szCs w:val="24"/>
          <w:lang w:val="en-US"/>
        </w:rPr>
        <w:t>he amounts of sweetgum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E2BEF" w:rsidRPr="00411101">
        <w:rPr>
          <w:rFonts w:ascii="Times New Roman" w:hAnsi="Times New Roman"/>
          <w:sz w:val="24"/>
          <w:szCs w:val="24"/>
          <w:lang w:val="en-US"/>
        </w:rPr>
        <w:t>barks ad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sor</w:t>
      </w:r>
      <w:r w:rsidR="002A56D7" w:rsidRPr="00411101">
        <w:rPr>
          <w:rFonts w:ascii="Times New Roman" w:hAnsi="Times New Roman"/>
          <w:sz w:val="24"/>
          <w:szCs w:val="24"/>
          <w:lang w:val="en-US"/>
        </w:rPr>
        <w:t>bed in each case were measured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582257" w:rsidRPr="00411101">
        <w:rPr>
          <w:rFonts w:ascii="Times New Roman" w:hAnsi="Times New Roman"/>
          <w:sz w:val="24"/>
          <w:szCs w:val="24"/>
          <w:lang w:val="en-US"/>
        </w:rPr>
        <w:t xml:space="preserve">calculating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the difference between the initial and the final concentrations</w:t>
      </w:r>
      <w:r w:rsidR="002A56D7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257" w:rsidRPr="00411101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2A56D7" w:rsidRPr="00411101">
        <w:rPr>
          <w:rFonts w:ascii="Times New Roman" w:hAnsi="Times New Roman"/>
          <w:sz w:val="24"/>
          <w:szCs w:val="24"/>
          <w:lang w:val="en-US"/>
        </w:rPr>
        <w:t>2</w:t>
      </w:r>
      <w:r w:rsidR="00582257" w:rsidRPr="00411101">
        <w:rPr>
          <w:rFonts w:ascii="Times New Roman" w:hAnsi="Times New Roman"/>
          <w:sz w:val="24"/>
          <w:szCs w:val="24"/>
          <w:lang w:val="en-US"/>
        </w:rPr>
        <w:t>.</w:t>
      </w:r>
      <w:r w:rsidR="002A56D7" w:rsidRPr="00411101">
        <w:rPr>
          <w:rFonts w:ascii="Times New Roman" w:hAnsi="Times New Roman"/>
          <w:sz w:val="24"/>
          <w:szCs w:val="24"/>
          <w:lang w:val="en-US"/>
        </w:rPr>
        <w:t>4-DCP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.</w:t>
      </w:r>
    </w:p>
    <w:p w:rsidR="0003408F" w:rsidRPr="00411101" w:rsidRDefault="00EA4B1E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By using the difference between the initial concentration and equilibrium (qe) of 2.4 concentration, b</w:t>
      </w:r>
      <w:r w:rsidR="002A56D7" w:rsidRPr="00411101">
        <w:rPr>
          <w:rFonts w:ascii="Times New Roman" w:hAnsi="Times New Roman"/>
          <w:sz w:val="24"/>
          <w:szCs w:val="24"/>
          <w:lang w:val="en-US"/>
        </w:rPr>
        <w:t xml:space="preserve">iosorption capacity at 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equilibrium time (qe) was calculated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as </w:t>
      </w:r>
      <w:r w:rsidR="00A82B0A" w:rsidRPr="00411101">
        <w:rPr>
          <w:rFonts w:ascii="Times New Roman" w:hAnsi="Times New Roman"/>
          <w:sz w:val="24"/>
          <w:szCs w:val="24"/>
          <w:lang w:val="en-US"/>
        </w:rPr>
        <w:t>follows:</w:t>
      </w:r>
    </w:p>
    <w:p w:rsidR="00254A37" w:rsidRPr="00254A37" w:rsidRDefault="00254A37" w:rsidP="00C860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qe</w:t>
      </w:r>
      <m:oMath>
        <m: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V(Co-Ce)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den>
        </m:f>
      </m:oMath>
    </w:p>
    <w:p w:rsidR="008B189E" w:rsidRPr="00411101" w:rsidRDefault="0003408F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V is the sample volume (L), Co is the initial concentration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>4-DCP (mg/l), Ce is the equilibrium or final concentration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(mg/l), M is the dry weight of </w:t>
      </w:r>
      <w:r w:rsidR="00EA4B1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(0.5 g for this study), and qe is the biomass biosorption capacity of the biomass at equilibrium time.</w:t>
      </w:r>
    </w:p>
    <w:p w:rsidR="00A0340B" w:rsidRDefault="00A0340B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0340B" w:rsidRDefault="00A0340B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0340B" w:rsidRDefault="0003408F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2.6 Optimization</w:t>
      </w:r>
      <w:r w:rsidR="00244615">
        <w:rPr>
          <w:rFonts w:ascii="Times New Roman" w:hAnsi="Times New Roman"/>
          <w:b/>
          <w:i/>
          <w:sz w:val="24"/>
          <w:szCs w:val="24"/>
          <w:lang w:val="en-US"/>
        </w:rPr>
        <w:t xml:space="preserve"> study</w:t>
      </w:r>
    </w:p>
    <w:p w:rsidR="004A2AE0" w:rsidRPr="00244615" w:rsidRDefault="004A2AE0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There are two important advantage</w:t>
      </w:r>
      <w:r w:rsidR="00EA4B1E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of the use of </w:t>
      </w:r>
      <w:r w:rsidR="006472CA" w:rsidRPr="00411101">
        <w:rPr>
          <w:rFonts w:ascii="Times New Roman" w:hAnsi="Times New Roman"/>
          <w:sz w:val="24"/>
          <w:szCs w:val="24"/>
          <w:lang w:val="en-US"/>
        </w:rPr>
        <w:t xml:space="preserve">experimental </w:t>
      </w:r>
      <w:r w:rsidRPr="00411101">
        <w:rPr>
          <w:rFonts w:ascii="Times New Roman" w:hAnsi="Times New Roman"/>
          <w:sz w:val="24"/>
          <w:szCs w:val="24"/>
          <w:lang w:val="en-US"/>
        </w:rPr>
        <w:t>design technique for the sorption process. Firstly, the design technique provide</w:t>
      </w:r>
      <w:r w:rsidR="00EA4B1E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statistical optimization models that help in understanding the interactions among the experimental parameters that have been optimized. Secondly, </w:t>
      </w:r>
      <w:r w:rsidR="00EA4B1E" w:rsidRPr="00411101">
        <w:rPr>
          <w:rFonts w:ascii="Times New Roman" w:hAnsi="Times New Roman"/>
          <w:sz w:val="24"/>
          <w:szCs w:val="24"/>
          <w:lang w:val="en-US"/>
        </w:rPr>
        <w:t xml:space="preserve">small number of experiments and little time </w:t>
      </w:r>
      <w:r w:rsidR="00705B31" w:rsidRPr="00411101">
        <w:rPr>
          <w:rFonts w:ascii="Times New Roman" w:hAnsi="Times New Roman"/>
          <w:sz w:val="24"/>
          <w:szCs w:val="24"/>
          <w:lang w:val="en-US"/>
        </w:rPr>
        <w:t xml:space="preserve">to carry out these experiments </w:t>
      </w:r>
      <w:r w:rsidR="00EA4B1E" w:rsidRPr="00411101">
        <w:rPr>
          <w:rFonts w:ascii="Times New Roman" w:hAnsi="Times New Roman"/>
          <w:sz w:val="24"/>
          <w:szCs w:val="24"/>
          <w:lang w:val="en-US"/>
        </w:rPr>
        <w:t xml:space="preserve">are </w:t>
      </w:r>
      <w:r w:rsidR="000D7332">
        <w:rPr>
          <w:rFonts w:ascii="Times New Roman" w:hAnsi="Times New Roman"/>
          <w:sz w:val="24"/>
          <w:szCs w:val="24"/>
          <w:lang w:val="en-US"/>
        </w:rPr>
        <w:t>needed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0D7332">
        <w:rPr>
          <w:rFonts w:ascii="Times New Roman" w:hAnsi="Times New Roman"/>
          <w:sz w:val="24"/>
          <w:szCs w:val="24"/>
          <w:vertAlign w:val="superscript"/>
          <w:lang w:val="en-US"/>
        </w:rPr>
        <w:t>22</w:t>
      </w:r>
    </w:p>
    <w:p w:rsidR="008B189E" w:rsidRDefault="0003408F" w:rsidP="0008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/>
          <w:sz w:val="24"/>
          <w:szCs w:val="24"/>
          <w:lang w:val="en-US" w:eastAsia="tr-TR"/>
        </w:rPr>
      </w:pPr>
      <w:r w:rsidRPr="00411101">
        <w:rPr>
          <w:rFonts w:ascii="Times New Roman" w:hAnsi="Times New Roman"/>
          <w:sz w:val="24"/>
          <w:szCs w:val="24"/>
          <w:lang w:val="en-US" w:eastAsia="tr-TR"/>
        </w:rPr>
        <w:t xml:space="preserve">As a technique, Taguchi’s Orthogonal Array (OA) analysis </w:t>
      </w:r>
      <w:r w:rsidR="00410CCC" w:rsidRPr="00411101">
        <w:rPr>
          <w:rFonts w:ascii="Times New Roman" w:hAnsi="Times New Roman"/>
          <w:sz w:val="24"/>
          <w:szCs w:val="24"/>
          <w:lang w:val="en-US" w:eastAsia="tr-TR"/>
        </w:rPr>
        <w:t xml:space="preserve">was </w:t>
      </w:r>
      <w:r w:rsidRPr="00411101">
        <w:rPr>
          <w:rFonts w:ascii="Times New Roman" w:hAnsi="Times New Roman"/>
          <w:sz w:val="24"/>
          <w:szCs w:val="24"/>
          <w:lang w:val="en-US" w:eastAsia="tr-TR"/>
        </w:rPr>
        <w:t xml:space="preserve">used to produce the best parameters for the optimum design process, with the least number of experiments. </w:t>
      </w:r>
      <w:r w:rsidRPr="00411101">
        <w:rPr>
          <w:rFonts w:ascii="Times New Roman" w:eastAsia="GulliverRM" w:hAnsi="Times New Roman"/>
          <w:sz w:val="24"/>
          <w:szCs w:val="24"/>
          <w:lang w:val="en-US" w:eastAsia="tr-TR"/>
        </w:rPr>
        <w:t xml:space="preserve">Experimental parameters and their levels, determined in the light of preliminary tests, are given in </w:t>
      </w:r>
      <w:r w:rsidRPr="006F5447">
        <w:rPr>
          <w:rFonts w:ascii="Times New Roman" w:eastAsia="GulliverRM" w:hAnsi="Times New Roman"/>
          <w:b/>
          <w:sz w:val="24"/>
          <w:szCs w:val="24"/>
          <w:lang w:val="en-US" w:eastAsia="tr-TR"/>
        </w:rPr>
        <w:t>Tabl</w:t>
      </w:r>
      <w:r w:rsidR="008E64E4" w:rsidRPr="006F5447">
        <w:rPr>
          <w:rFonts w:ascii="Times New Roman" w:eastAsia="GulliverRM" w:hAnsi="Times New Roman"/>
          <w:b/>
          <w:sz w:val="24"/>
          <w:szCs w:val="24"/>
          <w:lang w:val="en-US" w:eastAsia="tr-TR"/>
        </w:rPr>
        <w:t>e 1</w:t>
      </w:r>
      <w:r w:rsidR="008E64E4" w:rsidRPr="00411101">
        <w:rPr>
          <w:rFonts w:ascii="Times New Roman" w:eastAsia="GulliverRM" w:hAnsi="Times New Roman"/>
          <w:sz w:val="24"/>
          <w:szCs w:val="24"/>
          <w:lang w:val="en-US" w:eastAsia="tr-TR"/>
        </w:rPr>
        <w:t>.</w:t>
      </w:r>
    </w:p>
    <w:p w:rsidR="004F06E5" w:rsidRDefault="004F06E5" w:rsidP="0008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/>
          <w:sz w:val="24"/>
          <w:szCs w:val="24"/>
          <w:lang w:val="en-US" w:eastAsia="tr-TR"/>
        </w:rPr>
      </w:pPr>
    </w:p>
    <w:p w:rsidR="004F06E5" w:rsidRDefault="004F06E5" w:rsidP="0008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/>
          <w:sz w:val="24"/>
          <w:szCs w:val="24"/>
          <w:lang w:val="en-US" w:eastAsia="tr-TR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Table 1.</w:t>
      </w:r>
      <w:r w:rsidRPr="006C5E1C">
        <w:rPr>
          <w:rFonts w:ascii="Arial" w:hAnsi="Arial" w:cs="Arial"/>
          <w:sz w:val="16"/>
          <w:szCs w:val="16"/>
          <w:lang w:val="en-US"/>
        </w:rPr>
        <w:t xml:space="preserve"> Factors and levels for experimental parameters used to in sorption capacity test         </w:t>
      </w:r>
    </w:p>
    <w:p w:rsidR="004F06E5" w:rsidRPr="00082582" w:rsidRDefault="004F06E5" w:rsidP="00082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/>
          <w:sz w:val="24"/>
          <w:szCs w:val="24"/>
          <w:lang w:val="en-US" w:eastAsia="tr-TR"/>
        </w:rPr>
      </w:pPr>
    </w:p>
    <w:tbl>
      <w:tblPr>
        <w:tblW w:w="6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858"/>
        <w:gridCol w:w="1582"/>
        <w:gridCol w:w="1523"/>
        <w:gridCol w:w="1768"/>
      </w:tblGrid>
      <w:tr w:rsidR="001F6209" w:rsidRPr="00411101" w:rsidTr="00BE1766">
        <w:trPr>
          <w:trHeight w:val="1045"/>
          <w:jc w:val="center"/>
        </w:trPr>
        <w:tc>
          <w:tcPr>
            <w:tcW w:w="85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C86045" w:rsidP="00717FC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Levels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408F" w:rsidRPr="00411101" w:rsidRDefault="0003408F" w:rsidP="00717FC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 (pH)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1F6209" w:rsidP="001F6209">
            <w:pPr>
              <w:ind w:right="82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</w:t>
            </w:r>
            <w:r w:rsidR="0003408F"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B </w:t>
            </w: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(amount   of biosorbent   </w:t>
            </w:r>
            <w:r w:rsidR="0003408F" w:rsidRPr="00411101">
              <w:rPr>
                <w:rFonts w:ascii="Times New Roman" w:hAnsi="Times New Roman"/>
                <w:sz w:val="24"/>
                <w:szCs w:val="24"/>
                <w:lang w:val="en-US"/>
              </w:rPr>
              <w:t>(g)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3408F" w:rsidRPr="00411101" w:rsidRDefault="0003408F" w:rsidP="001F62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1F6209" w:rsidRPr="00411101">
              <w:rPr>
                <w:rFonts w:ascii="Times New Roman" w:hAnsi="Times New Roman"/>
                <w:sz w:val="24"/>
                <w:szCs w:val="24"/>
                <w:lang w:val="en-US"/>
              </w:rPr>
              <w:t>initial concentration of adsorbate</w:t>
            </w: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(mg/L)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08F" w:rsidRPr="00411101" w:rsidRDefault="0003408F" w:rsidP="001F62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 </w:t>
            </w:r>
            <w:r w:rsidR="001F6209"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(contact</w:t>
            </w: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time (min)</w:t>
            </w:r>
          </w:p>
        </w:tc>
      </w:tr>
      <w:tr w:rsidR="001F6209" w:rsidRPr="00411101" w:rsidTr="00C86045">
        <w:trPr>
          <w:trHeight w:hRule="exact" w:val="454"/>
          <w:jc w:val="center"/>
        </w:trPr>
        <w:tc>
          <w:tcPr>
            <w:tcW w:w="85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ind w:right="8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0,2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F6209" w:rsidRPr="00411101" w:rsidTr="00C86045">
        <w:trPr>
          <w:trHeight w:hRule="exact" w:val="454"/>
          <w:jc w:val="center"/>
        </w:trPr>
        <w:tc>
          <w:tcPr>
            <w:tcW w:w="856" w:type="dxa"/>
            <w:tcBorders>
              <w:lef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ind w:right="8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1F6209" w:rsidRPr="00411101" w:rsidTr="00C86045">
        <w:trPr>
          <w:trHeight w:hRule="exact" w:val="454"/>
          <w:jc w:val="center"/>
        </w:trPr>
        <w:tc>
          <w:tcPr>
            <w:tcW w:w="856" w:type="dxa"/>
            <w:tcBorders>
              <w:lef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ind w:right="8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1F6209" w:rsidRPr="00411101" w:rsidTr="00C86045">
        <w:trPr>
          <w:trHeight w:hRule="exact" w:val="454"/>
          <w:jc w:val="center"/>
        </w:trPr>
        <w:tc>
          <w:tcPr>
            <w:tcW w:w="85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ind w:right="8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0,8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150</w:t>
            </w: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120</w:t>
            </w:r>
          </w:p>
        </w:tc>
      </w:tr>
      <w:tr w:rsidR="001F6209" w:rsidRPr="00411101" w:rsidTr="00C86045">
        <w:trPr>
          <w:trHeight w:hRule="exact" w:val="454"/>
          <w:jc w:val="center"/>
        </w:trPr>
        <w:tc>
          <w:tcPr>
            <w:tcW w:w="85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ind w:right="82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7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408F" w:rsidRPr="00411101" w:rsidRDefault="0003408F" w:rsidP="00717FC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150</w:t>
            </w:r>
          </w:p>
        </w:tc>
      </w:tr>
    </w:tbl>
    <w:p w:rsidR="0003408F" w:rsidRPr="00411101" w:rsidRDefault="0003408F" w:rsidP="0003408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E1766" w:rsidRPr="006C5E1C" w:rsidRDefault="008D6F2E" w:rsidP="008D6F2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sz w:val="16"/>
          <w:szCs w:val="16"/>
          <w:lang w:val="en-US"/>
        </w:rPr>
        <w:t xml:space="preserve">            </w:t>
      </w:r>
      <w:r w:rsidR="00B03D59" w:rsidRPr="006C5E1C">
        <w:rPr>
          <w:rFonts w:ascii="Arial" w:hAnsi="Arial" w:cs="Arial"/>
          <w:sz w:val="16"/>
          <w:szCs w:val="16"/>
          <w:lang w:val="en-US"/>
        </w:rPr>
        <w:t xml:space="preserve">      </w:t>
      </w:r>
    </w:p>
    <w:p w:rsidR="008D6F2E" w:rsidRPr="008D6F2E" w:rsidRDefault="0003408F" w:rsidP="0064347C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The experimental data were analyzed using </w:t>
      </w:r>
      <w:r w:rsidR="00410CCC" w:rsidRPr="0041110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411101">
        <w:rPr>
          <w:rFonts w:ascii="Times New Roman" w:hAnsi="Times New Roman"/>
          <w:sz w:val="24"/>
          <w:szCs w:val="24"/>
          <w:lang w:val="en-US"/>
        </w:rPr>
        <w:t>statistical software MINITAB 15.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The data (y</w:t>
      </w:r>
      <w:r w:rsidRPr="00411101">
        <w:rPr>
          <w:rFonts w:ascii="Times New Roman" w:hAnsi="Times New Roman"/>
          <w:bCs/>
          <w:sz w:val="24"/>
          <w:szCs w:val="24"/>
          <w:vertAlign w:val="subscript"/>
          <w:lang w:val="en-US"/>
        </w:rPr>
        <w:t>i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) and corresponding S/N ratios were calculated on the basis of Taguchi’s “larger is better” approach.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3408F" w:rsidRDefault="00F76DEB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2.7</w:t>
      </w:r>
      <w:r w:rsidR="0003408F" w:rsidRPr="00244615">
        <w:rPr>
          <w:rFonts w:ascii="Times New Roman" w:hAnsi="Times New Roman"/>
          <w:b/>
          <w:i/>
          <w:sz w:val="24"/>
          <w:szCs w:val="24"/>
          <w:lang w:val="en-US"/>
        </w:rPr>
        <w:t>. Scanning electron microscopy</w:t>
      </w:r>
    </w:p>
    <w:p w:rsidR="006C5E1C" w:rsidRDefault="00410CC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Scanning Electron Microscopy with Energy Dispersive Spectroscopy (SEM-EDS) was used to characterize t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>he structures of the sampl</w:t>
      </w:r>
      <w:r w:rsidR="00A82B0A">
        <w:rPr>
          <w:rFonts w:ascii="Times New Roman" w:hAnsi="Times New Roman"/>
          <w:sz w:val="24"/>
          <w:szCs w:val="24"/>
          <w:lang w:val="en-US"/>
        </w:rPr>
        <w:t>es</w:t>
      </w:r>
      <w:r w:rsidR="00B839B8" w:rsidRPr="00411101">
        <w:rPr>
          <w:rFonts w:ascii="Times New Roman" w:hAnsi="Times New Roman"/>
          <w:sz w:val="24"/>
          <w:szCs w:val="24"/>
          <w:lang w:val="en-US"/>
        </w:rPr>
        <w:t xml:space="preserve"> (JEOL SEM 7700F)</w:t>
      </w:r>
      <w:r w:rsidR="0003408F" w:rsidRPr="00411101">
        <w:rPr>
          <w:rFonts w:ascii="Times New Roman" w:hAnsi="Times New Roman"/>
          <w:sz w:val="24"/>
          <w:szCs w:val="24"/>
          <w:lang w:val="en-US"/>
        </w:rPr>
        <w:t xml:space="preserve"> in the Research Centre Laboratory at Mugla Sıtkı Koçman University (Turkey).</w:t>
      </w:r>
    </w:p>
    <w:p w:rsidR="008D6F2E" w:rsidRPr="006C5E1C" w:rsidRDefault="00B839B8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2.8. FTIR A</w:t>
      </w:r>
      <w:r w:rsidR="00F76DEB" w:rsidRPr="00244615">
        <w:rPr>
          <w:rFonts w:ascii="Times New Roman" w:hAnsi="Times New Roman"/>
          <w:b/>
          <w:i/>
          <w:sz w:val="24"/>
          <w:szCs w:val="24"/>
          <w:lang w:val="en-US"/>
        </w:rPr>
        <w:t>nalysis</w:t>
      </w:r>
    </w:p>
    <w:p w:rsidR="002D47F6" w:rsidRPr="00082582" w:rsidRDefault="00F76DEB" w:rsidP="008D6F2E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tr-TR"/>
        </w:rPr>
      </w:pPr>
      <w:r w:rsidRPr="00411101">
        <w:rPr>
          <w:rFonts w:ascii="Times New Roman" w:hAnsi="Times New Roman"/>
          <w:noProof/>
          <w:sz w:val="24"/>
          <w:szCs w:val="24"/>
          <w:lang w:eastAsia="tr-TR"/>
        </w:rPr>
        <w:lastRenderedPageBreak/>
        <w:t>FTIR spektra of the samples were performed in</w:t>
      </w:r>
      <w:r w:rsidR="00822132">
        <w:rPr>
          <w:rFonts w:ascii="Times New Roman" w:hAnsi="Times New Roman"/>
          <w:noProof/>
          <w:color w:val="FF0000"/>
          <w:sz w:val="24"/>
          <w:szCs w:val="24"/>
          <w:lang w:eastAsia="tr-TR"/>
        </w:rPr>
        <w:t xml:space="preserve"> </w:t>
      </w:r>
      <w:r w:rsidR="00822132" w:rsidRPr="002B7521">
        <w:rPr>
          <w:rFonts w:ascii="Times New Roman" w:hAnsi="Times New Roman"/>
          <w:noProof/>
          <w:color w:val="000000"/>
          <w:sz w:val="24"/>
          <w:szCs w:val="24"/>
          <w:lang w:eastAsia="tr-TR"/>
        </w:rPr>
        <w:t>Perkin Elmer</w:t>
      </w:r>
      <w:r w:rsidRPr="00411101">
        <w:rPr>
          <w:rFonts w:ascii="Times New Roman" w:hAnsi="Times New Roman"/>
          <w:noProof/>
          <w:sz w:val="24"/>
          <w:szCs w:val="24"/>
          <w:lang w:eastAsia="tr-TR"/>
        </w:rPr>
        <w:t xml:space="preserve"> Each spektrum was recorded</w:t>
      </w:r>
      <w:r w:rsidR="00315A2E">
        <w:rPr>
          <w:rFonts w:ascii="Times New Roman" w:hAnsi="Times New Roman"/>
          <w:noProof/>
          <w:sz w:val="24"/>
          <w:szCs w:val="24"/>
          <w:lang w:eastAsia="tr-TR"/>
        </w:rPr>
        <w:t xml:space="preserve"> in a freguency of 400-4000 cm</w:t>
      </w:r>
      <w:r w:rsidR="00315A2E">
        <w:rPr>
          <w:rFonts w:ascii="Times New Roman" w:hAnsi="Times New Roman"/>
          <w:noProof/>
          <w:sz w:val="24"/>
          <w:szCs w:val="24"/>
          <w:vertAlign w:val="superscript"/>
          <w:lang w:eastAsia="tr-TR"/>
        </w:rPr>
        <w:t>-1</w:t>
      </w:r>
      <w:r w:rsidRPr="00411101">
        <w:rPr>
          <w:rFonts w:ascii="Times New Roman" w:hAnsi="Times New Roman"/>
          <w:noProof/>
          <w:sz w:val="24"/>
          <w:szCs w:val="24"/>
          <w:lang w:eastAsia="tr-TR"/>
        </w:rPr>
        <w:t xml:space="preserve"> using potassium bromide (KBr) disc. The KBr was oven-dired </w:t>
      </w:r>
      <w:r w:rsidR="005E1B4B" w:rsidRPr="00411101">
        <w:rPr>
          <w:rFonts w:ascii="Times New Roman" w:hAnsi="Times New Roman"/>
          <w:noProof/>
          <w:sz w:val="24"/>
          <w:szCs w:val="24"/>
          <w:lang w:eastAsia="tr-TR"/>
        </w:rPr>
        <w:t xml:space="preserve">to minimize the interference of water. </w:t>
      </w:r>
    </w:p>
    <w:p w:rsidR="008D6F2E" w:rsidRPr="00411101" w:rsidRDefault="00C61CB4" w:rsidP="008D6F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sz w:val="24"/>
          <w:szCs w:val="24"/>
          <w:lang w:val="en-US"/>
        </w:rPr>
        <w:t>3. Results and Discussion</w:t>
      </w:r>
    </w:p>
    <w:p w:rsidR="008D6F2E" w:rsidRPr="00244615" w:rsidRDefault="008E64E4" w:rsidP="008D6F2E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3.1. Optimization study</w:t>
      </w:r>
    </w:p>
    <w:p w:rsidR="004F06E5" w:rsidRDefault="004508AA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As t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 xml:space="preserve">he orthogonal array experimental design method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was found to be the most appropriate for the conditions under investigation, it 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 xml:space="preserve">was chosen to determine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 xml:space="preserve">experimental plan, </w:t>
      </w:r>
      <w:r w:rsidR="008E64E4" w:rsidRPr="00411101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>25 (5</w:t>
      </w:r>
      <w:r w:rsidR="008E64E4"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8E64E4" w:rsidRPr="006F5447">
        <w:rPr>
          <w:rFonts w:ascii="Times New Roman" w:hAnsi="Times New Roman"/>
          <w:b/>
          <w:sz w:val="24"/>
          <w:szCs w:val="24"/>
          <w:lang w:val="en-US"/>
        </w:rPr>
        <w:t>(</w:t>
      </w:r>
      <w:r w:rsidR="006349A2" w:rsidRPr="006F5447">
        <w:rPr>
          <w:rFonts w:ascii="Times New Roman" w:hAnsi="Times New Roman"/>
          <w:b/>
          <w:sz w:val="24"/>
          <w:szCs w:val="24"/>
          <w:lang w:val="en-US"/>
        </w:rPr>
        <w:t>Table 2)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 xml:space="preserve">; four parameters each with five values. </w:t>
      </w:r>
      <w:r w:rsidR="00F22D94" w:rsidRPr="00411101">
        <w:rPr>
          <w:rFonts w:ascii="Times New Roman" w:hAnsi="Times New Roman"/>
          <w:sz w:val="24"/>
          <w:szCs w:val="24"/>
          <w:lang w:val="en-US"/>
        </w:rPr>
        <w:t xml:space="preserve">The effect of the noise sources on the adsorbtion process was observed by repeating each experiment </w:t>
      </w:r>
      <w:r w:rsidR="00A82B0A">
        <w:rPr>
          <w:rFonts w:ascii="Times New Roman" w:hAnsi="Times New Roman"/>
          <w:sz w:val="24"/>
          <w:szCs w:val="24"/>
          <w:lang w:val="en-US"/>
        </w:rPr>
        <w:t>twice under the same conditions</w:t>
      </w:r>
      <w:r w:rsidR="008E64E4" w:rsidRPr="00411101">
        <w:rPr>
          <w:rFonts w:ascii="Times New Roman" w:hAnsi="Times New Roman"/>
          <w:sz w:val="24"/>
          <w:szCs w:val="24"/>
          <w:lang w:val="en-US"/>
        </w:rPr>
        <w:t>.</w:t>
      </w:r>
      <w:r w:rsidR="005E1B4B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>The optimum design for the adsorption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>4-DCP by Sweetgum bark is an important aspect in the produc</w:t>
      </w:r>
      <w:r w:rsidR="00263316" w:rsidRPr="00411101">
        <w:rPr>
          <w:rFonts w:ascii="Times New Roman" w:hAnsi="Times New Roman"/>
          <w:sz w:val="24"/>
          <w:szCs w:val="24"/>
          <w:lang w:val="en-US"/>
        </w:rPr>
        <w:t>tion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 xml:space="preserve"> of the adsorption process.  </w:t>
      </w:r>
      <w:r w:rsidR="005E1B4B" w:rsidRPr="00411101">
        <w:rPr>
          <w:rFonts w:ascii="Times New Roman" w:hAnsi="Times New Roman"/>
          <w:sz w:val="24"/>
          <w:szCs w:val="24"/>
          <w:lang w:val="en-US"/>
        </w:rPr>
        <w:t>It can be concluded that the values of optimum experimental paramete</w:t>
      </w:r>
      <w:r w:rsidR="004E7BB1">
        <w:rPr>
          <w:rFonts w:ascii="Times New Roman" w:hAnsi="Times New Roman"/>
          <w:sz w:val="24"/>
          <w:szCs w:val="24"/>
          <w:lang w:val="en-US"/>
        </w:rPr>
        <w:t>rs for adsorption capacity of 2,</w:t>
      </w:r>
      <w:r w:rsidR="005E1B4B" w:rsidRPr="00411101">
        <w:rPr>
          <w:rFonts w:ascii="Times New Roman" w:hAnsi="Times New Roman"/>
          <w:sz w:val="24"/>
          <w:szCs w:val="24"/>
          <w:lang w:val="en-US"/>
        </w:rPr>
        <w:t>4-DCP are as below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>:</w:t>
      </w:r>
      <w:r w:rsidR="005E1B4B" w:rsidRPr="00411101">
        <w:rPr>
          <w:rFonts w:ascii="Times New Roman" w:hAnsi="Times New Roman"/>
          <w:sz w:val="24"/>
          <w:szCs w:val="24"/>
          <w:lang w:val="en-US"/>
        </w:rPr>
        <w:t xml:space="preserve"> contact time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 xml:space="preserve"> (150 min) </w:t>
      </w:r>
      <w:r w:rsidR="005E1B4B" w:rsidRPr="0041110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349A2" w:rsidRPr="00411101">
        <w:rPr>
          <w:rFonts w:ascii="Times New Roman" w:hAnsi="Times New Roman"/>
          <w:sz w:val="24"/>
          <w:szCs w:val="24"/>
          <w:lang w:val="en-US"/>
        </w:rPr>
        <w:t xml:space="preserve">amount biosorbent (1 g), initial concentration of adsorbate </w:t>
      </w:r>
      <w:r w:rsidR="00370448">
        <w:rPr>
          <w:rFonts w:ascii="Times New Roman" w:hAnsi="Times New Roman"/>
          <w:sz w:val="24"/>
          <w:szCs w:val="24"/>
          <w:lang w:val="en-US"/>
        </w:rPr>
        <w:t xml:space="preserve">(150 mg/L) and pH (2) </w:t>
      </w:r>
      <w:r w:rsidR="00370448" w:rsidRPr="004F06E5">
        <w:rPr>
          <w:rFonts w:ascii="Times New Roman" w:hAnsi="Times New Roman"/>
          <w:b/>
          <w:sz w:val="24"/>
          <w:szCs w:val="24"/>
          <w:lang w:val="en-US"/>
        </w:rPr>
        <w:t>(figure1)</w:t>
      </w:r>
      <w:r w:rsidR="004F06E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A0340B" w:rsidRDefault="00A0340B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F06E5" w:rsidRDefault="004F06E5" w:rsidP="004F06E5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 xml:space="preserve">Table 2. </w:t>
      </w:r>
      <w:r w:rsidRPr="006C5E1C">
        <w:rPr>
          <w:rFonts w:ascii="Arial" w:hAnsi="Arial" w:cs="Arial"/>
          <w:sz w:val="16"/>
          <w:szCs w:val="16"/>
          <w:lang w:val="en-US"/>
        </w:rPr>
        <w:t>L25 Experimental and expected results from Taguchi’s Orthogonal Array (OA) analysis</w:t>
      </w:r>
    </w:p>
    <w:p w:rsidR="004F06E5" w:rsidRDefault="004F06E5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41" w:rightFromText="141" w:vertAnchor="text" w:horzAnchor="margin" w:tblpXSpec="center" w:tblpY="-50"/>
        <w:tblW w:w="0" w:type="auto"/>
        <w:tblLook w:val="04A0" w:firstRow="1" w:lastRow="0" w:firstColumn="1" w:lastColumn="0" w:noHBand="0" w:noVBand="1"/>
      </w:tblPr>
      <w:tblGrid>
        <w:gridCol w:w="1573"/>
        <w:gridCol w:w="485"/>
        <w:gridCol w:w="1176"/>
        <w:gridCol w:w="1994"/>
        <w:gridCol w:w="1347"/>
      </w:tblGrid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</w:rPr>
              <w:t>Experiment no.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pH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 xml:space="preserve">Amount of </w:t>
            </w:r>
          </w:p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4347C">
              <w:rPr>
                <w:rFonts w:ascii="Times New Roman" w:hAnsi="Times New Roman"/>
                <w:lang w:val="en-US"/>
              </w:rPr>
              <w:t xml:space="preserve">biosorbent  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Initial concentration</w:t>
            </w:r>
          </w:p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 xml:space="preserve"> of adsorbate    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 xml:space="preserve">Contact time </w:t>
            </w:r>
          </w:p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64347C" w:rsidRPr="00411101" w:rsidTr="009C7BED">
        <w:trPr>
          <w:cantSplit/>
          <w:trHeight w:hRule="exact" w:val="255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64347C" w:rsidRPr="0064347C" w:rsidRDefault="0064347C" w:rsidP="006434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:rsidR="0064347C" w:rsidRPr="0064347C" w:rsidRDefault="0064347C" w:rsidP="0064347C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64347C">
              <w:rPr>
                <w:rFonts w:ascii="Times New Roman" w:hAnsi="Times New Roman"/>
                <w:lang w:val="en-US"/>
              </w:rPr>
              <w:t>3</w:t>
            </w:r>
          </w:p>
        </w:tc>
      </w:tr>
    </w:tbl>
    <w:p w:rsidR="008D6F2E" w:rsidRDefault="008D6F2E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D6F2E" w:rsidRPr="00BE1766" w:rsidRDefault="008D6F2E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E64E4" w:rsidRPr="00411101" w:rsidRDefault="008E64E4" w:rsidP="008E64E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347C" w:rsidRDefault="0064347C" w:rsidP="006434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347C" w:rsidRDefault="0064347C" w:rsidP="006434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347C" w:rsidRDefault="0064347C" w:rsidP="0064347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C5E1C" w:rsidRPr="006C5E1C" w:rsidRDefault="006C5E1C" w:rsidP="0064347C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8E64E4" w:rsidRDefault="003401E0" w:rsidP="008E64E4">
      <w:pPr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tr-TR"/>
        </w:rPr>
      </w:pPr>
      <w:r w:rsidRPr="0083710F"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037B4812" wp14:editId="2B8893DC">
            <wp:simplePos x="0" y="0"/>
            <wp:positionH relativeFrom="margin">
              <wp:posOffset>443230</wp:posOffset>
            </wp:positionH>
            <wp:positionV relativeFrom="paragraph">
              <wp:posOffset>3875598</wp:posOffset>
            </wp:positionV>
            <wp:extent cx="5105400" cy="722437"/>
            <wp:effectExtent l="0" t="0" r="0" b="1905"/>
            <wp:wrapNone/>
            <wp:docPr id="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7440" cy="72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inline distT="0" distB="0" distL="0" distR="0" wp14:anchorId="08584C35" wp14:editId="3E704D78">
            <wp:extent cx="5760720" cy="3839287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287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sx="8000" sy="8000" algn="ctr" rotWithShape="0">
                        <a:srgbClr val="000000">
                          <a:alpha val="43137"/>
                        </a:srgbClr>
                      </a:outerShdw>
                      <a:softEdge rad="38100"/>
                    </a:effectLst>
                  </pic:spPr>
                </pic:pic>
              </a:graphicData>
            </a:graphic>
          </wp:inline>
        </w:drawing>
      </w:r>
    </w:p>
    <w:p w:rsidR="0083710F" w:rsidRDefault="0083710F" w:rsidP="008E64E4">
      <w:pPr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tr-TR"/>
        </w:rPr>
      </w:pPr>
    </w:p>
    <w:p w:rsidR="00D26379" w:rsidRDefault="00D26379" w:rsidP="00C61CB4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D26379" w:rsidRPr="00D26379" w:rsidRDefault="005E1B4B" w:rsidP="00D26379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Figure</w:t>
      </w:r>
      <w:r w:rsidR="0034664F" w:rsidRPr="006C5E1C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28083D" w:rsidRPr="006C5E1C">
        <w:rPr>
          <w:rFonts w:ascii="Arial" w:hAnsi="Arial" w:cs="Arial"/>
          <w:b/>
          <w:sz w:val="16"/>
          <w:szCs w:val="16"/>
          <w:lang w:val="en-US"/>
        </w:rPr>
        <w:t>1.</w:t>
      </w:r>
      <w:r w:rsidR="00FB0FBC" w:rsidRPr="006C5E1C">
        <w:rPr>
          <w:rFonts w:ascii="Arial" w:hAnsi="Arial" w:cs="Arial"/>
          <w:sz w:val="16"/>
          <w:szCs w:val="16"/>
          <w:lang w:val="en-US"/>
        </w:rPr>
        <w:t xml:space="preserve"> Main effects plot for SN ratios, Factor levels for predictions, Predicted values</w:t>
      </w:r>
    </w:p>
    <w:p w:rsidR="00C61CB4" w:rsidRPr="0028083D" w:rsidRDefault="007E03F3" w:rsidP="00BE176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3.2</w:t>
      </w:r>
      <w:r w:rsidR="00C61CB4" w:rsidRPr="00244615">
        <w:rPr>
          <w:rFonts w:ascii="Times New Roman" w:hAnsi="Times New Roman"/>
          <w:b/>
          <w:i/>
          <w:sz w:val="24"/>
          <w:szCs w:val="24"/>
          <w:lang w:val="en-US"/>
        </w:rPr>
        <w:t xml:space="preserve"> Influence of pH</w:t>
      </w:r>
    </w:p>
    <w:p w:rsidR="00C61CB4" w:rsidRPr="00411101" w:rsidRDefault="00C61CB4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</w:t>
      </w:r>
      <w:r w:rsidR="00345230" w:rsidRPr="00411101">
        <w:rPr>
          <w:rFonts w:ascii="Times New Roman" w:hAnsi="Times New Roman"/>
          <w:sz w:val="24"/>
          <w:szCs w:val="24"/>
          <w:lang w:val="en-US"/>
        </w:rPr>
        <w:t xml:space="preserve"> previous studies have shown that pH of the solution is a critical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parameter affecting biosorption </w:t>
      </w:r>
      <w:r w:rsidR="004E7BB1">
        <w:rPr>
          <w:rFonts w:ascii="Times New Roman" w:hAnsi="Times New Roman"/>
          <w:sz w:val="24"/>
          <w:szCs w:val="24"/>
          <w:lang w:val="en-US"/>
        </w:rPr>
        <w:t>of 2,</w:t>
      </w:r>
      <w:r w:rsidR="00CA42ED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B65A40">
        <w:rPr>
          <w:rFonts w:ascii="Times New Roman" w:hAnsi="Times New Roman"/>
          <w:sz w:val="24"/>
          <w:szCs w:val="24"/>
          <w:lang w:val="en-US"/>
        </w:rPr>
        <w:t>-DCP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B65A40">
        <w:rPr>
          <w:rFonts w:ascii="Times New Roman" w:hAnsi="Times New Roman"/>
          <w:sz w:val="24"/>
          <w:szCs w:val="24"/>
          <w:vertAlign w:val="superscript"/>
          <w:lang w:val="en-US"/>
        </w:rPr>
        <w:t>7,12,23</w:t>
      </w:r>
      <w:r w:rsidR="00C53D7E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The pH ranges of 2-10 we</w:t>
      </w:r>
      <w:r w:rsidR="00345230" w:rsidRPr="00411101">
        <w:rPr>
          <w:rFonts w:ascii="Times New Roman" w:hAnsi="Times New Roman"/>
          <w:sz w:val="24"/>
          <w:szCs w:val="24"/>
          <w:lang w:val="en-US"/>
        </w:rPr>
        <w:t>re used in this study to ensure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the presence of the protonated form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</w:t>
      </w:r>
      <w:r w:rsidR="00CA42ED" w:rsidRPr="00411101">
        <w:rPr>
          <w:rFonts w:ascii="Times New Roman" w:hAnsi="Times New Roman"/>
          <w:sz w:val="24"/>
          <w:szCs w:val="24"/>
          <w:lang w:val="en-US"/>
        </w:rPr>
        <w:t>and the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increase of negative charges at </w:t>
      </w:r>
      <w:r w:rsidR="00A82B0A">
        <w:rPr>
          <w:rFonts w:ascii="Times New Roman" w:hAnsi="Times New Roman"/>
          <w:sz w:val="24"/>
          <w:szCs w:val="24"/>
          <w:lang w:val="en-US"/>
        </w:rPr>
        <w:t>the surface of the particles of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bark of sweetgum. The initial pH of the solution was increased with the decrease in the adsorption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 xml:space="preserve"> capacity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>4-</w:t>
      </w:r>
      <w:r w:rsidR="00CA42ED" w:rsidRPr="00411101">
        <w:rPr>
          <w:rFonts w:ascii="Times New Roman" w:hAnsi="Times New Roman"/>
          <w:sz w:val="24"/>
          <w:szCs w:val="24"/>
          <w:lang w:val="en-US"/>
        </w:rPr>
        <w:t>DCP (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>figure 2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). </w:t>
      </w:r>
      <w:r w:rsidR="00D76E90" w:rsidRPr="00411101">
        <w:rPr>
          <w:rFonts w:ascii="Times New Roman" w:hAnsi="Times New Roman"/>
          <w:sz w:val="24"/>
          <w:szCs w:val="24"/>
          <w:lang w:val="en-US"/>
        </w:rPr>
        <w:t>The f</w:t>
      </w:r>
      <w:r w:rsidRPr="00411101">
        <w:rPr>
          <w:rFonts w:ascii="Times New Roman" w:hAnsi="Times New Roman"/>
          <w:sz w:val="24"/>
          <w:szCs w:val="24"/>
          <w:lang w:val="en-US"/>
        </w:rPr>
        <w:t>igure show</w:t>
      </w:r>
      <w:r w:rsidR="00D76E90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that maximum adsorption capacity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>4-</w:t>
      </w:r>
      <w:r w:rsidR="00CA42ED" w:rsidRPr="00411101">
        <w:rPr>
          <w:rFonts w:ascii="Times New Roman" w:hAnsi="Times New Roman"/>
          <w:sz w:val="24"/>
          <w:szCs w:val="24"/>
          <w:lang w:val="en-US"/>
        </w:rPr>
        <w:t>DCP was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observed at a pH of 2.0. Also it was found the same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 xml:space="preserve"> values of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initial pH of the solution using Taguchi’s Ort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>hogonal Array (OA) analysis (figure 1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C61CB4" w:rsidRDefault="00C61CB4" w:rsidP="008D6F2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</w:rPr>
        <w:t>The </w:t>
      </w:r>
      <w:r w:rsidRPr="00411101">
        <w:rPr>
          <w:rFonts w:ascii="Times New Roman" w:hAnsi="Times New Roman"/>
          <w:bCs/>
          <w:sz w:val="24"/>
          <w:szCs w:val="24"/>
        </w:rPr>
        <w:t>Henderson–Hasselbalch equation</w:t>
      </w:r>
      <w:r w:rsidR="0023517F">
        <w:rPr>
          <w:rFonts w:ascii="Times New Roman" w:hAnsi="Times New Roman"/>
          <w:bCs/>
          <w:sz w:val="24"/>
          <w:szCs w:val="24"/>
          <w:lang w:val="en-US"/>
        </w:rPr>
        <w:t xml:space="preserve"> (pH</w:t>
      </w:r>
      <m:oMath>
        <m:r>
          <w:rPr>
            <w:rFonts w:ascii="Cambria Math" w:hAnsi="Cambria Math"/>
            <w:sz w:val="24"/>
            <w:szCs w:val="24"/>
            <w:lang w:val="en-US"/>
          </w:rPr>
          <m:t>=pKa+log</m:t>
        </m:r>
        <m:f>
          <m:fPr>
            <m:type m:val="skw"/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[A-]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[AH]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⁡</m:t>
        </m:r>
      </m:oMath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23517F">
        <w:rPr>
          <w:rFonts w:ascii="Times New Roman" w:hAnsi="Times New Roman"/>
          <w:bCs/>
          <w:sz w:val="24"/>
          <w:szCs w:val="24"/>
          <w:lang w:val="en-US"/>
        </w:rPr>
        <w:t xml:space="preserve">) </w:t>
      </w:r>
      <w:r w:rsidRPr="00411101">
        <w:rPr>
          <w:rFonts w:ascii="Times New Roman" w:hAnsi="Times New Roman"/>
          <w:bCs/>
          <w:sz w:val="24"/>
          <w:szCs w:val="24"/>
        </w:rPr>
        <w:t>is useful for estimating the pH of 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acidic compounds, such as 2</w:t>
      </w:r>
      <w:r w:rsidR="00D76E90" w:rsidRPr="0041110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4-DCP. The value of pKa for 2</w:t>
      </w:r>
      <w:r w:rsidR="004E7BB1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4-DCP which is known</w:t>
      </w:r>
      <w:r w:rsidR="00D76E90" w:rsidRPr="00411101">
        <w:rPr>
          <w:rFonts w:ascii="Times New Roman" w:hAnsi="Times New Roman"/>
          <w:bCs/>
          <w:sz w:val="24"/>
          <w:szCs w:val="24"/>
          <w:lang w:val="en-US"/>
        </w:rPr>
        <w:t xml:space="preserve"> to be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weak acid is 7.85. The value of pH</w:t>
      </w:r>
      <w:r w:rsidR="00345230" w:rsidRPr="00411101">
        <w:rPr>
          <w:rFonts w:ascii="Times New Roman" w:hAnsi="Times New Roman"/>
          <w:bCs/>
          <w:sz w:val="24"/>
          <w:szCs w:val="24"/>
          <w:lang w:val="en-US"/>
        </w:rPr>
        <w:t xml:space="preserve"> (2</w:t>
      </w:r>
      <w:r w:rsidR="00CA42ED" w:rsidRPr="00411101">
        <w:rPr>
          <w:rFonts w:ascii="Times New Roman" w:hAnsi="Times New Roman"/>
          <w:bCs/>
          <w:sz w:val="24"/>
          <w:szCs w:val="24"/>
          <w:lang w:val="en-US"/>
        </w:rPr>
        <w:t>) is</w:t>
      </w:r>
      <w:r w:rsidR="00345230" w:rsidRPr="00411101">
        <w:rPr>
          <w:rFonts w:ascii="Times New Roman" w:hAnsi="Times New Roman"/>
          <w:bCs/>
          <w:sz w:val="24"/>
          <w:szCs w:val="24"/>
          <w:lang w:val="en-US"/>
        </w:rPr>
        <w:t xml:space="preserve"> lo</w:t>
      </w:r>
      <w:r w:rsidR="00D76E90" w:rsidRPr="00411101">
        <w:rPr>
          <w:rFonts w:ascii="Times New Roman" w:hAnsi="Times New Roman"/>
          <w:bCs/>
          <w:sz w:val="24"/>
          <w:szCs w:val="24"/>
          <w:lang w:val="en-US"/>
        </w:rPr>
        <w:t>w</w:t>
      </w:r>
      <w:r w:rsidR="00345230" w:rsidRPr="00411101">
        <w:rPr>
          <w:rFonts w:ascii="Times New Roman" w:hAnsi="Times New Roman"/>
          <w:bCs/>
          <w:sz w:val="24"/>
          <w:szCs w:val="24"/>
          <w:lang w:val="en-US"/>
        </w:rPr>
        <w:t>er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than p</w:t>
      </w:r>
      <w:r w:rsidRPr="00411101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a</w:t>
      </w:r>
      <w:r w:rsidR="00345230" w:rsidRPr="00411101">
        <w:rPr>
          <w:rFonts w:ascii="Times New Roman" w:hAnsi="Times New Roman"/>
          <w:bCs/>
          <w:sz w:val="24"/>
          <w:szCs w:val="24"/>
          <w:lang w:val="en-US"/>
        </w:rPr>
        <w:t xml:space="preserve"> (7.85)</w:t>
      </w:r>
      <w:r w:rsidR="004E7BB1">
        <w:rPr>
          <w:rFonts w:ascii="Times New Roman" w:hAnsi="Times New Roman"/>
          <w:bCs/>
          <w:sz w:val="24"/>
          <w:szCs w:val="24"/>
          <w:lang w:val="en-US"/>
        </w:rPr>
        <w:t>, the dissociation degree of 2,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4-DCP to form anions increase</w:t>
      </w:r>
      <w:r w:rsidR="00D76E90" w:rsidRPr="00411101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. The sweetgum bark consist</w:t>
      </w:r>
      <w:r w:rsidR="00E34F61" w:rsidRPr="00411101">
        <w:rPr>
          <w:rFonts w:ascii="Times New Roman" w:hAnsi="Times New Roman"/>
          <w:bCs/>
          <w:sz w:val="24"/>
          <w:szCs w:val="24"/>
          <w:lang w:val="en-US"/>
        </w:rPr>
        <w:t>s of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hydrolyzable tannin compounds</w:t>
      </w:r>
      <w:r w:rsidR="0065006A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65A40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24</w:t>
      </w:r>
      <w:r w:rsidR="0065006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The hydroxyl groups of the carbohydrate in hydrolyzable tannin compounds provide negative charge in surface of the biomass as the pH increase</w:t>
      </w:r>
      <w:r w:rsidR="00E34F61" w:rsidRPr="00411101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lastRenderedPageBreak/>
        <w:t>Consequently, the electrostatic impulse between the identical charged target molecules decrease</w:t>
      </w:r>
      <w:r w:rsidR="00170E78" w:rsidRPr="00411101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 xml:space="preserve"> the adsorption capacity of 2</w:t>
      </w:r>
      <w:r w:rsidR="004E7BB1">
        <w:rPr>
          <w:rFonts w:ascii="Times New Roman" w:hAnsi="Times New Roman"/>
          <w:bCs/>
          <w:sz w:val="24"/>
          <w:szCs w:val="24"/>
          <w:lang w:val="en-US"/>
        </w:rPr>
        <w:t>,</w:t>
      </w:r>
      <w:r w:rsidR="00CA42ED" w:rsidRPr="00411101">
        <w:rPr>
          <w:rFonts w:ascii="Times New Roman" w:hAnsi="Times New Roman"/>
          <w:bCs/>
          <w:sz w:val="24"/>
          <w:szCs w:val="24"/>
          <w:lang w:val="en-US"/>
        </w:rPr>
        <w:t>4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-DCP in increasing pH of the 2</w:t>
      </w:r>
      <w:r w:rsidR="004E7BB1">
        <w:rPr>
          <w:rFonts w:ascii="Times New Roman" w:hAnsi="Times New Roman"/>
          <w:bCs/>
          <w:sz w:val="24"/>
          <w:szCs w:val="24"/>
          <w:lang w:val="en-US"/>
        </w:rPr>
        <w:t>,</w:t>
      </w:r>
      <w:r w:rsidR="00CA42ED" w:rsidRPr="00411101">
        <w:rPr>
          <w:rFonts w:ascii="Times New Roman" w:hAnsi="Times New Roman"/>
          <w:bCs/>
          <w:sz w:val="24"/>
          <w:szCs w:val="24"/>
          <w:lang w:val="en-US"/>
        </w:rPr>
        <w:t>4</w:t>
      </w:r>
      <w:r w:rsidR="004E7BB1">
        <w:rPr>
          <w:rFonts w:ascii="Times New Roman" w:hAnsi="Times New Roman"/>
          <w:bCs/>
          <w:sz w:val="24"/>
          <w:szCs w:val="24"/>
          <w:lang w:val="en-US"/>
        </w:rPr>
        <w:t>-DCP</w:t>
      </w:r>
      <w:r w:rsidR="00BE1766">
        <w:rPr>
          <w:rFonts w:ascii="Times New Roman" w:hAnsi="Times New Roman"/>
          <w:bCs/>
          <w:sz w:val="24"/>
          <w:szCs w:val="24"/>
          <w:lang w:val="en-US"/>
        </w:rPr>
        <w:t xml:space="preserve"> in aqueous solution. </w:t>
      </w:r>
    </w:p>
    <w:p w:rsidR="00BE1766" w:rsidRPr="00A0340B" w:rsidRDefault="000E6AB9" w:rsidP="000E6AB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11101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54C27279" wp14:editId="42AE6B7E">
            <wp:extent cx="5760720" cy="1986280"/>
            <wp:effectExtent l="0" t="0" r="0" b="0"/>
            <wp:docPr id="8" name="Nesnes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1CB4" w:rsidRPr="006C5E1C" w:rsidRDefault="00980BD4" w:rsidP="00A0340B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Fig</w:t>
      </w:r>
      <w:r w:rsidR="00FE6A03" w:rsidRPr="006C5E1C">
        <w:rPr>
          <w:rFonts w:ascii="Arial" w:hAnsi="Arial" w:cs="Arial"/>
          <w:b/>
          <w:sz w:val="16"/>
          <w:szCs w:val="16"/>
          <w:lang w:val="en-US"/>
        </w:rPr>
        <w:t xml:space="preserve">ure </w:t>
      </w:r>
      <w:r w:rsidRPr="006C5E1C">
        <w:rPr>
          <w:rFonts w:ascii="Arial" w:hAnsi="Arial" w:cs="Arial"/>
          <w:b/>
          <w:sz w:val="16"/>
          <w:szCs w:val="16"/>
          <w:lang w:val="en-US"/>
        </w:rPr>
        <w:t>2.</w:t>
      </w:r>
      <w:r w:rsidR="00406895" w:rsidRPr="006C5E1C">
        <w:rPr>
          <w:rFonts w:ascii="Arial" w:hAnsi="Arial" w:cs="Arial"/>
          <w:sz w:val="16"/>
          <w:szCs w:val="16"/>
          <w:lang w:val="en-US"/>
        </w:rPr>
        <w:t>The effect of pH on the equilibrium sorption capacities of sweetgum bark, for 2,4</w:t>
      </w:r>
      <w:r w:rsidR="004E7BB1" w:rsidRPr="006C5E1C">
        <w:rPr>
          <w:rFonts w:ascii="Arial" w:hAnsi="Arial" w:cs="Arial"/>
          <w:sz w:val="16"/>
          <w:szCs w:val="16"/>
          <w:lang w:val="en-US"/>
        </w:rPr>
        <w:t>-</w:t>
      </w:r>
      <w:r w:rsidR="00406895" w:rsidRPr="006C5E1C">
        <w:rPr>
          <w:rFonts w:ascii="Arial" w:hAnsi="Arial" w:cs="Arial"/>
          <w:sz w:val="16"/>
          <w:szCs w:val="16"/>
          <w:lang w:val="en-US"/>
        </w:rPr>
        <w:t>DCP</w:t>
      </w:r>
    </w:p>
    <w:p w:rsidR="008F4065" w:rsidRPr="00244615" w:rsidRDefault="007E03F3" w:rsidP="00BE176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>3.3</w:t>
      </w:r>
      <w:r w:rsidR="00BE26B0" w:rsidRPr="00244615">
        <w:rPr>
          <w:rFonts w:ascii="Times New Roman" w:hAnsi="Times New Roman"/>
          <w:b/>
          <w:i/>
          <w:sz w:val="24"/>
          <w:szCs w:val="24"/>
          <w:lang w:val="en-US"/>
        </w:rPr>
        <w:t>. Effect of contact</w:t>
      </w:r>
      <w:r w:rsidR="008F4065" w:rsidRPr="00244615">
        <w:rPr>
          <w:rFonts w:ascii="Times New Roman" w:hAnsi="Times New Roman"/>
          <w:b/>
          <w:i/>
          <w:sz w:val="24"/>
          <w:szCs w:val="24"/>
          <w:lang w:val="en-US"/>
        </w:rPr>
        <w:t xml:space="preserve"> time and initial concentration</w:t>
      </w:r>
    </w:p>
    <w:p w:rsidR="000E6AB9" w:rsidRDefault="008F4065" w:rsidP="006C5E1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rel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 xml:space="preserve">ationship between contact </w:t>
      </w:r>
      <w:r w:rsidRPr="00411101">
        <w:rPr>
          <w:rFonts w:ascii="Times New Roman" w:hAnsi="Times New Roman"/>
          <w:sz w:val="24"/>
          <w:szCs w:val="24"/>
          <w:lang w:val="en-US"/>
        </w:rPr>
        <w:t>tim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 xml:space="preserve">e and 2,4-DCP sorption on </w:t>
      </w:r>
      <w:r w:rsidRPr="00411101">
        <w:rPr>
          <w:rFonts w:ascii="Times New Roman" w:hAnsi="Times New Roman"/>
          <w:sz w:val="24"/>
          <w:szCs w:val="24"/>
          <w:lang w:val="en-US"/>
        </w:rPr>
        <w:t>sweetgum bark at different initial 2,4-DCP concent</w:t>
      </w:r>
      <w:r w:rsidR="00980BD4" w:rsidRPr="00411101">
        <w:rPr>
          <w:rFonts w:ascii="Times New Roman" w:hAnsi="Times New Roman"/>
          <w:sz w:val="24"/>
          <w:szCs w:val="24"/>
          <w:lang w:val="en-US"/>
        </w:rPr>
        <w:t>rations is presented in Figure 3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. The rate of sorption capacities increased slightly at contact time of 150 min. The sorption was not very rapid and </w:t>
      </w:r>
      <w:r w:rsidR="00D90B08" w:rsidRPr="00411101">
        <w:rPr>
          <w:rFonts w:ascii="Times New Roman" w:hAnsi="Times New Roman"/>
          <w:sz w:val="24"/>
          <w:szCs w:val="24"/>
          <w:lang w:val="en-US"/>
        </w:rPr>
        <w:t>t</w:t>
      </w:r>
      <w:r w:rsidRPr="00411101">
        <w:rPr>
          <w:rFonts w:ascii="Times New Roman" w:hAnsi="Times New Roman"/>
          <w:sz w:val="24"/>
          <w:szCs w:val="24"/>
          <w:lang w:val="en-US"/>
        </w:rPr>
        <w:t>he equilibrium time for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calculated from this study is more than </w:t>
      </w:r>
      <w:r w:rsidR="00A82B0A">
        <w:rPr>
          <w:rFonts w:ascii="Times New Roman" w:hAnsi="Times New Roman"/>
          <w:sz w:val="24"/>
          <w:szCs w:val="24"/>
          <w:lang w:val="en-US"/>
        </w:rPr>
        <w:t>what is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reported for phenols onto different biomass</w:t>
      </w:r>
      <w:r w:rsidR="00B65A4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2D47F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initial concentration of 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aqueous solution</w:t>
      </w:r>
      <w:r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ensures an important locomotive strength to</w:t>
      </w:r>
      <w:r w:rsidRPr="00411101">
        <w:rPr>
          <w:rFonts w:ascii="Times New Roman" w:hAnsi="Times New Roman"/>
          <w:sz w:val="24"/>
          <w:szCs w:val="24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accomplish all mass transfer resistances of adsorbate between the aqueous solid phase and therefore increases the rate </w:t>
      </w:r>
      <w:r w:rsidR="00B84438">
        <w:rPr>
          <w:rFonts w:ascii="Times New Roman" w:hAnsi="Times New Roman"/>
          <w:sz w:val="24"/>
          <w:szCs w:val="24"/>
          <w:lang w:val="en-US"/>
        </w:rPr>
        <w:t>of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adsorbate molecules pass</w:t>
      </w:r>
      <w:r w:rsidR="003704C1" w:rsidRPr="00411101">
        <w:rPr>
          <w:rFonts w:ascii="Times New Roman" w:hAnsi="Times New Roman"/>
          <w:sz w:val="24"/>
          <w:szCs w:val="24"/>
          <w:lang w:val="en-US"/>
        </w:rPr>
        <w:t>ing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from the solution to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 xml:space="preserve"> the adsorbent</w:t>
      </w:r>
      <w:r w:rsidR="00B84438">
        <w:rPr>
          <w:rFonts w:ascii="Times New Roman" w:hAnsi="Times New Roman"/>
          <w:sz w:val="24"/>
          <w:szCs w:val="24"/>
          <w:lang w:val="en-US"/>
        </w:rPr>
        <w:t xml:space="preserve"> surface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8D37BD">
        <w:rPr>
          <w:rFonts w:ascii="Times New Roman" w:hAnsi="Times New Roman"/>
          <w:sz w:val="24"/>
          <w:szCs w:val="24"/>
          <w:vertAlign w:val="superscript"/>
          <w:lang w:val="en-US"/>
        </w:rPr>
        <w:t>1,25-</w:t>
      </w:r>
      <w:r w:rsidR="00B84438">
        <w:rPr>
          <w:rFonts w:ascii="Times New Roman" w:hAnsi="Times New Roman"/>
          <w:sz w:val="24"/>
          <w:szCs w:val="24"/>
          <w:vertAlign w:val="superscript"/>
          <w:lang w:val="en-US"/>
        </w:rPr>
        <w:t>27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Accordingly, a low initial concentration of 2,4-DCP would decrease th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>e process of adsorption (Figure 3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). 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="00534266" w:rsidRPr="00411101">
        <w:rPr>
          <w:rFonts w:ascii="Times New Roman" w:hAnsi="Times New Roman"/>
          <w:sz w:val="24"/>
          <w:szCs w:val="24"/>
          <w:lang w:val="en-US"/>
        </w:rPr>
        <w:t>Taguchi’s Orthogonal Array (OA) analysis indicate</w:t>
      </w:r>
      <w:r w:rsidR="00957E0A"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534266" w:rsidRPr="00411101">
        <w:rPr>
          <w:rFonts w:ascii="Times New Roman" w:hAnsi="Times New Roman"/>
          <w:sz w:val="24"/>
          <w:szCs w:val="24"/>
          <w:lang w:val="en-US"/>
        </w:rPr>
        <w:t xml:space="preserve"> that the optimum of equilibrium time and initial concentration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534266" w:rsidRPr="00411101">
        <w:rPr>
          <w:rFonts w:ascii="Times New Roman" w:hAnsi="Times New Roman"/>
          <w:sz w:val="24"/>
          <w:szCs w:val="24"/>
          <w:lang w:val="en-US"/>
        </w:rPr>
        <w:t xml:space="preserve">4-DCP in this study </w:t>
      </w:r>
      <w:r w:rsidR="00E113F7" w:rsidRPr="00411101">
        <w:rPr>
          <w:rFonts w:ascii="Times New Roman" w:hAnsi="Times New Roman"/>
          <w:sz w:val="24"/>
          <w:szCs w:val="24"/>
          <w:lang w:val="en-US"/>
        </w:rPr>
        <w:t>are 150 min and 150 mg/L, respec</w:t>
      </w:r>
      <w:r w:rsidR="00534266" w:rsidRPr="00411101">
        <w:rPr>
          <w:rFonts w:ascii="Times New Roman" w:hAnsi="Times New Roman"/>
          <w:sz w:val="24"/>
          <w:szCs w:val="24"/>
          <w:lang w:val="en-US"/>
        </w:rPr>
        <w:t>tivel</w:t>
      </w:r>
      <w:r w:rsidR="00E113F7" w:rsidRPr="00411101">
        <w:rPr>
          <w:rFonts w:ascii="Times New Roman" w:hAnsi="Times New Roman"/>
          <w:sz w:val="24"/>
          <w:szCs w:val="24"/>
          <w:lang w:val="en-US"/>
        </w:rPr>
        <w:t xml:space="preserve">y </w:t>
      </w:r>
      <w:r w:rsidR="00E113F7" w:rsidRPr="004F06E5">
        <w:rPr>
          <w:rFonts w:ascii="Times New Roman" w:hAnsi="Times New Roman"/>
          <w:b/>
          <w:sz w:val="24"/>
          <w:szCs w:val="24"/>
          <w:lang w:val="en-US"/>
        </w:rPr>
        <w:t>(Figure</w:t>
      </w:r>
      <w:r w:rsidR="00B83885" w:rsidRPr="004F06E5">
        <w:rPr>
          <w:rFonts w:ascii="Times New Roman" w:hAnsi="Times New Roman"/>
          <w:b/>
          <w:sz w:val="24"/>
          <w:szCs w:val="24"/>
          <w:lang w:val="en-US"/>
        </w:rPr>
        <w:t xml:space="preserve"> 1).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E6AB9" w:rsidRDefault="000E6AB9" w:rsidP="006C5E1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6AB9" w:rsidRDefault="000E6AB9" w:rsidP="006C5E1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6AB9" w:rsidRPr="00411101" w:rsidRDefault="000E6AB9" w:rsidP="006C5E1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F4065" w:rsidRPr="00411101" w:rsidRDefault="000E6AB9" w:rsidP="0024461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3F44F7C2" wp14:editId="53E1AAB0">
            <wp:extent cx="5695950" cy="2305050"/>
            <wp:effectExtent l="0" t="0" r="0" b="0"/>
            <wp:docPr id="9" name="Grafi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7F58" w:rsidRPr="006C5E1C" w:rsidRDefault="00980BD4" w:rsidP="0064347C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Figu</w:t>
      </w:r>
      <w:r w:rsidR="00FE6A03" w:rsidRPr="006C5E1C">
        <w:rPr>
          <w:rFonts w:ascii="Arial" w:hAnsi="Arial" w:cs="Arial"/>
          <w:b/>
          <w:sz w:val="16"/>
          <w:szCs w:val="16"/>
          <w:lang w:val="en-US"/>
        </w:rPr>
        <w:t>r</w:t>
      </w:r>
      <w:r w:rsidRPr="006C5E1C">
        <w:rPr>
          <w:rFonts w:ascii="Arial" w:hAnsi="Arial" w:cs="Arial"/>
          <w:b/>
          <w:sz w:val="16"/>
          <w:szCs w:val="16"/>
          <w:lang w:val="en-US"/>
        </w:rPr>
        <w:t>e 3</w:t>
      </w:r>
      <w:r w:rsidRPr="006C5E1C">
        <w:rPr>
          <w:rFonts w:ascii="Arial" w:hAnsi="Arial" w:cs="Arial"/>
          <w:sz w:val="16"/>
          <w:szCs w:val="16"/>
          <w:lang w:val="en-US"/>
        </w:rPr>
        <w:t>.</w:t>
      </w:r>
      <w:r w:rsidR="008F4065" w:rsidRPr="006C5E1C">
        <w:rPr>
          <w:rFonts w:ascii="Arial" w:hAnsi="Arial" w:cs="Arial"/>
          <w:sz w:val="16"/>
          <w:szCs w:val="16"/>
          <w:lang w:val="en-US"/>
        </w:rPr>
        <w:t xml:space="preserve"> </w:t>
      </w:r>
      <w:r w:rsidR="00626FB2" w:rsidRPr="006C5E1C">
        <w:rPr>
          <w:rFonts w:ascii="Arial" w:hAnsi="Arial" w:cs="Arial"/>
          <w:sz w:val="16"/>
          <w:szCs w:val="16"/>
          <w:lang w:val="en-US"/>
        </w:rPr>
        <w:t>The sorption equilibration time of 2,4-DCP by dried sweetgum bark (biomass: 1 g, 2,4-DCP concentration: 25,50,100,150, 200 mg/I: temperature 20±0.</w:t>
      </w:r>
      <w:r w:rsidR="0064347C" w:rsidRPr="006C5E1C">
        <w:rPr>
          <w:rFonts w:ascii="Arial" w:hAnsi="Arial" w:cs="Arial"/>
          <w:sz w:val="16"/>
          <w:szCs w:val="16"/>
          <w:lang w:val="en-US"/>
        </w:rPr>
        <w:t>5, agitation rate: 125 rpm)</w:t>
      </w:r>
    </w:p>
    <w:p w:rsidR="00BD0F01" w:rsidRPr="00DE7F58" w:rsidRDefault="007E03F3" w:rsidP="00DE7F5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t xml:space="preserve">3.4. </w:t>
      </w:r>
      <w:r w:rsidR="00BD0F01" w:rsidRPr="00244615">
        <w:rPr>
          <w:rFonts w:ascii="Times New Roman" w:hAnsi="Times New Roman"/>
          <w:b/>
          <w:i/>
          <w:sz w:val="24"/>
          <w:szCs w:val="24"/>
          <w:lang w:val="en-US"/>
        </w:rPr>
        <w:t>Adsorption kinetic models</w:t>
      </w:r>
    </w:p>
    <w:p w:rsidR="008B189E" w:rsidRDefault="004352C9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 xml:space="preserve">he pseudo - first-order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model and the pseudo - second-order model 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>we</w:t>
      </w:r>
      <w:r w:rsidRPr="00411101">
        <w:rPr>
          <w:rFonts w:ascii="Times New Roman" w:hAnsi="Times New Roman"/>
          <w:sz w:val="24"/>
          <w:szCs w:val="24"/>
          <w:lang w:val="en-US"/>
        </w:rPr>
        <w:t>re performed</w:t>
      </w:r>
      <w:r w:rsidR="001670E4" w:rsidRPr="00411101">
        <w:rPr>
          <w:rFonts w:ascii="Times New Roman" w:hAnsi="Times New Roman"/>
          <w:sz w:val="24"/>
          <w:szCs w:val="24"/>
          <w:lang w:val="en-US"/>
        </w:rPr>
        <w:t xml:space="preserve"> to the experimental parameters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 xml:space="preserve"> to evaluate the adsorption kinetics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 xml:space="preserve">4-DCP 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>onto sweetgum bark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 this study</w:t>
      </w:r>
      <w:r w:rsidR="00B83885" w:rsidRPr="00411101">
        <w:rPr>
          <w:rFonts w:ascii="Times New Roman" w:hAnsi="Times New Roman"/>
          <w:sz w:val="24"/>
          <w:szCs w:val="24"/>
          <w:lang w:val="en-US"/>
        </w:rPr>
        <w:t>.</w:t>
      </w:r>
    </w:p>
    <w:p w:rsidR="00BD0F01" w:rsidRPr="008B189E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i/>
          <w:sz w:val="24"/>
          <w:szCs w:val="24"/>
          <w:lang w:val="en-US"/>
        </w:rPr>
        <w:t>Pseudo-first-order model and Pseudo-second-order model</w:t>
      </w:r>
    </w:p>
    <w:p w:rsidR="00BD0F01" w:rsidRPr="00BC5C27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The kinetic of biosorption by any biological material in an aqueous solution has been tested for the pseudo-first-order </w:t>
      </w:r>
      <w:r w:rsidR="004352C9" w:rsidRPr="00411101">
        <w:rPr>
          <w:rFonts w:ascii="Times New Roman" w:hAnsi="Times New Roman"/>
          <w:sz w:val="24"/>
          <w:szCs w:val="24"/>
          <w:lang w:val="en-US"/>
        </w:rPr>
        <w:t xml:space="preserve">model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equation given by Lagergren. </w:t>
      </w:r>
      <w:r w:rsidR="004352C9" w:rsidRPr="00411101">
        <w:rPr>
          <w:rFonts w:ascii="Times New Roman" w:hAnsi="Times New Roman"/>
          <w:sz w:val="24"/>
          <w:szCs w:val="24"/>
          <w:lang w:val="en-US"/>
        </w:rPr>
        <w:t>The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pseudo-second-order model </w:t>
      </w:r>
      <w:r w:rsidR="004352C9" w:rsidRPr="00411101">
        <w:rPr>
          <w:rFonts w:ascii="Times New Roman" w:hAnsi="Times New Roman"/>
          <w:sz w:val="24"/>
          <w:szCs w:val="24"/>
          <w:lang w:val="en-US"/>
        </w:rPr>
        <w:t xml:space="preserve">may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provide a better description of the </w:t>
      </w:r>
      <w:r w:rsidR="00B84438">
        <w:rPr>
          <w:rFonts w:ascii="Times New Roman" w:hAnsi="Times New Roman"/>
          <w:sz w:val="24"/>
          <w:szCs w:val="24"/>
          <w:lang w:val="en-US"/>
        </w:rPr>
        <w:t>adsorption kinetics</w:t>
      </w:r>
      <w:r w:rsidR="00BC5C27">
        <w:rPr>
          <w:rFonts w:ascii="Times New Roman" w:hAnsi="Times New Roman"/>
          <w:sz w:val="24"/>
          <w:szCs w:val="24"/>
          <w:lang w:val="en-US"/>
        </w:rPr>
        <w:t>.</w:t>
      </w:r>
      <w:r w:rsidR="00B84438">
        <w:rPr>
          <w:rFonts w:ascii="Times New Roman" w:hAnsi="Times New Roman"/>
          <w:sz w:val="24"/>
          <w:szCs w:val="24"/>
          <w:vertAlign w:val="superscript"/>
          <w:lang w:val="en-US"/>
        </w:rPr>
        <w:t>7,18</w:t>
      </w:r>
    </w:p>
    <w:p w:rsidR="00312831" w:rsidRPr="00411101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pseud-first-order Lagergren equation is:</w:t>
      </w:r>
    </w:p>
    <w:p w:rsidR="00312831" w:rsidRPr="00411101" w:rsidRDefault="00590771" w:rsidP="008B18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qe-qt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qecal  -(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 xml:space="preserve">2,303 </m:t>
                    </m:r>
                  </m:den>
                </m:f>
              </m:e>
            </m:func>
          </m:e>
        </m:func>
      </m:oMath>
      <w:r w:rsidR="00312831">
        <w:rPr>
          <w:rFonts w:ascii="Times New Roman" w:hAnsi="Times New Roman"/>
          <w:sz w:val="24"/>
          <w:szCs w:val="24"/>
          <w:lang w:val="en-US"/>
        </w:rPr>
        <w:t>)t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(</w:t>
      </w:r>
      <w:r w:rsidR="00B30B87" w:rsidRPr="00411101">
        <w:rPr>
          <w:rFonts w:ascii="Times New Roman" w:hAnsi="Times New Roman"/>
          <w:sz w:val="24"/>
          <w:szCs w:val="24"/>
          <w:lang w:val="en-US"/>
        </w:rPr>
        <w:t>2</w:t>
      </w:r>
      <w:r w:rsidR="0028083D">
        <w:rPr>
          <w:rFonts w:ascii="Times New Roman" w:hAnsi="Times New Roman"/>
          <w:sz w:val="24"/>
          <w:szCs w:val="24"/>
          <w:lang w:val="en-US"/>
        </w:rPr>
        <w:t>)</w:t>
      </w:r>
    </w:p>
    <w:p w:rsidR="00B30B87" w:rsidRPr="00411101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qe and qt are the amount of 2,4-DCP adsorbed per unit of biomass (mg/g) at equilibrium and at time t, t is the contact time (min) and 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is the rate constant of this equatio</w:t>
      </w:r>
      <w:r w:rsidR="003E749E" w:rsidRPr="00411101">
        <w:rPr>
          <w:rFonts w:ascii="Times New Roman" w:hAnsi="Times New Roman"/>
          <w:sz w:val="24"/>
          <w:szCs w:val="24"/>
          <w:lang w:val="en-US"/>
        </w:rPr>
        <w:t>n (1/min). The values of 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and q</w:t>
      </w:r>
      <w:r w:rsidR="003E749E"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ecal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were calculated from a plot of log (qe−qt) versus t.</w:t>
      </w:r>
    </w:p>
    <w:p w:rsidR="00BD0F01" w:rsidRPr="00411101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 The pseudo-second-order kinetic equation is</w:t>
      </w:r>
      <w:r w:rsidR="004B4BA6">
        <w:rPr>
          <w:rFonts w:ascii="Times New Roman" w:hAnsi="Times New Roman"/>
          <w:sz w:val="24"/>
          <w:szCs w:val="24"/>
          <w:vertAlign w:val="superscript"/>
          <w:lang w:val="en-US"/>
        </w:rPr>
        <w:t>18,28</w:t>
      </w:r>
    </w:p>
    <w:p w:rsidR="00BD0F01" w:rsidRPr="00411101" w:rsidRDefault="00590771" w:rsidP="008B18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qt</m:t>
            </m:r>
          </m:den>
        </m:f>
      </m:oMath>
      <w:r w:rsidR="00057195">
        <w:rPr>
          <w:rFonts w:ascii="Times New Roman" w:hAnsi="Times New Roman"/>
          <w:sz w:val="24"/>
          <w:szCs w:val="24"/>
          <w:lang w:val="en-US"/>
        </w:rPr>
        <w:t>=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  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. 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ecal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bSup>
          </m:den>
        </m:f>
      </m:oMath>
      <w:r w:rsidR="00AA791D"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+ 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ecal</m:t>
                </m:r>
              </m:sub>
            </m:sSub>
          </m:den>
        </m:f>
      </m:oMath>
      <w:r w:rsidR="00491EAB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AA791D" w:rsidRPr="00411101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491EAB">
        <w:rPr>
          <w:rFonts w:ascii="Times New Roman" w:hAnsi="Times New Roman"/>
          <w:sz w:val="24"/>
          <w:szCs w:val="24"/>
          <w:lang w:val="en-US"/>
        </w:rPr>
        <w:t>h=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="00AA791D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ecal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bSup>
      </m:oMath>
      <w:r w:rsidR="00AA791D" w:rsidRPr="00411101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>(</w:t>
      </w:r>
      <w:r w:rsidR="00B30B87" w:rsidRPr="00411101">
        <w:rPr>
          <w:rFonts w:ascii="Times New Roman" w:hAnsi="Times New Roman"/>
          <w:sz w:val="24"/>
          <w:szCs w:val="24"/>
          <w:lang w:val="en-US"/>
        </w:rPr>
        <w:t>3</w:t>
      </w:r>
      <w:r w:rsidR="00BD0F01" w:rsidRPr="00411101">
        <w:rPr>
          <w:rFonts w:ascii="Times New Roman" w:hAnsi="Times New Roman"/>
          <w:sz w:val="24"/>
          <w:szCs w:val="24"/>
          <w:lang w:val="en-US"/>
        </w:rPr>
        <w:t>)</w:t>
      </w:r>
    </w:p>
    <w:p w:rsidR="00AA791D" w:rsidRPr="00411101" w:rsidRDefault="00BD0F01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h represents the initial a</w:t>
      </w:r>
      <w:r w:rsidR="00AA791D" w:rsidRPr="00411101">
        <w:rPr>
          <w:rFonts w:ascii="Times New Roman" w:hAnsi="Times New Roman"/>
          <w:sz w:val="24"/>
          <w:szCs w:val="24"/>
          <w:lang w:val="en-US"/>
        </w:rPr>
        <w:t>dsorption rate (mg/g min), and 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411101">
        <w:rPr>
          <w:rFonts w:ascii="Times New Roman" w:hAnsi="Times New Roman"/>
          <w:sz w:val="24"/>
          <w:szCs w:val="24"/>
          <w:lang w:val="en-US"/>
        </w:rPr>
        <w:t>is the rate constant  in the pseudo-second-order kinetic model (g / mg.min). The values of q</w:t>
      </w:r>
      <w:r w:rsidR="00AA791D"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ecal</w:t>
      </w:r>
      <w:r w:rsidR="00AA791D" w:rsidRPr="00411101">
        <w:rPr>
          <w:rFonts w:ascii="Times New Roman" w:hAnsi="Times New Roman"/>
          <w:sz w:val="24"/>
          <w:szCs w:val="24"/>
          <w:lang w:val="en-US"/>
        </w:rPr>
        <w:t>, 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and h can be obtained </w:t>
      </w:r>
      <w:r w:rsidR="00AA791D" w:rsidRPr="00411101">
        <w:rPr>
          <w:rFonts w:ascii="Times New Roman" w:hAnsi="Times New Roman"/>
          <w:sz w:val="24"/>
          <w:szCs w:val="24"/>
          <w:lang w:val="en-US"/>
        </w:rPr>
        <w:t>by a linear plot of t/qt versus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t.</w:t>
      </w:r>
    </w:p>
    <w:p w:rsidR="004F06E5" w:rsidRDefault="008C038E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linear regression correlation coefficient (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R</w:t>
      </w:r>
      <w:r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values for 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>Lagergren-first order kinetic model  range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t>d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from 0.8140 to 0.9922</w:t>
      </w:r>
      <w:r w:rsidRPr="00411101">
        <w:rPr>
          <w:rFonts w:ascii="Times New Roman" w:hAnsi="Times New Roman"/>
          <w:sz w:val="24"/>
          <w:szCs w:val="24"/>
          <w:lang w:val="en-US"/>
        </w:rPr>
        <w:t>, which was lower than the R</w:t>
      </w:r>
      <w:r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values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for P</w:t>
      </w:r>
      <w:r w:rsidRPr="00411101">
        <w:rPr>
          <w:rFonts w:ascii="Times New Roman" w:hAnsi="Times New Roman"/>
          <w:sz w:val="24"/>
          <w:szCs w:val="24"/>
          <w:lang w:val="en-US"/>
        </w:rPr>
        <w:t>seudo-second</w:t>
      </w:r>
      <w:r w:rsidR="00BE176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order kinetic model which ranged from 0.8140 to 0.9999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0099" w:rsidRPr="004F06E5">
        <w:rPr>
          <w:rFonts w:ascii="Times New Roman" w:hAnsi="Times New Roman"/>
          <w:b/>
          <w:sz w:val="24"/>
          <w:szCs w:val="24"/>
          <w:lang w:val="en-US"/>
        </w:rPr>
        <w:t>(Table 3)</w:t>
      </w:r>
      <w:r w:rsidRPr="004F06E5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reaction involved 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>in present biosorption system may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not 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t xml:space="preserve">be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of the 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Lagergren </w:t>
      </w:r>
      <w:r w:rsidRPr="00411101">
        <w:rPr>
          <w:rFonts w:ascii="Times New Roman" w:hAnsi="Times New Roman"/>
          <w:sz w:val="24"/>
          <w:szCs w:val="24"/>
          <w:lang w:val="en-US"/>
        </w:rPr>
        <w:t>-first-order kin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etic model. 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t>The whole range of</w:t>
      </w:r>
      <w:r w:rsidR="006434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lastRenderedPageBreak/>
        <w:t>data might not be sufficiently described by t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>he Lagergren-</w:t>
      </w:r>
      <w:r w:rsidR="00A82B0A">
        <w:rPr>
          <w:rFonts w:ascii="Times New Roman" w:hAnsi="Times New Roman"/>
          <w:sz w:val="24"/>
          <w:szCs w:val="24"/>
          <w:lang w:val="en-US"/>
        </w:rPr>
        <w:t>first order kinetics</w:t>
      </w:r>
      <w:r w:rsidRPr="00411101">
        <w:rPr>
          <w:rFonts w:ascii="Times New Roman" w:hAnsi="Times New Roman"/>
          <w:sz w:val="24"/>
          <w:szCs w:val="24"/>
        </w:rPr>
        <w:t>.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Moreover, the </w:t>
      </w:r>
      <w:r w:rsidRPr="00411101">
        <w:rPr>
          <w:rFonts w:ascii="Times New Roman" w:hAnsi="Times New Roman"/>
          <w:sz w:val="24"/>
          <w:szCs w:val="24"/>
          <w:lang w:val="en-US"/>
        </w:rPr>
        <w:t>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ecal </w:t>
      </w:r>
      <w:r w:rsidRPr="00411101">
        <w:rPr>
          <w:rFonts w:ascii="Times New Roman" w:hAnsi="Times New Roman"/>
          <w:sz w:val="24"/>
          <w:szCs w:val="24"/>
          <w:lang w:val="en-US"/>
        </w:rPr>
        <w:t>values for pseudo-second-order kinetic model were cl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>ose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t>r to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the experimental qe values </w:t>
      </w:r>
      <w:r w:rsidR="00A82B0A">
        <w:rPr>
          <w:rFonts w:ascii="Times New Roman" w:hAnsi="Times New Roman"/>
          <w:sz w:val="24"/>
          <w:szCs w:val="24"/>
          <w:lang w:val="en-US"/>
        </w:rPr>
        <w:t xml:space="preserve">than the calculated </w:t>
      </w:r>
      <w:r w:rsidRPr="00411101">
        <w:rPr>
          <w:rFonts w:ascii="Times New Roman" w:hAnsi="Times New Roman"/>
          <w:sz w:val="24"/>
          <w:szCs w:val="24"/>
          <w:lang w:val="en-US"/>
        </w:rPr>
        <w:t>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ecal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values for Lagergren </w:t>
      </w:r>
      <w:r w:rsidRPr="00411101">
        <w:rPr>
          <w:rFonts w:ascii="Times New Roman" w:hAnsi="Times New Roman"/>
          <w:sz w:val="24"/>
          <w:szCs w:val="24"/>
          <w:lang w:val="en-US"/>
        </w:rPr>
        <w:t>-frist-order kinetic model</w:t>
      </w:r>
      <w:r w:rsidR="001B0099" w:rsidRPr="00411101">
        <w:rPr>
          <w:rFonts w:ascii="Times New Roman" w:hAnsi="Times New Roman"/>
          <w:sz w:val="24"/>
          <w:szCs w:val="24"/>
          <w:lang w:val="en-US"/>
        </w:rPr>
        <w:t xml:space="preserve"> (Table 3)</w:t>
      </w:r>
      <w:r w:rsidRPr="00411101">
        <w:rPr>
          <w:rFonts w:ascii="Times New Roman" w:hAnsi="Times New Roman"/>
          <w:sz w:val="24"/>
          <w:szCs w:val="24"/>
          <w:lang w:val="en-US"/>
        </w:rPr>
        <w:t>. Th</w:t>
      </w:r>
      <w:r w:rsidR="000E00DC" w:rsidRPr="00411101">
        <w:rPr>
          <w:rFonts w:ascii="Times New Roman" w:hAnsi="Times New Roman"/>
          <w:sz w:val="24"/>
          <w:szCs w:val="24"/>
          <w:lang w:val="en-US"/>
        </w:rPr>
        <w:t xml:space="preserve">ese </w:t>
      </w:r>
      <w:r w:rsidR="00AF77A1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values show that pseudo-second-order kinetic fit</w:t>
      </w:r>
      <w:r w:rsidR="00BB31E6"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4E7BB1">
        <w:rPr>
          <w:rFonts w:ascii="Times New Roman" w:hAnsi="Times New Roman"/>
          <w:sz w:val="24"/>
          <w:szCs w:val="24"/>
          <w:lang w:val="en-US"/>
        </w:rPr>
        <w:t xml:space="preserve"> for the biosorption of 2,</w:t>
      </w:r>
      <w:r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4E7BB1">
        <w:rPr>
          <w:rFonts w:ascii="Times New Roman" w:hAnsi="Times New Roman"/>
          <w:sz w:val="24"/>
          <w:szCs w:val="24"/>
          <w:lang w:val="en-US"/>
        </w:rPr>
        <w:t>-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D</w:t>
      </w:r>
      <w:r w:rsidR="00DA58CC" w:rsidRPr="00411101">
        <w:rPr>
          <w:rFonts w:ascii="Times New Roman" w:hAnsi="Times New Roman"/>
          <w:sz w:val="24"/>
          <w:szCs w:val="24"/>
          <w:lang w:val="en-US"/>
        </w:rPr>
        <w:t xml:space="preserve">CP on the sweetgum bark. Figure 4 </w:t>
      </w:r>
      <w:r w:rsidRPr="00411101">
        <w:rPr>
          <w:rFonts w:ascii="Times New Roman" w:hAnsi="Times New Roman"/>
          <w:sz w:val="24"/>
          <w:szCs w:val="24"/>
          <w:lang w:val="en-US"/>
        </w:rPr>
        <w:t>was the linearized plots of the ps</w:t>
      </w:r>
      <w:r w:rsidR="004E7BB1">
        <w:rPr>
          <w:rFonts w:ascii="Times New Roman" w:hAnsi="Times New Roman"/>
          <w:sz w:val="24"/>
          <w:szCs w:val="24"/>
          <w:lang w:val="en-US"/>
        </w:rPr>
        <w:t>eudo-second-order kinetic for 2,4-</w:t>
      </w:r>
      <w:r w:rsidRPr="00411101">
        <w:rPr>
          <w:rFonts w:ascii="Times New Roman" w:hAnsi="Times New Roman"/>
          <w:sz w:val="24"/>
          <w:szCs w:val="24"/>
          <w:lang w:val="en-US"/>
        </w:rPr>
        <w:t>DCP biosorptio</w:t>
      </w:r>
      <w:r w:rsidR="00DA58CC" w:rsidRPr="00411101">
        <w:rPr>
          <w:rFonts w:ascii="Times New Roman" w:hAnsi="Times New Roman"/>
          <w:sz w:val="24"/>
          <w:szCs w:val="24"/>
          <w:lang w:val="en-US"/>
        </w:rPr>
        <w:t>n. The P</w:t>
      </w:r>
      <w:r w:rsidRPr="00411101">
        <w:rPr>
          <w:rFonts w:ascii="Times New Roman" w:hAnsi="Times New Roman"/>
          <w:sz w:val="24"/>
          <w:szCs w:val="24"/>
          <w:lang w:val="en-US"/>
        </w:rPr>
        <w:t>seudo-second-order kinetic model was suitable for al</w:t>
      </w:r>
      <w:r w:rsidR="00DA58CC" w:rsidRPr="00411101">
        <w:rPr>
          <w:rFonts w:ascii="Times New Roman" w:hAnsi="Times New Roman"/>
          <w:sz w:val="24"/>
          <w:szCs w:val="24"/>
          <w:lang w:val="en-US"/>
        </w:rPr>
        <w:t>l the data. The process of the P</w:t>
      </w:r>
      <w:r w:rsidRPr="00411101">
        <w:rPr>
          <w:rFonts w:ascii="Times New Roman" w:hAnsi="Times New Roman"/>
          <w:sz w:val="24"/>
          <w:szCs w:val="24"/>
          <w:lang w:val="en-US"/>
        </w:rPr>
        <w:t>seudo-first-order kinetic model has been used for adsorption of reversible with an equilibrium being established between adsorbate and adsorbent systems although th</w:t>
      </w:r>
      <w:r w:rsidR="00DA58CC" w:rsidRPr="00411101">
        <w:rPr>
          <w:rFonts w:ascii="Times New Roman" w:hAnsi="Times New Roman"/>
          <w:sz w:val="24"/>
          <w:szCs w:val="24"/>
          <w:lang w:val="en-US"/>
        </w:rPr>
        <w:t>e process of the P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seudo-second-order kinetic model demonstrates chemisorptions which </w:t>
      </w:r>
      <w:r w:rsidR="00DA58CC" w:rsidRPr="00411101">
        <w:rPr>
          <w:rFonts w:ascii="Times New Roman" w:hAnsi="Times New Roman"/>
          <w:sz w:val="24"/>
          <w:szCs w:val="24"/>
          <w:lang w:val="en-US"/>
        </w:rPr>
        <w:t>control the adsorption such as V</w:t>
      </w:r>
      <w:r w:rsidRPr="00411101">
        <w:rPr>
          <w:rFonts w:ascii="Times New Roman" w:hAnsi="Times New Roman"/>
          <w:sz w:val="24"/>
          <w:szCs w:val="24"/>
          <w:lang w:val="en-US"/>
        </w:rPr>
        <w:t>ander Waals, hydrogen bonding, ion exchange etc</w:t>
      </w:r>
      <w:r w:rsidR="00BC5C27">
        <w:rPr>
          <w:rFonts w:ascii="Times New Roman" w:hAnsi="Times New Roman"/>
          <w:sz w:val="24"/>
          <w:szCs w:val="24"/>
          <w:lang w:val="en-US"/>
        </w:rPr>
        <w:t>.</w:t>
      </w:r>
      <w:r w:rsidR="004B4BA6">
        <w:rPr>
          <w:rFonts w:ascii="Times New Roman" w:hAnsi="Times New Roman"/>
          <w:sz w:val="24"/>
          <w:szCs w:val="24"/>
          <w:vertAlign w:val="superscript"/>
          <w:lang w:val="en-US"/>
        </w:rPr>
        <w:t>29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 The</w:t>
      </w:r>
      <w:r w:rsidR="004E7BB1">
        <w:rPr>
          <w:rFonts w:ascii="Times New Roman" w:hAnsi="Times New Roman"/>
          <w:sz w:val="24"/>
          <w:szCs w:val="24"/>
          <w:lang w:val="en-US"/>
        </w:rPr>
        <w:t xml:space="preserve"> process of   2,4- </w:t>
      </w:r>
      <w:r w:rsidRPr="00411101">
        <w:rPr>
          <w:rFonts w:ascii="Times New Roman" w:hAnsi="Times New Roman"/>
          <w:sz w:val="24"/>
          <w:szCs w:val="24"/>
          <w:lang w:val="en-US"/>
        </w:rPr>
        <w:t>DCP adso</w:t>
      </w:r>
      <w:r w:rsidR="00A82B0A">
        <w:rPr>
          <w:rFonts w:ascii="Times New Roman" w:hAnsi="Times New Roman"/>
          <w:sz w:val="24"/>
          <w:szCs w:val="24"/>
          <w:lang w:val="en-US"/>
        </w:rPr>
        <w:t xml:space="preserve">rption in sweetgum bark can be </w:t>
      </w:r>
      <w:r w:rsidRPr="00411101">
        <w:rPr>
          <w:rFonts w:ascii="Times New Roman" w:hAnsi="Times New Roman"/>
          <w:sz w:val="24"/>
          <w:szCs w:val="24"/>
          <w:lang w:val="en-US"/>
        </w:rPr>
        <w:t>chemisorptions</w:t>
      </w:r>
      <w:r w:rsidR="00770397">
        <w:rPr>
          <w:rFonts w:ascii="Times New Roman" w:hAnsi="Times New Roman"/>
          <w:sz w:val="24"/>
          <w:szCs w:val="24"/>
          <w:lang w:val="en-US"/>
        </w:rPr>
        <w:t>.</w:t>
      </w:r>
    </w:p>
    <w:p w:rsidR="004F06E5" w:rsidRPr="004F06E5" w:rsidRDefault="004F06E5" w:rsidP="004F06E5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Table3</w:t>
      </w:r>
      <w:r w:rsidRPr="006C5E1C">
        <w:rPr>
          <w:rFonts w:ascii="Arial" w:hAnsi="Arial" w:cs="Arial"/>
          <w:sz w:val="16"/>
          <w:szCs w:val="16"/>
          <w:lang w:val="en-US"/>
        </w:rPr>
        <w:t xml:space="preserve">. Parameters of </w:t>
      </w:r>
      <w:r w:rsidRPr="006C5E1C">
        <w:rPr>
          <w:rFonts w:ascii="Arial" w:hAnsi="Arial" w:cs="Arial"/>
          <w:sz w:val="16"/>
          <w:szCs w:val="16"/>
        </w:rPr>
        <w:t xml:space="preserve">Lagergren-first order kinetic model Pseudo-second order kinetic model for </w:t>
      </w:r>
      <w:r w:rsidRPr="006C5E1C">
        <w:rPr>
          <w:rFonts w:ascii="Arial" w:hAnsi="Arial" w:cs="Arial"/>
          <w:sz w:val="16"/>
          <w:szCs w:val="16"/>
          <w:lang w:val="en-US"/>
        </w:rPr>
        <w:t>2,4- DCP adsorption onto sweetgum bark (pH: 2; biomass: 1 g, temperature 20±0.5, agitation rate: 125 rpm)</w:t>
      </w:r>
    </w:p>
    <w:p w:rsidR="00546D21" w:rsidRPr="00411101" w:rsidRDefault="00546D21" w:rsidP="008B18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400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3E749E" w:rsidRPr="00411101" w:rsidTr="009C7BED">
        <w:trPr>
          <w:trHeight w:val="34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03F3" w:rsidRPr="00546D21" w:rsidRDefault="00895148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(mg/L)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Lagergren-first order kinetic model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Pseudo-second order kinetic model</w:t>
            </w:r>
          </w:p>
        </w:tc>
      </w:tr>
      <w:tr w:rsidR="003E749E" w:rsidRPr="00411101" w:rsidTr="009C7BED">
        <w:trPr>
          <w:trHeight w:hRule="exact" w:val="851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D57F0C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2.4 DCP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q</w:t>
            </w:r>
            <w:r w:rsidRPr="00546D21">
              <w:rPr>
                <w:rFonts w:ascii="Times New Roman" w:hAnsi="Times New Roman"/>
                <w:sz w:val="20"/>
                <w:szCs w:val="20"/>
                <w:vertAlign w:val="subscript"/>
              </w:rPr>
              <w:t>e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(mg/g)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K</w:t>
            </w:r>
            <w:r w:rsidRPr="00546D21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(min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q</w:t>
            </w:r>
            <w:r w:rsidRPr="00546D21">
              <w:rPr>
                <w:rFonts w:ascii="Times New Roman" w:hAnsi="Times New Roman"/>
                <w:sz w:val="20"/>
                <w:szCs w:val="20"/>
                <w:vertAlign w:val="subscript"/>
              </w:rPr>
              <w:t>ecal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R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q</w:t>
            </w:r>
            <w:r w:rsidRPr="00546D21">
              <w:rPr>
                <w:rFonts w:ascii="Times New Roman" w:hAnsi="Times New Roman"/>
                <w:sz w:val="20"/>
                <w:szCs w:val="20"/>
                <w:vertAlign w:val="subscript"/>
              </w:rPr>
              <w:t>eca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l</w:t>
            </w:r>
          </w:p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(mg/g)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K</w:t>
            </w:r>
            <w:r w:rsidRPr="00546D2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(gmg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="009C7BED">
              <w:rPr>
                <w:rFonts w:ascii="Times New Roman" w:hAnsi="Times New Roman"/>
                <w:sz w:val="20"/>
                <w:szCs w:val="20"/>
              </w:rPr>
              <w:t>)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min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546D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R</w:t>
            </w:r>
            <w:r w:rsidRPr="00546D2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3E749E" w:rsidRPr="00411101" w:rsidTr="009C7BED">
        <w:trPr>
          <w:trHeight w:hRule="exact" w:val="340"/>
        </w:trPr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0,269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0,029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0,8124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0,514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0,0187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0,814</w:t>
            </w:r>
          </w:p>
        </w:tc>
      </w:tr>
      <w:tr w:rsidR="003E749E" w:rsidRPr="00411101" w:rsidTr="009C7BED">
        <w:trPr>
          <w:trHeight w:hRule="exact" w:val="340"/>
        </w:trPr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0,963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2,43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0,9922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1,049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0,0257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0,8619</w:t>
            </w:r>
          </w:p>
        </w:tc>
      </w:tr>
      <w:tr w:rsidR="003E749E" w:rsidRPr="00411101" w:rsidTr="009C7BED">
        <w:trPr>
          <w:trHeight w:hRule="exact" w:val="340"/>
        </w:trPr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2,013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1,74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0,029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0,8124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2,077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0,0984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0,9999</w:t>
            </w:r>
          </w:p>
        </w:tc>
      </w:tr>
      <w:tr w:rsidR="003E749E" w:rsidRPr="00411101" w:rsidTr="009C7BED">
        <w:trPr>
          <w:trHeight w:hRule="exact" w:val="340"/>
        </w:trPr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5,243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0,013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0,9609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5,482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0,0182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0,9967</w:t>
            </w:r>
          </w:p>
        </w:tc>
      </w:tr>
      <w:tr w:rsidR="003E749E" w:rsidRPr="00411101" w:rsidTr="009C7BED">
        <w:trPr>
          <w:trHeight w:hRule="exact" w:val="340"/>
        </w:trPr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4,828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2,16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0,012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0,9483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4,900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0,0584</w:t>
            </w:r>
          </w:p>
        </w:tc>
        <w:tc>
          <w:tcPr>
            <w:tcW w:w="1191" w:type="dxa"/>
            <w:shd w:val="clear" w:color="auto" w:fill="auto"/>
          </w:tcPr>
          <w:p w:rsidR="003E749E" w:rsidRPr="00546D21" w:rsidRDefault="003E749E" w:rsidP="003038E6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D21">
              <w:rPr>
                <w:rFonts w:ascii="Times New Roman" w:hAnsi="Times New Roman"/>
                <w:sz w:val="20"/>
                <w:szCs w:val="20"/>
              </w:rPr>
              <w:t>0,9995</w:t>
            </w:r>
          </w:p>
        </w:tc>
      </w:tr>
    </w:tbl>
    <w:p w:rsidR="006C5E1C" w:rsidRPr="006C5E1C" w:rsidRDefault="006C5E1C" w:rsidP="0064347C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1B0099" w:rsidRPr="00411101" w:rsidRDefault="000E6AB9" w:rsidP="003853CC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noProof/>
          <w:lang w:eastAsia="tr-TR"/>
        </w:rPr>
        <w:drawing>
          <wp:inline distT="0" distB="0" distL="0" distR="0" wp14:anchorId="03E54DF4" wp14:editId="0EEC40DE">
            <wp:extent cx="5760720" cy="2609850"/>
            <wp:effectExtent l="0" t="0" r="0" b="0"/>
            <wp:docPr id="10" name="Nesnesi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2203" w:rsidRPr="006C5E1C" w:rsidRDefault="001B0099" w:rsidP="002034D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Figure 4.</w:t>
      </w:r>
      <w:r w:rsidR="002034D9" w:rsidRPr="006C5E1C">
        <w:rPr>
          <w:rFonts w:ascii="Arial" w:hAnsi="Arial" w:cs="Arial"/>
          <w:sz w:val="16"/>
          <w:szCs w:val="16"/>
          <w:lang w:val="en-US"/>
        </w:rPr>
        <w:t xml:space="preserve"> </w:t>
      </w:r>
      <w:r w:rsidR="00626FB2" w:rsidRPr="006C5E1C">
        <w:rPr>
          <w:rFonts w:ascii="Arial" w:hAnsi="Arial" w:cs="Arial"/>
          <w:sz w:val="16"/>
          <w:szCs w:val="16"/>
          <w:lang w:val="en-US"/>
        </w:rPr>
        <w:t>Pseudo-second –order plots at different initial 2.4 DCP concentrations (pH: 2; biomass: 1 g, temperature 2</w:t>
      </w:r>
      <w:r w:rsidR="002034D9" w:rsidRPr="006C5E1C">
        <w:rPr>
          <w:rFonts w:ascii="Arial" w:hAnsi="Arial" w:cs="Arial"/>
          <w:sz w:val="16"/>
          <w:szCs w:val="16"/>
          <w:lang w:val="en-US"/>
        </w:rPr>
        <w:t>0±0.5, agitation rate: 125 rpm)</w:t>
      </w:r>
    </w:p>
    <w:p w:rsidR="00E77C6D" w:rsidRPr="00244615" w:rsidRDefault="007E03F3" w:rsidP="00E77C6D">
      <w:pPr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244615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3.5</w:t>
      </w:r>
      <w:r w:rsidR="00E77C6D" w:rsidRPr="00244615">
        <w:rPr>
          <w:rFonts w:ascii="Times New Roman" w:hAnsi="Times New Roman"/>
          <w:b/>
          <w:i/>
          <w:sz w:val="24"/>
          <w:szCs w:val="24"/>
          <w:lang w:val="en-US"/>
        </w:rPr>
        <w:t>. Adsorption isotherm models</w:t>
      </w:r>
    </w:p>
    <w:p w:rsidR="00021C61" w:rsidRDefault="00E35744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A</w:t>
      </w:r>
      <w:r w:rsidR="00E77C6D" w:rsidRPr="00411101">
        <w:rPr>
          <w:rFonts w:ascii="Times New Roman" w:hAnsi="Times New Roman"/>
          <w:sz w:val="24"/>
          <w:szCs w:val="24"/>
          <w:lang w:val="en-US"/>
        </w:rPr>
        <w:t>dsorption isotherm model</w:t>
      </w:r>
      <w:r w:rsidRPr="00411101">
        <w:rPr>
          <w:rFonts w:ascii="Times New Roman" w:hAnsi="Times New Roman"/>
          <w:sz w:val="24"/>
          <w:szCs w:val="24"/>
          <w:lang w:val="en-US"/>
        </w:rPr>
        <w:t>s are</w:t>
      </w:r>
      <w:r w:rsidR="00E77C6D" w:rsidRPr="00411101">
        <w:rPr>
          <w:rFonts w:ascii="Times New Roman" w:hAnsi="Times New Roman"/>
          <w:sz w:val="24"/>
          <w:szCs w:val="24"/>
          <w:lang w:val="en-US"/>
        </w:rPr>
        <w:t xml:space="preserve"> important in order to describe the sorption process. The data of </w:t>
      </w:r>
      <w:r w:rsidRPr="00411101">
        <w:rPr>
          <w:rFonts w:ascii="Times New Roman" w:hAnsi="Times New Roman"/>
          <w:sz w:val="24"/>
          <w:szCs w:val="24"/>
          <w:lang w:val="en-US"/>
        </w:rPr>
        <w:t>adsorption isotherm models are</w:t>
      </w:r>
      <w:r w:rsidR="00E77C6D" w:rsidRPr="00411101">
        <w:rPr>
          <w:rFonts w:ascii="Times New Roman" w:hAnsi="Times New Roman"/>
          <w:sz w:val="24"/>
          <w:szCs w:val="24"/>
          <w:lang w:val="en-US"/>
        </w:rPr>
        <w:t xml:space="preserve"> also important to predict the adsorption capacity and describe the surface properties and affinity of the adsorbent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4B4BA6">
        <w:rPr>
          <w:rFonts w:ascii="Times New Roman" w:hAnsi="Times New Roman"/>
          <w:sz w:val="24"/>
          <w:szCs w:val="24"/>
          <w:vertAlign w:val="superscript"/>
          <w:lang w:val="en-US"/>
        </w:rPr>
        <w:t>18</w:t>
      </w:r>
      <w:r w:rsidR="00E77C6D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Two adsorption isotherm models </w:t>
      </w:r>
      <w:r w:rsidR="00822132" w:rsidRPr="00411101">
        <w:rPr>
          <w:rFonts w:ascii="Times New Roman" w:hAnsi="Times New Roman"/>
          <w:sz w:val="24"/>
          <w:szCs w:val="24"/>
          <w:lang w:val="en-US"/>
        </w:rPr>
        <w:t>were used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 studies in the present study: t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Langmuir </w:t>
      </w:r>
      <w:r w:rsidRPr="00411101">
        <w:rPr>
          <w:rFonts w:ascii="Times New Roman" w:hAnsi="Times New Roman"/>
          <w:sz w:val="24"/>
          <w:szCs w:val="24"/>
          <w:lang w:val="en-US"/>
        </w:rPr>
        <w:t>isotherm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 model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>Freundlich isotherm model.</w:t>
      </w:r>
      <w:r w:rsidR="00917D1F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The general Langmuir equation </w:t>
      </w:r>
      <w:r w:rsidR="00822132" w:rsidRPr="00411101">
        <w:rPr>
          <w:rFonts w:ascii="Times New Roman" w:hAnsi="Times New Roman"/>
          <w:sz w:val="24"/>
          <w:szCs w:val="24"/>
          <w:lang w:val="en-US"/>
        </w:rPr>
        <w:t>whose linearized</w:t>
      </w:r>
      <w:r w:rsidR="00E40ED9">
        <w:rPr>
          <w:rFonts w:ascii="Times New Roman" w:hAnsi="Times New Roman"/>
          <w:sz w:val="24"/>
          <w:szCs w:val="24"/>
          <w:lang w:val="en-US"/>
        </w:rPr>
        <w:t xml:space="preserve"> form is given as follows:</w:t>
      </w:r>
    </w:p>
    <w:p w:rsidR="00E40ED9" w:rsidRDefault="00FE6A03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Ce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qe</m:t>
            </m:r>
          </m:den>
        </m:f>
      </m:oMath>
      <w:r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Qm.b</m:t>
            </m:r>
          </m:den>
        </m:f>
      </m:oMath>
      <w:r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en-US"/>
          </w:rPr>
          <m:t>+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Qm.Ce</m:t>
            </m:r>
          </m:den>
        </m:f>
      </m:oMath>
      <w:r w:rsidRPr="00411101">
        <w:rPr>
          <w:rFonts w:ascii="Times New Roman" w:hAnsi="Times New Roman"/>
          <w:sz w:val="24"/>
          <w:szCs w:val="24"/>
          <w:lang w:val="en-US"/>
        </w:rPr>
        <w:t xml:space="preserve">                          (4)</w:t>
      </w:r>
      <w:r w:rsidR="00E40ED9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</w:t>
      </w:r>
    </w:p>
    <w:p w:rsidR="00A475DA" w:rsidRPr="004B4BA6" w:rsidRDefault="00A475DA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C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is the equilibrium concentration of the adsorbate (mg/L), 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e </w:t>
      </w:r>
      <w:r w:rsidRPr="00411101">
        <w:rPr>
          <w:rFonts w:ascii="Times New Roman" w:hAnsi="Times New Roman"/>
          <w:sz w:val="24"/>
          <w:szCs w:val="24"/>
          <w:lang w:val="en-US"/>
        </w:rPr>
        <w:t>is the amount of the adsorbate adsorbed per unit mass of the adsorbent (mg/g), b is the Langmuir adsorption constant (L/mg), and 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is the maximum adsorption amount (mg/g).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Qm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and b can be determined from the linear plot of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411101">
        <w:rPr>
          <w:rFonts w:ascii="Times New Roman" w:hAnsi="Times New Roman"/>
          <w:sz w:val="24"/>
          <w:szCs w:val="24"/>
          <w:lang w:val="en-US"/>
        </w:rPr>
        <w:t>e/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q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e versus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="004B4BA6">
        <w:rPr>
          <w:rFonts w:ascii="Times New Roman" w:hAnsi="Times New Roman"/>
          <w:sz w:val="24"/>
          <w:szCs w:val="24"/>
          <w:lang w:val="en-US"/>
        </w:rPr>
        <w:t>e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4B4BA6">
        <w:rPr>
          <w:rFonts w:ascii="Times New Roman" w:hAnsi="Times New Roman"/>
          <w:sz w:val="24"/>
          <w:szCs w:val="24"/>
          <w:vertAlign w:val="superscript"/>
          <w:lang w:val="en-US"/>
        </w:rPr>
        <w:t>1,18</w:t>
      </w:r>
    </w:p>
    <w:p w:rsidR="00A475DA" w:rsidRPr="00411101" w:rsidRDefault="00DD57C3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he dimensionless </w:t>
      </w:r>
      <w:r w:rsidRPr="00411101">
        <w:rPr>
          <w:rFonts w:ascii="Times New Roman" w:hAnsi="Times New Roman"/>
          <w:sz w:val="24"/>
          <w:szCs w:val="24"/>
          <w:lang w:val="en-US"/>
        </w:rPr>
        <w:t>separation factor or equilibrium constant (R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) describes the essential characteristics of Langmuir isotherm. 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75DA" w:rsidRPr="00411101">
        <w:rPr>
          <w:rFonts w:ascii="Times New Roman" w:hAnsi="Times New Roman"/>
          <w:sz w:val="24"/>
          <w:szCs w:val="24"/>
          <w:lang w:val="en-US"/>
        </w:rPr>
        <w:t>is defined as</w:t>
      </w:r>
      <w:r w:rsidR="00917D1F" w:rsidRPr="00411101">
        <w:rPr>
          <w:rFonts w:ascii="Times New Roman" w:hAnsi="Times New Roman"/>
          <w:sz w:val="24"/>
          <w:szCs w:val="24"/>
          <w:lang w:val="en-US"/>
        </w:rPr>
        <w:t>;</w:t>
      </w:r>
    </w:p>
    <w:p w:rsidR="00A475DA" w:rsidRPr="00077D44" w:rsidRDefault="00A475DA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="00077D44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=</m:t>
        </m:r>
      </m:oMath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1+b.Co</m:t>
            </m:r>
          </m:den>
        </m:f>
      </m:oMath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7D4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</w:t>
      </w:r>
      <w:r w:rsidR="00FE6A03" w:rsidRPr="00411101">
        <w:rPr>
          <w:rFonts w:ascii="Times New Roman" w:hAnsi="Times New Roman"/>
          <w:sz w:val="24"/>
          <w:szCs w:val="24"/>
          <w:lang w:val="en-US"/>
        </w:rPr>
        <w:t xml:space="preserve">                              (5</w:t>
      </w:r>
      <w:r w:rsidRPr="00411101">
        <w:rPr>
          <w:rFonts w:ascii="Times New Roman" w:hAnsi="Times New Roman"/>
          <w:sz w:val="24"/>
          <w:szCs w:val="24"/>
          <w:lang w:val="en-US"/>
        </w:rPr>
        <w:t>)</w:t>
      </w:r>
    </w:p>
    <w:p w:rsidR="00A475DA" w:rsidRPr="00411101" w:rsidRDefault="00A475DA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Co is the initial concentration (mg/I), and b is the Langmuir constant.  This indicates the nature of adsorption as;</w:t>
      </w:r>
    </w:p>
    <w:p w:rsidR="00077D44" w:rsidRDefault="00A475DA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&gt; 1 unfavourable, 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= 1 linear, 0&lt;R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&lt; 1 favourable, R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= 0 i</w:t>
      </w:r>
      <w:r w:rsidR="00FF52E1">
        <w:rPr>
          <w:rFonts w:ascii="Times New Roman" w:hAnsi="Times New Roman"/>
          <w:sz w:val="24"/>
          <w:szCs w:val="24"/>
          <w:lang w:val="en-US"/>
        </w:rPr>
        <w:t>rreversible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FF52E1">
        <w:rPr>
          <w:rFonts w:ascii="Times New Roman" w:hAnsi="Times New Roman"/>
          <w:sz w:val="24"/>
          <w:szCs w:val="24"/>
          <w:vertAlign w:val="superscript"/>
          <w:lang w:val="en-US"/>
        </w:rPr>
        <w:t>28</w:t>
      </w:r>
      <w:r w:rsidR="00FF52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17D1F" w:rsidRPr="00411101">
        <w:rPr>
          <w:rFonts w:ascii="Times New Roman" w:hAnsi="Times New Roman"/>
          <w:sz w:val="24"/>
          <w:szCs w:val="24"/>
          <w:lang w:val="en-US"/>
        </w:rPr>
        <w:t>The Freundlich isotherm is an empirical relationship that describes the sorption on a heterogeneous surface. It can be linearized i</w:t>
      </w:r>
      <w:r w:rsidR="00077D44">
        <w:rPr>
          <w:rFonts w:ascii="Times New Roman" w:hAnsi="Times New Roman"/>
          <w:sz w:val="24"/>
          <w:szCs w:val="24"/>
          <w:lang w:val="en-US"/>
        </w:rPr>
        <w:t xml:space="preserve">n logarithmic form as follows: </w:t>
      </w:r>
      <w:r w:rsidR="00FE6A03"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917D1F" w:rsidRPr="00411101" w:rsidRDefault="00590771" w:rsidP="008B18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log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qe=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</m:den>
            </m:f>
          </m:e>
        </m:func>
      </m:oMath>
      <w:r w:rsidR="00FE6A03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log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Ce+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Kf</m:t>
                </m:r>
              </m:e>
            </m:func>
          </m:e>
        </m:func>
      </m:oMath>
      <w:r w:rsidR="00FE6A03" w:rsidRPr="00411101">
        <w:rPr>
          <w:rFonts w:ascii="Times New Roman" w:hAnsi="Times New Roman"/>
          <w:sz w:val="24"/>
          <w:szCs w:val="24"/>
          <w:lang w:val="en-US"/>
        </w:rPr>
        <w:t xml:space="preserve">                                      (6)</w:t>
      </w:r>
    </w:p>
    <w:p w:rsidR="00E77C6D" w:rsidRPr="00FF52E1" w:rsidRDefault="00917D1F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where C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is the equilibrium concentration of the adsorbate (mg/L), 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is the amount of the adsorbate adsorbed per unit mass of the adsorbent (mg/g),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f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 xml:space="preserve">n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are the Freundlich constants, whereas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f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 xml:space="preserve">n </w:t>
      </w:r>
      <w:r w:rsidRPr="00411101">
        <w:rPr>
          <w:rFonts w:ascii="Times New Roman" w:hAnsi="Times New Roman"/>
          <w:sz w:val="24"/>
          <w:szCs w:val="24"/>
          <w:lang w:val="en-US"/>
        </w:rPr>
        <w:t>are indicators of adsorption capacity and adsorption intensity of</w:t>
      </w:r>
      <w:r w:rsidR="007703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sorbents, </w:t>
      </w:r>
      <w:r w:rsidR="00FF52E1">
        <w:rPr>
          <w:rFonts w:ascii="Times New Roman" w:hAnsi="Times New Roman"/>
          <w:sz w:val="24"/>
          <w:szCs w:val="24"/>
          <w:lang w:val="en-US"/>
        </w:rPr>
        <w:t>respectively</w:t>
      </w:r>
      <w:r w:rsidR="0065006A">
        <w:rPr>
          <w:rFonts w:ascii="Times New Roman" w:hAnsi="Times New Roman"/>
          <w:sz w:val="24"/>
          <w:szCs w:val="24"/>
          <w:lang w:val="en-US"/>
        </w:rPr>
        <w:t>.</w:t>
      </w:r>
      <w:r w:rsidR="00FF52E1">
        <w:rPr>
          <w:rFonts w:ascii="Times New Roman" w:hAnsi="Times New Roman"/>
          <w:sz w:val="24"/>
          <w:szCs w:val="24"/>
          <w:vertAlign w:val="superscript"/>
          <w:lang w:val="en-US"/>
        </w:rPr>
        <w:t>18</w:t>
      </w:r>
    </w:p>
    <w:p w:rsidR="00D31D87" w:rsidRPr="00411101" w:rsidRDefault="00D31D87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regression correlation coefficient</w:t>
      </w:r>
      <w:r w:rsidR="000440DA"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BF1965" w:rsidRPr="00411101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411101">
        <w:rPr>
          <w:rFonts w:ascii="Times New Roman" w:hAnsi="Times New Roman"/>
          <w:sz w:val="24"/>
          <w:szCs w:val="24"/>
          <w:lang w:val="en-US"/>
        </w:rPr>
        <w:t>R</w:t>
      </w:r>
      <w:r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411101">
        <w:rPr>
          <w:rFonts w:ascii="Times New Roman" w:hAnsi="Times New Roman"/>
          <w:sz w:val="24"/>
          <w:szCs w:val="24"/>
          <w:lang w:val="en-US"/>
        </w:rPr>
        <w:t>) values</w:t>
      </w:r>
      <w:r w:rsidR="00BF1965"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of Freundlich isotherm model and Langmuir isotherm model for initial concentration </w:t>
      </w:r>
      <w:r w:rsidR="000440DA" w:rsidRPr="00411101">
        <w:rPr>
          <w:rFonts w:ascii="Times New Roman" w:hAnsi="Times New Roman"/>
          <w:sz w:val="24"/>
          <w:szCs w:val="24"/>
          <w:lang w:val="en-US"/>
        </w:rPr>
        <w:t xml:space="preserve">(150 mg/L)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4E7BB1">
        <w:rPr>
          <w:rFonts w:ascii="Times New Roman" w:hAnsi="Times New Roman"/>
          <w:sz w:val="24"/>
          <w:szCs w:val="24"/>
          <w:lang w:val="en-US"/>
        </w:rPr>
        <w:t>2,</w:t>
      </w:r>
      <w:r w:rsidR="00A82B0A">
        <w:rPr>
          <w:rFonts w:ascii="Times New Roman" w:hAnsi="Times New Roman"/>
          <w:sz w:val="24"/>
          <w:szCs w:val="24"/>
          <w:lang w:val="en-US"/>
        </w:rPr>
        <w:t>4</w:t>
      </w:r>
      <w:r w:rsidR="004E7BB1">
        <w:rPr>
          <w:rFonts w:ascii="Times New Roman" w:hAnsi="Times New Roman"/>
          <w:sz w:val="24"/>
          <w:szCs w:val="24"/>
          <w:lang w:val="en-US"/>
        </w:rPr>
        <w:t>-</w:t>
      </w:r>
      <w:r w:rsidR="00A82B0A">
        <w:rPr>
          <w:rFonts w:ascii="Times New Roman" w:hAnsi="Times New Roman"/>
          <w:sz w:val="24"/>
          <w:szCs w:val="24"/>
          <w:lang w:val="en-US"/>
        </w:rPr>
        <w:t>DCP are 0.9989 and 0.</w:t>
      </w:r>
      <w:r w:rsidR="000440DA" w:rsidRPr="00411101">
        <w:rPr>
          <w:rFonts w:ascii="Times New Roman" w:hAnsi="Times New Roman"/>
          <w:sz w:val="24"/>
          <w:szCs w:val="24"/>
          <w:lang w:val="en-US"/>
        </w:rPr>
        <w:t>9898, respectively (Table 4), suggesting that the Freundlich isotherm model provided the best fit and Freundlich isotherm model exhibited a slightly better fi</w:t>
      </w:r>
      <w:r w:rsidR="00D6164D" w:rsidRPr="00411101">
        <w:rPr>
          <w:rFonts w:ascii="Times New Roman" w:hAnsi="Times New Roman"/>
          <w:sz w:val="24"/>
          <w:szCs w:val="24"/>
          <w:lang w:val="en-US"/>
        </w:rPr>
        <w:t>t</w:t>
      </w:r>
      <w:r w:rsidR="004E7BB1">
        <w:rPr>
          <w:rFonts w:ascii="Times New Roman" w:hAnsi="Times New Roman"/>
          <w:sz w:val="24"/>
          <w:szCs w:val="24"/>
          <w:lang w:val="en-US"/>
        </w:rPr>
        <w:t xml:space="preserve"> to the biosrption data of 2,</w:t>
      </w:r>
      <w:r w:rsidR="000440DA" w:rsidRPr="00411101">
        <w:rPr>
          <w:rFonts w:ascii="Times New Roman" w:hAnsi="Times New Roman"/>
          <w:sz w:val="24"/>
          <w:szCs w:val="24"/>
          <w:lang w:val="en-US"/>
        </w:rPr>
        <w:t>4</w:t>
      </w:r>
      <w:r w:rsidR="004E7BB1">
        <w:rPr>
          <w:rFonts w:ascii="Times New Roman" w:hAnsi="Times New Roman"/>
          <w:sz w:val="24"/>
          <w:szCs w:val="24"/>
          <w:lang w:val="en-US"/>
        </w:rPr>
        <w:t>-</w:t>
      </w:r>
      <w:r w:rsidR="000440DA" w:rsidRPr="00411101">
        <w:rPr>
          <w:rFonts w:ascii="Times New Roman" w:hAnsi="Times New Roman"/>
          <w:sz w:val="24"/>
          <w:szCs w:val="24"/>
          <w:lang w:val="en-US"/>
        </w:rPr>
        <w:t xml:space="preserve"> DCP onto sweetgum bark than the Langmuir isotherm model in the initial concentration (150 mg/). </w:t>
      </w:r>
    </w:p>
    <w:p w:rsidR="00D31D87" w:rsidRDefault="0091233F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adsorption equilibrium of heavy metals on various types of adsorbent was described by Freundlich isotherm and Langmuir isotherm models. However, the description</w:t>
      </w:r>
      <w:r w:rsidR="006C1BA1" w:rsidRPr="00411101">
        <w:rPr>
          <w:rFonts w:ascii="Times New Roman" w:hAnsi="Times New Roman"/>
          <w:sz w:val="24"/>
          <w:szCs w:val="24"/>
          <w:lang w:val="en-US"/>
        </w:rPr>
        <w:t xml:space="preserve">s of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C1BA1" w:rsidRPr="00411101">
        <w:rPr>
          <w:rFonts w:ascii="Times New Roman" w:hAnsi="Times New Roman"/>
          <w:sz w:val="24"/>
          <w:szCs w:val="24"/>
          <w:lang w:val="en-US"/>
        </w:rPr>
        <w:t>adsorption equilibrium of organic pollutants such as phenol and c</w:t>
      </w:r>
      <w:r w:rsidR="00523AEC">
        <w:rPr>
          <w:rFonts w:ascii="Times New Roman" w:hAnsi="Times New Roman"/>
          <w:sz w:val="24"/>
          <w:szCs w:val="24"/>
          <w:lang w:val="en-US"/>
        </w:rPr>
        <w:t>h</w:t>
      </w:r>
      <w:r w:rsidR="006C1BA1" w:rsidRPr="00411101">
        <w:rPr>
          <w:rFonts w:ascii="Times New Roman" w:hAnsi="Times New Roman"/>
          <w:sz w:val="24"/>
          <w:szCs w:val="24"/>
          <w:lang w:val="en-US"/>
        </w:rPr>
        <w:t xml:space="preserve">lorophenols were used the Freundlich isotherm model better than Langmuir </w:t>
      </w:r>
      <w:r w:rsidR="00770397">
        <w:rPr>
          <w:rFonts w:ascii="Times New Roman" w:hAnsi="Times New Roman"/>
          <w:sz w:val="24"/>
          <w:szCs w:val="24"/>
          <w:lang w:val="en-US"/>
        </w:rPr>
        <w:t>isotherm model</w:t>
      </w:r>
      <w:r w:rsidR="00770397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6C1BA1" w:rsidRPr="0041110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F06E5" w:rsidRPr="004F06E5" w:rsidRDefault="004F06E5" w:rsidP="004F06E5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lastRenderedPageBreak/>
        <w:t>Table 4.</w:t>
      </w:r>
      <w:r w:rsidRPr="006C5E1C">
        <w:rPr>
          <w:rFonts w:ascii="Arial" w:hAnsi="Arial" w:cs="Arial"/>
          <w:sz w:val="16"/>
          <w:szCs w:val="16"/>
          <w:lang w:val="en-US"/>
        </w:rPr>
        <w:t xml:space="preserve"> Adsorption isotherm constants for 2.4-DCP onto sweetgum bark</w:t>
      </w:r>
    </w:p>
    <w:tbl>
      <w:tblPr>
        <w:tblpPr w:leftFromText="141" w:rightFromText="141" w:vertAnchor="text" w:tblpY="238"/>
        <w:tblW w:w="0" w:type="auto"/>
        <w:tblLook w:val="04A0" w:firstRow="1" w:lastRow="0" w:firstColumn="1" w:lastColumn="0" w:noHBand="0" w:noVBand="1"/>
      </w:tblPr>
      <w:tblGrid>
        <w:gridCol w:w="1299"/>
        <w:gridCol w:w="1293"/>
        <w:gridCol w:w="1293"/>
        <w:gridCol w:w="1298"/>
        <w:gridCol w:w="1298"/>
        <w:gridCol w:w="1293"/>
        <w:gridCol w:w="1298"/>
      </w:tblGrid>
      <w:tr w:rsidR="0028083D" w:rsidRPr="00411101" w:rsidTr="006B03DD"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Langmuir model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Freundlich model</w:t>
            </w:r>
          </w:p>
        </w:tc>
      </w:tr>
      <w:tr w:rsidR="0028083D" w:rsidRPr="00411101" w:rsidTr="00CB21B8">
        <w:trPr>
          <w:trHeight w:val="601"/>
        </w:trPr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Phenol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Q</w:t>
            </w:r>
            <w:r w:rsidRPr="00411101">
              <w:rPr>
                <w:rFonts w:ascii="Times New Roman" w:hAnsi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R</w:t>
            </w:r>
            <w:r w:rsidRPr="0041110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K</w:t>
            </w:r>
            <w:r w:rsidRPr="00411101">
              <w:rPr>
                <w:rFonts w:ascii="Times New Roman" w:hAnsi="Times New Roman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R</w:t>
            </w:r>
            <w:r w:rsidRPr="0041110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8083D" w:rsidRPr="00411101" w:rsidTr="00CB21B8">
        <w:tc>
          <w:tcPr>
            <w:tcW w:w="1316" w:type="dxa"/>
            <w:tcBorders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2,4-DCP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8,176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52,36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0,9898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0,0077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0,722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auto"/>
          </w:tcPr>
          <w:p w:rsidR="0028083D" w:rsidRPr="00411101" w:rsidRDefault="0028083D" w:rsidP="002808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0,9989</w:t>
            </w:r>
          </w:p>
        </w:tc>
      </w:tr>
    </w:tbl>
    <w:p w:rsidR="0064347C" w:rsidRDefault="0064347C" w:rsidP="00652203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7D1F" w:rsidRPr="00411101" w:rsidRDefault="00683B0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magnitude of 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(8, 176) for Langmuir isotherm model sho</w:t>
      </w:r>
      <w:r w:rsidR="00F0300E" w:rsidRPr="00411101">
        <w:rPr>
          <w:rFonts w:ascii="Times New Roman" w:hAnsi="Times New Roman"/>
          <w:sz w:val="24"/>
          <w:szCs w:val="24"/>
          <w:lang w:val="en-US"/>
        </w:rPr>
        <w:t xml:space="preserve">ws </w:t>
      </w:r>
      <w:r w:rsidRPr="00411101">
        <w:rPr>
          <w:rFonts w:ascii="Times New Roman" w:hAnsi="Times New Roman"/>
          <w:sz w:val="24"/>
          <w:szCs w:val="24"/>
          <w:lang w:val="en-US"/>
        </w:rPr>
        <w:t>the amount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per unit weight of sorbent to form complete monolayer </w:t>
      </w:r>
      <w:r w:rsidR="00F0300E" w:rsidRPr="00411101">
        <w:rPr>
          <w:rFonts w:ascii="Times New Roman" w:hAnsi="Times New Roman"/>
          <w:sz w:val="24"/>
          <w:szCs w:val="24"/>
          <w:lang w:val="en-US"/>
        </w:rPr>
        <w:t xml:space="preserve">on the surface of </w:t>
      </w:r>
      <w:r w:rsidR="00846527" w:rsidRPr="0041110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F0300E" w:rsidRPr="00411101">
        <w:rPr>
          <w:rFonts w:ascii="Times New Roman" w:hAnsi="Times New Roman"/>
          <w:sz w:val="24"/>
          <w:szCs w:val="24"/>
          <w:lang w:val="en-US"/>
        </w:rPr>
        <w:t>sample.</w:t>
      </w:r>
    </w:p>
    <w:p w:rsidR="00917D1F" w:rsidRPr="00411101" w:rsidRDefault="001B0C82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value of adsorption capacity (Q</w:t>
      </w:r>
      <w:r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r w:rsidRPr="00411101">
        <w:rPr>
          <w:rFonts w:ascii="Times New Roman" w:hAnsi="Times New Roman"/>
          <w:sz w:val="24"/>
          <w:szCs w:val="24"/>
          <w:lang w:val="en-US"/>
        </w:rPr>
        <w:t>) for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in present study </w:t>
      </w:r>
      <w:r w:rsidR="00846527" w:rsidRPr="00411101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411101">
        <w:rPr>
          <w:rFonts w:ascii="Times New Roman" w:hAnsi="Times New Roman"/>
          <w:sz w:val="24"/>
          <w:szCs w:val="24"/>
          <w:lang w:val="en-US"/>
        </w:rPr>
        <w:t>compared with the adsorption capacity of different adsorbents for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A82B0A">
        <w:rPr>
          <w:rFonts w:ascii="Times New Roman" w:hAnsi="Times New Roman"/>
          <w:sz w:val="24"/>
          <w:szCs w:val="24"/>
          <w:lang w:val="en-US"/>
        </w:rPr>
        <w:t xml:space="preserve">4-DCP </w:t>
      </w:r>
      <w:r w:rsidR="00A82B0A" w:rsidRPr="004F06E5">
        <w:rPr>
          <w:rFonts w:ascii="Times New Roman" w:hAnsi="Times New Roman"/>
          <w:b/>
          <w:sz w:val="24"/>
          <w:szCs w:val="24"/>
          <w:lang w:val="en-US"/>
        </w:rPr>
        <w:t>(Table 5</w:t>
      </w:r>
      <w:r w:rsidRPr="004F06E5">
        <w:rPr>
          <w:rFonts w:ascii="Times New Roman" w:hAnsi="Times New Roman"/>
          <w:b/>
          <w:sz w:val="24"/>
          <w:szCs w:val="24"/>
          <w:lang w:val="en-US"/>
        </w:rPr>
        <w:t>)</w:t>
      </w:r>
      <w:r w:rsidRPr="00411101">
        <w:rPr>
          <w:rFonts w:ascii="Times New Roman" w:hAnsi="Times New Roman"/>
          <w:sz w:val="24"/>
          <w:szCs w:val="24"/>
          <w:lang w:val="en-US"/>
        </w:rPr>
        <w:t>.</w:t>
      </w:r>
    </w:p>
    <w:p w:rsidR="0064347C" w:rsidRPr="006C5E1C" w:rsidRDefault="001B0C82" w:rsidP="008D6F2E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Table 5.</w:t>
      </w:r>
      <w:r w:rsidRPr="006C5E1C">
        <w:rPr>
          <w:rFonts w:ascii="Arial" w:hAnsi="Arial" w:cs="Arial"/>
          <w:sz w:val="16"/>
          <w:szCs w:val="16"/>
          <w:lang w:val="en-US"/>
        </w:rPr>
        <w:t xml:space="preserve"> Comparison of adsorption capacity for 2,4-DCP between sweetgum bark and other </w:t>
      </w:r>
      <w:r w:rsidR="00A9756D" w:rsidRPr="006C5E1C">
        <w:rPr>
          <w:rFonts w:ascii="Arial" w:hAnsi="Arial" w:cs="Arial"/>
          <w:sz w:val="16"/>
          <w:szCs w:val="16"/>
          <w:lang w:val="en-US"/>
        </w:rPr>
        <w:t>various adsorbents repor</w:t>
      </w:r>
      <w:r w:rsidR="000C5ADA" w:rsidRPr="006C5E1C">
        <w:rPr>
          <w:rFonts w:ascii="Arial" w:hAnsi="Arial" w:cs="Arial"/>
          <w:sz w:val="16"/>
          <w:szCs w:val="16"/>
          <w:lang w:val="en-US"/>
        </w:rPr>
        <w:t>ted in the literature.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6"/>
        <w:gridCol w:w="3019"/>
        <w:gridCol w:w="3027"/>
      </w:tblGrid>
      <w:tr w:rsidR="000C5ADA" w:rsidRPr="00411101" w:rsidTr="006B03DD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Adsorbent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</w:rPr>
              <w:t>Q</w:t>
            </w:r>
            <w:r w:rsidRPr="00411101">
              <w:rPr>
                <w:rFonts w:ascii="Times New Roman" w:hAnsi="Times New Roman"/>
                <w:sz w:val="24"/>
                <w:szCs w:val="24"/>
                <w:vertAlign w:val="subscript"/>
              </w:rPr>
              <w:t>m</w:t>
            </w:r>
            <w:r w:rsidR="000C177A" w:rsidRPr="00411101">
              <w:rPr>
                <w:rFonts w:ascii="Times New Roman" w:hAnsi="Times New Roman"/>
                <w:sz w:val="24"/>
                <w:szCs w:val="24"/>
              </w:rPr>
              <w:t xml:space="preserve"> (mg/</w:t>
            </w:r>
            <w:r w:rsidRPr="00411101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</w:p>
        </w:tc>
      </w:tr>
      <w:tr w:rsidR="000C5ADA" w:rsidRPr="00411101" w:rsidTr="006B03DD"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P.ocenica fibers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Rice Husk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Fly ask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Mycelial pellets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Papermill sludge</w:t>
            </w:r>
          </w:p>
          <w:p w:rsidR="00274FDF" w:rsidRPr="00411101" w:rsidRDefault="00274FDF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Sweetgum brk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1,11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40,5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5,57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4,09</w:t>
            </w:r>
          </w:p>
          <w:p w:rsidR="000C5ADA" w:rsidRPr="00411101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4,49</w:t>
            </w:r>
          </w:p>
          <w:p w:rsidR="00274FDF" w:rsidRPr="00411101" w:rsidRDefault="00274FDF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8.176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5ADA" w:rsidRPr="00D345F8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Demirak et al., 2011</w:t>
            </w:r>
            <w:r w:rsidR="00D345F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  <w:p w:rsidR="000C5ADA" w:rsidRPr="00D345F8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Vadivelan et al., 2005</w:t>
            </w:r>
            <w:r w:rsidR="00D345F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30</w:t>
            </w:r>
          </w:p>
          <w:p w:rsidR="000C5ADA" w:rsidRPr="00D345F8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Kumar et al., 2005</w:t>
            </w:r>
            <w:r w:rsidR="00D345F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31</w:t>
            </w:r>
          </w:p>
          <w:p w:rsidR="000C5ADA" w:rsidRPr="00D345F8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Wu and Yu., 2006</w:t>
            </w:r>
            <w:r w:rsidR="00D345F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  <w:p w:rsidR="000C5ADA" w:rsidRPr="006D09D7" w:rsidRDefault="000C5ADA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Calace et al., 2002</w:t>
            </w:r>
            <w:r w:rsidR="006D09D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32</w:t>
            </w:r>
          </w:p>
          <w:p w:rsidR="00274FDF" w:rsidRPr="00411101" w:rsidRDefault="00274FDF" w:rsidP="003038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101">
              <w:rPr>
                <w:rFonts w:ascii="Times New Roman" w:hAnsi="Times New Roman"/>
                <w:sz w:val="24"/>
                <w:szCs w:val="24"/>
                <w:lang w:val="en-US"/>
              </w:rPr>
              <w:t>This study</w:t>
            </w:r>
          </w:p>
        </w:tc>
      </w:tr>
    </w:tbl>
    <w:p w:rsidR="006C5E1C" w:rsidRDefault="006C5E1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0E4D" w:rsidRPr="00411101" w:rsidRDefault="009C4E85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According to the equation (5), t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>he value of R</w:t>
      </w:r>
      <w:r w:rsidR="00E25393" w:rsidRPr="00411101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 xml:space="preserve"> is 0.0001. This value indicates that sorption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A82B0A">
        <w:rPr>
          <w:rFonts w:ascii="Times New Roman" w:hAnsi="Times New Roman"/>
          <w:sz w:val="24"/>
          <w:szCs w:val="24"/>
          <w:lang w:val="en-US"/>
        </w:rPr>
        <w:t xml:space="preserve">4-DCP on sweetgum bark 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 xml:space="preserve">may be irreversible.  </w:t>
      </w:r>
      <w:r w:rsidR="00706989" w:rsidRPr="00411101">
        <w:rPr>
          <w:rFonts w:ascii="Times New Roman" w:hAnsi="Times New Roman"/>
          <w:sz w:val="24"/>
          <w:szCs w:val="24"/>
          <w:lang w:val="en-US"/>
        </w:rPr>
        <w:t>On t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>he other hand, a value of correlation coefficient (R</w:t>
      </w:r>
      <w:r w:rsidR="00E25393"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A82B0A">
        <w:rPr>
          <w:rFonts w:ascii="Times New Roman" w:hAnsi="Times New Roman"/>
          <w:sz w:val="24"/>
          <w:szCs w:val="24"/>
          <w:lang w:val="en-US"/>
        </w:rPr>
        <w:t>) for initial concentration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 xml:space="preserve"> of 150 mg/L 2,4-DCP  in Langmiur isotherm model is 0</w:t>
      </w:r>
      <w:r w:rsidR="00706989" w:rsidRPr="00411101">
        <w:rPr>
          <w:rFonts w:ascii="Times New Roman" w:hAnsi="Times New Roman"/>
          <w:sz w:val="24"/>
          <w:szCs w:val="24"/>
          <w:lang w:val="en-US"/>
        </w:rPr>
        <w:t>.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 xml:space="preserve">9898. This value indicates that there is </w:t>
      </w:r>
      <w:r w:rsidR="00706989" w:rsidRPr="0041110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>good agreement between the parameters and confirms the monolayer adsorption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A82B0A">
        <w:rPr>
          <w:rFonts w:ascii="Times New Roman" w:hAnsi="Times New Roman"/>
          <w:sz w:val="24"/>
          <w:szCs w:val="24"/>
          <w:lang w:val="en-US"/>
        </w:rPr>
        <w:t xml:space="preserve">4-DCP </w:t>
      </w:r>
      <w:r w:rsidR="00E25393" w:rsidRPr="00411101">
        <w:rPr>
          <w:rFonts w:ascii="Times New Roman" w:hAnsi="Times New Roman"/>
          <w:sz w:val="24"/>
          <w:szCs w:val="24"/>
          <w:lang w:val="en-US"/>
        </w:rPr>
        <w:t>onto sweetgum bark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06E5">
        <w:rPr>
          <w:rFonts w:ascii="Times New Roman" w:hAnsi="Times New Roman"/>
          <w:b/>
          <w:sz w:val="24"/>
          <w:szCs w:val="24"/>
          <w:lang w:val="en-US"/>
        </w:rPr>
        <w:t>(Table 4).</w:t>
      </w:r>
    </w:p>
    <w:p w:rsidR="0028083D" w:rsidRDefault="009C4E85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 xml:space="preserve">The constant values calculated from the Freundlich model for the biosorption equilibrium are given in Table 4. </w:t>
      </w:r>
      <w:r w:rsidR="00DD57C3" w:rsidRPr="00411101">
        <w:rPr>
          <w:rFonts w:ascii="Times New Roman" w:hAnsi="Times New Roman"/>
          <w:sz w:val="24"/>
          <w:szCs w:val="24"/>
          <w:lang w:val="en-US"/>
        </w:rPr>
        <w:t>T</w:t>
      </w:r>
      <w:r w:rsidRPr="00411101">
        <w:rPr>
          <w:rFonts w:ascii="Times New Roman" w:hAnsi="Times New Roman"/>
          <w:sz w:val="24"/>
          <w:szCs w:val="24"/>
          <w:lang w:val="en-US"/>
        </w:rPr>
        <w:t>he values of n in this study are less than 1, a favorable adsorption is indicated and chemical rather than physical adsorption is dominant</w:t>
      </w:r>
      <w:r w:rsidR="0077039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DFC" w:rsidRPr="0028083D" w:rsidRDefault="0079584A" w:rsidP="008D6F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i/>
          <w:sz w:val="24"/>
          <w:szCs w:val="24"/>
          <w:lang w:val="en-US"/>
        </w:rPr>
        <w:t xml:space="preserve">3.6. </w:t>
      </w:r>
      <w:r w:rsidR="00D06DFC" w:rsidRPr="00411101">
        <w:rPr>
          <w:rFonts w:ascii="Times New Roman" w:hAnsi="Times New Roman"/>
          <w:b/>
          <w:i/>
          <w:sz w:val="24"/>
          <w:szCs w:val="24"/>
          <w:lang w:val="en-US"/>
        </w:rPr>
        <w:t xml:space="preserve">Surface Characterization </w:t>
      </w:r>
    </w:p>
    <w:p w:rsidR="00546D21" w:rsidRDefault="00546D21" w:rsidP="008D6F2E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SEM analysis</w:t>
      </w:r>
    </w:p>
    <w:p w:rsidR="00D06DFC" w:rsidRPr="00546D21" w:rsidRDefault="00B40FDD" w:rsidP="008D6F2E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SEM was used to observe t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>he surface morphology of sweetgum bark sa</w:t>
      </w:r>
      <w:r w:rsidR="00210638" w:rsidRPr="00411101">
        <w:rPr>
          <w:rFonts w:ascii="Times New Roman" w:hAnsi="Times New Roman"/>
          <w:sz w:val="24"/>
          <w:szCs w:val="24"/>
          <w:lang w:val="en-US"/>
        </w:rPr>
        <w:t xml:space="preserve">mples </w:t>
      </w:r>
      <w:r w:rsidR="00F961E1" w:rsidRPr="00411101">
        <w:rPr>
          <w:rFonts w:ascii="Times New Roman" w:hAnsi="Times New Roman"/>
          <w:sz w:val="24"/>
          <w:szCs w:val="24"/>
          <w:lang w:val="en-US"/>
        </w:rPr>
        <w:t xml:space="preserve">and it is shown 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>in Fig</w:t>
      </w:r>
      <w:r w:rsidR="0079584A" w:rsidRPr="00411101">
        <w:rPr>
          <w:rFonts w:ascii="Times New Roman" w:hAnsi="Times New Roman"/>
          <w:sz w:val="24"/>
          <w:szCs w:val="24"/>
          <w:lang w:val="en-US"/>
        </w:rPr>
        <w:t>ure 5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. SEM micrographs were taken at 1 kV accelerating voltage and magnification was fixed according to x1000. The SEM micrographs show that it was obtained to different from 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lastRenderedPageBreak/>
        <w:t xml:space="preserve">the morphology of the samples. There is clear indicator </w:t>
      </w:r>
      <w:r w:rsidR="00D54117" w:rsidRPr="00411101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>sorption of 2,4-DCP on dried sweetgum bark</w:t>
      </w:r>
      <w:r w:rsidR="0079584A" w:rsidRPr="00411101">
        <w:rPr>
          <w:rFonts w:ascii="Times New Roman" w:hAnsi="Times New Roman"/>
          <w:sz w:val="24"/>
          <w:szCs w:val="24"/>
          <w:lang w:val="en-US"/>
        </w:rPr>
        <w:t xml:space="preserve"> in SEM pictures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9584A" w:rsidRPr="00411101" w:rsidRDefault="00E40ED9" w:rsidP="003853CC">
      <w:pPr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6120000" cy="2635200"/>
            <wp:effectExtent l="0" t="0" r="0" b="0"/>
            <wp:docPr id="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6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7C" w:rsidRDefault="0079584A" w:rsidP="006C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Figure</w:t>
      </w:r>
      <w:r w:rsidR="001D2912" w:rsidRPr="006C5E1C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6C5E1C">
        <w:rPr>
          <w:rFonts w:ascii="Arial" w:hAnsi="Arial" w:cs="Arial"/>
          <w:b/>
          <w:sz w:val="16"/>
          <w:szCs w:val="16"/>
          <w:lang w:val="en-US"/>
        </w:rPr>
        <w:t>5.</w:t>
      </w:r>
      <w:r w:rsidR="002034D9" w:rsidRPr="006C5E1C">
        <w:rPr>
          <w:rFonts w:ascii="Arial" w:hAnsi="Arial" w:cs="Arial"/>
          <w:sz w:val="16"/>
          <w:szCs w:val="16"/>
          <w:lang w:val="en-US"/>
        </w:rPr>
        <w:t xml:space="preserve"> </w:t>
      </w:r>
      <w:r w:rsidR="002034D9" w:rsidRPr="006C5E1C">
        <w:rPr>
          <w:rFonts w:ascii="Arial" w:eastAsiaTheme="minorHAnsi" w:hAnsi="Arial" w:cs="Arial"/>
          <w:sz w:val="16"/>
          <w:szCs w:val="16"/>
          <w:lang w:val="en-US"/>
        </w:rPr>
        <w:t xml:space="preserve">SEM pictures of sweetgum bark </w:t>
      </w:r>
      <w:r w:rsidR="007C6B95" w:rsidRPr="006C5E1C">
        <w:rPr>
          <w:rFonts w:ascii="Arial" w:eastAsiaTheme="minorHAnsi" w:hAnsi="Arial" w:cs="Arial"/>
          <w:sz w:val="16"/>
          <w:szCs w:val="16"/>
          <w:lang w:val="en-US"/>
        </w:rPr>
        <w:t>samples a) before the sorption o</w:t>
      </w:r>
      <w:r w:rsidR="002034D9" w:rsidRPr="006C5E1C">
        <w:rPr>
          <w:rFonts w:ascii="Arial" w:eastAsiaTheme="minorHAnsi" w:hAnsi="Arial" w:cs="Arial"/>
          <w:sz w:val="16"/>
          <w:szCs w:val="16"/>
          <w:lang w:val="en-US"/>
        </w:rPr>
        <w:t>f 2,4-DCP  b) after the sorption of 2,4-DCP</w:t>
      </w:r>
    </w:p>
    <w:p w:rsidR="006C5E1C" w:rsidRPr="006C5E1C" w:rsidRDefault="006C5E1C" w:rsidP="006C5E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en-US"/>
        </w:rPr>
      </w:pPr>
    </w:p>
    <w:p w:rsidR="00D06DFC" w:rsidRPr="00411101" w:rsidRDefault="00D06DFC" w:rsidP="00D06DFC">
      <w:pPr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411101">
        <w:rPr>
          <w:rFonts w:ascii="Times New Roman" w:hAnsi="Times New Roman"/>
          <w:i/>
          <w:iCs/>
          <w:sz w:val="24"/>
          <w:szCs w:val="24"/>
          <w:lang w:val="en-US"/>
        </w:rPr>
        <w:t xml:space="preserve">FTIR analysis </w:t>
      </w:r>
    </w:p>
    <w:p w:rsidR="00D06DFC" w:rsidRPr="00411101" w:rsidRDefault="00D06DFC" w:rsidP="008D6F2E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411101">
        <w:rPr>
          <w:rFonts w:ascii="Times New Roman" w:hAnsi="Times New Roman"/>
          <w:iCs/>
          <w:sz w:val="24"/>
          <w:szCs w:val="24"/>
          <w:lang w:val="en-US"/>
        </w:rPr>
        <w:t xml:space="preserve">FTIR spectroscopy of the extracts showed </w:t>
      </w:r>
      <w:r w:rsidR="00411FDF" w:rsidRPr="00411101">
        <w:rPr>
          <w:rFonts w:ascii="Times New Roman" w:hAnsi="Times New Roman"/>
          <w:iCs/>
          <w:sz w:val="24"/>
          <w:szCs w:val="24"/>
          <w:lang w:val="en-US"/>
        </w:rPr>
        <w:t xml:space="preserve">that </w:t>
      </w:r>
      <w:r w:rsidRPr="00411101">
        <w:rPr>
          <w:rFonts w:ascii="Times New Roman" w:hAnsi="Times New Roman"/>
          <w:iCs/>
          <w:sz w:val="24"/>
          <w:szCs w:val="24"/>
          <w:lang w:val="en-US"/>
        </w:rPr>
        <w:t>the polar extractive spectra were consistent with the hydrolysabletannin compounds isolated during extractions of sweetg</w:t>
      </w:r>
      <w:r w:rsidR="00770397">
        <w:rPr>
          <w:rFonts w:ascii="Times New Roman" w:hAnsi="Times New Roman"/>
          <w:iCs/>
          <w:sz w:val="24"/>
          <w:szCs w:val="24"/>
          <w:lang w:val="en-US"/>
        </w:rPr>
        <w:t>um bark</w:t>
      </w:r>
      <w:r w:rsidR="0065006A">
        <w:rPr>
          <w:rFonts w:ascii="Times New Roman" w:hAnsi="Times New Roman"/>
          <w:iCs/>
          <w:sz w:val="24"/>
          <w:szCs w:val="24"/>
          <w:lang w:val="en-US"/>
        </w:rPr>
        <w:t>.</w:t>
      </w:r>
      <w:r w:rsidR="00770397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24</w:t>
      </w:r>
      <w:r w:rsidRPr="00411101">
        <w:rPr>
          <w:rFonts w:ascii="Times New Roman" w:hAnsi="Times New Roman"/>
          <w:iCs/>
          <w:sz w:val="24"/>
          <w:szCs w:val="24"/>
          <w:lang w:val="en-US"/>
        </w:rPr>
        <w:t xml:space="preserve"> At the center of a hydrolyzabletannin </w:t>
      </w:r>
      <w:hyperlink r:id="rId14" w:tooltip="Molecule" w:history="1">
        <w:r w:rsidRPr="00411101">
          <w:rPr>
            <w:rStyle w:val="Kpr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molecule</w:t>
        </w:r>
      </w:hyperlink>
      <w:r w:rsidRPr="00411101">
        <w:rPr>
          <w:rFonts w:ascii="Times New Roman" w:hAnsi="Times New Roman"/>
          <w:iCs/>
          <w:sz w:val="24"/>
          <w:szCs w:val="24"/>
          <w:lang w:val="en-US"/>
        </w:rPr>
        <w:t>, there is a </w:t>
      </w:r>
      <w:hyperlink r:id="rId15" w:tooltip="Carbohydrate" w:history="1">
        <w:r w:rsidRPr="00411101">
          <w:rPr>
            <w:rStyle w:val="Kpr"/>
            <w:rFonts w:ascii="Times New Roman" w:hAnsi="Times New Roman"/>
            <w:iCs/>
            <w:color w:val="auto"/>
            <w:sz w:val="24"/>
            <w:szCs w:val="24"/>
            <w:u w:val="none"/>
            <w:lang w:val="en-US"/>
          </w:rPr>
          <w:t>carbohydrate</w:t>
        </w:r>
      </w:hyperlink>
      <w:r w:rsidRPr="00411101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r w:rsidR="00411FDF" w:rsidRPr="00411101">
        <w:rPr>
          <w:rFonts w:ascii="Times New Roman" w:hAnsi="Times New Roman"/>
          <w:iCs/>
          <w:sz w:val="24"/>
          <w:szCs w:val="24"/>
          <w:lang w:val="en-US"/>
        </w:rPr>
        <w:t>Phenolic groups were used to partially or totally esterify</w:t>
      </w:r>
      <w:r w:rsidR="00A83D12" w:rsidRPr="00411101">
        <w:rPr>
          <w:rFonts w:ascii="Times New Roman" w:hAnsi="Times New Roman"/>
          <w:iCs/>
          <w:sz w:val="24"/>
          <w:szCs w:val="24"/>
          <w:lang w:val="en-US"/>
        </w:rPr>
        <w:t xml:space="preserve"> t</w:t>
      </w:r>
      <w:r w:rsidRPr="00411101">
        <w:rPr>
          <w:rFonts w:ascii="Times New Roman" w:hAnsi="Times New Roman"/>
          <w:iCs/>
          <w:sz w:val="24"/>
          <w:szCs w:val="24"/>
          <w:lang w:val="en-US"/>
        </w:rPr>
        <w:t>he hydro</w:t>
      </w:r>
      <w:r w:rsidR="00523AEC">
        <w:rPr>
          <w:rFonts w:ascii="Times New Roman" w:hAnsi="Times New Roman"/>
          <w:iCs/>
          <w:sz w:val="24"/>
          <w:szCs w:val="24"/>
          <w:lang w:val="en-US"/>
        </w:rPr>
        <w:t>xyl groups of the carbohydrate</w:t>
      </w:r>
      <w:r w:rsidR="00A94782">
        <w:rPr>
          <w:rFonts w:ascii="Times New Roman" w:hAnsi="Times New Roman"/>
          <w:iCs/>
          <w:sz w:val="24"/>
          <w:szCs w:val="24"/>
          <w:lang w:val="en-US"/>
        </w:rPr>
        <w:t>.</w:t>
      </w:r>
      <w:r w:rsidR="00523AEC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33</w:t>
      </w:r>
      <w:r w:rsidR="00A9478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The information on the nature of the bonds on biomasses </w:t>
      </w:r>
      <w:r w:rsidR="00AF1881" w:rsidRPr="00411101">
        <w:rPr>
          <w:rFonts w:ascii="Times New Roman" w:hAnsi="Times New Roman"/>
          <w:sz w:val="24"/>
          <w:szCs w:val="24"/>
          <w:lang w:val="en-US"/>
        </w:rPr>
        <w:t>surface allowing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the determination of different functional groups is offered by FTIR. </w:t>
      </w:r>
    </w:p>
    <w:p w:rsidR="00D06DFC" w:rsidRPr="00822132" w:rsidRDefault="00C94BC9" w:rsidP="008D6F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Figure 6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 show</w:t>
      </w:r>
      <w:r w:rsidR="00F61B17" w:rsidRPr="00411101">
        <w:rPr>
          <w:rFonts w:ascii="Times New Roman" w:hAnsi="Times New Roman"/>
          <w:sz w:val="24"/>
          <w:szCs w:val="24"/>
          <w:lang w:val="en-US"/>
        </w:rPr>
        <w:t>s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 the changes of FTIR peaks for raw sweetgum bark compared to those after biosorption with 2,4-DCP  Several peaks were observed from the spectra</w:t>
      </w:r>
      <w:r w:rsidR="00F61B17" w:rsidRPr="00411101">
        <w:rPr>
          <w:rFonts w:ascii="Times New Roman" w:hAnsi="Times New Roman"/>
          <w:sz w:val="24"/>
          <w:szCs w:val="24"/>
          <w:lang w:val="en-US"/>
        </w:rPr>
        <w:t xml:space="preserve"> and this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 indicat</w:t>
      </w:r>
      <w:r w:rsidR="00F61B17" w:rsidRPr="00411101">
        <w:rPr>
          <w:rFonts w:ascii="Times New Roman" w:hAnsi="Times New Roman"/>
          <w:sz w:val="24"/>
          <w:szCs w:val="24"/>
          <w:lang w:val="en-US"/>
        </w:rPr>
        <w:t xml:space="preserve">es </w:t>
      </w:r>
      <w:r w:rsidR="00D06DFC" w:rsidRPr="00411101">
        <w:rPr>
          <w:rFonts w:ascii="Times New Roman" w:hAnsi="Times New Roman"/>
          <w:sz w:val="24"/>
          <w:szCs w:val="24"/>
          <w:lang w:val="en-US"/>
        </w:rPr>
        <w:t xml:space="preserve"> that sweetgum bark  is compos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ed of various functional groups </w:t>
      </w:r>
      <w:r w:rsidRPr="004F06E5">
        <w:rPr>
          <w:rFonts w:ascii="Times New Roman" w:hAnsi="Times New Roman"/>
          <w:b/>
          <w:sz w:val="24"/>
          <w:szCs w:val="24"/>
          <w:lang w:val="en-US"/>
        </w:rPr>
        <w:t>(Table</w:t>
      </w:r>
      <w:r w:rsidR="00770397" w:rsidRPr="004F06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F06E5">
        <w:rPr>
          <w:rFonts w:ascii="Times New Roman" w:hAnsi="Times New Roman"/>
          <w:b/>
          <w:sz w:val="24"/>
          <w:szCs w:val="24"/>
          <w:lang w:val="en-US"/>
        </w:rPr>
        <w:t>6)</w:t>
      </w:r>
      <w:r w:rsidR="00822132" w:rsidRPr="004F06E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06DFC" w:rsidRDefault="00D06DF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In the spectr</w:t>
      </w:r>
      <w:r w:rsidR="00AA75D6" w:rsidRPr="00411101">
        <w:rPr>
          <w:rFonts w:ascii="Times New Roman" w:hAnsi="Times New Roman"/>
          <w:sz w:val="24"/>
          <w:szCs w:val="24"/>
          <w:lang w:val="en-US"/>
        </w:rPr>
        <w:t>a a new band is observed at 1708</w:t>
      </w:r>
      <w:r w:rsidR="007703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cm</w:t>
      </w:r>
      <w:r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411101">
        <w:rPr>
          <w:rFonts w:ascii="Times New Roman" w:hAnsi="Times New Roman"/>
          <w:sz w:val="24"/>
          <w:szCs w:val="24"/>
          <w:lang w:val="en-US"/>
        </w:rPr>
        <w:t>, which can be assigned to ester formation. This peak indicate</w:t>
      </w:r>
      <w:r w:rsidR="00F61B17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that he hydroxyl groups of the carbohydrate in sweetgum bark are </w:t>
      </w:r>
      <w:hyperlink r:id="rId16" w:tooltip="Esterified" w:history="1">
        <w:r w:rsidRPr="00411101">
          <w:rPr>
            <w:rStyle w:val="Kpr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esterified</w:t>
        </w:r>
      </w:hyperlink>
      <w:r w:rsidRPr="00411101">
        <w:rPr>
          <w:rFonts w:ascii="Times New Roman" w:hAnsi="Times New Roman"/>
          <w:sz w:val="24"/>
          <w:szCs w:val="24"/>
          <w:lang w:val="en-US"/>
        </w:rPr>
        <w:t> with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4-DCP. These may be </w:t>
      </w:r>
      <w:r w:rsidR="00134619" w:rsidRPr="00411101">
        <w:rPr>
          <w:rFonts w:ascii="Times New Roman" w:hAnsi="Times New Roman"/>
          <w:sz w:val="24"/>
          <w:szCs w:val="24"/>
          <w:lang w:val="en-US"/>
        </w:rPr>
        <w:t xml:space="preserve">because </w:t>
      </w:r>
      <w:r w:rsidR="00AF1881" w:rsidRPr="00411101">
        <w:rPr>
          <w:rFonts w:ascii="Times New Roman" w:hAnsi="Times New Roman"/>
          <w:sz w:val="24"/>
          <w:szCs w:val="24"/>
          <w:lang w:val="en-US"/>
        </w:rPr>
        <w:t>of the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interaction between the functional groups of sweetgum bark with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4-DCP compounds during the adsorption process. </w:t>
      </w:r>
    </w:p>
    <w:p w:rsidR="006C5E1C" w:rsidRDefault="006C5E1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5E1C" w:rsidRDefault="006C5E1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5E1C" w:rsidRDefault="006C5E1C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5447" w:rsidRDefault="006F5447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47F6" w:rsidRDefault="002D47F6" w:rsidP="008D6F2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196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1251"/>
        <w:gridCol w:w="1251"/>
        <w:gridCol w:w="1612"/>
        <w:gridCol w:w="3508"/>
      </w:tblGrid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Wavelength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Range (cm-1)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Before Biosorp.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After 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Biosorp.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Differences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Assignment</w:t>
            </w:r>
          </w:p>
        </w:tc>
      </w:tr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3500-3200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3447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3423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Bonded hydroxyl groups (phenolic OH and aliphatic OH</w:t>
            </w:r>
          </w:p>
        </w:tc>
      </w:tr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1705-1715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1711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New peak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C=O stretching (unconjugated ketone, carbonyl and ester groups </w:t>
            </w:r>
          </w:p>
        </w:tc>
      </w:tr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1670-1500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1635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1623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Carboxylic groups</w:t>
            </w:r>
          </w:p>
        </w:tc>
      </w:tr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1450-1375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1454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1452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8B189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Symmetric bending of CH3</w:t>
            </w:r>
          </w:p>
        </w:tc>
      </w:tr>
      <w:tr w:rsidR="00C86045" w:rsidRPr="00546D21" w:rsidTr="00546D21">
        <w:trPr>
          <w:trHeight w:hRule="exact" w:val="567"/>
        </w:trPr>
        <w:tc>
          <w:tcPr>
            <w:tcW w:w="1737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1300-1000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1317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1036</w:t>
            </w:r>
          </w:p>
        </w:tc>
        <w:tc>
          <w:tcPr>
            <w:tcW w:w="1251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1371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1036</w:t>
            </w:r>
          </w:p>
        </w:tc>
        <w:tc>
          <w:tcPr>
            <w:tcW w:w="1612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508" w:type="dxa"/>
            <w:shd w:val="clear" w:color="auto" w:fill="auto"/>
          </w:tcPr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-SO3 stretching</w:t>
            </w:r>
          </w:p>
          <w:p w:rsidR="008B189E" w:rsidRPr="00546D21" w:rsidRDefault="008B189E" w:rsidP="00546D2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6D21">
              <w:rPr>
                <w:rFonts w:ascii="Times New Roman" w:hAnsi="Times New Roman"/>
                <w:sz w:val="20"/>
                <w:szCs w:val="20"/>
                <w:lang w:val="en-US"/>
              </w:rPr>
              <w:t>C-O-C stretching in ethers.</w:t>
            </w:r>
          </w:p>
        </w:tc>
      </w:tr>
    </w:tbl>
    <w:p w:rsidR="00C86045" w:rsidRDefault="00C86045" w:rsidP="00B03D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03D59" w:rsidRPr="006C5E1C" w:rsidRDefault="00B03D59" w:rsidP="00B03D59">
      <w:pPr>
        <w:spacing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>Table 6.</w:t>
      </w:r>
      <w:r w:rsidRPr="006C5E1C">
        <w:rPr>
          <w:rFonts w:ascii="Arial" w:hAnsi="Arial" w:cs="Arial"/>
          <w:sz w:val="16"/>
          <w:szCs w:val="16"/>
          <w:lang w:val="en-US"/>
        </w:rPr>
        <w:t xml:space="preserve"> The FTIR spectral characteristics of sweetgum bark b</w:t>
      </w:r>
      <w:r w:rsidR="00A82B0A" w:rsidRPr="006C5E1C">
        <w:rPr>
          <w:rFonts w:ascii="Arial" w:hAnsi="Arial" w:cs="Arial"/>
          <w:sz w:val="16"/>
          <w:szCs w:val="16"/>
          <w:lang w:val="en-US"/>
        </w:rPr>
        <w:t xml:space="preserve">efore and after biosorption of </w:t>
      </w:r>
      <w:r w:rsidRPr="006C5E1C">
        <w:rPr>
          <w:rFonts w:ascii="Arial" w:hAnsi="Arial" w:cs="Arial"/>
          <w:sz w:val="16"/>
          <w:szCs w:val="16"/>
          <w:lang w:val="en-US"/>
        </w:rPr>
        <w:t>2,4-DCP (İbrahim et al., 2011; Chen et al., 2014; Nelson et al., 2015) .</w:t>
      </w:r>
    </w:p>
    <w:p w:rsidR="009C5A72" w:rsidRPr="00411101" w:rsidRDefault="00E40ED9" w:rsidP="003853CC">
      <w:pPr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6127200" cy="2286000"/>
            <wp:effectExtent l="19050" t="19050" r="26035" b="19050"/>
            <wp:docPr id="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03D59" w:rsidRDefault="00402DED" w:rsidP="006434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C5E1C">
        <w:rPr>
          <w:rFonts w:ascii="Arial" w:hAnsi="Arial" w:cs="Arial"/>
          <w:b/>
          <w:sz w:val="16"/>
          <w:szCs w:val="16"/>
          <w:lang w:val="en-US"/>
        </w:rPr>
        <w:t xml:space="preserve">Figure 6. </w:t>
      </w:r>
      <w:r w:rsidR="002034D9" w:rsidRPr="006C5E1C">
        <w:rPr>
          <w:rFonts w:ascii="Arial" w:hAnsi="Arial" w:cs="Arial"/>
          <w:sz w:val="16"/>
          <w:szCs w:val="16"/>
          <w:lang w:val="en-US"/>
        </w:rPr>
        <w:t>FTIR spectrum of biosorbent (before biosorption and after biosorbent)</w:t>
      </w:r>
    </w:p>
    <w:p w:rsidR="006C5E1C" w:rsidRPr="006C5E1C" w:rsidRDefault="006C5E1C" w:rsidP="0064347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tr-TR"/>
        </w:rPr>
      </w:pPr>
    </w:p>
    <w:p w:rsidR="00531C06" w:rsidRPr="00411101" w:rsidRDefault="008A4A6B" w:rsidP="00220CB5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sz w:val="24"/>
          <w:szCs w:val="24"/>
          <w:lang w:val="en-US"/>
        </w:rPr>
        <w:t>Conclusions</w:t>
      </w:r>
    </w:p>
    <w:p w:rsidR="00531C06" w:rsidRPr="00411101" w:rsidRDefault="00A34D01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This study ha</w:t>
      </w:r>
      <w:r w:rsidR="00E06998" w:rsidRPr="00411101">
        <w:rPr>
          <w:rFonts w:ascii="Times New Roman" w:hAnsi="Times New Roman"/>
          <w:sz w:val="24"/>
          <w:szCs w:val="24"/>
          <w:lang w:val="en-US"/>
        </w:rPr>
        <w:t>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been performed</w:t>
      </w:r>
      <w:r w:rsidR="00531C06" w:rsidRPr="00411101">
        <w:rPr>
          <w:rFonts w:ascii="Times New Roman" w:hAnsi="Times New Roman"/>
          <w:sz w:val="24"/>
          <w:szCs w:val="24"/>
          <w:lang w:val="en-US"/>
        </w:rPr>
        <w:t xml:space="preserve"> by using the Turki</w:t>
      </w:r>
      <w:r w:rsidRPr="00411101">
        <w:rPr>
          <w:rFonts w:ascii="Times New Roman" w:hAnsi="Times New Roman"/>
          <w:sz w:val="24"/>
          <w:szCs w:val="24"/>
          <w:lang w:val="en-US"/>
        </w:rPr>
        <w:t>sh sweetgum bark as a potent</w:t>
      </w:r>
      <w:r w:rsidR="00531C06" w:rsidRPr="00411101">
        <w:rPr>
          <w:rFonts w:ascii="Times New Roman" w:hAnsi="Times New Roman"/>
          <w:sz w:val="24"/>
          <w:szCs w:val="24"/>
          <w:lang w:val="en-US"/>
        </w:rPr>
        <w:t xml:space="preserve"> biosorbent for the removal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="00531C06" w:rsidRPr="00411101">
        <w:rPr>
          <w:rFonts w:ascii="Times New Roman" w:hAnsi="Times New Roman"/>
          <w:sz w:val="24"/>
          <w:szCs w:val="24"/>
          <w:lang w:val="en-US"/>
        </w:rPr>
        <w:t xml:space="preserve">4-DCP. </w:t>
      </w:r>
    </w:p>
    <w:p w:rsidR="003B6FA7" w:rsidRPr="00411101" w:rsidRDefault="00531C06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choice of the Turkish sweetgum bark was made according to some criteria, including its</w:t>
      </w:r>
      <w:r w:rsidR="001B1A1E" w:rsidRPr="00411101">
        <w:rPr>
          <w:rFonts w:ascii="Times New Roman" w:hAnsi="Times New Roman"/>
          <w:sz w:val="24"/>
          <w:szCs w:val="24"/>
          <w:lang w:val="en-US"/>
        </w:rPr>
        <w:t xml:space="preserve"> forest wastes</w:t>
      </w:r>
      <w:r w:rsidRPr="00411101">
        <w:rPr>
          <w:rFonts w:ascii="Times New Roman" w:hAnsi="Times New Roman"/>
          <w:sz w:val="24"/>
          <w:szCs w:val="24"/>
          <w:lang w:val="en-US"/>
        </w:rPr>
        <w:t>.</w:t>
      </w:r>
    </w:p>
    <w:p w:rsidR="00135C72" w:rsidRPr="00411101" w:rsidRDefault="00135C72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maximum adsorption capacity of 2</w:t>
      </w:r>
      <w:r w:rsidR="00AF1881" w:rsidRPr="00411101">
        <w:rPr>
          <w:rFonts w:ascii="Times New Roman" w:hAnsi="Times New Roman"/>
          <w:sz w:val="24"/>
          <w:szCs w:val="24"/>
          <w:lang w:val="en-US"/>
        </w:rPr>
        <w:t>, 4</w:t>
      </w:r>
      <w:r w:rsidRPr="00411101">
        <w:rPr>
          <w:rFonts w:ascii="Times New Roman" w:hAnsi="Times New Roman"/>
          <w:sz w:val="24"/>
          <w:szCs w:val="24"/>
          <w:lang w:val="en-US"/>
        </w:rPr>
        <w:t>-</w:t>
      </w:r>
      <w:r w:rsidR="00AF1881" w:rsidRPr="00411101">
        <w:rPr>
          <w:rFonts w:ascii="Times New Roman" w:hAnsi="Times New Roman"/>
          <w:sz w:val="24"/>
          <w:szCs w:val="24"/>
          <w:lang w:val="en-US"/>
        </w:rPr>
        <w:t>DCP was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observed at a pH of 2.0.</w:t>
      </w:r>
    </w:p>
    <w:p w:rsidR="003B6FA7" w:rsidRPr="00411101" w:rsidRDefault="003B6FA7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rate of sorption capacities increased slightly at contact time of 150 min.</w:t>
      </w:r>
    </w:p>
    <w:p w:rsidR="003B6FA7" w:rsidRPr="00411101" w:rsidRDefault="003B6FA7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Taguchi’s Orthogonal Array (OA) analysis</w:t>
      </w:r>
      <w:r w:rsidR="00995C4F" w:rsidRPr="00411101">
        <w:rPr>
          <w:rFonts w:ascii="Times New Roman" w:hAnsi="Times New Roman"/>
          <w:sz w:val="24"/>
          <w:szCs w:val="24"/>
          <w:lang w:val="en-US"/>
        </w:rPr>
        <w:t xml:space="preserve"> was used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to determine the values of optimum experimental parameters for adsorption capacity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>4-DCP onto Turkish sweetgum bark.</w:t>
      </w:r>
    </w:p>
    <w:p w:rsidR="003B6FA7" w:rsidRPr="00411101" w:rsidRDefault="003B6FA7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lastRenderedPageBreak/>
        <w:t>The values of optimum experimental parameters for adsorption capacity of 2</w:t>
      </w:r>
      <w:r w:rsidR="004E7BB1">
        <w:rPr>
          <w:rFonts w:ascii="Times New Roman" w:hAnsi="Times New Roman"/>
          <w:sz w:val="24"/>
          <w:szCs w:val="24"/>
          <w:lang w:val="en-US"/>
        </w:rPr>
        <w:t>,</w:t>
      </w:r>
      <w:r w:rsidRPr="00411101">
        <w:rPr>
          <w:rFonts w:ascii="Times New Roman" w:hAnsi="Times New Roman"/>
          <w:sz w:val="24"/>
          <w:szCs w:val="24"/>
          <w:lang w:val="en-US"/>
        </w:rPr>
        <w:t>4-DCP onto Turkish sweetgum bark can be explained clearly by Taguchi’s Orthogonal Array (OA) analysis.</w:t>
      </w:r>
    </w:p>
    <w:p w:rsidR="00A9502F" w:rsidRPr="00411101" w:rsidRDefault="00A9502F" w:rsidP="008D6F2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Biosor</w:t>
      </w:r>
      <w:r w:rsidR="001B1A1E" w:rsidRPr="00411101">
        <w:rPr>
          <w:rFonts w:ascii="Times New Roman" w:hAnsi="Times New Roman"/>
          <w:sz w:val="24"/>
          <w:szCs w:val="24"/>
          <w:lang w:val="en-US"/>
        </w:rPr>
        <w:t>p</w:t>
      </w:r>
      <w:r w:rsidRPr="00411101">
        <w:rPr>
          <w:rFonts w:ascii="Times New Roman" w:hAnsi="Times New Roman"/>
          <w:sz w:val="24"/>
          <w:szCs w:val="24"/>
          <w:lang w:val="en-US"/>
        </w:rPr>
        <w:t>tion</w:t>
      </w:r>
      <w:r w:rsidR="001B1A1E" w:rsidRPr="00411101">
        <w:rPr>
          <w:rFonts w:ascii="Times New Roman" w:hAnsi="Times New Roman"/>
          <w:sz w:val="24"/>
          <w:szCs w:val="24"/>
          <w:lang w:val="en-US"/>
        </w:rPr>
        <w:t xml:space="preserve"> was determined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by a P</w:t>
      </w:r>
      <w:r w:rsidRPr="00411101">
        <w:rPr>
          <w:rFonts w:ascii="Times New Roman" w:hAnsi="Times New Roman"/>
          <w:bCs/>
          <w:sz w:val="24"/>
          <w:szCs w:val="24"/>
          <w:lang w:val="en-US"/>
        </w:rPr>
        <w:t>seudo-second-order model predicting a chemisorption process.</w:t>
      </w:r>
      <w:r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A9502F" w:rsidRPr="00411101" w:rsidRDefault="00A9502F" w:rsidP="008D6F2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11101">
        <w:rPr>
          <w:rFonts w:ascii="Times New Roman" w:hAnsi="Times New Roman"/>
          <w:sz w:val="24"/>
          <w:szCs w:val="24"/>
          <w:lang w:val="en-US"/>
        </w:rPr>
        <w:t>The equilibrium data were well characterized by the Langmuir isotherm model, which confirmed the mono-layer coverage.</w:t>
      </w:r>
    </w:p>
    <w:p w:rsidR="00A9502F" w:rsidRPr="00411101" w:rsidRDefault="00A9502F" w:rsidP="008D6F2E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The Freundlich isotherm model was found to represent the measured sorption data well.</w:t>
      </w:r>
    </w:p>
    <w:p w:rsidR="00370448" w:rsidRPr="0064347C" w:rsidRDefault="00A9502F" w:rsidP="00135C72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11101">
        <w:rPr>
          <w:rFonts w:ascii="Times New Roman" w:hAnsi="Times New Roman"/>
          <w:sz w:val="24"/>
          <w:szCs w:val="24"/>
          <w:lang w:val="en-US"/>
        </w:rPr>
        <w:t>A new band is observed at 1708cm</w:t>
      </w:r>
      <w:r w:rsidRPr="00411101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411101">
        <w:rPr>
          <w:rFonts w:ascii="Times New Roman" w:hAnsi="Times New Roman"/>
          <w:sz w:val="24"/>
          <w:szCs w:val="24"/>
          <w:lang w:val="en-US"/>
        </w:rPr>
        <w:t xml:space="preserve"> in FTIR, which can be assigned to ester formation. This peak indicate that hydroxyl groups of the carbohydrate in sweetgum bark are esterified with 2,4-DCP</w:t>
      </w:r>
    </w:p>
    <w:p w:rsidR="00135C72" w:rsidRPr="00411101" w:rsidRDefault="005E7342" w:rsidP="00135C7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Acknow</w:t>
      </w:r>
      <w:r w:rsidR="00135C72" w:rsidRPr="00411101">
        <w:rPr>
          <w:rFonts w:ascii="Times New Roman" w:hAnsi="Times New Roman"/>
          <w:b/>
          <w:sz w:val="24"/>
          <w:szCs w:val="24"/>
          <w:lang w:val="en-US"/>
        </w:rPr>
        <w:t>ledgements</w:t>
      </w:r>
    </w:p>
    <w:p w:rsidR="005E7342" w:rsidRPr="0064347C" w:rsidRDefault="00135C72" w:rsidP="005E7342">
      <w:pPr>
        <w:rPr>
          <w:rFonts w:ascii="Times New Roman" w:hAnsi="Times New Roman"/>
          <w:sz w:val="24"/>
          <w:szCs w:val="24"/>
        </w:rPr>
      </w:pPr>
      <w:r w:rsidRPr="00AF1881">
        <w:rPr>
          <w:rFonts w:ascii="Times New Roman" w:hAnsi="Times New Roman"/>
          <w:sz w:val="24"/>
          <w:szCs w:val="24"/>
          <w:lang w:val="en-US"/>
        </w:rPr>
        <w:t>This research was supported by Muğla Sıtkı Koçma</w:t>
      </w:r>
      <w:r w:rsidR="00AF1881">
        <w:rPr>
          <w:rFonts w:ascii="Times New Roman" w:hAnsi="Times New Roman"/>
          <w:sz w:val="24"/>
          <w:szCs w:val="24"/>
          <w:lang w:val="en-US"/>
        </w:rPr>
        <w:t>n University (Project no: 15/017</w:t>
      </w:r>
      <w:r w:rsidR="0064347C">
        <w:rPr>
          <w:rFonts w:ascii="Times New Roman" w:hAnsi="Times New Roman"/>
          <w:sz w:val="24"/>
          <w:szCs w:val="24"/>
        </w:rPr>
        <w:t>)</w:t>
      </w:r>
    </w:p>
    <w:p w:rsidR="005E7342" w:rsidRDefault="005E7342" w:rsidP="005E7342">
      <w:pPr>
        <w:rPr>
          <w:rFonts w:ascii="Times New Roman" w:hAnsi="Times New Roman"/>
          <w:b/>
          <w:sz w:val="24"/>
          <w:szCs w:val="24"/>
          <w:lang w:val="en-US"/>
        </w:rPr>
      </w:pPr>
      <w:r w:rsidRPr="006A4CD4">
        <w:rPr>
          <w:rFonts w:ascii="Times New Roman" w:hAnsi="Times New Roman"/>
          <w:b/>
          <w:sz w:val="24"/>
          <w:szCs w:val="24"/>
          <w:lang w:val="en-US"/>
        </w:rPr>
        <w:t xml:space="preserve">References 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W.Juan, Y. Han-Qing,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J Hazard Mater B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432C8">
        <w:rPr>
          <w:rFonts w:ascii="Times New Roman" w:hAnsi="Times New Roman"/>
          <w:b/>
          <w:sz w:val="24"/>
          <w:szCs w:val="24"/>
          <w:lang w:val="en-US"/>
        </w:rPr>
        <w:t>2006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137</w:t>
      </w:r>
      <w:r w:rsidRPr="008B7D0F">
        <w:rPr>
          <w:rFonts w:ascii="Times New Roman" w:hAnsi="Times New Roman"/>
          <w:sz w:val="24"/>
          <w:szCs w:val="24"/>
          <w:lang w:val="en-US"/>
        </w:rPr>
        <w:t>, 498–508.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N.S. Kumar, M.V. Subbaiah, A.S. Reddy, A. Krishnaiah,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J Chem Tech Biotechnol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32C8">
        <w:rPr>
          <w:rFonts w:ascii="Times New Roman" w:hAnsi="Times New Roman"/>
          <w:b/>
          <w:sz w:val="24"/>
          <w:szCs w:val="24"/>
          <w:lang w:val="en-US"/>
        </w:rPr>
        <w:t>2009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84</w:t>
      </w:r>
      <w:r w:rsidRPr="008B7D0F">
        <w:rPr>
          <w:rFonts w:ascii="Times New Roman" w:hAnsi="Times New Roman"/>
          <w:sz w:val="24"/>
          <w:szCs w:val="24"/>
          <w:lang w:val="en-US"/>
        </w:rPr>
        <w:t>, 972–981.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V.C. Srivastava, M.M. Swamy, I.D. Mall, B. Prasad and I.M. Mishra, </w:t>
      </w:r>
      <w:r w:rsidRPr="008B7D0F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Colloid Surface A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32C8">
        <w:rPr>
          <w:rFonts w:ascii="Times New Roman" w:hAnsi="Times New Roman"/>
          <w:b/>
          <w:sz w:val="24"/>
          <w:szCs w:val="24"/>
          <w:lang w:val="en-US"/>
        </w:rPr>
        <w:t>2006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272</w:t>
      </w:r>
      <w:r w:rsidRPr="008B7D0F">
        <w:rPr>
          <w:rFonts w:ascii="Times New Roman" w:hAnsi="Times New Roman"/>
          <w:sz w:val="24"/>
          <w:szCs w:val="24"/>
          <w:lang w:val="en-US"/>
        </w:rPr>
        <w:t>, 89–104.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S.P. Kamble, P.A. Mangrulkar, A.K. Bansiwal, S.S. Rayalu,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Chem Eng J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32C8">
        <w:rPr>
          <w:rFonts w:ascii="Times New Roman" w:hAnsi="Times New Roman"/>
          <w:b/>
          <w:sz w:val="24"/>
          <w:szCs w:val="24"/>
          <w:lang w:val="en-US"/>
        </w:rPr>
        <w:t>2008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138</w:t>
      </w:r>
      <w:r w:rsidRPr="008B7D0F">
        <w:rPr>
          <w:rFonts w:ascii="Times New Roman" w:hAnsi="Times New Roman"/>
          <w:sz w:val="24"/>
          <w:szCs w:val="24"/>
          <w:lang w:val="en-US"/>
        </w:rPr>
        <w:t>, 73–83.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N.S. Kumar, K. Min,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Chem Eng J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32C8">
        <w:rPr>
          <w:rFonts w:ascii="Times New Roman" w:hAnsi="Times New Roman"/>
          <w:b/>
          <w:sz w:val="24"/>
          <w:szCs w:val="24"/>
          <w:lang w:val="en-US"/>
        </w:rPr>
        <w:t>2011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168</w:t>
      </w:r>
      <w:r w:rsidRPr="008B7D0F">
        <w:rPr>
          <w:rFonts w:ascii="Times New Roman" w:hAnsi="Times New Roman"/>
          <w:sz w:val="24"/>
          <w:szCs w:val="24"/>
          <w:lang w:val="en-US"/>
        </w:rPr>
        <w:t>, 562–571.</w:t>
      </w:r>
    </w:p>
    <w:p w:rsidR="0014360A" w:rsidRPr="008B7D0F" w:rsidRDefault="0014360A" w:rsidP="0014360A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413"/>
          <w:sz w:val="24"/>
          <w:szCs w:val="24"/>
        </w:rPr>
      </w:pPr>
      <w:r w:rsidRPr="008B7D0F">
        <w:rPr>
          <w:rFonts w:ascii="Times New Roman" w:hAnsi="Times New Roman"/>
          <w:color w:val="131413"/>
          <w:sz w:val="24"/>
          <w:szCs w:val="24"/>
        </w:rPr>
        <w:t xml:space="preserve">A.Gholizadeh, M. Kermani, M. Gholami, M. Farzadkia, K. Yaghmaeian </w:t>
      </w:r>
      <w:r w:rsidRPr="008B7D0F">
        <w:rPr>
          <w:rFonts w:ascii="Times New Roman" w:hAnsi="Times New Roman"/>
          <w:i/>
          <w:color w:val="131413"/>
          <w:sz w:val="24"/>
          <w:szCs w:val="24"/>
        </w:rPr>
        <w:t>Asian J Chem</w:t>
      </w:r>
      <w:r w:rsidRPr="008B7D0F"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6432C8">
        <w:rPr>
          <w:rFonts w:ascii="Times New Roman" w:hAnsi="Times New Roman"/>
          <w:b/>
          <w:color w:val="131413"/>
          <w:sz w:val="24"/>
          <w:szCs w:val="24"/>
        </w:rPr>
        <w:t>2013</w:t>
      </w:r>
      <w:r w:rsidR="00F969BB" w:rsidRPr="008B7D0F">
        <w:rPr>
          <w:rFonts w:ascii="Times New Roman" w:hAnsi="Times New Roman"/>
          <w:color w:val="131413"/>
          <w:sz w:val="24"/>
          <w:szCs w:val="24"/>
        </w:rPr>
        <w:t>,</w:t>
      </w:r>
      <w:r w:rsidRPr="008B7D0F"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797A2B">
        <w:rPr>
          <w:rFonts w:ascii="Times New Roman" w:hAnsi="Times New Roman"/>
          <w:i/>
          <w:color w:val="131413"/>
          <w:sz w:val="24"/>
          <w:szCs w:val="24"/>
        </w:rPr>
        <w:t>25</w:t>
      </w:r>
      <w:r w:rsidRPr="008B7D0F">
        <w:rPr>
          <w:rFonts w:ascii="Times New Roman" w:hAnsi="Times New Roman"/>
          <w:color w:val="131413"/>
          <w:sz w:val="24"/>
          <w:szCs w:val="24"/>
        </w:rPr>
        <w:t>, 7, 3871–3878.</w:t>
      </w:r>
    </w:p>
    <w:p w:rsidR="00E960A6" w:rsidRPr="008B7D0F" w:rsidRDefault="00E960A6" w:rsidP="002058A4">
      <w:pPr>
        <w:pStyle w:val="ListeParagraf"/>
        <w:numPr>
          <w:ilvl w:val="0"/>
          <w:numId w:val="14"/>
        </w:numPr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A. Demirak,  Ö. Dalman, E. Tilkan, D. Yıldız, E. Yavuz, C. Gökçe, </w:t>
      </w:r>
      <w:r w:rsidR="002058A4" w:rsidRPr="008B7D0F">
        <w:rPr>
          <w:rFonts w:ascii="Times New Roman" w:hAnsi="Times New Roman"/>
          <w:i/>
          <w:sz w:val="24"/>
          <w:szCs w:val="24"/>
          <w:lang w:val="en-US"/>
        </w:rPr>
        <w:t>Microchem. J</w:t>
      </w:r>
      <w:r w:rsidR="002058A4"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2011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99</w:t>
      </w:r>
      <w:r w:rsidR="00D244E2" w:rsidRPr="008B7D0F">
        <w:rPr>
          <w:rFonts w:ascii="Times New Roman" w:hAnsi="Times New Roman"/>
          <w:sz w:val="24"/>
          <w:szCs w:val="24"/>
          <w:lang w:val="en-US"/>
        </w:rPr>
        <w:t>,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97-102. </w:t>
      </w:r>
    </w:p>
    <w:p w:rsidR="00E960A6" w:rsidRPr="008B7D0F" w:rsidRDefault="00E960A6" w:rsidP="00E960A6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8B7D0F">
        <w:rPr>
          <w:rFonts w:ascii="Times New Roman" w:hAnsi="Times New Roman"/>
          <w:bCs/>
          <w:sz w:val="24"/>
          <w:szCs w:val="24"/>
          <w:lang w:val="en-US"/>
        </w:rPr>
        <w:t xml:space="preserve">A.S. Ghatbandhea,  H.G. Jahagirdara, M.K.N. Yenkieb, and S.D. Deosarkarc, </w:t>
      </w:r>
      <w:r w:rsidRPr="008B7D0F">
        <w:rPr>
          <w:rFonts w:ascii="Times New Roman" w:hAnsi="Times New Roman"/>
          <w:bCs/>
          <w:i/>
          <w:sz w:val="24"/>
          <w:szCs w:val="24"/>
          <w:lang w:val="en-US"/>
        </w:rPr>
        <w:t>Russ J Phys Chem A</w:t>
      </w:r>
      <w:r w:rsidRPr="008B7D0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iCs/>
          <w:sz w:val="24"/>
          <w:szCs w:val="24"/>
          <w:lang w:val="en-US"/>
        </w:rPr>
        <w:t>2013</w:t>
      </w:r>
      <w:r w:rsidRPr="008B7D0F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bCs/>
          <w:i/>
          <w:sz w:val="24"/>
          <w:szCs w:val="24"/>
          <w:lang w:val="en-US"/>
        </w:rPr>
        <w:t>87</w:t>
      </w:r>
      <w:r w:rsidRPr="008B7D0F">
        <w:rPr>
          <w:rFonts w:ascii="Times New Roman" w:hAnsi="Times New Roman"/>
          <w:bCs/>
          <w:sz w:val="24"/>
          <w:szCs w:val="24"/>
          <w:lang w:val="en-US"/>
        </w:rPr>
        <w:t>, 8,</w:t>
      </w:r>
      <w:r w:rsidRPr="008B7D0F">
        <w:rPr>
          <w:rFonts w:ascii="Times New Roman" w:hAnsi="Times New Roman"/>
          <w:iCs/>
          <w:sz w:val="24"/>
          <w:szCs w:val="24"/>
          <w:lang w:val="en-US"/>
        </w:rPr>
        <w:t xml:space="preserve"> 1362–1366.</w:t>
      </w:r>
      <w:r w:rsidRPr="008B7D0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:rsidR="009E6D8C" w:rsidRPr="008B7D0F" w:rsidRDefault="009E6D8C" w:rsidP="009E6D8C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M.W. Jung, K.H. Ahn, Y. Lee, K.P. Kim, </w:t>
      </w:r>
      <w:r w:rsidRPr="008B7D0F">
        <w:rPr>
          <w:rFonts w:ascii="Times New Roman" w:hAnsi="Times New Roman"/>
          <w:i/>
          <w:sz w:val="24"/>
          <w:szCs w:val="24"/>
        </w:rPr>
        <w:t>Microchem. J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2001</w:t>
      </w:r>
      <w:r w:rsidRPr="008B7D0F">
        <w:rPr>
          <w:rFonts w:ascii="Times New Roman" w:hAnsi="Times New Roman"/>
          <w:sz w:val="24"/>
          <w:szCs w:val="24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</w:rPr>
        <w:t>70</w:t>
      </w:r>
      <w:r w:rsidRPr="008B7D0F">
        <w:rPr>
          <w:rFonts w:ascii="Times New Roman" w:hAnsi="Times New Roman"/>
          <w:sz w:val="24"/>
          <w:szCs w:val="24"/>
        </w:rPr>
        <w:t>, 123–131.</w:t>
      </w:r>
    </w:p>
    <w:p w:rsidR="0014360A" w:rsidRPr="008B7D0F" w:rsidRDefault="009E6D8C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</w:rPr>
        <w:t xml:space="preserve">F. Kargi, S. Eker, </w:t>
      </w:r>
      <w:r w:rsidRPr="008B7D0F">
        <w:rPr>
          <w:rFonts w:ascii="Times New Roman" w:hAnsi="Times New Roman"/>
          <w:i/>
          <w:sz w:val="24"/>
          <w:szCs w:val="24"/>
        </w:rPr>
        <w:t>Process Biochem</w:t>
      </w:r>
      <w:r w:rsidRPr="008B7D0F">
        <w:rPr>
          <w:rFonts w:ascii="Times New Roman" w:hAnsi="Times New Roman"/>
          <w:sz w:val="24"/>
          <w:szCs w:val="24"/>
        </w:rPr>
        <w:t xml:space="preserve"> </w:t>
      </w:r>
      <w:r w:rsidR="00797A2B" w:rsidRPr="00797A2B">
        <w:rPr>
          <w:rFonts w:ascii="Times New Roman" w:hAnsi="Times New Roman"/>
          <w:i/>
          <w:sz w:val="24"/>
          <w:szCs w:val="24"/>
        </w:rPr>
        <w:t>40</w:t>
      </w:r>
      <w:r w:rsidR="00797A2B">
        <w:rPr>
          <w:rFonts w:ascii="Times New Roman" w:hAnsi="Times New Roman"/>
          <w:sz w:val="24"/>
          <w:szCs w:val="24"/>
        </w:rPr>
        <w:t xml:space="preserve">,6, </w:t>
      </w:r>
      <w:r w:rsidRPr="002A427D">
        <w:rPr>
          <w:rFonts w:ascii="Times New Roman" w:hAnsi="Times New Roman"/>
          <w:b/>
          <w:sz w:val="24"/>
          <w:szCs w:val="24"/>
        </w:rPr>
        <w:t>2005</w:t>
      </w:r>
      <w:r w:rsidRPr="008B7D0F">
        <w:rPr>
          <w:rFonts w:ascii="Times New Roman" w:hAnsi="Times New Roman"/>
          <w:sz w:val="24"/>
          <w:szCs w:val="24"/>
        </w:rPr>
        <w:t>, 2105–2111.</w:t>
      </w:r>
    </w:p>
    <w:p w:rsidR="009E6D8C" w:rsidRPr="008B7D0F" w:rsidRDefault="009E6D8C" w:rsidP="009E6D8C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31413"/>
          <w:sz w:val="24"/>
          <w:szCs w:val="24"/>
          <w:lang w:val="en-US"/>
        </w:rPr>
      </w:pP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E. Rubin, P. Rodriguez, R. Herrero, M.E. Sastre de Vicente </w:t>
      </w:r>
      <w:r w:rsidRPr="008B7D0F">
        <w:rPr>
          <w:rFonts w:ascii="Times New Roman" w:hAnsi="Times New Roman"/>
          <w:i/>
          <w:color w:val="131413"/>
          <w:sz w:val="24"/>
          <w:szCs w:val="24"/>
          <w:lang w:val="en-US"/>
        </w:rPr>
        <w:t>J Chem Tech Biotechnol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color w:val="131413"/>
          <w:sz w:val="24"/>
          <w:szCs w:val="24"/>
          <w:lang w:val="en-US"/>
        </w:rPr>
        <w:t>2006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color w:val="131413"/>
          <w:sz w:val="24"/>
          <w:szCs w:val="24"/>
          <w:lang w:val="en-US"/>
        </w:rPr>
        <w:t>81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>, 1093–1099.</w:t>
      </w:r>
    </w:p>
    <w:p w:rsidR="009E6D8C" w:rsidRPr="008B7D0F" w:rsidRDefault="009E6D8C" w:rsidP="009E6D8C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M. Akhtar, M.I. Bhanger, S. Iqbal, S.M. Hasany, </w:t>
      </w:r>
      <w:r w:rsidRPr="008B7D0F">
        <w:rPr>
          <w:rFonts w:ascii="Times New Roman" w:hAnsi="Times New Roman"/>
          <w:i/>
          <w:sz w:val="24"/>
          <w:szCs w:val="24"/>
        </w:rPr>
        <w:t>J. Hazard. Mater. B</w:t>
      </w:r>
      <w:r w:rsidRPr="008B7D0F">
        <w:rPr>
          <w:rFonts w:ascii="Times New Roman" w:hAnsi="Times New Roman"/>
          <w:sz w:val="24"/>
          <w:szCs w:val="24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</w:rPr>
        <w:t>2006</w:t>
      </w:r>
      <w:r w:rsidRPr="008B7D0F">
        <w:rPr>
          <w:rFonts w:ascii="Times New Roman" w:hAnsi="Times New Roman"/>
          <w:sz w:val="24"/>
          <w:szCs w:val="24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</w:rPr>
        <w:t>128</w:t>
      </w:r>
      <w:r w:rsidRPr="008B7D0F">
        <w:rPr>
          <w:rFonts w:ascii="Times New Roman" w:hAnsi="Times New Roman"/>
          <w:sz w:val="24"/>
          <w:szCs w:val="24"/>
        </w:rPr>
        <w:t>, 44–52.</w:t>
      </w:r>
    </w:p>
    <w:p w:rsidR="009E6D8C" w:rsidRPr="008B7D0F" w:rsidRDefault="009E6D8C" w:rsidP="0014360A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S.K. Nadavala, K. Swayampakula, V.M. Boddu, K. Abburi, </w:t>
      </w:r>
      <w:r w:rsidRPr="008B7D0F">
        <w:rPr>
          <w:rFonts w:ascii="Times New Roman" w:hAnsi="Times New Roman"/>
          <w:i/>
          <w:color w:val="131413"/>
          <w:sz w:val="24"/>
          <w:szCs w:val="24"/>
          <w:lang w:val="en-US"/>
        </w:rPr>
        <w:t>J Hazard Mater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color w:val="131413"/>
          <w:sz w:val="24"/>
          <w:szCs w:val="24"/>
          <w:lang w:val="en-US"/>
        </w:rPr>
        <w:t>2009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color w:val="131413"/>
          <w:sz w:val="24"/>
          <w:szCs w:val="24"/>
          <w:lang w:val="en-US"/>
        </w:rPr>
        <w:t>162</w:t>
      </w:r>
      <w:r w:rsidRPr="008B7D0F">
        <w:rPr>
          <w:rFonts w:ascii="Times New Roman" w:hAnsi="Times New Roman"/>
          <w:color w:val="131413"/>
          <w:sz w:val="24"/>
          <w:szCs w:val="24"/>
          <w:lang w:val="en-US"/>
        </w:rPr>
        <w:t>, 482–489</w:t>
      </w:r>
    </w:p>
    <w:p w:rsidR="007E0551" w:rsidRPr="008B7D0F" w:rsidRDefault="007E0551" w:rsidP="007E0551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M. Sathishkumar, A.R. Binupriya, D. Kavitha, S.E. Yun,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Bioresour. Technol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2007</w:t>
      </w:r>
      <w:r w:rsidR="006F5447"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F5447" w:rsidRPr="00797A2B">
        <w:rPr>
          <w:rFonts w:ascii="Times New Roman" w:hAnsi="Times New Roman"/>
          <w:i/>
          <w:sz w:val="24"/>
          <w:szCs w:val="24"/>
          <w:lang w:val="en-US"/>
        </w:rPr>
        <w:t>98</w:t>
      </w:r>
      <w:r w:rsidRPr="008B7D0F">
        <w:rPr>
          <w:rFonts w:ascii="Times New Roman" w:hAnsi="Times New Roman"/>
          <w:sz w:val="24"/>
          <w:szCs w:val="24"/>
          <w:lang w:val="en-US"/>
        </w:rPr>
        <w:t>, 866–873.</w:t>
      </w:r>
    </w:p>
    <w:p w:rsidR="007E0551" w:rsidRPr="008B7D0F" w:rsidRDefault="007E0551" w:rsidP="007E0551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M. Sathishkumar, K. Vijayaraghavan, A.R. Binupriya, A.M. Stephan, J.G. Chai, S.E. Yun,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J Colloid Interface Sci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2008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320</w:t>
      </w:r>
      <w:r w:rsidRPr="008B7D0F">
        <w:rPr>
          <w:rFonts w:ascii="Times New Roman" w:hAnsi="Times New Roman"/>
          <w:sz w:val="24"/>
          <w:szCs w:val="24"/>
          <w:lang w:val="en-US"/>
        </w:rPr>
        <w:t>, 1, 22-</w:t>
      </w:r>
      <w:r w:rsidR="00D244E2" w:rsidRPr="008B7D0F">
        <w:rPr>
          <w:rFonts w:ascii="Times New Roman" w:hAnsi="Times New Roman"/>
          <w:sz w:val="24"/>
          <w:szCs w:val="24"/>
          <w:lang w:val="en-US"/>
        </w:rPr>
        <w:t>2</w:t>
      </w:r>
      <w:r w:rsidRPr="008B7D0F">
        <w:rPr>
          <w:rFonts w:ascii="Times New Roman" w:hAnsi="Times New Roman"/>
          <w:sz w:val="24"/>
          <w:szCs w:val="24"/>
          <w:lang w:val="en-US"/>
        </w:rPr>
        <w:t>9.</w:t>
      </w:r>
    </w:p>
    <w:p w:rsidR="007E0551" w:rsidRPr="008B7D0F" w:rsidRDefault="007E0551" w:rsidP="007E0551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M. Sathishkumar, A.R. Binupriya, D. Kavitha,</w:t>
      </w:r>
      <w:r w:rsidRPr="008B7D0F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</w:t>
      </w:r>
      <w:hyperlink r:id="rId18" w:history="1">
        <w:r w:rsidRPr="008B7D0F">
          <w:rPr>
            <w:rFonts w:ascii="Times New Roman" w:eastAsia="Times New Roman" w:hAnsi="Times New Roman"/>
            <w:color w:val="000000"/>
            <w:sz w:val="24"/>
            <w:szCs w:val="24"/>
            <w:bdr w:val="none" w:sz="0" w:space="0" w:color="auto" w:frame="1"/>
            <w:lang w:eastAsia="tr-TR"/>
          </w:rPr>
          <w:t>R. Selvakumar</w:t>
        </w:r>
      </w:hyperlink>
      <w:r w:rsidRPr="008B7D0F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, </w:t>
      </w:r>
      <w:hyperlink r:id="rId19" w:history="1">
        <w:r w:rsidRPr="008B7D0F">
          <w:rPr>
            <w:rFonts w:ascii="Times New Roman" w:eastAsia="Times New Roman" w:hAnsi="Times New Roman"/>
            <w:color w:val="000000"/>
            <w:sz w:val="24"/>
            <w:szCs w:val="24"/>
            <w:bdr w:val="none" w:sz="0" w:space="0" w:color="auto" w:frame="1"/>
            <w:lang w:eastAsia="tr-TR"/>
          </w:rPr>
          <w:t>R. Jayabalan</w:t>
        </w:r>
      </w:hyperlink>
      <w:r w:rsidRPr="008B7D0F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, </w:t>
      </w:r>
      <w:hyperlink r:id="rId20" w:history="1">
        <w:r w:rsidRPr="008B7D0F">
          <w:rPr>
            <w:rFonts w:ascii="Times New Roman" w:eastAsia="Times New Roman" w:hAnsi="Times New Roman"/>
            <w:color w:val="000000"/>
            <w:sz w:val="24"/>
            <w:szCs w:val="24"/>
            <w:bdr w:val="none" w:sz="0" w:space="0" w:color="auto" w:frame="1"/>
            <w:lang w:eastAsia="tr-TR"/>
          </w:rPr>
          <w:t>J.G. Choi</w:t>
        </w:r>
      </w:hyperlink>
      <w:r w:rsidRPr="008B7D0F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,  </w:t>
      </w:r>
      <w:hyperlink r:id="rId21" w:history="1">
        <w:r w:rsidRPr="008B7D0F">
          <w:rPr>
            <w:rFonts w:ascii="Times New Roman" w:eastAsia="Times New Roman" w:hAnsi="Times New Roman"/>
            <w:color w:val="000000"/>
            <w:sz w:val="24"/>
            <w:szCs w:val="24"/>
            <w:bdr w:val="none" w:sz="0" w:space="0" w:color="auto" w:frame="1"/>
            <w:lang w:eastAsia="tr-TR"/>
          </w:rPr>
          <w:t>S.E. Yun</w:t>
        </w:r>
      </w:hyperlink>
      <w:r w:rsidRPr="008B7D0F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,</w:t>
      </w: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B7D0F">
        <w:rPr>
          <w:rFonts w:ascii="Times New Roman" w:hAnsi="Times New Roman"/>
          <w:i/>
          <w:color w:val="000000"/>
          <w:sz w:val="24"/>
          <w:szCs w:val="24"/>
          <w:lang w:val="en-US"/>
        </w:rPr>
        <w:t>Chem. Eng. J.</w:t>
      </w: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color w:val="000000"/>
          <w:sz w:val="24"/>
          <w:szCs w:val="24"/>
          <w:lang w:val="en-US"/>
        </w:rPr>
        <w:t>2009</w:t>
      </w: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color w:val="000000"/>
          <w:sz w:val="24"/>
          <w:szCs w:val="24"/>
          <w:lang w:val="en-US"/>
        </w:rPr>
        <w:t>147</w:t>
      </w: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797A2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B7D0F">
        <w:rPr>
          <w:rFonts w:ascii="Times New Roman" w:hAnsi="Times New Roman"/>
          <w:color w:val="000000"/>
          <w:sz w:val="24"/>
          <w:szCs w:val="24"/>
          <w:lang w:val="en-US"/>
        </w:rPr>
        <w:t>265–271.</w:t>
      </w:r>
    </w:p>
    <w:p w:rsidR="007E0551" w:rsidRPr="008B7D0F" w:rsidRDefault="007E0551" w:rsidP="007E0551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A. Bhatnagar, A.K. Minocha,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J. Hazard. Mater.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2009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168</w:t>
      </w:r>
      <w:r w:rsidRPr="008B7D0F">
        <w:rPr>
          <w:rFonts w:ascii="Times New Roman" w:hAnsi="Times New Roman"/>
          <w:sz w:val="24"/>
          <w:szCs w:val="24"/>
          <w:lang w:val="en-US"/>
        </w:rPr>
        <w:t>, 1111–1117.</w:t>
      </w:r>
    </w:p>
    <w:p w:rsidR="00622494" w:rsidRPr="008B7D0F" w:rsidRDefault="00622494" w:rsidP="00622494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L. Wang, J. Zhang , R. Zhao, C. Zhang, C. Li, Y. Li, </w:t>
      </w:r>
      <w:r w:rsidRPr="008B7D0F">
        <w:rPr>
          <w:rFonts w:ascii="Times New Roman" w:hAnsi="Times New Roman"/>
          <w:i/>
          <w:sz w:val="24"/>
          <w:szCs w:val="24"/>
          <w:lang w:val="en-US"/>
        </w:rPr>
        <w:t>Desalination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2011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  <w:lang w:val="en-US"/>
        </w:rPr>
        <w:t>266</w:t>
      </w:r>
      <w:r w:rsidRPr="008B7D0F">
        <w:rPr>
          <w:rFonts w:ascii="Times New Roman" w:hAnsi="Times New Roman"/>
          <w:sz w:val="24"/>
          <w:szCs w:val="24"/>
          <w:lang w:val="en-US"/>
        </w:rPr>
        <w:t>, 175–181.</w:t>
      </w:r>
    </w:p>
    <w:p w:rsidR="00622494" w:rsidRPr="008B7D0F" w:rsidRDefault="00622494" w:rsidP="00622494">
      <w:pPr>
        <w:pStyle w:val="ListeParagraf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A. Gholizadeh, M. Kermani, M. Gholami and M. Farzadkia, </w:t>
      </w:r>
      <w:r w:rsidRPr="008B7D0F">
        <w:rPr>
          <w:rFonts w:ascii="Times New Roman" w:hAnsi="Times New Roman"/>
          <w:i/>
          <w:sz w:val="24"/>
          <w:szCs w:val="24"/>
        </w:rPr>
        <w:t>J. Environ. Health Sci. Eng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2013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DOI: 10.1186/2052-336X-11-29 </w:t>
      </w:r>
    </w:p>
    <w:p w:rsidR="0022297F" w:rsidRPr="008B7D0F" w:rsidRDefault="0022297F" w:rsidP="002058A4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>I. Gurbuz, E. Yesilada, B. Demirci, E. Sezik, F. Demirci, K.H. Baser,</w:t>
      </w:r>
      <w:r w:rsidR="002058A4" w:rsidRPr="008B7D0F">
        <w:t xml:space="preserve"> </w:t>
      </w:r>
      <w:r w:rsidR="002058A4" w:rsidRPr="008B7D0F">
        <w:rPr>
          <w:rFonts w:ascii="Times New Roman" w:hAnsi="Times New Roman"/>
          <w:i/>
          <w:sz w:val="24"/>
          <w:szCs w:val="24"/>
        </w:rPr>
        <w:t>J Ethnopharmacol</w:t>
      </w:r>
      <w:r w:rsidRPr="008B7D0F">
        <w:rPr>
          <w:rFonts w:ascii="Times New Roman" w:hAnsi="Times New Roman"/>
          <w:sz w:val="24"/>
          <w:szCs w:val="24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</w:rPr>
        <w:t>2013</w:t>
      </w:r>
      <w:r w:rsidRPr="008B7D0F">
        <w:rPr>
          <w:rFonts w:ascii="Times New Roman" w:hAnsi="Times New Roman"/>
          <w:sz w:val="24"/>
          <w:szCs w:val="24"/>
        </w:rPr>
        <w:t xml:space="preserve">, </w:t>
      </w:r>
      <w:r w:rsidRPr="00797A2B">
        <w:rPr>
          <w:rFonts w:ascii="Times New Roman" w:hAnsi="Times New Roman"/>
          <w:i/>
          <w:sz w:val="24"/>
          <w:szCs w:val="24"/>
        </w:rPr>
        <w:t>148</w:t>
      </w:r>
      <w:r w:rsidRPr="008B7D0F">
        <w:rPr>
          <w:rFonts w:ascii="Times New Roman" w:hAnsi="Times New Roman"/>
          <w:sz w:val="24"/>
          <w:szCs w:val="24"/>
        </w:rPr>
        <w:t>, 332–336.</w:t>
      </w:r>
    </w:p>
    <w:p w:rsidR="0022297F" w:rsidRPr="008B7D0F" w:rsidRDefault="0022297F" w:rsidP="0022297F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>Standard Methods for the examination of water a</w:t>
      </w:r>
      <w:r w:rsidR="00DB7072" w:rsidRPr="008B7D0F">
        <w:rPr>
          <w:rFonts w:ascii="Times New Roman" w:hAnsi="Times New Roman"/>
          <w:sz w:val="24"/>
          <w:szCs w:val="24"/>
          <w:lang w:val="en-US"/>
        </w:rPr>
        <w:t>nd wastewater, Washington, D.C.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: APHA-AWWA-WEF,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2005</w:t>
      </w:r>
      <w:r w:rsidRPr="008B7D0F">
        <w:rPr>
          <w:rFonts w:ascii="Times New Roman" w:hAnsi="Times New Roman"/>
          <w:sz w:val="24"/>
          <w:szCs w:val="24"/>
          <w:lang w:val="en-US"/>
        </w:rPr>
        <w:t>.</w:t>
      </w:r>
    </w:p>
    <w:p w:rsidR="000D7332" w:rsidRPr="008B7D0F" w:rsidRDefault="000D7332" w:rsidP="00DB707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Z. Alam, S. A. Muyibi, J. Toramae, </w:t>
      </w:r>
      <w:r w:rsidR="00DB7072" w:rsidRPr="008B7D0F">
        <w:rPr>
          <w:rFonts w:ascii="Times New Roman" w:hAnsi="Times New Roman"/>
          <w:i/>
          <w:sz w:val="24"/>
          <w:szCs w:val="24"/>
        </w:rPr>
        <w:t>J Envıron Sci</w:t>
      </w:r>
      <w:r w:rsidR="00DB7072" w:rsidRPr="008B7D0F">
        <w:rPr>
          <w:rFonts w:ascii="Times New Roman" w:hAnsi="Times New Roman"/>
          <w:sz w:val="24"/>
          <w:szCs w:val="24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</w:rPr>
        <w:t>2007</w:t>
      </w:r>
      <w:r w:rsidRPr="008B7D0F">
        <w:rPr>
          <w:rFonts w:ascii="Times New Roman" w:hAnsi="Times New Roman"/>
          <w:sz w:val="24"/>
          <w:szCs w:val="24"/>
        </w:rPr>
        <w:t xml:space="preserve">, </w:t>
      </w:r>
      <w:r w:rsidRPr="00581562">
        <w:rPr>
          <w:rFonts w:ascii="Times New Roman" w:hAnsi="Times New Roman"/>
          <w:i/>
          <w:sz w:val="24"/>
          <w:szCs w:val="24"/>
        </w:rPr>
        <w:t>19</w:t>
      </w:r>
      <w:r w:rsidRPr="008B7D0F">
        <w:rPr>
          <w:rFonts w:ascii="Times New Roman" w:hAnsi="Times New Roman"/>
          <w:sz w:val="24"/>
          <w:szCs w:val="24"/>
        </w:rPr>
        <w:t>, 674–677</w:t>
      </w:r>
    </w:p>
    <w:p w:rsidR="00B65A40" w:rsidRPr="008B7D0F" w:rsidRDefault="00B65A40" w:rsidP="00B65A40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Z. Aksu, J. Yener, </w:t>
      </w:r>
      <w:r w:rsidRPr="008B7D0F">
        <w:rPr>
          <w:rFonts w:ascii="Times New Roman" w:hAnsi="Times New Roman"/>
          <w:i/>
          <w:sz w:val="24"/>
          <w:szCs w:val="24"/>
        </w:rPr>
        <w:t>A Waste Manag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2001</w:t>
      </w:r>
      <w:r w:rsidRPr="008B7D0F">
        <w:rPr>
          <w:rFonts w:ascii="Times New Roman" w:hAnsi="Times New Roman"/>
          <w:sz w:val="24"/>
          <w:szCs w:val="24"/>
        </w:rPr>
        <w:t xml:space="preserve">, </w:t>
      </w:r>
      <w:r w:rsidRPr="00581562">
        <w:rPr>
          <w:rFonts w:ascii="Times New Roman" w:hAnsi="Times New Roman"/>
          <w:i/>
          <w:sz w:val="24"/>
          <w:szCs w:val="24"/>
        </w:rPr>
        <w:t>21</w:t>
      </w:r>
      <w:r w:rsidRPr="008B7D0F">
        <w:rPr>
          <w:rFonts w:ascii="Times New Roman" w:hAnsi="Times New Roman"/>
          <w:sz w:val="24"/>
          <w:szCs w:val="24"/>
        </w:rPr>
        <w:t>, 695–702.</w:t>
      </w:r>
    </w:p>
    <w:p w:rsidR="00B65A40" w:rsidRPr="008B7D0F" w:rsidRDefault="00B65A40" w:rsidP="00B65A40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  <w:lang w:val="en-US"/>
        </w:rPr>
        <w:t xml:space="preserve">L. Thomas, N.L. Eberhardt, C.L. Seok. Kim, K.G. Reed, D.J. Leduc, J.M. Warren, </w:t>
      </w:r>
      <w:r w:rsidR="00B84438" w:rsidRPr="008B7D0F">
        <w:rPr>
          <w:rFonts w:ascii="Times New Roman" w:hAnsi="Times New Roman"/>
          <w:i/>
          <w:sz w:val="24"/>
          <w:szCs w:val="24"/>
          <w:lang w:val="en-US"/>
        </w:rPr>
        <w:t>Trees</w:t>
      </w:r>
      <w:r w:rsidRPr="008B7D0F">
        <w:rPr>
          <w:rFonts w:ascii="Times New Roman" w:hAnsi="Times New Roman"/>
          <w:sz w:val="24"/>
          <w:szCs w:val="24"/>
          <w:lang w:val="en-US"/>
        </w:rPr>
        <w:t>,</w:t>
      </w:r>
      <w:r w:rsidR="00A0340B"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  <w:lang w:val="en-US"/>
        </w:rPr>
        <w:t>2015</w:t>
      </w:r>
      <w:r w:rsidR="00A0340B" w:rsidRPr="008B7D0F">
        <w:rPr>
          <w:rFonts w:ascii="Times New Roman" w:hAnsi="Times New Roman"/>
          <w:sz w:val="24"/>
          <w:szCs w:val="24"/>
          <w:lang w:val="en-US"/>
        </w:rPr>
        <w:t>,</w:t>
      </w:r>
      <w:r w:rsidRPr="008B7D0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1562">
        <w:rPr>
          <w:rFonts w:ascii="Times New Roman" w:hAnsi="Times New Roman"/>
          <w:i/>
          <w:sz w:val="24"/>
          <w:szCs w:val="24"/>
          <w:lang w:val="en-US"/>
        </w:rPr>
        <w:t>29</w:t>
      </w:r>
      <w:r w:rsidRPr="008B7D0F">
        <w:rPr>
          <w:rFonts w:ascii="Times New Roman" w:hAnsi="Times New Roman"/>
          <w:sz w:val="24"/>
          <w:szCs w:val="24"/>
          <w:lang w:val="en-US"/>
        </w:rPr>
        <w:t>, 1735–1747.</w:t>
      </w:r>
    </w:p>
    <w:p w:rsidR="00B3235D" w:rsidRPr="00B3235D" w:rsidRDefault="00B84438" w:rsidP="002058A4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</w:rPr>
        <w:t>F.A. Banat, B. Al-Bashir, S. Al-Asheh, O. Hayajneh,</w:t>
      </w:r>
      <w:r w:rsidR="002058A4" w:rsidRPr="008B7D0F">
        <w:t xml:space="preserve"> </w:t>
      </w:r>
      <w:r w:rsidR="002058A4" w:rsidRPr="008B7D0F">
        <w:rPr>
          <w:rFonts w:ascii="Times New Roman" w:hAnsi="Times New Roman"/>
          <w:i/>
          <w:sz w:val="24"/>
          <w:szCs w:val="24"/>
        </w:rPr>
        <w:t>Environ. Pollut</w:t>
      </w:r>
      <w:r w:rsidRPr="008B7D0F">
        <w:rPr>
          <w:rFonts w:ascii="Times New Roman" w:hAnsi="Times New Roman"/>
          <w:sz w:val="24"/>
          <w:szCs w:val="24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</w:rPr>
        <w:t>2000</w:t>
      </w:r>
      <w:r w:rsidRPr="008B7D0F">
        <w:rPr>
          <w:rFonts w:ascii="Times New Roman" w:hAnsi="Times New Roman"/>
          <w:sz w:val="24"/>
          <w:szCs w:val="24"/>
        </w:rPr>
        <w:t xml:space="preserve">,  </w:t>
      </w:r>
      <w:r w:rsidRPr="00581562">
        <w:rPr>
          <w:rFonts w:ascii="Times New Roman" w:hAnsi="Times New Roman"/>
          <w:i/>
          <w:sz w:val="24"/>
          <w:szCs w:val="24"/>
        </w:rPr>
        <w:t>107</w:t>
      </w:r>
    </w:p>
    <w:p w:rsidR="007E0551" w:rsidRPr="008B7D0F" w:rsidRDefault="00B84438" w:rsidP="002058A4">
      <w:pPr>
        <w:pStyle w:val="ListeParagr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8B7D0F">
        <w:rPr>
          <w:rFonts w:ascii="Times New Roman" w:hAnsi="Times New Roman"/>
          <w:sz w:val="24"/>
          <w:szCs w:val="24"/>
        </w:rPr>
        <w:t>, 3, 391– 398.</w:t>
      </w:r>
    </w:p>
    <w:p w:rsidR="00B84438" w:rsidRPr="008B7D0F" w:rsidRDefault="00B84438" w:rsidP="00B84438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Z. Aksu, D. Akpinar, </w:t>
      </w:r>
      <w:r w:rsidRPr="008B7D0F">
        <w:rPr>
          <w:rFonts w:ascii="Times New Roman" w:hAnsi="Times New Roman"/>
          <w:i/>
          <w:sz w:val="24"/>
          <w:szCs w:val="24"/>
        </w:rPr>
        <w:t>Separation Purif. Technol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2000</w:t>
      </w:r>
      <w:r w:rsidR="006F5447" w:rsidRPr="008B7D0F">
        <w:rPr>
          <w:rFonts w:ascii="Times New Roman" w:hAnsi="Times New Roman"/>
          <w:sz w:val="24"/>
          <w:szCs w:val="24"/>
        </w:rPr>
        <w:t>, 21</w:t>
      </w:r>
      <w:r w:rsidRPr="008B7D0F">
        <w:rPr>
          <w:rFonts w:ascii="Times New Roman" w:hAnsi="Times New Roman"/>
          <w:sz w:val="24"/>
          <w:szCs w:val="24"/>
        </w:rPr>
        <w:t>, 87–99.</w:t>
      </w:r>
    </w:p>
    <w:p w:rsidR="00B84438" w:rsidRPr="008B7D0F" w:rsidRDefault="00B84438" w:rsidP="00B84438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Z. Aksu, </w:t>
      </w:r>
      <w:r w:rsidRPr="008B7D0F">
        <w:rPr>
          <w:rFonts w:ascii="Times New Roman" w:hAnsi="Times New Roman"/>
          <w:i/>
          <w:sz w:val="24"/>
          <w:szCs w:val="24"/>
        </w:rPr>
        <w:t>Separation Purif Technol.</w:t>
      </w:r>
      <w:r w:rsidRPr="008B7D0F">
        <w:rPr>
          <w:rFonts w:ascii="Times New Roman" w:hAnsi="Times New Roman"/>
          <w:sz w:val="24"/>
          <w:szCs w:val="24"/>
        </w:rPr>
        <w:t xml:space="preserve"> </w:t>
      </w:r>
      <w:r w:rsidRPr="002A427D">
        <w:rPr>
          <w:rFonts w:ascii="Times New Roman" w:hAnsi="Times New Roman"/>
          <w:b/>
          <w:sz w:val="24"/>
          <w:szCs w:val="24"/>
        </w:rPr>
        <w:t>2001</w:t>
      </w:r>
      <w:r w:rsidRPr="008B7D0F">
        <w:rPr>
          <w:rFonts w:ascii="Times New Roman" w:hAnsi="Times New Roman"/>
          <w:sz w:val="24"/>
          <w:szCs w:val="24"/>
        </w:rPr>
        <w:t>, 21,3, 285–294.</w:t>
      </w:r>
    </w:p>
    <w:p w:rsidR="004B4BA6" w:rsidRPr="008B7D0F" w:rsidRDefault="004B4BA6" w:rsidP="004B4BA6">
      <w:pPr>
        <w:pStyle w:val="ListeParagraf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 w:rsidRPr="008B7D0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S Kuppusamy, T Palanisami, M Megharaj, K Venkateswarlu, R Naidu </w:t>
      </w:r>
      <w:r w:rsidRPr="008B7D0F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Rev Envıron Contam T</w:t>
      </w:r>
      <w:r w:rsidRPr="008B7D0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tr-TR"/>
        </w:rPr>
        <w:t>,</w:t>
      </w:r>
      <w:r w:rsidRPr="008B7D0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0340B" w:rsidRPr="002A427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  <w:t>2016</w:t>
      </w:r>
      <w:r w:rsidR="00A0340B" w:rsidRPr="008B7D0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, </w:t>
      </w:r>
      <w:r w:rsidRPr="008B7D0F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236, 117-192.</w:t>
      </w:r>
    </w:p>
    <w:p w:rsidR="004B4BA6" w:rsidRPr="008B7D0F" w:rsidRDefault="004B4BA6" w:rsidP="00DB7072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Z. Chen, H. Deng, C. Chen, Y. Yang, H. Xu, </w:t>
      </w:r>
      <w:r w:rsidR="00E74442" w:rsidRPr="008B7D0F">
        <w:rPr>
          <w:rFonts w:ascii="Times New Roman" w:hAnsi="Times New Roman"/>
          <w:i/>
          <w:sz w:val="24"/>
          <w:szCs w:val="24"/>
        </w:rPr>
        <w:t>J. Environ. Health Sci. E</w:t>
      </w:r>
      <w:r w:rsidR="00DB7072" w:rsidRPr="008B7D0F">
        <w:rPr>
          <w:rFonts w:ascii="Times New Roman" w:hAnsi="Times New Roman"/>
          <w:i/>
          <w:sz w:val="24"/>
          <w:szCs w:val="24"/>
        </w:rPr>
        <w:t>ng</w:t>
      </w:r>
      <w:r w:rsidR="00DB7072"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2014</w:t>
      </w:r>
      <w:r w:rsidRPr="008B7D0F">
        <w:rPr>
          <w:rFonts w:ascii="Times New Roman" w:hAnsi="Times New Roman"/>
          <w:sz w:val="24"/>
          <w:szCs w:val="24"/>
        </w:rPr>
        <w:t>, 12, 63, 1-10.</w:t>
      </w:r>
    </w:p>
    <w:p w:rsidR="00770397" w:rsidRPr="008B7D0F" w:rsidRDefault="00770397" w:rsidP="00770397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V. Vadivelan, K. Kumar, </w:t>
      </w:r>
      <w:r w:rsidRPr="008B7D0F">
        <w:rPr>
          <w:rFonts w:ascii="Times New Roman" w:hAnsi="Times New Roman"/>
          <w:i/>
          <w:sz w:val="24"/>
          <w:szCs w:val="24"/>
        </w:rPr>
        <w:t>J. Colloid Interf. Sci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2005</w:t>
      </w:r>
      <w:r w:rsidRPr="008B7D0F">
        <w:rPr>
          <w:rFonts w:ascii="Times New Roman" w:hAnsi="Times New Roman"/>
          <w:sz w:val="24"/>
          <w:szCs w:val="24"/>
        </w:rPr>
        <w:t>, 286, 90-100.</w:t>
      </w:r>
    </w:p>
    <w:p w:rsidR="00770397" w:rsidRPr="008B7D0F" w:rsidRDefault="00D345F8" w:rsidP="004B4BA6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K.V. Kumar, V. Ramamurthi, S. Sivanesan, </w:t>
      </w:r>
      <w:r w:rsidRPr="008B7D0F">
        <w:rPr>
          <w:rFonts w:ascii="Times New Roman" w:hAnsi="Times New Roman"/>
          <w:i/>
          <w:sz w:val="24"/>
          <w:szCs w:val="24"/>
        </w:rPr>
        <w:t xml:space="preserve">J. Colloid Interf. Sci. </w:t>
      </w:r>
      <w:r w:rsidRPr="002A427D">
        <w:rPr>
          <w:rFonts w:ascii="Times New Roman" w:hAnsi="Times New Roman"/>
          <w:b/>
          <w:sz w:val="24"/>
          <w:szCs w:val="24"/>
        </w:rPr>
        <w:t>2005</w:t>
      </w:r>
      <w:r w:rsidRPr="008B7D0F">
        <w:rPr>
          <w:rFonts w:ascii="Times New Roman" w:hAnsi="Times New Roman"/>
          <w:sz w:val="24"/>
          <w:szCs w:val="24"/>
        </w:rPr>
        <w:t>, 284, 14-21.</w:t>
      </w:r>
    </w:p>
    <w:p w:rsidR="00AC7BD7" w:rsidRPr="008B7D0F" w:rsidRDefault="00D345F8" w:rsidP="00AC7BD7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 xml:space="preserve">N. Calace, E. Nardi, B.M. Petronio, M. Pietroleytti, </w:t>
      </w:r>
      <w:r w:rsidRPr="008B7D0F">
        <w:rPr>
          <w:rFonts w:ascii="Times New Roman" w:hAnsi="Times New Roman"/>
          <w:i/>
          <w:sz w:val="24"/>
          <w:szCs w:val="24"/>
        </w:rPr>
        <w:t>Environ. Pollut</w:t>
      </w:r>
      <w:r w:rsidRPr="008B7D0F">
        <w:rPr>
          <w:rFonts w:ascii="Times New Roman" w:hAnsi="Times New Roman"/>
          <w:sz w:val="24"/>
          <w:szCs w:val="24"/>
        </w:rPr>
        <w:t xml:space="preserve">. </w:t>
      </w:r>
      <w:r w:rsidRPr="002A427D">
        <w:rPr>
          <w:rFonts w:ascii="Times New Roman" w:hAnsi="Times New Roman"/>
          <w:b/>
          <w:sz w:val="24"/>
          <w:szCs w:val="24"/>
        </w:rPr>
        <w:t>2002</w:t>
      </w:r>
      <w:r w:rsidRPr="008B7D0F">
        <w:rPr>
          <w:rFonts w:ascii="Times New Roman" w:hAnsi="Times New Roman"/>
          <w:sz w:val="24"/>
          <w:szCs w:val="24"/>
        </w:rPr>
        <w:t>, 118, 315–319.</w:t>
      </w:r>
    </w:p>
    <w:p w:rsidR="00523AEC" w:rsidRPr="008B7D0F" w:rsidRDefault="00523AEC" w:rsidP="00523AEC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D0F">
        <w:rPr>
          <w:rFonts w:ascii="Times New Roman" w:hAnsi="Times New Roman"/>
          <w:sz w:val="24"/>
          <w:szCs w:val="24"/>
        </w:rPr>
        <w:t>https://en.wikipedia.org/wiki/Hydrolysable_tannin</w:t>
      </w:r>
    </w:p>
    <w:sectPr w:rsidR="00523AEC" w:rsidRPr="008B7D0F" w:rsidSect="00082582">
      <w:footerReference w:type="default" r:id="rId22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71" w:rsidRDefault="00590771" w:rsidP="00C515CA">
      <w:pPr>
        <w:spacing w:after="0" w:line="240" w:lineRule="auto"/>
      </w:pPr>
      <w:r>
        <w:separator/>
      </w:r>
    </w:p>
  </w:endnote>
  <w:endnote w:type="continuationSeparator" w:id="0">
    <w:p w:rsidR="00590771" w:rsidRDefault="00590771" w:rsidP="00C5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0F" w:rsidRDefault="008B7D0F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382543">
      <w:rPr>
        <w:noProof/>
      </w:rPr>
      <w:t>1</w:t>
    </w:r>
    <w:r>
      <w:fldChar w:fldCharType="end"/>
    </w:r>
  </w:p>
  <w:p w:rsidR="008B7D0F" w:rsidRDefault="008B7D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71" w:rsidRDefault="00590771" w:rsidP="00C515CA">
      <w:pPr>
        <w:spacing w:after="0" w:line="240" w:lineRule="auto"/>
      </w:pPr>
      <w:r>
        <w:separator/>
      </w:r>
    </w:p>
  </w:footnote>
  <w:footnote w:type="continuationSeparator" w:id="0">
    <w:p w:rsidR="00590771" w:rsidRDefault="00590771" w:rsidP="00C51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FFA"/>
    <w:multiLevelType w:val="hybridMultilevel"/>
    <w:tmpl w:val="7FD8E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293A"/>
    <w:multiLevelType w:val="hybridMultilevel"/>
    <w:tmpl w:val="9A2AB0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0C36"/>
    <w:multiLevelType w:val="hybridMultilevel"/>
    <w:tmpl w:val="C60434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5F63"/>
    <w:multiLevelType w:val="hybridMultilevel"/>
    <w:tmpl w:val="F46A2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E06"/>
    <w:multiLevelType w:val="hybridMultilevel"/>
    <w:tmpl w:val="CA5CE784"/>
    <w:lvl w:ilvl="0" w:tplc="962213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C725B"/>
    <w:multiLevelType w:val="hybridMultilevel"/>
    <w:tmpl w:val="FE5495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170"/>
    <w:multiLevelType w:val="hybridMultilevel"/>
    <w:tmpl w:val="812CF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44354"/>
    <w:multiLevelType w:val="hybridMultilevel"/>
    <w:tmpl w:val="20385DC8"/>
    <w:lvl w:ilvl="0" w:tplc="8C484D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312A6"/>
    <w:multiLevelType w:val="hybridMultilevel"/>
    <w:tmpl w:val="AE18689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4184"/>
    <w:multiLevelType w:val="hybridMultilevel"/>
    <w:tmpl w:val="BA4460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75E72D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97914"/>
    <w:multiLevelType w:val="hybridMultilevel"/>
    <w:tmpl w:val="343AF3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A2D2B"/>
    <w:multiLevelType w:val="hybridMultilevel"/>
    <w:tmpl w:val="BB6C8C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67BBA"/>
    <w:multiLevelType w:val="hybridMultilevel"/>
    <w:tmpl w:val="BB924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51BBB"/>
    <w:multiLevelType w:val="hybridMultilevel"/>
    <w:tmpl w:val="F53E14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F9"/>
    <w:rsid w:val="00004A7D"/>
    <w:rsid w:val="00017878"/>
    <w:rsid w:val="00021C61"/>
    <w:rsid w:val="0003408F"/>
    <w:rsid w:val="00043667"/>
    <w:rsid w:val="000440DA"/>
    <w:rsid w:val="00053B3D"/>
    <w:rsid w:val="00054890"/>
    <w:rsid w:val="00057195"/>
    <w:rsid w:val="000614CF"/>
    <w:rsid w:val="000633BD"/>
    <w:rsid w:val="000735F7"/>
    <w:rsid w:val="00074F05"/>
    <w:rsid w:val="0007639E"/>
    <w:rsid w:val="00077D44"/>
    <w:rsid w:val="00081ABB"/>
    <w:rsid w:val="00082582"/>
    <w:rsid w:val="000953B0"/>
    <w:rsid w:val="000A070B"/>
    <w:rsid w:val="000C177A"/>
    <w:rsid w:val="000C5ADA"/>
    <w:rsid w:val="000D7332"/>
    <w:rsid w:val="000E00DC"/>
    <w:rsid w:val="000E57D2"/>
    <w:rsid w:val="000E6AB9"/>
    <w:rsid w:val="0010009C"/>
    <w:rsid w:val="0010106C"/>
    <w:rsid w:val="0010279C"/>
    <w:rsid w:val="00134619"/>
    <w:rsid w:val="00135C72"/>
    <w:rsid w:val="0014360A"/>
    <w:rsid w:val="00152457"/>
    <w:rsid w:val="00153DDA"/>
    <w:rsid w:val="0015610B"/>
    <w:rsid w:val="00166200"/>
    <w:rsid w:val="001670E4"/>
    <w:rsid w:val="00170547"/>
    <w:rsid w:val="00170E78"/>
    <w:rsid w:val="001965AE"/>
    <w:rsid w:val="001B0099"/>
    <w:rsid w:val="001B0C82"/>
    <w:rsid w:val="001B1A1E"/>
    <w:rsid w:val="001B4BBF"/>
    <w:rsid w:val="001C64E7"/>
    <w:rsid w:val="001D2912"/>
    <w:rsid w:val="001D6CDD"/>
    <w:rsid w:val="001F6209"/>
    <w:rsid w:val="002000FA"/>
    <w:rsid w:val="002034D9"/>
    <w:rsid w:val="002043F2"/>
    <w:rsid w:val="00204F31"/>
    <w:rsid w:val="002058A4"/>
    <w:rsid w:val="00207363"/>
    <w:rsid w:val="00210638"/>
    <w:rsid w:val="00220CB5"/>
    <w:rsid w:val="0022297F"/>
    <w:rsid w:val="0023342B"/>
    <w:rsid w:val="0023498A"/>
    <w:rsid w:val="0023517F"/>
    <w:rsid w:val="00244615"/>
    <w:rsid w:val="00254A37"/>
    <w:rsid w:val="0025576B"/>
    <w:rsid w:val="00262DB4"/>
    <w:rsid w:val="00263316"/>
    <w:rsid w:val="00274FDF"/>
    <w:rsid w:val="0028083D"/>
    <w:rsid w:val="002A0250"/>
    <w:rsid w:val="002A427D"/>
    <w:rsid w:val="002A56D7"/>
    <w:rsid w:val="002B7521"/>
    <w:rsid w:val="002C3345"/>
    <w:rsid w:val="002D47F6"/>
    <w:rsid w:val="002E2BEF"/>
    <w:rsid w:val="003038E6"/>
    <w:rsid w:val="0030474B"/>
    <w:rsid w:val="00307C0C"/>
    <w:rsid w:val="00312831"/>
    <w:rsid w:val="00315A2E"/>
    <w:rsid w:val="003208F0"/>
    <w:rsid w:val="003226A0"/>
    <w:rsid w:val="00322E4E"/>
    <w:rsid w:val="003238A8"/>
    <w:rsid w:val="003401E0"/>
    <w:rsid w:val="003421CA"/>
    <w:rsid w:val="00345230"/>
    <w:rsid w:val="0034664F"/>
    <w:rsid w:val="003601E3"/>
    <w:rsid w:val="00370448"/>
    <w:rsid w:val="003704C1"/>
    <w:rsid w:val="00371804"/>
    <w:rsid w:val="00382543"/>
    <w:rsid w:val="003853CC"/>
    <w:rsid w:val="003A09E9"/>
    <w:rsid w:val="003B6FA7"/>
    <w:rsid w:val="003C72E0"/>
    <w:rsid w:val="003C7A70"/>
    <w:rsid w:val="003E749E"/>
    <w:rsid w:val="004001A9"/>
    <w:rsid w:val="00402DED"/>
    <w:rsid w:val="00406895"/>
    <w:rsid w:val="00410288"/>
    <w:rsid w:val="004104F7"/>
    <w:rsid w:val="00410CCC"/>
    <w:rsid w:val="00411101"/>
    <w:rsid w:val="00411FDF"/>
    <w:rsid w:val="004346F6"/>
    <w:rsid w:val="004352C9"/>
    <w:rsid w:val="00437504"/>
    <w:rsid w:val="00441D72"/>
    <w:rsid w:val="0044221D"/>
    <w:rsid w:val="004508AA"/>
    <w:rsid w:val="0045578B"/>
    <w:rsid w:val="00457DC6"/>
    <w:rsid w:val="00457F90"/>
    <w:rsid w:val="004623B3"/>
    <w:rsid w:val="004652C6"/>
    <w:rsid w:val="00465ADB"/>
    <w:rsid w:val="004662E9"/>
    <w:rsid w:val="00491EAB"/>
    <w:rsid w:val="004A2AE0"/>
    <w:rsid w:val="004A633B"/>
    <w:rsid w:val="004B4BA6"/>
    <w:rsid w:val="004B50C3"/>
    <w:rsid w:val="004C3CA0"/>
    <w:rsid w:val="004E7BB1"/>
    <w:rsid w:val="004F06E5"/>
    <w:rsid w:val="00502CE4"/>
    <w:rsid w:val="0050477E"/>
    <w:rsid w:val="00514E4C"/>
    <w:rsid w:val="005170C5"/>
    <w:rsid w:val="005237C0"/>
    <w:rsid w:val="00523AEC"/>
    <w:rsid w:val="00524120"/>
    <w:rsid w:val="00531716"/>
    <w:rsid w:val="00531C06"/>
    <w:rsid w:val="005331E5"/>
    <w:rsid w:val="00534266"/>
    <w:rsid w:val="00540D0A"/>
    <w:rsid w:val="00546D21"/>
    <w:rsid w:val="005707F9"/>
    <w:rsid w:val="005751DD"/>
    <w:rsid w:val="00581562"/>
    <w:rsid w:val="00582257"/>
    <w:rsid w:val="00590771"/>
    <w:rsid w:val="00592888"/>
    <w:rsid w:val="00596152"/>
    <w:rsid w:val="005A0E3B"/>
    <w:rsid w:val="005A2103"/>
    <w:rsid w:val="005B0201"/>
    <w:rsid w:val="005B105A"/>
    <w:rsid w:val="005C0D6A"/>
    <w:rsid w:val="005D2A5A"/>
    <w:rsid w:val="005D5C1B"/>
    <w:rsid w:val="005D64CC"/>
    <w:rsid w:val="005E1B4B"/>
    <w:rsid w:val="005E2563"/>
    <w:rsid w:val="005E3158"/>
    <w:rsid w:val="005E7342"/>
    <w:rsid w:val="005F0E4D"/>
    <w:rsid w:val="00601A65"/>
    <w:rsid w:val="00611503"/>
    <w:rsid w:val="00622494"/>
    <w:rsid w:val="00626FB2"/>
    <w:rsid w:val="006349A2"/>
    <w:rsid w:val="00642FF8"/>
    <w:rsid w:val="006432C8"/>
    <w:rsid w:val="0064347C"/>
    <w:rsid w:val="006472CA"/>
    <w:rsid w:val="0065006A"/>
    <w:rsid w:val="00652203"/>
    <w:rsid w:val="006533BA"/>
    <w:rsid w:val="00656CA7"/>
    <w:rsid w:val="00665718"/>
    <w:rsid w:val="0067074D"/>
    <w:rsid w:val="00680BA1"/>
    <w:rsid w:val="00683B0C"/>
    <w:rsid w:val="006841D3"/>
    <w:rsid w:val="006959EF"/>
    <w:rsid w:val="006A4CD4"/>
    <w:rsid w:val="006A7268"/>
    <w:rsid w:val="006B03DD"/>
    <w:rsid w:val="006C1BA1"/>
    <w:rsid w:val="006C5604"/>
    <w:rsid w:val="006C5E1C"/>
    <w:rsid w:val="006D09D7"/>
    <w:rsid w:val="006D5B73"/>
    <w:rsid w:val="006E079A"/>
    <w:rsid w:val="006E3DAC"/>
    <w:rsid w:val="006F5447"/>
    <w:rsid w:val="00705B31"/>
    <w:rsid w:val="00706989"/>
    <w:rsid w:val="00717FC8"/>
    <w:rsid w:val="0073085C"/>
    <w:rsid w:val="00733461"/>
    <w:rsid w:val="007378C0"/>
    <w:rsid w:val="00741600"/>
    <w:rsid w:val="00741B93"/>
    <w:rsid w:val="007429C8"/>
    <w:rsid w:val="0075098D"/>
    <w:rsid w:val="00770397"/>
    <w:rsid w:val="00774E04"/>
    <w:rsid w:val="00781FE3"/>
    <w:rsid w:val="0079009B"/>
    <w:rsid w:val="0079584A"/>
    <w:rsid w:val="00797A2B"/>
    <w:rsid w:val="007A57DE"/>
    <w:rsid w:val="007A6A07"/>
    <w:rsid w:val="007B06A8"/>
    <w:rsid w:val="007B12C4"/>
    <w:rsid w:val="007B2684"/>
    <w:rsid w:val="007C15C6"/>
    <w:rsid w:val="007C6B95"/>
    <w:rsid w:val="007E03F3"/>
    <w:rsid w:val="007E0551"/>
    <w:rsid w:val="007E0739"/>
    <w:rsid w:val="007E1E18"/>
    <w:rsid w:val="007F5BA5"/>
    <w:rsid w:val="00801866"/>
    <w:rsid w:val="008027A8"/>
    <w:rsid w:val="00807AA9"/>
    <w:rsid w:val="00820FA3"/>
    <w:rsid w:val="00821CB7"/>
    <w:rsid w:val="00822132"/>
    <w:rsid w:val="008251CF"/>
    <w:rsid w:val="00831C02"/>
    <w:rsid w:val="0083710F"/>
    <w:rsid w:val="00846527"/>
    <w:rsid w:val="0086328D"/>
    <w:rsid w:val="0087788B"/>
    <w:rsid w:val="008814C1"/>
    <w:rsid w:val="0088710A"/>
    <w:rsid w:val="008904E5"/>
    <w:rsid w:val="00895148"/>
    <w:rsid w:val="00895784"/>
    <w:rsid w:val="008A17A5"/>
    <w:rsid w:val="008A46BB"/>
    <w:rsid w:val="008A4A6B"/>
    <w:rsid w:val="008B189E"/>
    <w:rsid w:val="008B7D0F"/>
    <w:rsid w:val="008C038E"/>
    <w:rsid w:val="008C277D"/>
    <w:rsid w:val="008C7612"/>
    <w:rsid w:val="008D37BD"/>
    <w:rsid w:val="008D6F2E"/>
    <w:rsid w:val="008E64E4"/>
    <w:rsid w:val="008F4065"/>
    <w:rsid w:val="00904ACA"/>
    <w:rsid w:val="0091233F"/>
    <w:rsid w:val="00917D1F"/>
    <w:rsid w:val="00917DBB"/>
    <w:rsid w:val="00926F55"/>
    <w:rsid w:val="00930170"/>
    <w:rsid w:val="00947907"/>
    <w:rsid w:val="00951D13"/>
    <w:rsid w:val="00957E0A"/>
    <w:rsid w:val="00961AE0"/>
    <w:rsid w:val="0096722C"/>
    <w:rsid w:val="00980BD4"/>
    <w:rsid w:val="00994310"/>
    <w:rsid w:val="00995C4F"/>
    <w:rsid w:val="00995DBA"/>
    <w:rsid w:val="009A623C"/>
    <w:rsid w:val="009B7702"/>
    <w:rsid w:val="009C4E85"/>
    <w:rsid w:val="009C54B5"/>
    <w:rsid w:val="009C5A72"/>
    <w:rsid w:val="009C7BED"/>
    <w:rsid w:val="009D18E6"/>
    <w:rsid w:val="009E55DC"/>
    <w:rsid w:val="009E5ACE"/>
    <w:rsid w:val="009E6D8C"/>
    <w:rsid w:val="009F69C8"/>
    <w:rsid w:val="00A0340B"/>
    <w:rsid w:val="00A13057"/>
    <w:rsid w:val="00A22099"/>
    <w:rsid w:val="00A25E7E"/>
    <w:rsid w:val="00A34D01"/>
    <w:rsid w:val="00A43542"/>
    <w:rsid w:val="00A456DF"/>
    <w:rsid w:val="00A475DA"/>
    <w:rsid w:val="00A7166A"/>
    <w:rsid w:val="00A82B0A"/>
    <w:rsid w:val="00A83D12"/>
    <w:rsid w:val="00A921B0"/>
    <w:rsid w:val="00A94782"/>
    <w:rsid w:val="00A9502F"/>
    <w:rsid w:val="00A9756D"/>
    <w:rsid w:val="00AA4CF9"/>
    <w:rsid w:val="00AA5FBF"/>
    <w:rsid w:val="00AA75D6"/>
    <w:rsid w:val="00AA791D"/>
    <w:rsid w:val="00AB2714"/>
    <w:rsid w:val="00AC06DB"/>
    <w:rsid w:val="00AC7BD7"/>
    <w:rsid w:val="00AD176B"/>
    <w:rsid w:val="00AE27CE"/>
    <w:rsid w:val="00AE3B63"/>
    <w:rsid w:val="00AE40E3"/>
    <w:rsid w:val="00AE5164"/>
    <w:rsid w:val="00AF1881"/>
    <w:rsid w:val="00AF3BDD"/>
    <w:rsid w:val="00AF77A1"/>
    <w:rsid w:val="00AF7C20"/>
    <w:rsid w:val="00B03D59"/>
    <w:rsid w:val="00B2376D"/>
    <w:rsid w:val="00B30B87"/>
    <w:rsid w:val="00B30F5E"/>
    <w:rsid w:val="00B3235D"/>
    <w:rsid w:val="00B40FDD"/>
    <w:rsid w:val="00B5572A"/>
    <w:rsid w:val="00B65A40"/>
    <w:rsid w:val="00B72ACB"/>
    <w:rsid w:val="00B81805"/>
    <w:rsid w:val="00B83885"/>
    <w:rsid w:val="00B839B8"/>
    <w:rsid w:val="00B84438"/>
    <w:rsid w:val="00BB31E6"/>
    <w:rsid w:val="00BC5C27"/>
    <w:rsid w:val="00BD0F01"/>
    <w:rsid w:val="00BD4E11"/>
    <w:rsid w:val="00BD6921"/>
    <w:rsid w:val="00BE1766"/>
    <w:rsid w:val="00BE26B0"/>
    <w:rsid w:val="00BF1965"/>
    <w:rsid w:val="00BF24C5"/>
    <w:rsid w:val="00BF3627"/>
    <w:rsid w:val="00C22BC5"/>
    <w:rsid w:val="00C23965"/>
    <w:rsid w:val="00C37989"/>
    <w:rsid w:val="00C515CA"/>
    <w:rsid w:val="00C53D7E"/>
    <w:rsid w:val="00C54CA6"/>
    <w:rsid w:val="00C55E9C"/>
    <w:rsid w:val="00C61CB4"/>
    <w:rsid w:val="00C61E48"/>
    <w:rsid w:val="00C66075"/>
    <w:rsid w:val="00C77604"/>
    <w:rsid w:val="00C86045"/>
    <w:rsid w:val="00C914E8"/>
    <w:rsid w:val="00C94BC9"/>
    <w:rsid w:val="00CA42ED"/>
    <w:rsid w:val="00CB168E"/>
    <w:rsid w:val="00CB21B8"/>
    <w:rsid w:val="00CB28BF"/>
    <w:rsid w:val="00CB5F0E"/>
    <w:rsid w:val="00CC4023"/>
    <w:rsid w:val="00CD2B16"/>
    <w:rsid w:val="00CD2FE9"/>
    <w:rsid w:val="00CE214C"/>
    <w:rsid w:val="00D0531E"/>
    <w:rsid w:val="00D0624B"/>
    <w:rsid w:val="00D06DFC"/>
    <w:rsid w:val="00D12EB0"/>
    <w:rsid w:val="00D244E2"/>
    <w:rsid w:val="00D26379"/>
    <w:rsid w:val="00D271C9"/>
    <w:rsid w:val="00D277F6"/>
    <w:rsid w:val="00D31D87"/>
    <w:rsid w:val="00D345F8"/>
    <w:rsid w:val="00D41726"/>
    <w:rsid w:val="00D42D85"/>
    <w:rsid w:val="00D43043"/>
    <w:rsid w:val="00D448D2"/>
    <w:rsid w:val="00D467E8"/>
    <w:rsid w:val="00D5251D"/>
    <w:rsid w:val="00D53628"/>
    <w:rsid w:val="00D54117"/>
    <w:rsid w:val="00D57F0C"/>
    <w:rsid w:val="00D6164D"/>
    <w:rsid w:val="00D76E90"/>
    <w:rsid w:val="00D85435"/>
    <w:rsid w:val="00D90B08"/>
    <w:rsid w:val="00DA5098"/>
    <w:rsid w:val="00DA58CC"/>
    <w:rsid w:val="00DA6250"/>
    <w:rsid w:val="00DB7072"/>
    <w:rsid w:val="00DD3BD2"/>
    <w:rsid w:val="00DD57C3"/>
    <w:rsid w:val="00DD7315"/>
    <w:rsid w:val="00DD7973"/>
    <w:rsid w:val="00DE1820"/>
    <w:rsid w:val="00DE2BCD"/>
    <w:rsid w:val="00DE7F58"/>
    <w:rsid w:val="00DF0CBD"/>
    <w:rsid w:val="00DF54DD"/>
    <w:rsid w:val="00DF602B"/>
    <w:rsid w:val="00E06998"/>
    <w:rsid w:val="00E113F7"/>
    <w:rsid w:val="00E11CE5"/>
    <w:rsid w:val="00E25393"/>
    <w:rsid w:val="00E34F61"/>
    <w:rsid w:val="00E35744"/>
    <w:rsid w:val="00E40ED9"/>
    <w:rsid w:val="00E44A3A"/>
    <w:rsid w:val="00E45454"/>
    <w:rsid w:val="00E660AC"/>
    <w:rsid w:val="00E74442"/>
    <w:rsid w:val="00E77C6D"/>
    <w:rsid w:val="00E85EB4"/>
    <w:rsid w:val="00E8610D"/>
    <w:rsid w:val="00E87B76"/>
    <w:rsid w:val="00E960A6"/>
    <w:rsid w:val="00EA4B1E"/>
    <w:rsid w:val="00EB08E2"/>
    <w:rsid w:val="00EB0E38"/>
    <w:rsid w:val="00ED22AC"/>
    <w:rsid w:val="00ED415B"/>
    <w:rsid w:val="00ED5497"/>
    <w:rsid w:val="00EF15D7"/>
    <w:rsid w:val="00EF38D8"/>
    <w:rsid w:val="00F00B31"/>
    <w:rsid w:val="00F0300E"/>
    <w:rsid w:val="00F040DE"/>
    <w:rsid w:val="00F100FB"/>
    <w:rsid w:val="00F217EB"/>
    <w:rsid w:val="00F22D94"/>
    <w:rsid w:val="00F3333D"/>
    <w:rsid w:val="00F35874"/>
    <w:rsid w:val="00F50B5F"/>
    <w:rsid w:val="00F54869"/>
    <w:rsid w:val="00F55268"/>
    <w:rsid w:val="00F57AA7"/>
    <w:rsid w:val="00F61B17"/>
    <w:rsid w:val="00F67DCC"/>
    <w:rsid w:val="00F76DEB"/>
    <w:rsid w:val="00F934B4"/>
    <w:rsid w:val="00F961E1"/>
    <w:rsid w:val="00F969BB"/>
    <w:rsid w:val="00FB0FBC"/>
    <w:rsid w:val="00FC0065"/>
    <w:rsid w:val="00FE36CC"/>
    <w:rsid w:val="00FE4422"/>
    <w:rsid w:val="00FE6A03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03CC8-A566-4763-B514-BEE18C33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6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995DB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40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340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C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15CA"/>
  </w:style>
  <w:style w:type="paragraph" w:styleId="Altbilgi">
    <w:name w:val="footer"/>
    <w:basedOn w:val="Normal"/>
    <w:link w:val="AltbilgiChar"/>
    <w:uiPriority w:val="99"/>
    <w:unhideWhenUsed/>
    <w:rsid w:val="00C5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15CA"/>
  </w:style>
  <w:style w:type="paragraph" w:styleId="ListeParagraf">
    <w:name w:val="List Paragraph"/>
    <w:basedOn w:val="Normal"/>
    <w:uiPriority w:val="34"/>
    <w:qFormat/>
    <w:rsid w:val="003B6FA7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0953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53B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0953B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53B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0953B0"/>
    <w:rPr>
      <w:b/>
      <w:bCs/>
      <w:lang w:eastAsia="en-US"/>
    </w:rPr>
  </w:style>
  <w:style w:type="paragraph" w:styleId="Dzeltme">
    <w:name w:val="Revision"/>
    <w:hidden/>
    <w:uiPriority w:val="99"/>
    <w:semiHidden/>
    <w:rsid w:val="00411101"/>
    <w:rPr>
      <w:sz w:val="22"/>
      <w:szCs w:val="22"/>
      <w:lang w:eastAsia="en-US"/>
    </w:rPr>
  </w:style>
  <w:style w:type="character" w:customStyle="1" w:styleId="apple-converted-space">
    <w:name w:val="apple-converted-space"/>
    <w:rsid w:val="005D2A5A"/>
  </w:style>
  <w:style w:type="character" w:styleId="YerTutucuMetni">
    <w:name w:val="Placeholder Text"/>
    <w:basedOn w:val="VarsaylanParagrafYazTipi"/>
    <w:uiPriority w:val="99"/>
    <w:semiHidden/>
    <w:rsid w:val="00E40ED9"/>
    <w:rPr>
      <w:color w:val="808080"/>
    </w:rPr>
  </w:style>
  <w:style w:type="character" w:customStyle="1" w:styleId="authorname">
    <w:name w:val="authorname"/>
    <w:basedOn w:val="VarsaylanParagrafYazTipi"/>
    <w:rsid w:val="0023342B"/>
  </w:style>
  <w:style w:type="character" w:customStyle="1" w:styleId="u-sronly">
    <w:name w:val="u-sronly"/>
    <w:basedOn w:val="VarsaylanParagrafYazTipi"/>
    <w:rsid w:val="0023342B"/>
  </w:style>
  <w:style w:type="character" w:styleId="SatrNumaras">
    <w:name w:val="line number"/>
    <w:basedOn w:val="VarsaylanParagrafYazTipi"/>
    <w:uiPriority w:val="99"/>
    <w:semiHidden/>
    <w:unhideWhenUsed/>
    <w:rsid w:val="0008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sciencedirect.com/science/article/pii/S138589470800407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iencedirect.com/science/article/pii/S1385894708004075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Esterified" TargetMode="External"/><Relationship Id="rId20" Type="http://schemas.openxmlformats.org/officeDocument/2006/relationships/hyperlink" Target="http://www.sciencedirect.com/science/article/pii/S13858947080040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Carbohydrate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://www.sciencedirect.com/science/article/pii/S13858947080040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Molecule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31319696149093"/>
          <c:y val="0.10935114888132588"/>
          <c:w val="0.84303160021663959"/>
          <c:h val="0.63776104073947282"/>
        </c:manualLayout>
      </c:layout>
      <c:scatterChart>
        <c:scatterStyle val="lineMarker"/>
        <c:varyColors val="0"/>
        <c:ser>
          <c:idx val="0"/>
          <c:order val="0"/>
          <c:xVal>
            <c:numRef>
              <c:f>Sayfa1!$L$112:$L$116</c:f>
              <c:numCache>
                <c:formatCode>General</c:formatCode>
                <c:ptCount val="5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xVal>
          <c:yVal>
            <c:numRef>
              <c:f>Sayfa1!$M$112:$M$116</c:f>
              <c:numCache>
                <c:formatCode>0.00</c:formatCode>
                <c:ptCount val="5"/>
                <c:pt idx="0">
                  <c:v>5.24</c:v>
                </c:pt>
                <c:pt idx="1">
                  <c:v>4.5791075050709953</c:v>
                </c:pt>
                <c:pt idx="2">
                  <c:v>4.4371196754563895</c:v>
                </c:pt>
                <c:pt idx="3">
                  <c:v>4.3002028397565928</c:v>
                </c:pt>
                <c:pt idx="4">
                  <c:v>4.0669371196754573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968"/>
        <c:axId val="292071008"/>
      </c:scatterChart>
      <c:valAx>
        <c:axId val="292072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292071008"/>
        <c:crosses val="autoZero"/>
        <c:crossBetween val="midCat"/>
      </c:valAx>
      <c:valAx>
        <c:axId val="2920710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qe (mg/g)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292072968"/>
        <c:crosses val="autoZero"/>
        <c:crossBetween val="midCat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effectLst>
            <a:outerShdw blurRad="50800" dist="50800" dir="5400000" sx="4000" sy="4000" algn="ctr" rotWithShape="0">
              <a:srgbClr val="000000">
                <a:alpha val="43137"/>
              </a:srgbClr>
            </a:outerShdw>
          </a:effectLst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62193312792422"/>
          <c:y val="0.11440874251992861"/>
          <c:w val="0.70259640621845354"/>
          <c:h val="0.72880847363921775"/>
        </c:manualLayout>
      </c:layout>
      <c:scatterChart>
        <c:scatterStyle val="lineMarker"/>
        <c:varyColors val="0"/>
        <c:ser>
          <c:idx val="1"/>
          <c:order val="0"/>
          <c:tx>
            <c:v>25 ppm</c:v>
          </c:tx>
          <c:xVal>
            <c:numRef>
              <c:f>Sayfa1!$J$153:$J$159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Sayfa1!$F$161:$F$167</c:f>
              <c:numCache>
                <c:formatCode>0.00</c:formatCode>
                <c:ptCount val="7"/>
                <c:pt idx="0">
                  <c:v>0.10141987829614632</c:v>
                </c:pt>
                <c:pt idx="1">
                  <c:v>0.14959432048681567</c:v>
                </c:pt>
                <c:pt idx="2">
                  <c:v>0.18762677484787035</c:v>
                </c:pt>
                <c:pt idx="3">
                  <c:v>0.2586206896551726</c:v>
                </c:pt>
                <c:pt idx="4">
                  <c:v>0.2687626774847871</c:v>
                </c:pt>
                <c:pt idx="5">
                  <c:v>0.3448275862068968</c:v>
                </c:pt>
                <c:pt idx="6">
                  <c:v>0.28397565922920903</c:v>
                </c:pt>
              </c:numCache>
            </c:numRef>
          </c:yVal>
          <c:smooth val="0"/>
        </c:ser>
        <c:ser>
          <c:idx val="2"/>
          <c:order val="1"/>
          <c:tx>
            <c:v>50 ppm</c:v>
          </c:tx>
          <c:xVal>
            <c:numRef>
              <c:f>Sayfa1!$J$153:$J$159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Sayfa1!$F$169:$F$175</c:f>
              <c:numCache>
                <c:formatCode>0.00</c:formatCode>
                <c:ptCount val="7"/>
                <c:pt idx="0">
                  <c:v>0.59838752535496942</c:v>
                </c:pt>
                <c:pt idx="1">
                  <c:v>0.62881348884381338</c:v>
                </c:pt>
                <c:pt idx="2">
                  <c:v>0.66938144016227208</c:v>
                </c:pt>
                <c:pt idx="3">
                  <c:v>0.70487839756592308</c:v>
                </c:pt>
                <c:pt idx="4">
                  <c:v>0.96349908722109534</c:v>
                </c:pt>
                <c:pt idx="5">
                  <c:v>0.94321511156186588</c:v>
                </c:pt>
                <c:pt idx="6">
                  <c:v>0.89757616632860049</c:v>
                </c:pt>
              </c:numCache>
            </c:numRef>
          </c:yVal>
          <c:smooth val="0"/>
        </c:ser>
        <c:ser>
          <c:idx val="3"/>
          <c:order val="2"/>
          <c:tx>
            <c:v>100 ppm</c:v>
          </c:tx>
          <c:xVal>
            <c:numRef>
              <c:f>Sayfa1!$J$153:$J$159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Sayfa1!$F$177:$F$183</c:f>
              <c:numCache>
                <c:formatCode>0.00</c:formatCode>
                <c:ptCount val="7"/>
                <c:pt idx="0">
                  <c:v>1.7647058823529418</c:v>
                </c:pt>
                <c:pt idx="1">
                  <c:v>1.9371196754563897</c:v>
                </c:pt>
                <c:pt idx="2">
                  <c:v>1.9776876267748484</c:v>
                </c:pt>
                <c:pt idx="3">
                  <c:v>1.9878296146044629</c:v>
                </c:pt>
                <c:pt idx="4">
                  <c:v>2.0131845841784997</c:v>
                </c:pt>
                <c:pt idx="5">
                  <c:v>1.886409736308317</c:v>
                </c:pt>
                <c:pt idx="6">
                  <c:v>1.7596348884381343</c:v>
                </c:pt>
              </c:numCache>
            </c:numRef>
          </c:yVal>
          <c:smooth val="0"/>
        </c:ser>
        <c:ser>
          <c:idx val="0"/>
          <c:order val="3"/>
          <c:tx>
            <c:v>150 ppm</c:v>
          </c:tx>
          <c:xVal>
            <c:numRef>
              <c:f>Sayfa1!$N$153:$N$159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Sayfa1!$O$153:$O$159</c:f>
              <c:numCache>
                <c:formatCode>0.00</c:formatCode>
                <c:ptCount val="7"/>
                <c:pt idx="0">
                  <c:v>4.4168356997971605</c:v>
                </c:pt>
                <c:pt idx="1">
                  <c:v>4.5638945233265718</c:v>
                </c:pt>
                <c:pt idx="2">
                  <c:v>4.8732251521298169</c:v>
                </c:pt>
                <c:pt idx="3">
                  <c:v>4.959432048681542</c:v>
                </c:pt>
                <c:pt idx="4">
                  <c:v>5.2434077079107499</c:v>
                </c:pt>
                <c:pt idx="5">
                  <c:v>4.939148073022313</c:v>
                </c:pt>
                <c:pt idx="6">
                  <c:v>3.7778904665314386</c:v>
                </c:pt>
              </c:numCache>
            </c:numRef>
          </c:yVal>
          <c:smooth val="0"/>
        </c:ser>
        <c:ser>
          <c:idx val="4"/>
          <c:order val="4"/>
          <c:tx>
            <c:v>200 ppm</c:v>
          </c:tx>
          <c:xVal>
            <c:numRef>
              <c:f>Sayfa1!$J$153:$J$159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Sayfa1!$F$185:$F$191</c:f>
              <c:numCache>
                <c:formatCode>0.00</c:formatCode>
                <c:ptCount val="7"/>
                <c:pt idx="0">
                  <c:v>4.492900608519272</c:v>
                </c:pt>
                <c:pt idx="1">
                  <c:v>4.634888438133876</c:v>
                </c:pt>
                <c:pt idx="2">
                  <c:v>4.6551724137931059</c:v>
                </c:pt>
                <c:pt idx="3">
                  <c:v>4.7261663286004083</c:v>
                </c:pt>
                <c:pt idx="4">
                  <c:v>4.8275862068965534</c:v>
                </c:pt>
                <c:pt idx="5">
                  <c:v>4.5943204868154188</c:v>
                </c:pt>
                <c:pt idx="6">
                  <c:v>4.4827586206896575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1400"/>
        <c:axId val="295982248"/>
      </c:scatterChart>
      <c:valAx>
        <c:axId val="292071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r-TR" baseline="0">
                    <a:latin typeface="Arial" pitchFamily="34" charset="0"/>
                    <a:cs typeface="Arial" pitchFamily="34" charset="0"/>
                  </a:rPr>
                  <a:t> t (min) </a:t>
                </a:r>
                <a:endParaRPr lang="tr-TR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5982248"/>
        <c:crosses val="autoZero"/>
        <c:crossBetween val="midCat"/>
      </c:valAx>
      <c:valAx>
        <c:axId val="29598224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tr-TR">
                    <a:latin typeface="Arial" panose="020B0604020202020204" pitchFamily="34" charset="0"/>
                    <a:cs typeface="Arial" panose="020B0604020202020204" pitchFamily="34" charset="0"/>
                  </a:rPr>
                  <a:t>qe</a:t>
                </a:r>
                <a:r>
                  <a:rPr lang="tr-TR" baseline="0"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tr-TR">
                    <a:latin typeface="Arial" panose="020B0604020202020204" pitchFamily="34" charset="0"/>
                    <a:cs typeface="Arial" panose="020B0604020202020204" pitchFamily="34" charset="0"/>
                  </a:rPr>
                  <a:t>(mg/g)</a:t>
                </a:r>
              </a:p>
            </c:rich>
          </c:tx>
          <c:layout>
            <c:manualLayout>
              <c:xMode val="edge"/>
              <c:yMode val="edge"/>
              <c:x val="2.0299266329371179E-2"/>
              <c:y val="0.33407589676290461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tr-TR"/>
          </a:p>
        </c:txPr>
        <c:crossAx val="292071400"/>
        <c:crosses val="autoZero"/>
        <c:crossBetween val="midCat"/>
      </c:valAx>
      <c:spPr>
        <a:ln>
          <a:solidFill>
            <a:sysClr val="windowText" lastClr="000000"/>
          </a:solidFill>
        </a:ln>
      </c:spPr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56892888388954"/>
          <c:y val="6.0359407628790926E-2"/>
          <c:w val="0.73186528767237424"/>
          <c:h val="0.75295645629681518"/>
        </c:manualLayout>
      </c:layout>
      <c:scatterChart>
        <c:scatterStyle val="lineMarker"/>
        <c:varyColors val="0"/>
        <c:ser>
          <c:idx val="1"/>
          <c:order val="0"/>
          <c:tx>
            <c:v>25 ppm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Sayfa1!$K$193:$K$196</c:f>
              <c:numCache>
                <c:formatCode>General</c:formatCode>
                <c:ptCount val="4"/>
                <c:pt idx="0">
                  <c:v>60</c:v>
                </c:pt>
                <c:pt idx="1">
                  <c:v>90</c:v>
                </c:pt>
                <c:pt idx="2">
                  <c:v>120</c:v>
                </c:pt>
                <c:pt idx="3">
                  <c:v>150</c:v>
                </c:pt>
              </c:numCache>
            </c:numRef>
          </c:xVal>
          <c:yVal>
            <c:numRef>
              <c:f>Sayfa1!$N$192:$N$196</c:f>
              <c:numCache>
                <c:formatCode>0.0</c:formatCode>
                <c:ptCount val="5"/>
                <c:pt idx="0">
                  <c:v>295.79999999999922</c:v>
                </c:pt>
                <c:pt idx="1">
                  <c:v>401.08474576271118</c:v>
                </c:pt>
                <c:pt idx="2">
                  <c:v>479.67567567567522</c:v>
                </c:pt>
                <c:pt idx="3">
                  <c:v>463.99999999999966</c:v>
                </c:pt>
                <c:pt idx="4">
                  <c:v>558.11320754716962</c:v>
                </c:pt>
              </c:numCache>
            </c:numRef>
          </c:yVal>
          <c:smooth val="0"/>
        </c:ser>
        <c:ser>
          <c:idx val="2"/>
          <c:order val="1"/>
          <c:tx>
            <c:v>50 ppm</c:v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Sayfa1!$K$192:$K$196</c:f>
              <c:numCache>
                <c:formatCode>General</c:formatCode>
                <c:ptCount val="5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</c:numCache>
            </c:numRef>
          </c:xVal>
          <c:yVal>
            <c:numRef>
              <c:f>Sayfa1!$O$192:$O$196</c:f>
              <c:numCache>
                <c:formatCode>0.0</c:formatCode>
                <c:ptCount val="5"/>
                <c:pt idx="0">
                  <c:v>50.134734981655413</c:v>
                </c:pt>
                <c:pt idx="1">
                  <c:v>95.417800451960375</c:v>
                </c:pt>
                <c:pt idx="2">
                  <c:v>134.45248792404837</c:v>
                </c:pt>
                <c:pt idx="3">
                  <c:v>170.2421302942216</c:v>
                </c:pt>
                <c:pt idx="4">
                  <c:v>155.68255537493758</c:v>
                </c:pt>
              </c:numCache>
            </c:numRef>
          </c:yVal>
          <c:smooth val="0"/>
        </c:ser>
        <c:ser>
          <c:idx val="3"/>
          <c:order val="2"/>
          <c:tx>
            <c:v>100 ppm</c:v>
          </c:tx>
          <c:trendline>
            <c:trendlineType val="linear"/>
            <c:dispRSqr val="0"/>
            <c:dispEq val="0"/>
          </c:trendline>
          <c:xVal>
            <c:numRef>
              <c:f>Sayfa1!$K$192:$K$196</c:f>
              <c:numCache>
                <c:formatCode>General</c:formatCode>
                <c:ptCount val="5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</c:numCache>
            </c:numRef>
          </c:xVal>
          <c:yVal>
            <c:numRef>
              <c:f>Sayfa1!$P$192:$P$196</c:f>
              <c:numCache>
                <c:formatCode>0.0</c:formatCode>
                <c:ptCount val="5"/>
                <c:pt idx="0">
                  <c:v>16.999999999999993</c:v>
                </c:pt>
                <c:pt idx="1">
                  <c:v>30.973821989528791</c:v>
                </c:pt>
                <c:pt idx="2">
                  <c:v>45.507692307692295</c:v>
                </c:pt>
                <c:pt idx="3">
                  <c:v>60.367346938775498</c:v>
                </c:pt>
                <c:pt idx="4">
                  <c:v>74.508816120906772</c:v>
                </c:pt>
              </c:numCache>
            </c:numRef>
          </c:yVal>
          <c:smooth val="0"/>
        </c:ser>
        <c:ser>
          <c:idx val="0"/>
          <c:order val="3"/>
          <c:tx>
            <c:v>150 ppm</c:v>
          </c:tx>
          <c:trendline>
            <c:trendlineType val="linear"/>
            <c:dispRSqr val="0"/>
            <c:dispEq val="0"/>
          </c:trendline>
          <c:xVal>
            <c:numRef>
              <c:f>Sayfa1!$K$192:$K$198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</c:numCache>
            </c:numRef>
          </c:xVal>
          <c:yVal>
            <c:numRef>
              <c:f>Sayfa1!$L$192:$L$198</c:f>
              <c:numCache>
                <c:formatCode>0.0</c:formatCode>
                <c:ptCount val="7"/>
                <c:pt idx="0">
                  <c:v>6.7921928817451205</c:v>
                </c:pt>
                <c:pt idx="1">
                  <c:v>13.146666666666668</c:v>
                </c:pt>
                <c:pt idx="2">
                  <c:v>18.468262226847038</c:v>
                </c:pt>
                <c:pt idx="3">
                  <c:v>24.196319018404907</c:v>
                </c:pt>
                <c:pt idx="4">
                  <c:v>28.625954198473281</c:v>
                </c:pt>
              </c:numCache>
            </c:numRef>
          </c:yVal>
          <c:smooth val="0"/>
        </c:ser>
        <c:ser>
          <c:idx val="4"/>
          <c:order val="4"/>
          <c:tx>
            <c:v>200 ppm</c:v>
          </c:tx>
          <c:trendline>
            <c:trendlineType val="linear"/>
            <c:dispRSqr val="0"/>
            <c:dispEq val="0"/>
          </c:trendline>
          <c:xVal>
            <c:numRef>
              <c:f>Sayfa1!$K$192:$K$196</c:f>
              <c:numCache>
                <c:formatCode>General</c:formatCode>
                <c:ptCount val="5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</c:numCache>
            </c:numRef>
          </c:xVal>
          <c:yVal>
            <c:numRef>
              <c:f>Sayfa1!$Q$192:$Q$196</c:f>
              <c:numCache>
                <c:formatCode>0.0</c:formatCode>
                <c:ptCount val="5"/>
                <c:pt idx="0">
                  <c:v>6.6772009029345343</c:v>
                </c:pt>
                <c:pt idx="1">
                  <c:v>12.945295404813999</c:v>
                </c:pt>
                <c:pt idx="2">
                  <c:v>19.333333333333325</c:v>
                </c:pt>
                <c:pt idx="3">
                  <c:v>25.390557939914149</c:v>
                </c:pt>
                <c:pt idx="4">
                  <c:v>31.071428571428562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5983424"/>
        <c:axId val="295982640"/>
      </c:scatterChart>
      <c:valAx>
        <c:axId val="295983424"/>
        <c:scaling>
          <c:orientation val="minMax"/>
          <c:max val="175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t (min)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5982640"/>
        <c:crosses val="autoZero"/>
        <c:crossBetween val="midCat"/>
        <c:majorUnit val="25"/>
        <c:minorUnit val="10"/>
      </c:valAx>
      <c:valAx>
        <c:axId val="29598264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t/qt</a:t>
                </a:r>
              </a:p>
            </c:rich>
          </c:tx>
          <c:layout>
            <c:manualLayout>
              <c:xMode val="edge"/>
              <c:yMode val="edge"/>
              <c:x val="8.8183421516754845E-3"/>
              <c:y val="0.35173647376683159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295983424"/>
        <c:crosses val="autoZero"/>
        <c:crossBetween val="midCat"/>
        <c:majorUnit val="100"/>
        <c:minorUnit val="50"/>
      </c:valAx>
      <c:spPr>
        <a:ln>
          <a:solidFill>
            <a:sysClr val="windowText" lastClr="000000"/>
          </a:solidFill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overlay val="0"/>
    </c:legend>
    <c:plotVisOnly val="1"/>
    <c:dispBlanksAs val="gap"/>
    <c:showDLblsOverMax val="0"/>
  </c:chart>
  <c:spPr>
    <a:ln>
      <a:noFill/>
    </a:ln>
    <a:effectLst>
      <a:outerShdw blurRad="50800" dist="50800" dir="5400000" sx="1000" sy="1000" algn="ctr" rotWithShape="0">
        <a:srgbClr val="000000">
          <a:alpha val="43137"/>
        </a:srgb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478B5-9EE5-4090-92A2-B08C3535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28198</CharactersWithSpaces>
  <SharedDoc>false</SharedDoc>
  <HLinks>
    <vt:vector size="24" baseType="variant">
      <vt:variant>
        <vt:i4>6225940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https://en.wikipedia.org/wiki/Esterified</vt:lpwstr>
      </vt:variant>
      <vt:variant>
        <vt:lpwstr/>
      </vt:variant>
      <vt:variant>
        <vt:i4>5046323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https://en.wikipedia.org/wiki/Hydrolysable_tannin</vt:lpwstr>
      </vt:variant>
      <vt:variant>
        <vt:lpwstr/>
      </vt:variant>
      <vt:variant>
        <vt:i4>2490485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https://en.wikipedia.org/wiki/Carbohydrate</vt:lpwstr>
      </vt:variant>
      <vt:variant>
        <vt:lpwstr/>
      </vt:variant>
      <vt:variant>
        <vt:i4>3604602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https://en.wikipedia.org/wiki/Molecule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i3exper</dc:creator>
  <cp:keywords/>
  <cp:lastModifiedBy>user</cp:lastModifiedBy>
  <cp:revision>2</cp:revision>
  <dcterms:created xsi:type="dcterms:W3CDTF">2016-12-09T11:35:00Z</dcterms:created>
  <dcterms:modified xsi:type="dcterms:W3CDTF">2016-12-09T11:35:00Z</dcterms:modified>
</cp:coreProperties>
</file>