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3EE24" w14:textId="3686BFAD" w:rsidR="50205A44" w:rsidRDefault="5ECC47B9" w:rsidP="00EA7525">
      <w:pPr>
        <w:pStyle w:val="Heading1"/>
      </w:pPr>
      <w:r w:rsidRPr="5ECC47B9">
        <w:rPr>
          <w:lang w:val="en-GB"/>
        </w:rPr>
        <w:t xml:space="preserve">Interaction of PER2 with the constitutive </w:t>
      </w:r>
      <w:proofErr w:type="spellStart"/>
      <w:r w:rsidRPr="5ECC47B9">
        <w:rPr>
          <w:lang w:val="en-GB"/>
        </w:rPr>
        <w:t>androstane</w:t>
      </w:r>
      <w:proofErr w:type="spellEnd"/>
      <w:r w:rsidRPr="5ECC47B9">
        <w:rPr>
          <w:lang w:val="en-GB"/>
        </w:rPr>
        <w:t xml:space="preserve"> receptor possibly links circadian rhythms to metabolism</w:t>
      </w:r>
    </w:p>
    <w:p w14:paraId="602DE304" w14:textId="6DDF8718" w:rsidR="1A087B70" w:rsidRPr="004513A2" w:rsidRDefault="1A087B70" w:rsidP="00EA7525">
      <w:pPr>
        <w:jc w:val="both"/>
        <w:rPr>
          <w:b/>
        </w:rPr>
      </w:pPr>
    </w:p>
    <w:p w14:paraId="05A41850" w14:textId="61D7F0C4" w:rsidR="5074CF87" w:rsidRDefault="5074CF87" w:rsidP="5074CF87">
      <w:pPr>
        <w:jc w:val="both"/>
        <w:rPr>
          <w:b/>
          <w:vertAlign w:val="superscript"/>
          <w:lang w:val="en-GB"/>
        </w:rPr>
      </w:pPr>
      <w:proofErr w:type="spellStart"/>
      <w:r w:rsidRPr="004513A2">
        <w:rPr>
          <w:b/>
          <w:lang w:val="en-GB"/>
        </w:rPr>
        <w:t>Tomaž</w:t>
      </w:r>
      <w:proofErr w:type="spellEnd"/>
      <w:r w:rsidRPr="004513A2">
        <w:rPr>
          <w:b/>
          <w:lang w:val="en-GB"/>
        </w:rPr>
        <w:t xml:space="preserve"> Martini</w:t>
      </w:r>
      <w:r w:rsidR="002A3CEA" w:rsidRPr="004513A2">
        <w:rPr>
          <w:b/>
          <w:vertAlign w:val="superscript"/>
          <w:lang w:val="en-GB"/>
        </w:rPr>
        <w:t>1</w:t>
      </w:r>
      <w:r w:rsidRPr="004513A2">
        <w:rPr>
          <w:b/>
          <w:lang w:val="en-GB"/>
        </w:rPr>
        <w:t xml:space="preserve">, </w:t>
      </w:r>
      <w:proofErr w:type="spellStart"/>
      <w:r w:rsidRPr="004513A2">
        <w:rPr>
          <w:b/>
          <w:lang w:val="en-GB"/>
        </w:rPr>
        <w:t>Jurij</w:t>
      </w:r>
      <w:proofErr w:type="spellEnd"/>
      <w:r w:rsidRPr="004513A2">
        <w:rPr>
          <w:b/>
          <w:lang w:val="en-GB"/>
        </w:rPr>
        <w:t xml:space="preserve"> Stojan</w:t>
      </w:r>
      <w:r w:rsidR="002A3CEA" w:rsidRPr="004513A2">
        <w:rPr>
          <w:b/>
          <w:vertAlign w:val="superscript"/>
          <w:lang w:val="en-GB"/>
        </w:rPr>
        <w:t>2</w:t>
      </w:r>
      <w:r w:rsidRPr="004513A2">
        <w:rPr>
          <w:b/>
          <w:lang w:val="en-GB"/>
        </w:rPr>
        <w:t>,</w:t>
      </w:r>
      <w:r w:rsidR="002A3CEA" w:rsidRPr="004513A2">
        <w:rPr>
          <w:b/>
          <w:lang w:val="en-GB"/>
        </w:rPr>
        <w:t xml:space="preserve"> </w:t>
      </w:r>
      <w:proofErr w:type="spellStart"/>
      <w:r w:rsidR="002A3CEA" w:rsidRPr="004513A2">
        <w:rPr>
          <w:b/>
          <w:lang w:val="en-GB"/>
        </w:rPr>
        <w:t>Damjana</w:t>
      </w:r>
      <w:proofErr w:type="spellEnd"/>
      <w:r w:rsidR="002A3CEA" w:rsidRPr="004513A2">
        <w:rPr>
          <w:b/>
          <w:lang w:val="en-GB"/>
        </w:rPr>
        <w:t xml:space="preserve"> Rozman</w:t>
      </w:r>
      <w:r w:rsidR="002A3CEA" w:rsidRPr="004513A2">
        <w:rPr>
          <w:b/>
          <w:vertAlign w:val="superscript"/>
          <w:lang w:val="en-GB"/>
        </w:rPr>
        <w:t>1</w:t>
      </w:r>
      <w:r w:rsidR="002A3CEA" w:rsidRPr="004513A2">
        <w:rPr>
          <w:b/>
          <w:lang w:val="en-GB"/>
        </w:rPr>
        <w:t xml:space="preserve">, </w:t>
      </w:r>
      <w:proofErr w:type="spellStart"/>
      <w:r w:rsidR="002A3CEA" w:rsidRPr="004513A2">
        <w:rPr>
          <w:b/>
          <w:lang w:val="en-GB"/>
        </w:rPr>
        <w:t>Uršula</w:t>
      </w:r>
      <w:proofErr w:type="spellEnd"/>
      <w:r w:rsidR="002A3CEA" w:rsidRPr="004513A2">
        <w:rPr>
          <w:b/>
          <w:lang w:val="en-GB"/>
        </w:rPr>
        <w:t xml:space="preserve"> </w:t>
      </w:r>
      <w:proofErr w:type="spellStart"/>
      <w:r w:rsidR="002A3CEA" w:rsidRPr="004513A2">
        <w:rPr>
          <w:b/>
          <w:lang w:val="en-GB"/>
        </w:rPr>
        <w:t>Prosenc</w:t>
      </w:r>
      <w:proofErr w:type="spellEnd"/>
      <w:r w:rsidR="002A3CEA" w:rsidRPr="004513A2">
        <w:rPr>
          <w:b/>
          <w:lang w:val="en-GB"/>
        </w:rPr>
        <w:t xml:space="preserve"> </w:t>
      </w:r>
      <w:r w:rsidRPr="004513A2">
        <w:rPr>
          <w:b/>
          <w:lang w:val="en-GB"/>
        </w:rPr>
        <w:t>Zmrzljak</w:t>
      </w:r>
      <w:r w:rsidR="002A3CEA" w:rsidRPr="004513A2">
        <w:rPr>
          <w:b/>
          <w:vertAlign w:val="superscript"/>
          <w:lang w:val="en-GB"/>
        </w:rPr>
        <w:t>1</w:t>
      </w:r>
      <w:r w:rsidR="004513A2">
        <w:rPr>
          <w:b/>
          <w:vertAlign w:val="superscript"/>
          <w:lang w:val="en-GB"/>
        </w:rPr>
        <w:t>,</w:t>
      </w:r>
      <w:r w:rsidR="00303121" w:rsidRPr="004513A2">
        <w:rPr>
          <w:b/>
          <w:vertAlign w:val="superscript"/>
          <w:lang w:val="en-GB"/>
        </w:rPr>
        <w:t>*</w:t>
      </w:r>
    </w:p>
    <w:p w14:paraId="02B1B4CA" w14:textId="77777777" w:rsidR="004513A2" w:rsidRPr="004513A2" w:rsidRDefault="004513A2" w:rsidP="5074CF87">
      <w:pPr>
        <w:jc w:val="both"/>
        <w:rPr>
          <w:b/>
          <w:vertAlign w:val="superscript"/>
        </w:rPr>
      </w:pPr>
    </w:p>
    <w:p w14:paraId="1A84904B" w14:textId="365C94EF" w:rsidR="00943882" w:rsidRDefault="002A3CEA" w:rsidP="00EA7525">
      <w:pPr>
        <w:jc w:val="both"/>
        <w:rPr>
          <w:lang w:val="en-GB"/>
        </w:rPr>
      </w:pPr>
      <w:r>
        <w:rPr>
          <w:vertAlign w:val="superscript"/>
          <w:lang w:val="en-GB"/>
        </w:rPr>
        <w:t>1</w:t>
      </w:r>
      <w:r w:rsidR="00943882">
        <w:rPr>
          <w:lang w:val="en-GB"/>
        </w:rPr>
        <w:t>Center for Functional Genomics and Bio-chips,</w:t>
      </w:r>
      <w:r w:rsidR="004513A2">
        <w:rPr>
          <w:lang w:val="en-GB"/>
        </w:rPr>
        <w:t xml:space="preserve"> Institute of Bioc</w:t>
      </w:r>
      <w:r w:rsidR="002F40A8">
        <w:rPr>
          <w:lang w:val="en-GB"/>
        </w:rPr>
        <w:t>hem</w:t>
      </w:r>
      <w:r w:rsidR="004513A2">
        <w:rPr>
          <w:lang w:val="en-GB"/>
        </w:rPr>
        <w:t>istry,</w:t>
      </w:r>
      <w:r w:rsidR="00943882">
        <w:rPr>
          <w:lang w:val="en-GB"/>
        </w:rPr>
        <w:t xml:space="preserve"> </w:t>
      </w:r>
      <w:r w:rsidR="00303121">
        <w:rPr>
          <w:lang w:val="en-GB"/>
        </w:rPr>
        <w:t xml:space="preserve">Faculty of Medicine, </w:t>
      </w:r>
      <w:r w:rsidR="00943882">
        <w:rPr>
          <w:lang w:val="en-GB"/>
        </w:rPr>
        <w:t>University of Ljubljana,</w:t>
      </w:r>
      <w:r w:rsidR="002F40A8">
        <w:rPr>
          <w:lang w:val="en-GB"/>
        </w:rPr>
        <w:t xml:space="preserve"> </w:t>
      </w:r>
      <w:proofErr w:type="spellStart"/>
      <w:r w:rsidR="002F40A8">
        <w:rPr>
          <w:lang w:val="en-GB"/>
        </w:rPr>
        <w:t>Zaloš</w:t>
      </w:r>
      <w:r w:rsidR="004513A2">
        <w:rPr>
          <w:lang w:val="en-GB"/>
        </w:rPr>
        <w:t>ka</w:t>
      </w:r>
      <w:proofErr w:type="spellEnd"/>
      <w:r w:rsidR="004513A2">
        <w:rPr>
          <w:lang w:val="en-GB"/>
        </w:rPr>
        <w:t xml:space="preserve"> </w:t>
      </w:r>
      <w:proofErr w:type="spellStart"/>
      <w:r w:rsidR="004513A2">
        <w:rPr>
          <w:lang w:val="en-GB"/>
        </w:rPr>
        <w:t>cesta</w:t>
      </w:r>
      <w:proofErr w:type="spellEnd"/>
      <w:r w:rsidR="004513A2">
        <w:rPr>
          <w:lang w:val="en-GB"/>
        </w:rPr>
        <w:t xml:space="preserve"> 4,</w:t>
      </w:r>
      <w:r w:rsidR="00943882">
        <w:rPr>
          <w:lang w:val="en-GB"/>
        </w:rPr>
        <w:t xml:space="preserve"> Ljubljana, Slovenia</w:t>
      </w:r>
    </w:p>
    <w:p w14:paraId="12F3A79B" w14:textId="16BB3069" w:rsidR="002A3CEA" w:rsidRDefault="002A3CEA" w:rsidP="00EA7525">
      <w:pPr>
        <w:jc w:val="both"/>
        <w:rPr>
          <w:lang w:val="en-GB"/>
        </w:rPr>
      </w:pPr>
      <w:r>
        <w:rPr>
          <w:vertAlign w:val="superscript"/>
          <w:lang w:val="en-GB"/>
        </w:rPr>
        <w:t>2</w:t>
      </w:r>
      <w:r>
        <w:rPr>
          <w:lang w:val="en-GB"/>
        </w:rPr>
        <w:t>Institute of B</w:t>
      </w:r>
      <w:r w:rsidRPr="002A3CEA">
        <w:rPr>
          <w:lang w:val="en-GB"/>
        </w:rPr>
        <w:t>iochemistry</w:t>
      </w:r>
      <w:r>
        <w:rPr>
          <w:lang w:val="en-GB"/>
        </w:rPr>
        <w:t xml:space="preserve">, </w:t>
      </w:r>
      <w:r w:rsidR="00303121">
        <w:rPr>
          <w:lang w:val="en-GB"/>
        </w:rPr>
        <w:t>Faculty of Medicine, University of Ljubljana,</w:t>
      </w:r>
      <w:r w:rsidR="004513A2">
        <w:rPr>
          <w:lang w:val="en-GB"/>
        </w:rPr>
        <w:t xml:space="preserve"> </w:t>
      </w:r>
      <w:proofErr w:type="spellStart"/>
      <w:r w:rsidR="004513A2">
        <w:rPr>
          <w:lang w:val="en-GB"/>
        </w:rPr>
        <w:t>Vrazov</w:t>
      </w:r>
      <w:proofErr w:type="spellEnd"/>
      <w:r w:rsidR="004513A2">
        <w:rPr>
          <w:lang w:val="en-GB"/>
        </w:rPr>
        <w:t xml:space="preserve"> </w:t>
      </w:r>
      <w:proofErr w:type="spellStart"/>
      <w:r w:rsidR="004513A2">
        <w:rPr>
          <w:lang w:val="en-GB"/>
        </w:rPr>
        <w:t>trg</w:t>
      </w:r>
      <w:proofErr w:type="spellEnd"/>
      <w:r w:rsidR="004513A2">
        <w:rPr>
          <w:lang w:val="en-GB"/>
        </w:rPr>
        <w:t xml:space="preserve"> 2,</w:t>
      </w:r>
      <w:r w:rsidR="00303121">
        <w:rPr>
          <w:lang w:val="en-GB"/>
        </w:rPr>
        <w:t xml:space="preserve"> Ljubljana, Slovenia</w:t>
      </w:r>
    </w:p>
    <w:p w14:paraId="11A0D354" w14:textId="77777777" w:rsidR="004513A2" w:rsidRPr="002A3CEA" w:rsidRDefault="004513A2" w:rsidP="00EA7525">
      <w:pPr>
        <w:jc w:val="both"/>
        <w:rPr>
          <w:lang w:val="en-GB"/>
        </w:rPr>
      </w:pPr>
    </w:p>
    <w:p w14:paraId="6502E6A6" w14:textId="683B3F6C" w:rsidR="5074CF87" w:rsidRDefault="00303121" w:rsidP="5074CF87">
      <w:pPr>
        <w:jc w:val="both"/>
        <w:rPr>
          <w:lang w:val="en-GB"/>
        </w:rPr>
      </w:pPr>
      <w:r>
        <w:rPr>
          <w:vertAlign w:val="superscript"/>
          <w:lang w:val="en-GB"/>
        </w:rPr>
        <w:t>*</w:t>
      </w:r>
      <w:r w:rsidR="5074CF87" w:rsidRPr="5074CF87">
        <w:rPr>
          <w:lang w:val="en-GB"/>
        </w:rPr>
        <w:t>Corre</w:t>
      </w:r>
      <w:r w:rsidR="002A3CEA">
        <w:rPr>
          <w:lang w:val="en-GB"/>
        </w:rPr>
        <w:t>sponding author</w:t>
      </w:r>
      <w:r w:rsidR="00B33E42">
        <w:rPr>
          <w:lang w:val="en-GB"/>
        </w:rPr>
        <w:t>:</w:t>
      </w:r>
    </w:p>
    <w:p w14:paraId="43FD09BF" w14:textId="178952B2" w:rsidR="00B33E42" w:rsidRDefault="00B33E42" w:rsidP="00B33E42">
      <w:pPr>
        <w:pStyle w:val="NoSpacing"/>
        <w:spacing w:line="360" w:lineRule="auto"/>
        <w:rPr>
          <w:lang w:val="en-GB"/>
        </w:rPr>
      </w:pPr>
      <w:proofErr w:type="spellStart"/>
      <w:r>
        <w:rPr>
          <w:lang w:val="en-GB"/>
        </w:rPr>
        <w:t>Uršula</w:t>
      </w:r>
      <w:proofErr w:type="spellEnd"/>
      <w:r>
        <w:rPr>
          <w:lang w:val="en-GB"/>
        </w:rPr>
        <w:t xml:space="preserve"> </w:t>
      </w:r>
      <w:proofErr w:type="spellStart"/>
      <w:r>
        <w:rPr>
          <w:lang w:val="en-GB"/>
        </w:rPr>
        <w:t>Prosenc</w:t>
      </w:r>
      <w:proofErr w:type="spellEnd"/>
      <w:r>
        <w:rPr>
          <w:lang w:val="en-GB"/>
        </w:rPr>
        <w:t xml:space="preserve"> </w:t>
      </w:r>
      <w:proofErr w:type="spellStart"/>
      <w:r>
        <w:rPr>
          <w:lang w:val="en-GB"/>
        </w:rPr>
        <w:t>Zmrzljak</w:t>
      </w:r>
      <w:proofErr w:type="spellEnd"/>
    </w:p>
    <w:p w14:paraId="69BAF092" w14:textId="77777777" w:rsidR="00B33E42" w:rsidRDefault="00B33E42" w:rsidP="00B33E42">
      <w:pPr>
        <w:pStyle w:val="NoSpacing"/>
        <w:spacing w:line="360" w:lineRule="auto"/>
        <w:rPr>
          <w:lang w:val="en-GB"/>
        </w:rPr>
      </w:pPr>
      <w:proofErr w:type="spellStart"/>
      <w:r>
        <w:rPr>
          <w:lang w:val="en-GB"/>
        </w:rPr>
        <w:t>Center</w:t>
      </w:r>
      <w:proofErr w:type="spellEnd"/>
      <w:r>
        <w:rPr>
          <w:lang w:val="en-GB"/>
        </w:rPr>
        <w:t xml:space="preserve"> for Functional Genomics and Bio-chips, </w:t>
      </w:r>
    </w:p>
    <w:p w14:paraId="39947AEA" w14:textId="77777777" w:rsidR="00B33E42" w:rsidRDefault="00B33E42" w:rsidP="00B33E42">
      <w:pPr>
        <w:pStyle w:val="NoSpacing"/>
        <w:spacing w:line="360" w:lineRule="auto"/>
        <w:rPr>
          <w:lang w:val="en-GB"/>
        </w:rPr>
      </w:pPr>
      <w:r>
        <w:rPr>
          <w:lang w:val="en-GB"/>
        </w:rPr>
        <w:t xml:space="preserve">Institute of Biochemistry, </w:t>
      </w:r>
    </w:p>
    <w:p w14:paraId="70451608" w14:textId="77777777" w:rsidR="00B33E42" w:rsidRDefault="00B33E42" w:rsidP="00B33E42">
      <w:pPr>
        <w:pStyle w:val="NoSpacing"/>
        <w:spacing w:line="360" w:lineRule="auto"/>
        <w:rPr>
          <w:lang w:val="en-GB"/>
        </w:rPr>
      </w:pPr>
      <w:r>
        <w:rPr>
          <w:lang w:val="en-GB"/>
        </w:rPr>
        <w:t xml:space="preserve">Faculty of Medicine, </w:t>
      </w:r>
    </w:p>
    <w:p w14:paraId="17BBA560" w14:textId="77777777" w:rsidR="00B33E42" w:rsidRDefault="00B33E42" w:rsidP="00B33E42">
      <w:pPr>
        <w:pStyle w:val="NoSpacing"/>
        <w:spacing w:line="360" w:lineRule="auto"/>
        <w:rPr>
          <w:lang w:val="en-GB"/>
        </w:rPr>
      </w:pPr>
      <w:r>
        <w:rPr>
          <w:lang w:val="en-GB"/>
        </w:rPr>
        <w:t xml:space="preserve">University of Ljubljana, </w:t>
      </w:r>
    </w:p>
    <w:p w14:paraId="3E8902CF" w14:textId="77777777" w:rsidR="00B33E42" w:rsidRDefault="00B33E42" w:rsidP="00B33E42">
      <w:pPr>
        <w:pStyle w:val="NoSpacing"/>
        <w:spacing w:line="360" w:lineRule="auto"/>
        <w:rPr>
          <w:lang w:val="en-GB"/>
        </w:rPr>
      </w:pPr>
      <w:proofErr w:type="spellStart"/>
      <w:r>
        <w:rPr>
          <w:lang w:val="en-GB"/>
        </w:rPr>
        <w:t>Zaloška</w:t>
      </w:r>
      <w:proofErr w:type="spellEnd"/>
      <w:r>
        <w:rPr>
          <w:lang w:val="en-GB"/>
        </w:rPr>
        <w:t xml:space="preserve"> </w:t>
      </w:r>
      <w:proofErr w:type="spellStart"/>
      <w:r>
        <w:rPr>
          <w:lang w:val="en-GB"/>
        </w:rPr>
        <w:t>cesta</w:t>
      </w:r>
      <w:proofErr w:type="spellEnd"/>
      <w:r>
        <w:rPr>
          <w:lang w:val="en-GB"/>
        </w:rPr>
        <w:t xml:space="preserve"> 4, </w:t>
      </w:r>
    </w:p>
    <w:p w14:paraId="23952B7D" w14:textId="293D9285" w:rsidR="00B33E42" w:rsidRDefault="00B33E42" w:rsidP="00B33E42">
      <w:pPr>
        <w:pStyle w:val="NoSpacing"/>
        <w:spacing w:line="360" w:lineRule="auto"/>
        <w:rPr>
          <w:lang w:val="en-GB"/>
        </w:rPr>
      </w:pPr>
      <w:r>
        <w:rPr>
          <w:lang w:val="en-GB"/>
        </w:rPr>
        <w:t>Ljubljana, Slovenia</w:t>
      </w:r>
    </w:p>
    <w:p w14:paraId="3A2AD18F" w14:textId="13FBE4F4" w:rsidR="00B33E42" w:rsidRDefault="00B33E42" w:rsidP="00B33E42">
      <w:pPr>
        <w:pStyle w:val="NoSpacing"/>
        <w:spacing w:line="360" w:lineRule="auto"/>
        <w:rPr>
          <w:lang w:val="en-GB"/>
        </w:rPr>
      </w:pPr>
      <w:r>
        <w:rPr>
          <w:lang w:val="en-GB"/>
        </w:rPr>
        <w:t>Tel: +386 1 543 75 92</w:t>
      </w:r>
    </w:p>
    <w:p w14:paraId="418B2FB8" w14:textId="2B0B63DE" w:rsidR="00B33E42" w:rsidRDefault="00B33E42" w:rsidP="00B33E42">
      <w:pPr>
        <w:pStyle w:val="NoSpacing"/>
        <w:spacing w:line="360" w:lineRule="auto"/>
        <w:rPr>
          <w:lang w:val="en-GB"/>
        </w:rPr>
      </w:pPr>
      <w:r>
        <w:rPr>
          <w:lang w:val="en-GB"/>
        </w:rPr>
        <w:t>Fax: +386 1 543 75 88</w:t>
      </w:r>
    </w:p>
    <w:p w14:paraId="0A362F63" w14:textId="77777777" w:rsidR="00B33E42" w:rsidRDefault="00B33E42" w:rsidP="00B33E42">
      <w:pPr>
        <w:spacing w:line="360" w:lineRule="auto"/>
        <w:jc w:val="both"/>
        <w:rPr>
          <w:lang w:val="en-GB"/>
        </w:rPr>
      </w:pPr>
    </w:p>
    <w:p w14:paraId="435792A0" w14:textId="77777777" w:rsidR="004513A2" w:rsidRDefault="004513A2" w:rsidP="5074CF87">
      <w:pPr>
        <w:jc w:val="both"/>
        <w:rPr>
          <w:lang w:val="en-GB"/>
        </w:rPr>
      </w:pPr>
    </w:p>
    <w:p w14:paraId="263CF5CD" w14:textId="133F09DD" w:rsidR="004513A2" w:rsidRDefault="004513A2" w:rsidP="5074CF87">
      <w:pPr>
        <w:jc w:val="both"/>
        <w:rPr>
          <w:lang w:val="en-GB"/>
        </w:rPr>
      </w:pPr>
      <w:r>
        <w:rPr>
          <w:lang w:val="en-GB"/>
        </w:rPr>
        <w:t>Email addresses:</w:t>
      </w:r>
    </w:p>
    <w:p w14:paraId="50BF5B2E" w14:textId="0E8234F9" w:rsidR="002F40A8" w:rsidRDefault="004513A2" w:rsidP="004513A2">
      <w:pPr>
        <w:ind w:left="851"/>
        <w:jc w:val="both"/>
      </w:pPr>
      <w:r>
        <w:rPr>
          <w:lang w:val="en-GB"/>
        </w:rPr>
        <w:t xml:space="preserve">TM: </w:t>
      </w:r>
      <w:r w:rsidR="002F40A8" w:rsidRPr="00F43444">
        <w:t>tomaz.martini@unifr.ch</w:t>
      </w:r>
    </w:p>
    <w:p w14:paraId="746A0C1E" w14:textId="5819D9FD" w:rsidR="004513A2" w:rsidRDefault="004513A2" w:rsidP="004513A2">
      <w:pPr>
        <w:ind w:left="851"/>
        <w:jc w:val="both"/>
        <w:rPr>
          <w:lang w:val="en-GB"/>
        </w:rPr>
      </w:pPr>
      <w:r>
        <w:rPr>
          <w:lang w:val="en-GB"/>
        </w:rPr>
        <w:t>JS: stojan@mf.uni-lj.si</w:t>
      </w:r>
    </w:p>
    <w:p w14:paraId="2F5CA682" w14:textId="7A0E5AF1" w:rsidR="004513A2" w:rsidRDefault="004513A2" w:rsidP="004513A2">
      <w:pPr>
        <w:ind w:left="851"/>
        <w:jc w:val="both"/>
        <w:rPr>
          <w:lang w:val="en-GB"/>
        </w:rPr>
      </w:pPr>
      <w:r>
        <w:rPr>
          <w:lang w:val="en-GB"/>
        </w:rPr>
        <w:t>DR: damjana.rozman@mf.uni-lj.si</w:t>
      </w:r>
    </w:p>
    <w:p w14:paraId="2EC1E280" w14:textId="0665594C" w:rsidR="004513A2" w:rsidRDefault="004513A2" w:rsidP="004513A2">
      <w:pPr>
        <w:ind w:left="851"/>
        <w:jc w:val="both"/>
      </w:pPr>
      <w:r>
        <w:rPr>
          <w:lang w:val="en-GB"/>
        </w:rPr>
        <w:t>UPZ: ursula.prosenc@mf.uni-lj.si</w:t>
      </w:r>
    </w:p>
    <w:p w14:paraId="7E534F9C" w14:textId="051CB80B" w:rsidR="50205A44" w:rsidRDefault="50205A44" w:rsidP="00EA7525">
      <w:pPr>
        <w:jc w:val="both"/>
      </w:pPr>
    </w:p>
    <w:p w14:paraId="343C7256" w14:textId="77777777" w:rsidR="004513A2" w:rsidRDefault="004513A2" w:rsidP="00EA7525">
      <w:pPr>
        <w:jc w:val="both"/>
      </w:pPr>
    </w:p>
    <w:p w14:paraId="0DFB0CA3" w14:textId="77777777" w:rsidR="004513A2" w:rsidRDefault="004513A2" w:rsidP="00EA7525">
      <w:pPr>
        <w:jc w:val="both"/>
      </w:pPr>
    </w:p>
    <w:p w14:paraId="73206FF3" w14:textId="77777777" w:rsidR="004513A2" w:rsidRDefault="004513A2" w:rsidP="00EA7525">
      <w:pPr>
        <w:jc w:val="both"/>
      </w:pPr>
    </w:p>
    <w:p w14:paraId="16AFF02D" w14:textId="0CBAF3AA" w:rsidR="004513A2" w:rsidRDefault="004513A2" w:rsidP="00EA7525">
      <w:pPr>
        <w:jc w:val="both"/>
      </w:pPr>
    </w:p>
    <w:p w14:paraId="769DA797" w14:textId="261870B6" w:rsidR="004513A2" w:rsidRPr="004513A2" w:rsidRDefault="50205A44" w:rsidP="004513A2">
      <w:pPr>
        <w:pStyle w:val="Heading2"/>
        <w:spacing w:line="360" w:lineRule="auto"/>
        <w:jc w:val="both"/>
        <w:rPr>
          <w:lang w:val="en-GB"/>
        </w:rPr>
      </w:pPr>
      <w:r w:rsidRPr="50205A44">
        <w:rPr>
          <w:lang w:val="en-GB"/>
        </w:rPr>
        <w:lastRenderedPageBreak/>
        <w:t>Abstract</w:t>
      </w:r>
    </w:p>
    <w:p w14:paraId="067087A4" w14:textId="10F3B745" w:rsidR="50205A44" w:rsidRDefault="5074CF87" w:rsidP="004513A2">
      <w:pPr>
        <w:spacing w:line="360" w:lineRule="auto"/>
        <w:jc w:val="both"/>
        <w:rPr>
          <w:lang w:val="en-GB"/>
        </w:rPr>
      </w:pPr>
      <w:r w:rsidRPr="5074CF87">
        <w:rPr>
          <w:lang w:val="en-GB"/>
        </w:rPr>
        <w:t xml:space="preserve">Period 2 (PER2) is an important player in daily oscillations called circadian rhythms, which are emerging as one of the most important regulatory networks, responsible for homeostasis and transcriptional regulation of a number of genes. Our work shows that PER2 could act as a co-activator of the constitutive </w:t>
      </w:r>
      <w:proofErr w:type="spellStart"/>
      <w:r w:rsidRPr="5074CF87">
        <w:rPr>
          <w:lang w:val="en-GB"/>
        </w:rPr>
        <w:t>androstane</w:t>
      </w:r>
      <w:proofErr w:type="spellEnd"/>
      <w:r w:rsidRPr="5074CF87">
        <w:rPr>
          <w:lang w:val="en-GB"/>
        </w:rPr>
        <w:t xml:space="preserve"> receptor (CAR), a key nuclear receptor (NR) that regulates metabolism </w:t>
      </w:r>
      <w:r w:rsidR="00AE5DCD">
        <w:rPr>
          <w:lang w:val="en-GB"/>
        </w:rPr>
        <w:t>of</w:t>
      </w:r>
      <w:r w:rsidRPr="5074CF87">
        <w:rPr>
          <w:lang w:val="en-GB"/>
        </w:rPr>
        <w:t xml:space="preserve"> </w:t>
      </w:r>
      <w:proofErr w:type="spellStart"/>
      <w:r w:rsidRPr="5074CF87">
        <w:rPr>
          <w:lang w:val="en-GB"/>
        </w:rPr>
        <w:t>endo</w:t>
      </w:r>
      <w:r w:rsidR="00AE5DCD">
        <w:rPr>
          <w:lang w:val="en-GB"/>
        </w:rPr>
        <w:t>biotic</w:t>
      </w:r>
      <w:r w:rsidR="00F43444">
        <w:rPr>
          <w:lang w:val="en-GB"/>
        </w:rPr>
        <w:t>s</w:t>
      </w:r>
      <w:proofErr w:type="spellEnd"/>
      <w:r w:rsidRPr="5074CF87">
        <w:rPr>
          <w:lang w:val="en-GB"/>
        </w:rPr>
        <w:t xml:space="preserve"> </w:t>
      </w:r>
      <w:r w:rsidR="00F43444">
        <w:rPr>
          <w:lang w:val="en-GB"/>
        </w:rPr>
        <w:t>and</w:t>
      </w:r>
      <w:r w:rsidRPr="5074CF87">
        <w:rPr>
          <w:lang w:val="en-GB"/>
        </w:rPr>
        <w:t xml:space="preserve"> xenobiotic</w:t>
      </w:r>
      <w:r w:rsidR="00F43444">
        <w:rPr>
          <w:lang w:val="en-GB"/>
        </w:rPr>
        <w:t>s</w:t>
      </w:r>
      <w:r w:rsidRPr="5074CF87">
        <w:rPr>
          <w:lang w:val="en-GB"/>
        </w:rPr>
        <w:t xml:space="preserve">. </w:t>
      </w:r>
      <w:proofErr w:type="spellStart"/>
      <w:r w:rsidRPr="5074CF87">
        <w:rPr>
          <w:lang w:val="en-GB"/>
        </w:rPr>
        <w:t>Bioinformatic</w:t>
      </w:r>
      <w:proofErr w:type="spellEnd"/>
      <w:r w:rsidRPr="5074CF87">
        <w:rPr>
          <w:lang w:val="en-GB"/>
        </w:rPr>
        <w:t xml:space="preserve"> analysis shows that PER2 and CAR possess structural </w:t>
      </w:r>
      <w:r w:rsidR="00F43444">
        <w:rPr>
          <w:lang w:val="en-GB"/>
        </w:rPr>
        <w:t>elements</w:t>
      </w:r>
      <w:r w:rsidR="00F43444" w:rsidRPr="5074CF87">
        <w:rPr>
          <w:lang w:val="en-GB"/>
        </w:rPr>
        <w:t xml:space="preserve"> </w:t>
      </w:r>
      <w:r w:rsidRPr="5074CF87">
        <w:rPr>
          <w:lang w:val="en-GB"/>
        </w:rPr>
        <w:t xml:space="preserve">that could enable them to interact. This was further supported by our experiments. </w:t>
      </w:r>
      <w:r w:rsidR="00AE5DCD">
        <w:rPr>
          <w:lang w:val="en-GB"/>
        </w:rPr>
        <w:t xml:space="preserve">PER2 and CAR </w:t>
      </w:r>
      <w:r w:rsidR="00AE5DCD" w:rsidRPr="5074CF87">
        <w:rPr>
          <w:lang w:val="en-GB"/>
        </w:rPr>
        <w:t>co-</w:t>
      </w:r>
      <w:proofErr w:type="spellStart"/>
      <w:r w:rsidR="00AE5DCD" w:rsidRPr="5074CF87">
        <w:rPr>
          <w:lang w:val="en-GB"/>
        </w:rPr>
        <w:t>immunoprecipitate</w:t>
      </w:r>
      <w:proofErr w:type="spellEnd"/>
      <w:r w:rsidR="00F43444">
        <w:rPr>
          <w:lang w:val="en-GB"/>
        </w:rPr>
        <w:t>. C</w:t>
      </w:r>
      <w:r w:rsidRPr="5074CF87">
        <w:rPr>
          <w:lang w:val="en-GB"/>
        </w:rPr>
        <w:t xml:space="preserve">o-transfection of mouse </w:t>
      </w:r>
      <w:proofErr w:type="spellStart"/>
      <w:r w:rsidRPr="5074CF87">
        <w:rPr>
          <w:lang w:val="en-GB"/>
        </w:rPr>
        <w:t>hepatocarcinoma</w:t>
      </w:r>
      <w:proofErr w:type="spellEnd"/>
      <w:r w:rsidRPr="5074CF87">
        <w:rPr>
          <w:lang w:val="en-GB"/>
        </w:rPr>
        <w:t xml:space="preserve"> cells with </w:t>
      </w:r>
      <w:r w:rsidR="00AE5DCD">
        <w:rPr>
          <w:lang w:val="en-GB"/>
        </w:rPr>
        <w:t xml:space="preserve">plasmids overexpressing </w:t>
      </w:r>
      <w:r w:rsidR="00F43444" w:rsidRPr="00DB1871">
        <w:rPr>
          <w:i/>
          <w:lang w:val="en-GB"/>
        </w:rPr>
        <w:t>Per2</w:t>
      </w:r>
      <w:r w:rsidR="00F43444" w:rsidRPr="5074CF87">
        <w:rPr>
          <w:lang w:val="en-GB"/>
        </w:rPr>
        <w:t xml:space="preserve"> </w:t>
      </w:r>
      <w:r w:rsidRPr="5074CF87">
        <w:rPr>
          <w:lang w:val="en-GB"/>
        </w:rPr>
        <w:t xml:space="preserve">and </w:t>
      </w:r>
      <w:r w:rsidR="00F43444" w:rsidRPr="00DB1871">
        <w:rPr>
          <w:i/>
          <w:lang w:val="en-GB"/>
        </w:rPr>
        <w:t>Car</w:t>
      </w:r>
      <w:r w:rsidR="00F43444" w:rsidRPr="5074CF87">
        <w:rPr>
          <w:lang w:val="en-GB"/>
        </w:rPr>
        <w:t xml:space="preserve"> </w:t>
      </w:r>
      <w:r w:rsidRPr="5074CF87">
        <w:rPr>
          <w:lang w:val="en-GB"/>
        </w:rPr>
        <w:t xml:space="preserve">increases expression of </w:t>
      </w:r>
      <w:r w:rsidR="00AE5DCD" w:rsidRPr="5074CF87">
        <w:rPr>
          <w:i/>
          <w:iCs/>
          <w:lang w:val="en-GB"/>
        </w:rPr>
        <w:t>Bmal1</w:t>
      </w:r>
      <w:r w:rsidR="00AE5DCD">
        <w:rPr>
          <w:lang w:val="en-GB"/>
        </w:rPr>
        <w:t xml:space="preserve">, </w:t>
      </w:r>
      <w:r w:rsidRPr="5074CF87">
        <w:rPr>
          <w:lang w:val="en-GB"/>
        </w:rPr>
        <w:t xml:space="preserve">a potential CAR target gene, </w:t>
      </w:r>
      <w:r w:rsidR="00F43444">
        <w:rPr>
          <w:lang w:val="en-GB"/>
        </w:rPr>
        <w:t>more</w:t>
      </w:r>
      <w:r w:rsidR="00AE5DCD">
        <w:rPr>
          <w:lang w:val="en-GB"/>
        </w:rPr>
        <w:t xml:space="preserve"> </w:t>
      </w:r>
      <w:r w:rsidRPr="5074CF87">
        <w:rPr>
          <w:lang w:val="en-GB"/>
        </w:rPr>
        <w:t xml:space="preserve">than transfections with </w:t>
      </w:r>
      <w:r w:rsidRPr="5074CF87">
        <w:rPr>
          <w:i/>
          <w:iCs/>
          <w:lang w:val="en-GB"/>
        </w:rPr>
        <w:t>Car</w:t>
      </w:r>
      <w:r w:rsidRPr="5074CF87">
        <w:rPr>
          <w:lang w:val="en-GB"/>
        </w:rPr>
        <w:t xml:space="preserve"> only. </w:t>
      </w:r>
      <w:r w:rsidR="00AE5DCD">
        <w:rPr>
          <w:lang w:val="en-GB"/>
        </w:rPr>
        <w:t xml:space="preserve">This is the first report indicating the interaction of PER2 and CAR. </w:t>
      </w:r>
    </w:p>
    <w:p w14:paraId="265F31C1" w14:textId="77777777" w:rsidR="004513A2" w:rsidRDefault="004513A2" w:rsidP="004513A2">
      <w:pPr>
        <w:spacing w:line="360" w:lineRule="auto"/>
        <w:jc w:val="both"/>
      </w:pPr>
    </w:p>
    <w:p w14:paraId="0141A271" w14:textId="0BEF0E22" w:rsidR="00FF0510" w:rsidRPr="004513A2" w:rsidRDefault="00FF0510" w:rsidP="00FF0510">
      <w:pPr>
        <w:pStyle w:val="Heading2"/>
        <w:spacing w:line="360" w:lineRule="auto"/>
        <w:jc w:val="both"/>
        <w:rPr>
          <w:lang w:val="en-GB"/>
        </w:rPr>
      </w:pPr>
      <w:r>
        <w:rPr>
          <w:lang w:val="en-GB"/>
        </w:rPr>
        <w:t>Keywords</w:t>
      </w:r>
    </w:p>
    <w:p w14:paraId="732F1787" w14:textId="207E4F3C" w:rsidR="50205A44" w:rsidRDefault="5ECC47B9" w:rsidP="004513A2">
      <w:pPr>
        <w:spacing w:line="360" w:lineRule="auto"/>
        <w:jc w:val="both"/>
      </w:pPr>
      <w:r w:rsidRPr="5ECC47B9">
        <w:rPr>
          <w:lang w:val="en-GB"/>
        </w:rPr>
        <w:t xml:space="preserve">circadian rhythms, metabolism, period 2, constitutive </w:t>
      </w:r>
      <w:proofErr w:type="spellStart"/>
      <w:r w:rsidRPr="5ECC47B9">
        <w:rPr>
          <w:lang w:val="en-GB"/>
        </w:rPr>
        <w:t>androstane</w:t>
      </w:r>
      <w:proofErr w:type="spellEnd"/>
      <w:r w:rsidRPr="5ECC47B9">
        <w:rPr>
          <w:lang w:val="en-GB"/>
        </w:rPr>
        <w:t xml:space="preserve"> receptor, co-activator</w:t>
      </w:r>
    </w:p>
    <w:p w14:paraId="70FC9EA6" w14:textId="77777777" w:rsidR="004513A2" w:rsidRDefault="004513A2">
      <w:pPr>
        <w:rPr>
          <w:rFonts w:asciiTheme="majorHAnsi" w:eastAsiaTheme="majorEastAsia" w:hAnsiTheme="majorHAnsi" w:cstheme="majorBidi"/>
          <w:color w:val="2E74B5" w:themeColor="accent1" w:themeShade="BF"/>
          <w:sz w:val="26"/>
          <w:szCs w:val="26"/>
          <w:lang w:val="en-GB"/>
        </w:rPr>
      </w:pPr>
      <w:r>
        <w:rPr>
          <w:lang w:val="en-GB"/>
        </w:rPr>
        <w:br w:type="page"/>
      </w:r>
    </w:p>
    <w:p w14:paraId="0A080156" w14:textId="12A8CE3C" w:rsidR="50205A44" w:rsidRDefault="7B4AD3E9" w:rsidP="004513A2">
      <w:pPr>
        <w:pStyle w:val="Heading2"/>
        <w:spacing w:line="360" w:lineRule="auto"/>
        <w:jc w:val="both"/>
      </w:pPr>
      <w:r w:rsidRPr="7B4AD3E9">
        <w:rPr>
          <w:lang w:val="en-GB"/>
        </w:rPr>
        <w:lastRenderedPageBreak/>
        <w:t>Introduction</w:t>
      </w:r>
    </w:p>
    <w:p w14:paraId="70FC5130" w14:textId="6EA07BE8" w:rsidR="7B4AD3E9" w:rsidRDefault="5ECC47B9" w:rsidP="004513A2">
      <w:pPr>
        <w:spacing w:line="360" w:lineRule="auto"/>
        <w:jc w:val="both"/>
      </w:pPr>
      <w:r w:rsidRPr="5ECC47B9">
        <w:rPr>
          <w:rFonts w:ascii="Calibri" w:eastAsia="Calibri" w:hAnsi="Calibri" w:cs="Calibri"/>
          <w:lang w:val="en-GB"/>
        </w:rPr>
        <w:t>Circadian rhythms are daily oscillations</w:t>
      </w:r>
      <w:r w:rsidR="001A3CD7">
        <w:rPr>
          <w:rFonts w:ascii="Calibri" w:eastAsia="Calibri" w:hAnsi="Calibri" w:cs="Calibri"/>
          <w:lang w:val="en-GB"/>
        </w:rPr>
        <w:t xml:space="preserve"> in most cells and organisms. </w:t>
      </w:r>
      <w:r w:rsidR="004C0513" w:rsidRPr="5ECC47B9">
        <w:rPr>
          <w:rFonts w:ascii="Calibri" w:eastAsia="Calibri" w:hAnsi="Calibri" w:cs="Calibri"/>
          <w:lang w:val="en-GB"/>
        </w:rPr>
        <w:t>The</w:t>
      </w:r>
      <w:r w:rsidR="001A3CD7">
        <w:rPr>
          <w:rFonts w:ascii="Calibri" w:eastAsia="Calibri" w:hAnsi="Calibri" w:cs="Calibri"/>
          <w:lang w:val="en-GB"/>
        </w:rPr>
        <w:t>y</w:t>
      </w:r>
      <w:r w:rsidR="004C0513" w:rsidRPr="5ECC47B9">
        <w:rPr>
          <w:rFonts w:ascii="Calibri" w:eastAsia="Calibri" w:hAnsi="Calibri" w:cs="Calibri"/>
          <w:lang w:val="en-GB"/>
        </w:rPr>
        <w:t xml:space="preserve"> are governed by autonomous molecular circadian oscillators tha</w:t>
      </w:r>
      <w:r w:rsidR="00D469E1">
        <w:rPr>
          <w:rFonts w:ascii="Calibri" w:eastAsia="Calibri" w:hAnsi="Calibri" w:cs="Calibri"/>
          <w:lang w:val="en-GB"/>
        </w:rPr>
        <w:t>t</w:t>
      </w:r>
      <w:r w:rsidR="004C0513" w:rsidRPr="5ECC47B9">
        <w:rPr>
          <w:rFonts w:ascii="Calibri" w:eastAsia="Calibri" w:hAnsi="Calibri" w:cs="Calibri"/>
          <w:lang w:val="en-GB"/>
        </w:rPr>
        <w:t xml:space="preserve"> are synchronized by external cues</w:t>
      </w:r>
      <w:r w:rsidR="00F43444">
        <w:rPr>
          <w:rFonts w:ascii="Calibri" w:eastAsia="Calibri" w:hAnsi="Calibri" w:cs="Calibri"/>
          <w:lang w:val="en-GB"/>
        </w:rPr>
        <w:t>,</w:t>
      </w:r>
      <w:r w:rsidR="004C0513" w:rsidRPr="5ECC47B9">
        <w:rPr>
          <w:rFonts w:ascii="Calibri" w:eastAsia="Calibri" w:hAnsi="Calibri" w:cs="Calibri"/>
          <w:lang w:val="en-GB"/>
        </w:rPr>
        <w:t xml:space="preserve"> such as light and </w:t>
      </w:r>
      <w:r w:rsidR="004C0513">
        <w:rPr>
          <w:rFonts w:ascii="Calibri" w:eastAsia="Calibri" w:hAnsi="Calibri" w:cs="Calibri"/>
          <w:lang w:val="en-GB"/>
        </w:rPr>
        <w:t>food</w:t>
      </w:r>
      <w:r w:rsidR="004C0513" w:rsidRPr="5ECC47B9">
        <w:rPr>
          <w:rFonts w:ascii="Calibri" w:eastAsia="Calibri" w:hAnsi="Calibri" w:cs="Calibri"/>
          <w:lang w:val="en-GB"/>
        </w:rPr>
        <w:t>.</w:t>
      </w:r>
      <w:r w:rsidR="001A3CD7">
        <w:rPr>
          <w:rFonts w:ascii="Calibri" w:eastAsia="Calibri" w:hAnsi="Calibri" w:cs="Calibri"/>
          <w:lang w:val="en-GB"/>
        </w:rPr>
        <w:t xml:space="preserve"> </w:t>
      </w:r>
      <w:r w:rsidR="00D17658">
        <w:rPr>
          <w:rFonts w:ascii="Calibri" w:eastAsia="Calibri" w:hAnsi="Calibri" w:cs="Calibri"/>
          <w:lang w:val="en-GB"/>
        </w:rPr>
        <w:t xml:space="preserve">The circadian machinery is </w:t>
      </w:r>
      <w:r w:rsidR="001A3CD7">
        <w:rPr>
          <w:rFonts w:ascii="Calibri" w:eastAsia="Calibri" w:hAnsi="Calibri" w:cs="Calibri"/>
          <w:lang w:val="en-GB"/>
        </w:rPr>
        <w:t>composed</w:t>
      </w:r>
      <w:r w:rsidR="001A3CD7" w:rsidRPr="5ECC47B9">
        <w:rPr>
          <w:rFonts w:ascii="Calibri" w:eastAsia="Calibri" w:hAnsi="Calibri" w:cs="Calibri"/>
          <w:lang w:val="en-GB"/>
        </w:rPr>
        <w:t xml:space="preserve"> of positi</w:t>
      </w:r>
      <w:r w:rsidR="001A3CD7">
        <w:rPr>
          <w:rFonts w:ascii="Calibri" w:eastAsia="Calibri" w:hAnsi="Calibri" w:cs="Calibri"/>
          <w:lang w:val="en-GB"/>
        </w:rPr>
        <w:t>ve and negative transcriptional and</w:t>
      </w:r>
      <w:r w:rsidR="001A3CD7" w:rsidRPr="5ECC47B9">
        <w:rPr>
          <w:rFonts w:ascii="Calibri" w:eastAsia="Calibri" w:hAnsi="Calibri" w:cs="Calibri"/>
          <w:lang w:val="en-GB"/>
        </w:rPr>
        <w:t xml:space="preserve"> translational feedback loops. </w:t>
      </w:r>
      <w:r w:rsidRPr="5ECC47B9">
        <w:rPr>
          <w:rFonts w:ascii="Calibri" w:eastAsia="Calibri" w:hAnsi="Calibri" w:cs="Calibri"/>
          <w:lang w:val="en-GB"/>
        </w:rPr>
        <w:t xml:space="preserve">The </w:t>
      </w:r>
      <w:r w:rsidR="00133CF9">
        <w:rPr>
          <w:rFonts w:ascii="Calibri" w:eastAsia="Calibri" w:hAnsi="Calibri" w:cs="Calibri"/>
          <w:lang w:val="en-GB"/>
        </w:rPr>
        <w:t xml:space="preserve">major </w:t>
      </w:r>
      <w:r w:rsidRPr="5ECC47B9">
        <w:rPr>
          <w:rFonts w:ascii="Calibri" w:eastAsia="Calibri" w:hAnsi="Calibri" w:cs="Calibri"/>
          <w:lang w:val="en-GB"/>
        </w:rPr>
        <w:t xml:space="preserve">positive </w:t>
      </w:r>
      <w:r w:rsidR="002A3CEA" w:rsidRPr="5ECC47B9">
        <w:rPr>
          <w:rFonts w:ascii="Calibri" w:eastAsia="Calibri" w:hAnsi="Calibri" w:cs="Calibri"/>
          <w:lang w:val="en-GB"/>
        </w:rPr>
        <w:t xml:space="preserve">loop comprises transcriptional activators BMAL1 and CLOCK that can </w:t>
      </w:r>
      <w:proofErr w:type="spellStart"/>
      <w:r w:rsidR="002A3CEA" w:rsidRPr="5ECC47B9">
        <w:rPr>
          <w:rFonts w:ascii="Calibri" w:eastAsia="Calibri" w:hAnsi="Calibri" w:cs="Calibri"/>
          <w:lang w:val="en-GB"/>
        </w:rPr>
        <w:t>heterodimerize</w:t>
      </w:r>
      <w:proofErr w:type="spellEnd"/>
      <w:r w:rsidR="002A3CEA" w:rsidRPr="5ECC47B9">
        <w:rPr>
          <w:rFonts w:ascii="Calibri" w:eastAsia="Calibri" w:hAnsi="Calibri" w:cs="Calibri"/>
          <w:lang w:val="en-GB"/>
        </w:rPr>
        <w:t xml:space="preserve"> and </w:t>
      </w:r>
      <w:r w:rsidR="00050B5B">
        <w:rPr>
          <w:rFonts w:ascii="Calibri" w:eastAsia="Calibri" w:hAnsi="Calibri" w:cs="Calibri"/>
          <w:lang w:val="en-GB"/>
        </w:rPr>
        <w:t>drive</w:t>
      </w:r>
      <w:r w:rsidR="00A03C85">
        <w:rPr>
          <w:rFonts w:ascii="Calibri" w:eastAsia="Calibri" w:hAnsi="Calibri" w:cs="Calibri"/>
          <w:lang w:val="en-GB"/>
        </w:rPr>
        <w:t xml:space="preserve"> </w:t>
      </w:r>
      <w:r w:rsidR="00D469E1">
        <w:rPr>
          <w:rFonts w:ascii="Calibri" w:eastAsia="Calibri" w:hAnsi="Calibri" w:cs="Calibri"/>
          <w:lang w:val="en-GB"/>
        </w:rPr>
        <w:t xml:space="preserve">their own </w:t>
      </w:r>
      <w:r w:rsidR="00A03C85">
        <w:rPr>
          <w:rFonts w:ascii="Calibri" w:eastAsia="Calibri" w:hAnsi="Calibri" w:cs="Calibri"/>
          <w:lang w:val="en-GB"/>
        </w:rPr>
        <w:t>transcription</w:t>
      </w:r>
      <w:r w:rsidRPr="5ECC47B9">
        <w:rPr>
          <w:rFonts w:ascii="Calibri" w:eastAsia="Calibri" w:hAnsi="Calibri" w:cs="Calibri"/>
          <w:lang w:val="en-GB"/>
        </w:rPr>
        <w:t xml:space="preserve"> as well a</w:t>
      </w:r>
      <w:r w:rsidR="00A03C85">
        <w:rPr>
          <w:rFonts w:ascii="Calibri" w:eastAsia="Calibri" w:hAnsi="Calibri" w:cs="Calibri"/>
          <w:lang w:val="en-GB"/>
        </w:rPr>
        <w:t xml:space="preserve">s of </w:t>
      </w:r>
      <w:r w:rsidR="00D469E1">
        <w:rPr>
          <w:rFonts w:ascii="Calibri" w:eastAsia="Calibri" w:hAnsi="Calibri" w:cs="Calibri"/>
          <w:lang w:val="en-GB"/>
        </w:rPr>
        <w:t xml:space="preserve">elements of </w:t>
      </w:r>
      <w:r w:rsidR="00A03C85">
        <w:rPr>
          <w:rFonts w:ascii="Calibri" w:eastAsia="Calibri" w:hAnsi="Calibri" w:cs="Calibri"/>
          <w:lang w:val="en-GB"/>
        </w:rPr>
        <w:t xml:space="preserve">the negative loop, such as </w:t>
      </w:r>
      <w:r w:rsidR="00A03C85" w:rsidRPr="00A03C85">
        <w:rPr>
          <w:rFonts w:ascii="Calibri" w:eastAsia="Calibri" w:hAnsi="Calibri" w:cs="Calibri"/>
          <w:i/>
          <w:lang w:val="en-GB"/>
        </w:rPr>
        <w:t>P</w:t>
      </w:r>
      <w:r w:rsidRPr="00A03C85">
        <w:rPr>
          <w:rFonts w:ascii="Calibri" w:eastAsia="Calibri" w:hAnsi="Calibri" w:cs="Calibri"/>
          <w:i/>
          <w:lang w:val="en-GB"/>
        </w:rPr>
        <w:t>eriod</w:t>
      </w:r>
      <w:r w:rsidRPr="5ECC47B9">
        <w:rPr>
          <w:rFonts w:ascii="Calibri" w:eastAsia="Calibri" w:hAnsi="Calibri" w:cs="Calibri"/>
          <w:lang w:val="en-GB"/>
        </w:rPr>
        <w:t xml:space="preserve"> </w:t>
      </w:r>
      <w:r w:rsidR="00F43444" w:rsidRPr="005B2FD1">
        <w:rPr>
          <w:rFonts w:ascii="Calibri" w:eastAsia="Calibri" w:hAnsi="Calibri" w:cs="Calibri"/>
          <w:lang w:val="en-GB"/>
        </w:rPr>
        <w:t>(</w:t>
      </w:r>
      <w:r w:rsidR="005B2FD1">
        <w:rPr>
          <w:rFonts w:ascii="Calibri" w:eastAsia="Calibri" w:hAnsi="Calibri" w:cs="Calibri"/>
          <w:lang w:val="en-GB"/>
        </w:rPr>
        <w:t>PER</w:t>
      </w:r>
      <w:r w:rsidR="00F43444" w:rsidRPr="005B2FD1">
        <w:rPr>
          <w:rFonts w:ascii="Calibri" w:eastAsia="Calibri" w:hAnsi="Calibri" w:cs="Calibri"/>
          <w:lang w:val="en-GB"/>
        </w:rPr>
        <w:t>)</w:t>
      </w:r>
      <w:r w:rsidR="00F43444">
        <w:rPr>
          <w:rFonts w:ascii="Calibri" w:eastAsia="Calibri" w:hAnsi="Calibri" w:cs="Calibri"/>
          <w:lang w:val="en-GB"/>
        </w:rPr>
        <w:t xml:space="preserve"> </w:t>
      </w:r>
      <w:r w:rsidRPr="5ECC47B9">
        <w:rPr>
          <w:rFonts w:ascii="Calibri" w:eastAsia="Calibri" w:hAnsi="Calibri" w:cs="Calibri"/>
          <w:lang w:val="en-GB"/>
        </w:rPr>
        <w:t>homologues,</w:t>
      </w:r>
      <w:r w:rsidR="00A03C85">
        <w:rPr>
          <w:rFonts w:ascii="Calibri" w:eastAsia="Calibri" w:hAnsi="Calibri" w:cs="Calibri"/>
          <w:lang w:val="en-GB"/>
        </w:rPr>
        <w:t xml:space="preserve"> </w:t>
      </w:r>
      <w:proofErr w:type="spellStart"/>
      <w:r w:rsidR="00A03C85" w:rsidRPr="00A03C85">
        <w:rPr>
          <w:rFonts w:ascii="Calibri" w:eastAsia="Calibri" w:hAnsi="Calibri" w:cs="Calibri"/>
          <w:i/>
          <w:lang w:val="en-GB"/>
        </w:rPr>
        <w:t>C</w:t>
      </w:r>
      <w:r w:rsidRPr="00A03C85">
        <w:rPr>
          <w:rFonts w:ascii="Calibri" w:eastAsia="Calibri" w:hAnsi="Calibri" w:cs="Calibri"/>
          <w:i/>
          <w:lang w:val="en-GB"/>
        </w:rPr>
        <w:t>ryptochromes</w:t>
      </w:r>
      <w:proofErr w:type="spellEnd"/>
      <w:r w:rsidRPr="5ECC47B9">
        <w:rPr>
          <w:rFonts w:ascii="Calibri" w:eastAsia="Calibri" w:hAnsi="Calibri" w:cs="Calibri"/>
          <w:lang w:val="en-GB"/>
        </w:rPr>
        <w:t xml:space="preserve"> and </w:t>
      </w:r>
      <w:r w:rsidRPr="00A03C85">
        <w:rPr>
          <w:rFonts w:ascii="Calibri" w:eastAsia="Calibri" w:hAnsi="Calibri" w:cs="Calibri"/>
          <w:i/>
          <w:lang w:val="en-GB"/>
        </w:rPr>
        <w:t>R</w:t>
      </w:r>
      <w:r w:rsidR="00A03C85" w:rsidRPr="00A03C85">
        <w:rPr>
          <w:rFonts w:ascii="Calibri" w:eastAsia="Calibri" w:hAnsi="Calibri" w:cs="Calibri"/>
          <w:i/>
          <w:lang w:val="en-GB"/>
        </w:rPr>
        <w:t>ev</w:t>
      </w:r>
      <w:r w:rsidRPr="00A03C85">
        <w:rPr>
          <w:rFonts w:ascii="Calibri" w:eastAsia="Calibri" w:hAnsi="Calibri" w:cs="Calibri"/>
          <w:i/>
          <w:lang w:val="en-GB"/>
        </w:rPr>
        <w:t>-</w:t>
      </w:r>
      <w:proofErr w:type="spellStart"/>
      <w:r w:rsidR="00D469E1">
        <w:rPr>
          <w:rFonts w:ascii="Calibri" w:eastAsia="Calibri" w:hAnsi="Calibri" w:cs="Calibri"/>
          <w:i/>
          <w:lang w:val="en-GB"/>
        </w:rPr>
        <w:t>e</w:t>
      </w:r>
      <w:r w:rsidR="00A03C85" w:rsidRPr="00A03C85">
        <w:rPr>
          <w:rFonts w:ascii="Calibri" w:eastAsia="Calibri" w:hAnsi="Calibri" w:cs="Calibri"/>
          <w:i/>
          <w:lang w:val="en-GB"/>
        </w:rPr>
        <w:t>rb</w:t>
      </w:r>
      <w:proofErr w:type="spellEnd"/>
      <w:r w:rsidR="00D469E1">
        <w:rPr>
          <w:rFonts w:ascii="Calibri" w:eastAsia="Calibri" w:hAnsi="Calibri" w:cs="Calibri"/>
          <w:i/>
          <w:lang w:val="en-GB"/>
        </w:rPr>
        <w:t>α</w:t>
      </w:r>
      <w:r w:rsidRPr="5ECC47B9">
        <w:rPr>
          <w:rFonts w:ascii="Calibri" w:eastAsia="Calibri" w:hAnsi="Calibri" w:cs="Calibri"/>
          <w:lang w:val="en-GB"/>
        </w:rPr>
        <w:t xml:space="preserve">. The transcriptional repression of </w:t>
      </w:r>
      <w:r w:rsidRPr="5ECC47B9">
        <w:rPr>
          <w:rFonts w:ascii="Calibri" w:eastAsia="Calibri" w:hAnsi="Calibri" w:cs="Calibri"/>
          <w:i/>
          <w:iCs/>
          <w:lang w:val="en-GB"/>
        </w:rPr>
        <w:t>Bmal1</w:t>
      </w:r>
      <w:r w:rsidRPr="5ECC47B9">
        <w:rPr>
          <w:rFonts w:ascii="Calibri" w:eastAsia="Calibri" w:hAnsi="Calibri" w:cs="Calibri"/>
          <w:lang w:val="en-GB"/>
        </w:rPr>
        <w:t xml:space="preserve"> due to REV-ERB</w:t>
      </w:r>
      <w:r w:rsidR="00252A2B" w:rsidRPr="00252A2B">
        <w:rPr>
          <w:rFonts w:ascii="Calibri" w:eastAsia="Calibri" w:hAnsi="Calibri" w:cs="Calibri"/>
          <w:lang w:val="en-GB"/>
        </w:rPr>
        <w:t>α</w:t>
      </w:r>
      <w:r w:rsidRPr="5ECC47B9">
        <w:rPr>
          <w:rFonts w:ascii="Calibri" w:eastAsia="Calibri" w:hAnsi="Calibri" w:cs="Calibri"/>
          <w:lang w:val="en-GB"/>
        </w:rPr>
        <w:t xml:space="preserve"> can be counter-balanced by ROR</w:t>
      </w:r>
      <w:r w:rsidR="00252A2B" w:rsidRPr="00252A2B">
        <w:rPr>
          <w:rFonts w:ascii="Calibri" w:eastAsia="Calibri" w:hAnsi="Calibri" w:cs="Calibri"/>
          <w:lang w:val="en-GB"/>
        </w:rPr>
        <w:t>α</w:t>
      </w:r>
      <w:r w:rsidRPr="5ECC47B9">
        <w:rPr>
          <w:rFonts w:ascii="Calibri" w:eastAsia="Calibri" w:hAnsi="Calibri" w:cs="Calibri"/>
          <w:lang w:val="en-GB"/>
        </w:rPr>
        <w:t xml:space="preserve"> and PPAR</w:t>
      </w:r>
      <w:r w:rsidR="00252A2B" w:rsidRPr="00252A2B">
        <w:rPr>
          <w:rFonts w:ascii="Calibri" w:eastAsia="Calibri" w:hAnsi="Calibri" w:cs="Calibri"/>
          <w:lang w:val="en-GB"/>
        </w:rPr>
        <w:t>α</w:t>
      </w:r>
      <w:r w:rsidRPr="5ECC47B9">
        <w:rPr>
          <w:rFonts w:ascii="Calibri" w:eastAsia="Calibri" w:hAnsi="Calibri" w:cs="Calibri"/>
          <w:lang w:val="en-GB"/>
        </w:rPr>
        <w:t>.</w:t>
      </w:r>
      <w:r w:rsidR="00DD2895">
        <w:rPr>
          <w:rFonts w:ascii="Calibri" w:eastAsia="Calibri" w:hAnsi="Calibri" w:cs="Calibri"/>
          <w:lang w:val="en-GB"/>
        </w:rPr>
        <w:fldChar w:fldCharType="begin" w:fldLock="1"/>
      </w:r>
      <w:r w:rsidR="003C2CB9">
        <w:rPr>
          <w:rFonts w:ascii="Calibri" w:eastAsia="Calibri" w:hAnsi="Calibri" w:cs="Calibri"/>
          <w:lang w:val="en-GB"/>
        </w:rPr>
        <w:instrText>ADDIN CSL_CITATION { "citationItems" : [ { "id" : "ITEM-1", "itemData" : { "DOI" : "10.1101/gad.564110", "ISSN" : "1549-5477", "PMID" : "20159955", "abstract" : "Mammalian circadian clocks provide a temporal framework to synchronize biological functions. To obtain robust rhythms with a periodicity of about a day, these clocks use molecular oscillators consisting of two interlocked feedback loops. The core loop generates rhythms by transcriptional repression via the Period (PER) and Cryptochrome (CRY) proteins, whereas the stabilizing loop establishes roughly antiphasic rhythms via nuclear receptors. Nuclear receptors also govern many pathways that affect metabolism and physiology. Here we show that the core loop component PER2 can coordinate circadian output with the circadian oscillator. PER2 interacts with nuclear receptors including PPARalpha and REV-ERBalpha and serves as a coregulator of nuclear receptor-mediated transcription. Consequently, PER2 is rhythmically bound at the promoters of nuclear receptor target genes in vivo. In this way, the circadian oscillator can modulate the expression of nuclear receptor target genes like Bmal1, Hnf1alpha, and Glucose-6-phosphatase. The concept that PER2 may propagate clock information to metabolic pathways via nuclear receptors adds an important facet to the clock-dependent regulation of biological networks.", "author" : [ { "dropping-particle" : "", "family" : "Schmutz", "given" : "Isabelle", "non-dropping-particle" : "", "parse-names" : false, "suffix" : "" }, { "dropping-particle" : "", "family" : "Ripperger", "given" : "J\u00fcrgen A", "non-dropping-particle" : "", "parse-names" : false, "suffix" : "" }, { "dropping-particle" : "", "family" : "Baeriswyl-Aebischer", "given" : "St\u00e9phanie", "non-dropping-particle" : "", "parse-names" : false, "suffix" : "" }, { "dropping-particle" : "", "family" : "Albrecht", "given" : "Urs", "non-dropping-particle" : "", "parse-names" : false, "suffix" : "" } ], "container-title" : "Genes &amp; development", "id" : "ITEM-1", "issue" : "4", "issued" : { "date-parts" : [ [ "2010", "2", "15" ] ] }, "page" : "345-57", "title" : "The mammalian clock component PERIOD2 coordinates circadian output by interaction with nuclear receptors.", "type" : "article-journal", "volume" : "24" }, "uris" : [ "http://www.mendeley.com/documents/?uuid=4f7df27b-e214-4f35-99af-9ed969f53091" ] }, { "id" : "ITEM-2", "itemData" : { "DOI" : "10.1038/ncomms10580", "abstract" : "The circadian system has endowed animals with the ability to anticipate recurring food availability at particular times of day. As daily food anticipation (FA) is independent of the suprachiasmatic nuclei, the central pacemaker of the circadian system, questions arise of where FA signals originate and what role components of the circadian clock might play. Here we show that liver-specific deletion of Per2 in mice abolishes FA, an effect that is rescued by viral overexpression of Per2 in the liver. RNA sequencing indicates that Per2 regulates b-hydroxybutyrate (bOHB) production to induce FA leading to the conclusion that liver Per2 is important for this process. Unexpectedly, we show that FA originates in the liver and not in the brain. However, manifestation of FA involves processing of the liver-derived bOHB signal in the brain, indicating that the food-entrainable oscillator is not located in a single tissue but is of systemic nature.", "author" : [ { "dropping-particle" : "", "family" : "Chavan", "given" : "Rohit", "non-dropping-particle" : "", "parse-names" : false, "suffix" : "" }, { "dropping-particle" : "", "family" : "Feillet", "given" : "C\u00e9line", "non-dropping-particle" : "", "parse-names" : false, "suffix" : "" }, { "dropping-particle" : "", "family" : "Fonseca Costa", "given" : "Sara S", "non-dropping-particle" : "", "parse-names" : false, "suffix" : "" }, { "dropping-particle" : "", "family" : "Delorme", "given" : "James E", "non-dropping-particle" : "", "parse-names" : false, "suffix" : "" }, { "dropping-particle" : "", "family" : "Okabe", "given" : "Takashi", "non-dropping-particle" : "", "parse-names" : false, "suffix" : "" }, { "dropping-particle" : "", "family" : "Ripperger", "given" : "J\u00fcrgen A", "non-dropping-particle" : "", "parse-names" : false, "suffix" : "" }, { "dropping-particle" : "", "family" : "Albrecht", "given" : "Urs", "non-dropping-particle" : "", "parse-names" : false, "suffix" : "" } ], "container-title" : "Nature Communications", "id" : "ITEM-2", "issued" : { "date-parts" : [ [ "2016" ] ] }, "title" : "ARTICLE Liver-derived ketone bodies are necessary for food anticipation", "type" : "article-journal", "volume" : "7" }, "uris" : [ "http://www.mendeley.com/documents/?uuid=2ae33604-7536-320d-98c5-e2479315e062" ] }, { "id" : "ITEM-3", "itemData" : { "DOI" : "10.1021/tx200538r", "ISSN" : "1520-5010", "PMID" : "22303888", "abstract" : "Metabolic processes have to be regulated tightly to prevent waste of energy and to ensure sufficient detoxification. Most anabolic processes operate in a timely manner when energy intake is the highest, while catabolism takes place in energy spending periods. Endobiotic and xenobiotic metabolism are therefore under circadian control. Circadian regulation is mediated through the suprachiasmatic nucleus (SCN), a master autonomous oscillator of the brain. Although many peripheral organs have their own oscillators, the SCN is important in orchestrating and entraining organs according to the environmental light cues. However, light is not the only signal for entrainment of internal clocks. For endobiotic and xenobitoic detoxification pathways, the food composition and intake regime are equally important. The rhythm of the liver as an organ where the major metabolic pathways intersect depends on SCN signals, signals from endocrine tissues, and, importantly, the type and time of feeding or xenobiotics ingestion. Several enzymes are involved in detoxification processes. Phase I is composed mainly of cytochromes P450, which are regulated by nuclear receptors. Phase II enzymes modify the phase I metabolites, while phase III includes membrane transporters responsible for the elimination of modified xenobiotics. Phases I-III of drug metabolism are under strong circadian regulation, starting with the drug-sensing nuclear receptors and ending with drug transporters. Disturbed circadian regualtion (jet-lag, shift work, and dysfunction of core clock genes) leads to changed periods of activity, sleep disorders, disturbed glucose homeostasis, breast or colon cancer, and metabolic syndrome. As many xenobiotics influence the circadian rhythm of the liver, bad drug administration timing can worsen the above listed effects. This review will cover the major hepatic circadian regulation of endogenous and xenobiotic metabolic pathways and will provide examples of how good timing of drug administration can change drug failure to treatment success.", "author" : [ { "dropping-particle" : "", "family" : "Zmrzljak", "given" : "Ursula Prosenc", "non-dropping-particle" : "", "parse-names" : false, "suffix" : "" }, { "dropping-particle" : "", "family" : "Rozman", "given" : "Damjana", "non-dropping-particle" : "", "parse-names" : false, "suffix" : "" } ], "container-title" : "Chemical research in toxicology", "id" : "ITEM-3", "issue" : "4", "issued" : { "date-parts" : [ [ "2012", "4", "16" ] ] }, "page" : "811-24", "title" : "Circadian regulation of the hepatic endobiotic and xenobitoic detoxification pathways: the time matters.", "type" : "article-journal", "volume" : "25" }, "uris" : [ "http://www.mendeley.com/documents/?uuid=7e698711-6f15-42b7-8f4a-9c20f7dd261d" ] } ], "mendeley" : { "formattedCitation" : "&lt;sup&gt;1\u20133&lt;/sup&gt;", "plainTextFormattedCitation" : "1\u20133", "previouslyFormattedCitation" : "&lt;sup&gt;1\u20133&lt;/sup&gt;" }, "properties" : { "noteIndex" : 0 }, "schema" : "https://github.com/citation-style-language/schema/raw/master/csl-citation.json" }</w:instrText>
      </w:r>
      <w:r w:rsidR="00DD2895">
        <w:rPr>
          <w:rFonts w:ascii="Calibri" w:eastAsia="Calibri" w:hAnsi="Calibri" w:cs="Calibri"/>
          <w:lang w:val="en-GB"/>
        </w:rPr>
        <w:fldChar w:fldCharType="separate"/>
      </w:r>
      <w:r w:rsidR="00DD2895" w:rsidRPr="00DD2895">
        <w:rPr>
          <w:rFonts w:ascii="Calibri" w:eastAsia="Calibri" w:hAnsi="Calibri" w:cs="Calibri"/>
          <w:noProof/>
          <w:vertAlign w:val="superscript"/>
          <w:lang w:val="en-GB"/>
        </w:rPr>
        <w:t>1–3</w:t>
      </w:r>
      <w:r w:rsidR="00DD2895">
        <w:rPr>
          <w:rFonts w:ascii="Calibri" w:eastAsia="Calibri" w:hAnsi="Calibri" w:cs="Calibri"/>
          <w:lang w:val="en-GB"/>
        </w:rPr>
        <w:fldChar w:fldCharType="end"/>
      </w:r>
    </w:p>
    <w:p w14:paraId="34D7EF8C" w14:textId="29EEA1A7" w:rsidR="7B4AD3E9" w:rsidRDefault="5ECC47B9" w:rsidP="004513A2">
      <w:pPr>
        <w:spacing w:line="360" w:lineRule="auto"/>
        <w:jc w:val="both"/>
      </w:pPr>
      <w:r w:rsidRPr="5ECC47B9">
        <w:rPr>
          <w:rFonts w:ascii="Calibri" w:eastAsia="Calibri" w:hAnsi="Calibri" w:cs="Calibri"/>
          <w:lang w:val="en-GB"/>
        </w:rPr>
        <w:t>PER2</w:t>
      </w:r>
      <w:r w:rsidR="00AE5DCD">
        <w:rPr>
          <w:rFonts w:ascii="Calibri" w:eastAsia="Calibri" w:hAnsi="Calibri" w:cs="Calibri"/>
          <w:lang w:val="en-GB"/>
        </w:rPr>
        <w:t xml:space="preserve"> </w:t>
      </w:r>
      <w:r w:rsidRPr="5ECC47B9">
        <w:rPr>
          <w:rFonts w:ascii="Calibri" w:eastAsia="Calibri" w:hAnsi="Calibri" w:cs="Calibri"/>
          <w:lang w:val="en-GB"/>
        </w:rPr>
        <w:t>is involved in the negative loop where it directly interacts with the transactivation complex of BMAL1-CLOCK and represses its transcriptional activation capability</w:t>
      </w:r>
      <w:r w:rsidR="009336F2">
        <w:rPr>
          <w:rFonts w:ascii="Calibri" w:eastAsia="Calibri" w:hAnsi="Calibri" w:cs="Calibri"/>
          <w:lang w:val="en-GB"/>
        </w:rPr>
        <w:t xml:space="preserve">. It also acts in the positive loop where it drives </w:t>
      </w:r>
      <w:r w:rsidR="009336F2" w:rsidRPr="009336F2">
        <w:rPr>
          <w:rFonts w:ascii="Calibri" w:eastAsia="Calibri" w:hAnsi="Calibri" w:cs="Calibri"/>
          <w:i/>
          <w:lang w:val="en-GB"/>
        </w:rPr>
        <w:t>Bmal1</w:t>
      </w:r>
      <w:r w:rsidR="009336F2">
        <w:rPr>
          <w:rFonts w:ascii="Calibri" w:eastAsia="Calibri" w:hAnsi="Calibri" w:cs="Calibri"/>
          <w:lang w:val="en-GB"/>
        </w:rPr>
        <w:t xml:space="preserve"> expression by acting as a co-activator of NRs,</w:t>
      </w:r>
      <w:r w:rsidR="002904B7">
        <w:rPr>
          <w:rFonts w:ascii="Calibri" w:eastAsia="Calibri" w:hAnsi="Calibri" w:cs="Calibri"/>
          <w:lang w:val="en-GB"/>
        </w:rPr>
        <w:t xml:space="preserve"> </w:t>
      </w:r>
      <w:proofErr w:type="spellStart"/>
      <w:r w:rsidR="002904B7">
        <w:rPr>
          <w:rFonts w:ascii="Calibri" w:eastAsia="Calibri" w:hAnsi="Calibri" w:cs="Calibri"/>
          <w:lang w:val="en-GB"/>
        </w:rPr>
        <w:t>eg</w:t>
      </w:r>
      <w:proofErr w:type="spellEnd"/>
      <w:r w:rsidR="002904B7" w:rsidRPr="5ECC47B9">
        <w:rPr>
          <w:rFonts w:ascii="Calibri" w:eastAsia="Calibri" w:hAnsi="Calibri" w:cs="Calibri"/>
          <w:lang w:val="en-GB"/>
        </w:rPr>
        <w:t xml:space="preserve"> PPAR</w:t>
      </w:r>
      <w:r w:rsidR="009336F2" w:rsidRPr="00252A2B">
        <w:rPr>
          <w:rFonts w:ascii="Calibri" w:eastAsia="Calibri" w:hAnsi="Calibri" w:cs="Calibri"/>
          <w:lang w:val="en-GB"/>
        </w:rPr>
        <w:t>α</w:t>
      </w:r>
      <w:r w:rsidRPr="5ECC47B9">
        <w:rPr>
          <w:rFonts w:ascii="Calibri" w:eastAsia="Calibri" w:hAnsi="Calibri" w:cs="Calibri"/>
          <w:lang w:val="en-GB"/>
        </w:rPr>
        <w:t>.</w:t>
      </w:r>
      <w:r w:rsidR="007A2A10">
        <w:rPr>
          <w:rFonts w:ascii="Calibri" w:eastAsia="Calibri" w:hAnsi="Calibri" w:cs="Calibri"/>
          <w:lang w:val="en-GB"/>
        </w:rPr>
        <w:fldChar w:fldCharType="begin" w:fldLock="1"/>
      </w:r>
      <w:r w:rsidR="007A2A10">
        <w:rPr>
          <w:rFonts w:ascii="Calibri" w:eastAsia="Calibri" w:hAnsi="Calibri" w:cs="Calibri"/>
          <w:lang w:val="en-GB"/>
        </w:rPr>
        <w:instrText>ADDIN CSL_CITATION { "citationItems" : [ { "id" : "ITEM-1", "itemData" : { "DOI" : "10.1101/gad.564110", "ISSN" : "1549-5477", "PMID" : "20159955", "abstract" : "Mammalian circadian clocks provide a temporal framework to synchronize biological functions. To obtain robust rhythms with a periodicity of about a day, these clocks use molecular oscillators consisting of two interlocked feedback loops. The core loop generates rhythms by transcriptional repression via the Period (PER) and Cryptochrome (CRY) proteins, whereas the stabilizing loop establishes roughly antiphasic rhythms via nuclear receptors. Nuclear receptors also govern many pathways that affect metabolism and physiology. Here we show that the core loop component PER2 can coordinate circadian output with the circadian oscillator. PER2 interacts with nuclear receptors including PPARalpha and REV-ERBalpha and serves as a coregulator of nuclear receptor-mediated transcription. Consequently, PER2 is rhythmically bound at the promoters of nuclear receptor target genes in vivo. In this way, the circadian oscillator can modulate the expression of nuclear receptor target genes like Bmal1, Hnf1alpha, and Glucose-6-phosphatase. The concept that PER2 may propagate clock information to metabolic pathways via nuclear receptors adds an important facet to the clock-dependent regulation of biological networks.", "author" : [ { "dropping-particle" : "", "family" : "Schmutz", "given" : "Isabelle", "non-dropping-particle" : "", "parse-names" : false, "suffix" : "" }, { "dropping-particle" : "", "family" : "Ripperger", "given" : "J\u00fcrgen A", "non-dropping-particle" : "", "parse-names" : false, "suffix" : "" }, { "dropping-particle" : "", "family" : "Baeriswyl-Aebischer", "given" : "St\u00e9phanie", "non-dropping-particle" : "", "parse-names" : false, "suffix" : "" }, { "dropping-particle" : "", "family" : "Albrecht", "given" : "Urs", "non-dropping-particle" : "", "parse-names" : false, "suffix" : "" } ], "container-title" : "Genes &amp; development", "id" : "ITEM-1", "issue" : "4", "issued" : { "date-parts" : [ [ "2010", "2", "15" ] ] }, "page" : "345-57", "title" : "The mammalian clock component PERIOD2 coordinates circadian output by interaction with nuclear receptors.", "type" : "article-journal", "volume" : "24" }, "uris" : [ "http://www.mendeley.com/documents/?uuid=4f7df27b-e214-4f35-99af-9ed969f53091" ] } ], "mendeley" : { "formattedCitation" : "&lt;sup&gt;1&lt;/sup&gt;", "plainTextFormattedCitation" : "1", "previouslyFormattedCitation" : "&lt;sup&gt;1&lt;/sup&gt;" }, "properties" : { "noteIndex" : 0 }, "schema" : "https://github.com/citation-style-language/schema/raw/master/csl-citation.json" }</w:instrText>
      </w:r>
      <w:r w:rsidR="007A2A10">
        <w:rPr>
          <w:rFonts w:ascii="Calibri" w:eastAsia="Calibri" w:hAnsi="Calibri" w:cs="Calibri"/>
          <w:lang w:val="en-GB"/>
        </w:rPr>
        <w:fldChar w:fldCharType="separate"/>
      </w:r>
      <w:r w:rsidR="007A2A10" w:rsidRPr="007A2A10">
        <w:rPr>
          <w:rFonts w:ascii="Calibri" w:eastAsia="Calibri" w:hAnsi="Calibri" w:cs="Calibri"/>
          <w:noProof/>
          <w:vertAlign w:val="superscript"/>
          <w:lang w:val="en-GB"/>
        </w:rPr>
        <w:t>1</w:t>
      </w:r>
      <w:r w:rsidR="007A2A10">
        <w:rPr>
          <w:rFonts w:ascii="Calibri" w:eastAsia="Calibri" w:hAnsi="Calibri" w:cs="Calibri"/>
          <w:lang w:val="en-GB"/>
        </w:rPr>
        <w:fldChar w:fldCharType="end"/>
      </w:r>
      <w:r w:rsidRPr="5ECC47B9">
        <w:rPr>
          <w:rFonts w:ascii="Calibri" w:eastAsia="Calibri" w:hAnsi="Calibri" w:cs="Calibri"/>
          <w:lang w:val="en-GB"/>
        </w:rPr>
        <w:t xml:space="preserve"> </w:t>
      </w:r>
      <w:r w:rsidR="009336F2">
        <w:rPr>
          <w:rFonts w:ascii="Calibri" w:eastAsia="Calibri" w:hAnsi="Calibri" w:cs="Calibri"/>
          <w:lang w:val="en-GB"/>
        </w:rPr>
        <w:t>PER2</w:t>
      </w:r>
      <w:r w:rsidRPr="5ECC47B9">
        <w:rPr>
          <w:rFonts w:ascii="Calibri" w:eastAsia="Calibri" w:hAnsi="Calibri" w:cs="Calibri"/>
          <w:lang w:val="en-GB"/>
        </w:rPr>
        <w:t xml:space="preserve"> in metabolic and mental disorders, cancer and other pathologies is currently being intensively studied.</w:t>
      </w:r>
      <w:r w:rsidR="007A2A10">
        <w:rPr>
          <w:rFonts w:ascii="Calibri" w:eastAsia="Calibri" w:hAnsi="Calibri" w:cs="Calibri"/>
          <w:lang w:val="en-GB"/>
        </w:rPr>
        <w:fldChar w:fldCharType="begin" w:fldLock="1"/>
      </w:r>
      <w:r w:rsidR="008C6653">
        <w:rPr>
          <w:rFonts w:ascii="Calibri" w:eastAsia="Calibri" w:hAnsi="Calibri" w:cs="Calibri"/>
          <w:lang w:val="en-GB"/>
        </w:rPr>
        <w:instrText>ADDIN CSL_CITATION { "citationItems" : [ { "id" : "ITEM-1", "itemData" : { "ISBN" : "1791-2997 (Print)\\r1791-2997 (Linking)", "ISSN" : "17912997", "PMID" : "21479457", "abstract" : "The circadian system is involved in the control of cell proliferation and apoptosis. The aim of this study was to analyze expression of the human per2 gene in patients who underwent surgery for colorectal carcinoma. The study included 25 patients of both genders. Patients were exposed to light from 6:00 a.m. until 9:00 p.m. according to standard hospital practice. Tissue samples were taken from the tumor as well as from the proximal and distal areas of the resected colon at the time of surgery. Surgery was performed during the morning hours. Expression of per2 mRNA was measured by real-time PCR. There was a significant negative correlation between per2 gene expression and tumor staging. Expression of per2 mRNA did not correlate with whether the tumor was localized in the colon or rectum. In comparison with ectomized tissue without malignancy from patients with colorectal carcinoma, our data demonstrate per2 mRNA deregulation in tumor tissue, and suggest a way in which the circadian system can influence tumorigenesis.", "author" : [ { "dropping-particle" : "", "family" : "Zeman", "given" : "Michal", "non-dropping-particle" : "", "parse-names" : false, "suffix" : "" }, { "dropping-particle" : "", "family" : "Vician", "given" : "Marian", "non-dropping-particle" : "", "parse-names" : false, "suffix" : "" }, { "dropping-particle" : "", "family" : "Monosikova", "given" : "Jana", "non-dropping-particle" : "", "parse-names" : false, "suffix" : "" }, { "dropping-particle" : "", "family" : "Reis", "given" : "Richard", "non-dropping-particle" : "", "parse-names" : false, "suffix" : "" }, { "dropping-particle" : "", "family" : "Herichova", "given" : "Iveta", "non-dropping-particle" : "", "parse-names" : false, "suffix" : "" } ], "container-title" : "Molecular Medicine Reports", "id" : "ITEM-1", "issue" : "4", "issued" : { "date-parts" : [ [ "2008" ] ] }, "page" : "599-603", "title" : "Deregulated expression of the per2 gene in human colorectal carcinoma", "type" : "article-journal", "volume" : "1" }, "uris" : [ "http://www.mendeley.com/documents/?uuid=cbd933ad-6986-4c7c-85a6-76bbe68f2f9a" ] }, { "id" : "ITEM-2", "itemData" : { "DOI" : "10.1371/journal.pone.0109693", "ISSN" : "1932-6203", "author" : [ { "dropping-particle" : "", "family" : "Okabe", "given" : "Takashi", "non-dropping-particle" : "", "parse-names" : false, "suffix" : "" }, { "dropping-particle" : "", "family" : "Kumagai", "given" : "Megumi", "non-dropping-particle" : "", "parse-names" : false, "suffix" : "" }, { "dropping-particle" : "", "family" : "Nakajima", "given" : "Yoshihiro", "non-dropping-particle" : "", "parse-names" : false, "suffix" : "" }, { "dropping-particle" : "", "family" : "Shirotake", "given" : "Suguru", "non-dropping-particle" : "", "parse-names" : false, "suffix" : "" }, { "dropping-particle" : "", "family" : "Kodaira", "given" : "Kiichiro", "non-dropping-particle" : "", "parse-names" : false, "suffix" : "" }, { "dropping-particle" : "", "family" : "Oyama", "given" : "Masafumi", "non-dropping-particle" : "", "parse-names" : false, "suffix" : "" }, { "dropping-particle" : "", "family" : "Ueno", "given" : "Munehisa", "non-dropping-particle" : "", "parse-names" : false, "suffix" : "" }, { "dropping-particle" : "", "family" : "Ikeda", "given" : "Masaaki", "non-dropping-particle" : "", "parse-names" : false, "suffix" : "" }, { "dropping-particle" : "", "family" : "McLaughlin", "given" : "JK", "non-dropping-particle" : "", "parse-names" : false, "suffix" : "" }, { "dropping-particle" : "", "family" : "Lipworth", "given" : "L", "non-dropping-particle" : "", "parse-names" : false, "suffix" : "" }, { "dropping-particle" : "", "family" : "Talks", "given" : "KL", "non-dropping-particle" : "", "parse-names" : false, "suffix" : "" }, { "dropping-particle" : "", "family" : "Turley", "given" : "H", "non-dropping-particle" : "", "parse-names" : false, "suffix" : "" }, { "dropping-particle" : "", "family" : "Gatter", "given" : "KC", "non-dropping-particle" : "", "parse-names" : false, "suffix" : "" }, { "dropping-particle" : "", "family" : "Maxwell", "given" : "PH", "non-dropping-particle" : "", "parse-names" : false, "suffix" : "" }, { "dropping-particle" : "", "family" : "Pugh", "given" : "CW", "non-dropping-particle" : "", "parse-names" : false, "suffix" : "" }, { "dropping-particle" : "", "family" : "Shinojima", "given" : "T", "non-dropping-particle" : "", "parse-names" : false, "suffix" : "" }, { "dropping-particle" : "", "family" : "Oya", "given" : "M", "non-dropping-particle" : "", "parse-names" : false, "suffix" : "" }, { "dropping-particle" : "", "family" : "Takayanagi", "given" : "A", "non-dropping-particle" : "", "parse-names" : false, "suffix" : "" }, { "dropping-particle" : "", "family" : "Mizuno", "given" : "R", "non-dropping-particle" : "", "parse-names" : false, "suffix" : "" }, { "dropping-particle" : "", "family" : "Shimizu", "given" : "N", "non-dropping-particle" : "", "parse-names" : false, "suffix" : "" }, { "dropping-particle" : "", "family" : "Jiang", "given" : "BH", "non-dropping-particle" : "", "parse-names" : false, "suffix" : "" }, { "dropping-particle" : "", "family" : "Rue", "given" : "E", "non-dropping-particle" : "", "parse-names" : false, "suffix" : "" }, { "dropping-particle" : "", "family" : "Wang", "given" : "GL", "non-dropping-particle" : "", "parse-names" : false, "suffix" : "" }, { "dropping-particle" : "", "family" : "Roe", "given" : "R", "non-dropping-particle" : "", "parse-names" : false, "suffix" : "" }, { "dropping-particle" : "", "family" : "Semenza", "given" : "GL", "non-dropping-particle" : "", "parse-names" : false, "suffix" : "" }, { "dropping-particle" : "", "family" : "Pugh", "given" : "CW", "non-dropping-particle" : "", "parse-names" : false, "suffix" : "" }, { "dropping-particle" : "", "family" : "Ratcliffe", "given" : "PJ", "non-dropping-particle" : "", "parse-names" : false, "suffix" : "" }, { "dropping-particle" : "", "family" : "Semenza", "given" : "GL", "non-dropping-particle" : "", "parse-names" : false, "suffix" : "" }, { "dropping-particle" : "", "family" : "Harris", "given" : "AL", "non-dropping-particle" : "", "parse-names" : false, "suffix" : "" }, { "dropping-particle" : "", "family" : "Thelen", "given" : "P", "non-dropping-particle" : "", "parse-names" : false, "suffix" : "" }, { "dropping-particle" : "", "family" : "Hemmerlein", "given" : "B", "non-dropping-particle" : "", "parse-names" : false, "suffix" : "" }, { "dropping-particle" : "", "family" : "Kugler", "given" : "A", "non-dropping-particle" : "", "parse-names" : false, "suffix" : "" }, { "dropping-particle" : "", "family" : "Seiler", "given" : "T", "non-dropping-particle" : "", "parse-names" : false, "suffix" : "" }, { "dropping-particle" : "", "family" : "Ozisik", "given" : "R", "non-dropping-particle" : "", "parse-names" : false, "suffix" : "" }, { "dropping-particle" : "", "family" : "Panda", "given" : "S", "non-dropping-particle" : "", "parse-names" : false, "suffix" : "" }, { "dropping-particle" : "", "family" : "Hogenesch", "given" : "JB", "non-dropping-particle" : "", "parse-names" : false, "suffix" : "" }, { "dropping-particle" : "", "family" : "Kay", "given" : "SA", "non-dropping-particle" : "", "parse-names" : false, "suffix" : "" }, { "dropping-particle" : "", "family" : "Reppert", "given" : "SM", "non-dropping-particle" : "", "parse-names" : false, "suffix" : "" }, { "dropping-particle" : "", "family" : "Weaver", "given" : "DR", "non-dropping-particle" : "", "parse-names" : false, "suffix" : "" }, { "dropping-particle" : "", "family" : "Reppert", "given" : "SM", "non-dropping-particle" : "", "parse-names" : false, "suffix" : "" }, { "dropping-particle" : "", "family" : "Weaver", "given" : "DR", "non-dropping-particle" : "", "parse-names" : false, "suffix" : "" }, { "dropping-particle" : "", "family" : "Gekakis", "given" : "N", "non-dropping-particle" : "", "parse-names" : false, "suffix" : "" }, { "dropping-particle" : "", "family" : "Staknis", "given" : "D", "non-dropping-particle" : "", "parse-names" : false, "suffix" : "" }, { "dropping-particle" : "", "family" : "Nguyen", "given" : "HB", "non-dropping-particle" : "", "parse-names" : false, "suffix" : "" }, { "dropping-particle" : "", "family" : "Davis", "given" : "FC", "non-dropping-particle" : "", "parse-names" : false, "suffix" : "" }, { "dropping-particle" : "", "family" : "Wilsbacher", "given" : "LD", "non-dropping-particle" : "", "parse-names" : false, "suffix" : "" }, { "dropping-particle" : "", "family" : "Jr", "given" : "EA Griffin", "non-dropping-particle" : "", "parse-names" : false, "suffix" : "" }, { "dropping-particle" : "", "family" : "Staknis", "given" : "D", "non-dropping-particle" : "", "parse-names" : false, "suffix" : "" }, { "dropping-particle" : "", "family" : "Weitz", "given" : "CJ", "non-dropping-particle" : "", "parse-names" : false, "suffix" : "" }, { "dropping-particle" : "", "family" : "Wilkins", "given" : "AK", "non-dropping-particle" : "", "parse-names" : false, "suffix" : "" }, { "dropping-particle" : "", "family" : "Barton", "given" : "PI", "non-dropping-particle" : "", "parse-names" : false, "suffix" : "" }, { "dropping-particle" : "", "family" : "Tidor", "given" : "B", "non-dropping-particle" : "", "parse-names" : false, "suffix" : "" }, { "dropping-particle" : "", "family" : "Chen", "given" : "ST", "non-dropping-particle" : "", "parse-names" : false, "suffix" : "" }, { "dropping-particle" : "", "family" : "Choo", "given" : "KB", "non-dropping-particle" : "", "parse-names" : false, "suffix" : "" }, { "dropping-particle" : "", "family" : "Hou", "given" : "MF", "non-dropping-particle" : "", "parse-names" : false, "suffix" : "" }, { "dropping-particle" : "", "family" : "Yeh", "given" : "KT", "non-dropping-particle" : "", "parse-names" : false, "suffix" : "" }, { "dropping-particle" : "", "family" : "Kuo", "given" : "SJ", "non-dropping-particle" : "", "parse-names" : false, "suffix" : "" }, { "dropping-particle" : "", "family" : "Sj\u00f6blom", "given" : "T", "non-dropping-particle" : "", "parse-names" : false, "suffix" : "" }, { "dropping-particle" : "", "family" : "Jones", "given" : "S", "non-dropping-particle" : "", "parse-names" : false, "suffix" : "" }, { "dropping-particle" : "", "family" : "Wood", "given" : "LD", "non-dropping-particle" : "", "parse-names" : false, "suffix" : "" }, { "dropping-particle" : "", "family" : "Parsons", "given" : "DW", "non-dropping-particle" : "", "parse-names" : false, "suffix" : "" }, { "dropping-particle" : "", "family" : "Lin", "given" : "J", "non-dropping-particle" : "", "parse-names" : false, "suffix" : "" }, { "dropping-particle" : "", "family" : "Mazzoccoli", "given" : "G", "non-dropping-particle" : "", "parse-names" : false, "suffix" : "" }, { "dropping-particle" : "", "family" : "Piepoli", "given" : "A", "non-dropping-particle" : "", "parse-names" : false, "suffix" : "" }, { "dropping-particle" : "", "family" : "Carella", "given" : "M", "non-dropping-particle" : "", "parse-names" : false, "suffix" : "" }, { "dropping-particle" : "", "family" : "Panza", "given" : "A", "non-dropping-particle" : "", "parse-names" : false, "suffix" : "" }, { "dropping-particle" : "", "family" : "Pazienza", "given" : "V", "non-dropping-particle" : "", "parse-names" : false, "suffix" : "" }, { "dropping-particle" : "", "family" : "Nagoshi", "given" : "E", "non-dropping-particle" : "", "parse-names" : false, "suffix" : "" }, { "dropping-particle" : "", "family" : "Saini", "given" : "C", "non-dropping-particle" : "", "parse-names" : false, "suffix" : "" }, { "dropping-particle" : "", "family" : "Bauer", "given" : "C", "non-dropping-particle" : "", "parse-names" : false, "suffix" : "" }, { "dropping-particle" : "", "family" : "Laroche", "given" : "T", "non-dropping-particle" : "", "parse-names" : false, "suffix" : "" }, { "dropping-particle" : "", "family" : "Naef", "given" : "F", "non-dropping-particle" : "", "parse-names" : false, "suffix" : "" }, { "dropping-particle" : "", "family" : "Baggs", "given" : "JE", "non-dropping-particle" : "", "parse-names" : false, "suffix" : "" }, { "dropping-particle" : "", "family" : "Price", "given" : "TS", "non-dropping-particle" : "", "parse-names" : false, "suffix" : "" }, { "dropping-particle" : "", "family" : "DiTacchio", "given" : "L", "non-dropping-particle" : "", "parse-names" : false, "suffix" : "" }, { "dropping-particle" : "", "family" : "Panda", "given" : "S", "non-dropping-particle" : "", "parse-names" : false, "suffix" : "" }, { "dropping-particle" : "", "family" : "FitzGerald", "given" : "GA", "non-dropping-particle" : "", "parse-names" : false, "suffix" : "" }, { "dropping-particle" : "", "family" : "Noguchi", "given" : "T", "non-dropping-particle" : "", "parse-names" : false, "suffix" : "" }, { "dropping-particle" : "", "family" : "Ikeda", "given" : "M", "non-dropping-particle" : "", "parse-names" : false, "suffix" : "" }, { "dropping-particle" : "", "family" : "Ohmiya", "given" : "Y", "non-dropping-particle" : "", "parse-names" : false, "suffix" : "" }, { "dropping-particle" : "", "family" : "Nakajima", "given" : "Y", "non-dropping-particle" : "", "parse-names" : false, "suffix" : "" }, { "dropping-particle" : "", "family" : "Yang", "given" : "F", "non-dropping-particle" : "", "parse-names" : false, "suffix" : "" }, { "dropping-particle" : "", "family" : "Nakajima", "given" : "Y", "non-dropping-particle" : "", "parse-names" : false, "suffix" : "" }, { "dropping-particle" : "", "family" : "Kumagai", "given" : "M", "non-dropping-particle" : "", "parse-names" : false, "suffix" : "" }, { "dropping-particle" : "", "family" : "Ohmiya", "given" : "Y", "non-dropping-particle" : "", "parse-names" : false, "suffix" : "" }, { "dropping-particle" : "", "family" : "Ikeda", "given" : "M", "non-dropping-particle" : "", "parse-names" : false, "suffix" : "" }, { "dropping-particle" : "", "family" : "Thomas", "given" : "KA", "non-dropping-particle" : "", "parse-names" : false, "suffix" : "" }, { "dropping-particle" : "", "family" : "Burr", "given" : "RL", "non-dropping-particle" : "", "parse-names" : false, "suffix" : "" }, { "dropping-particle" : "", "family" : "Tamaru", "given" : "T", "non-dropping-particle" : "", "parse-names" : false, "suffix" : "" }, { "dropping-particle" : "", "family" : "Hattori", "given" : "M", "non-dropping-particle" : "", "parse-names" : false, "suffix" : "" }, { "dropping-particle" : "", "family" : "Ninomiya", "given" : "Y", "non-dropping-particle" : "", "parse-names" : false, "suffix" : "" }, { "dropping-particle" : "", "family" : "Kawamura", "given" : "G", "non-dropping-particle" : "", "parse-names" : false, "suffix" : "" }, { "dropping-particle" : "", "family" : "Var\u00e8s", "given" : "G", "non-dropping-particle" : "", "parse-names" : false, "suffix" : "" }, { "dropping-particle" : "", "family" : "Akashi", "given" : "M", "non-dropping-particle" : "", "parse-names" : false, "suffix" : "" }, { "dropping-particle" : "", "family" : "Ichise", "given" : "T", "non-dropping-particle" : "", "parse-names" : false, "suffix" : "" }, { "dropping-particle" : "", "family" : "Mamine", "given" : "T", "non-dropping-particle" : "", "parse-names" : false, "suffix" : "" }, { "dropping-particle" : "", "family" : "Takumi", "given" : "T", "non-dropping-particle" : "", "parse-names" : false, "suffix" : "" }, { "dropping-particle" : "", "family" : "Kong", "given" : "D", "non-dropping-particle" : "", "parse-names" : false, "suffix" : "" }, { "dropping-particle" : "", "family" : "Park", "given" : "EJ", "non-dropping-particle" : "", "parse-names" : false, "suffix" : "" }, { "dropping-particle" : "", "family" : "Stephen", "given" : "AG", "non-dropping-particle" : "", "parse-names" : false, "suffix" : "" }, { "dropping-particle" : "", "family" : "Calvani", "given" : "M", "non-dropping-particle" : "", "parse-names" : false, "suffix" : "" }, { "dropping-particle" : "", "family" : "Cardellina", "given" : "JH", "non-dropping-particle" : "", "parse-names" : false, "suffix" : "" }, { "dropping-particle" : "", "family" : "Kanaya", "given" : "K", "non-dropping-particle" : "", "parse-names" : false, "suffix" : "" }, { "dropping-particle" : "", "family" : "Kamitani", "given" : "T", "non-dropping-particle" : "", "parse-names" : false, "suffix" : "" }, { "dropping-particle" : "", "family" : "Yuan", "given" : "Y", "non-dropping-particle" : "", "parse-names" : false, "suffix" : "" }, { "dropping-particle" : "", "family" : "Hilliard", "given" : "G", "non-dropping-particle" : "", "parse-names" : false, "suffix" : "" }, { "dropping-particle" : "", "family" : "Ferguson", "given" : "T", "non-dropping-particle" : "", "parse-names" : false, "suffix" : "" }, { "dropping-particle" : "", "family" : "Millhorn", "given" : "DE", "non-dropping-particle" : "", "parse-names" : false, "suffix" : "" }, { "dropping-particle" : "", "family" : "Fu", "given" : "B", "non-dropping-particle" : "", "parse-names" : false, "suffix" : "" }, { "dropping-particle" : "", "family" : "Xue", "given" : "J", "non-dropping-particle" : "", "parse-names" : false, "suffix" : "" }, { "dropping-particle" : "", "family" : "Li", "given" : "Z", "non-dropping-particle" : "", "parse-names" : false, "suffix" : "" }, { "dropping-particle" : "", "family" : "Shi", "given" : "X", "non-dropping-particle" : "", "parse-names" : false, "suffix" : "" }, { "dropping-particle" : "", "family" : "Jiang", "given" : "BH", "non-dropping-particle" : "", "parse-names" : false, "suffix" : "" }, { "dropping-particle" : "", "family" : "Fang", "given" : "J", "non-dropping-particle" : "", "parse-names" : false, "suffix" : "" }, { "dropping-particle" : "", "family" : "Tsuchiya", "given" : "Y", "non-dropping-particle" : "", "parse-names" : false, "suffix" : "" }, { "dropping-particle" : "", "family" : "Akashi", "given" : "M", "non-dropping-particle" : "", "parse-names" : false, "suffix" : "" }, { "dropping-particle" : "", "family" : "Matsuda", "given" : "M", "non-dropping-particle" : "", "parse-names" : false, "suffix" : "" }, { "dropping-particle" : "", "family" : "Goto", "given" : "K", "non-dropping-particle" : "", "parse-names" : false, "suffix" : "" }, { "dropping-particle" : "", "family" : "Miyata", "given" : "Y", "non-dropping-particle" : "", "parse-names" : false, "suffix" : "" }, { "dropping-particle" : "", "family" : "Romieu-Mourez", "given" : "R", "non-dropping-particle" : "", "parse-names" : false, "suffix" : "" }, { "dropping-particle" : "", "family" : "Landesman-Bollag", "given" : "E", "non-dropping-particle" : "", "parse-names" : false, "suffix" : "" }, { "dropping-particle" : "", "family" : "Seldin", "given" : "DC", "non-dropping-particle" : "", "parse-names" : false, "suffix" : "" }, { "dropping-particle" : "", "family" : "Sonenshein", "given" : "GE", "non-dropping-particle" : "", "parse-names" : false, "suffix" : "" }, { "dropping-particle" : "", "family" : "Rini", "given" : "BI", "non-dropping-particle" : "", "parse-names" : false, "suffix" : "" }, { "dropping-particle" : "", "family" : "Jaeger", "given" : "E", "non-dropping-particle" : "", "parse-names" : false, "suffix" : "" }, { "dropping-particle" : "", "family" : "Weinberg", "given" : "V", "non-dropping-particle" : "", "parse-names" : false, "suffix" : "" }, { "dropping-particle" : "", "family" : "Sein", "given" : "N", "non-dropping-particle" : "", "parse-names" : false, "suffix" : "" }, { "dropping-particle" : "", "family" : "Chew", "given" : "K", "non-dropping-particle" : "", "parse-names" : false, "suffix" : "" }, { "dropping-particle" : "", "family" : "Filipski", "given" : "E", "non-dropping-particle" : "", "parse-names" : false, "suffix" : "" }, { "dropping-particle" : "", "family" : "King", "given" : "VM", "non-dropping-particle" : "", "parse-names" : false, "suffix" : "" }, { "dropping-particle" : "", "family" : "Li", "given" : "X", "non-dropping-particle" : "", "parse-names" : false, "suffix" : "" }, { "dropping-particle" : "", "family" : "Granda", "given" : "TG", "non-dropping-particle" : "", "parse-names" : false, "suffix" : "" }, { "dropping-particle" : "", "family" : "Mormont", "given" : "MC", "non-dropping-particle" : "", "parse-names" : false, "suffix" : "" }, { "dropping-particle" : "", "family" : "Fu", "given" : "L", "non-dropping-particle" : "", "parse-names" : false, "suffix" : "" }, { "dropping-particle" : "", "family" : "Lee", "given" : "CC", "non-dropping-particle" : "", "parse-names" : false, "suffix" : "" }, { "dropping-particle" : "", "family" : "Fu", "given" : "L", "non-dropping-particle" : "", "parse-names" : false, "suffix" : "" }, { "dropping-particle" : "", "family" : "Pelicano", "given" : "H", "non-dropping-particle" : "", "parse-names" : false, "suffix" : "" }, { "dropping-particle" : "", "family" : "Liu", "given" : "J", "non-dropping-particle" : "", "parse-names" : false, "suffix" : "" }, { "dropping-particle" : "", "family" : "Huang", "given" : "P", "non-dropping-particle" : "", "parse-names" : false, "suffix" : "" }, { "dropping-particle" : "", "family" : "Lee", "given" : "C", "non-dropping-particle" : "", "parse-names" : false, "suffix" : "" }, { "dropping-particle" : "", "family" : "Gery", "given" : "S", "non-dropping-particle" : "", "parse-names" : false, "suffix" : "" }, { "dropping-particle" : "", "family" : "Virk", "given" : "RK", "non-dropping-particle" : "", "parse-names" : false, "suffix" : "" }, { "dropping-particle" : "", "family" : "Chumakov", "given" : "K", "non-dropping-particle" : "", "parse-names" : false, "suffix" : "" }, { "dropping-particle" : "", "family" : "Yu", "given" : "A", "non-dropping-particle" : "", "parse-names" : false, "suffix" : "" }, { "dropping-particle" : "", "family" : "Koeffler", "given" : "HP", "non-dropping-particle" : "", "parse-names" : false, "suffix" : "" }, { "dropping-particle" : "", "family" : "Hua", "given" : "H", "non-dropping-particle" : "", "parse-names" : false, "suffix" : "" }, { "dropping-particle" : "", "family" : "Wang", "given" : "Y", "non-dropping-particle" : "", "parse-names" : false, "suffix" : "" }, { "dropping-particle" : "", "family" : "Wan", "given" : "C", "non-dropping-particle" : "", "parse-names" : false, "suffix" : "" }, { "dropping-particle" : "", "family" : "Liu", "given" : "Y", "non-dropping-particle" : "", "parse-names" : false, "suffix" : "" }, { "dropping-particle" : "", "family" : "Zhu", "given" : "B", "non-dropping-particle" : "", "parse-names" : false, "suffix" : "" }, { "dropping-particle" : "", "family" : "Antoch", "given" : "MP", "non-dropping-particle" : "", "parse-names" : false, "suffix" : "" }, { "dropping-particle" : "", "family" : "Toshkov", "given" : "I", "non-dropping-particle" : "", "parse-names" : false, "suffix" : "" }, { "dropping-particle" : "", "family" : "Kuropatwinski", "given" : "KK", "non-dropping-particle" : "", "parse-names" : false, "suffix" : "" }, { "dropping-particle" : "", "family" : "Jackson", "given" : "M", "non-dropping-particle" : "", "parse-names" : false, "suffix" : "" } ], "container-title" : "PLoS ONE", "editor" : [ { "dropping-particle" : "", "family" : "Yamazaki", "given" : "Shin", "non-dropping-particle" : "", "parse-names" : false, "suffix" : "" } ], "id" : "ITEM-2", "issue" : "10", "issued" : { "date-parts" : [ [ "2014", "10", "21" ] ] }, "page" : "e109693", "publisher" : "Public Library of Science", "title" : "The Impact of HIF1\u03b1 on the Per2 Circadian Rhythm in Renal Cancer Cell Lines", "type" : "article-journal", "volume" : "9" }, "uris" : [ "http://www.mendeley.com/documents/?uuid=abfa5ff3-25ec-371f-a742-0207888f499e" ] }, { "id" : "ITEM-3", "itemData" : { "DOI" : "10.1093/carcin/bgi075", "author" : [ { "dropping-particle" : "", "family" : "Chen", "given" : "Shou-Tung", "non-dropping-particle" : "", "parse-names" : false, "suffix" : "" }, { "dropping-particle" : "", "family" : "Choo", "given" : "Kong-Bung", "non-dropping-particle" : "", "parse-names" : false, "suffix" : "" }, { "dropping-particle" : "", "family" : "Hou", "given" : "Ming-Feng", "non-dropping-particle" : "", "parse-names" : false, "suffix" : "" }, { "dropping-particle" : "", "family" : "Yeh", "given" : "Kun-Tu", "non-dropping-particle" : "", "parse-names" : false, "suffix" : "" }, { "dropping-particle" : "", "family" : "Kuo", "given" : "Shou-Jen", "non-dropping-particle" : "", "parse-names" : false, "suffix" : "" }, { "dropping-particle" : "", "family" : "Chang", "given" : "Jan-Gowth", "non-dropping-particle" : "", "parse-names" : false, "suffix" : "" } ], "id" : "ITEM-3", "issued" : { "date-parts" : [ [ "0" ] ] }, "title" : "Deregulated expression of the PER1, PER2 and PER3 genes in breast cancers", "type" : "article-journal" }, "uris" : [ "http://www.mendeley.com/documents/?uuid=89fc4a91-2fa6-3455-82e7-f4c1b06eedb9" ] }, { "id" : "ITEM-4", "itemData" : { "DOI" : "10.1016/j.cmet.2010.10.005", "ISSN" : "1932-7420", "PMID" : "21035761", "abstract" : "Accumulating evidence highlights intriguing interplays between circadian and metabolic pathways. We show that PER2 directly and specifically represses PPAR\u03b3, a nuclear receptor critical in adipogenesis, insulin sensitivity, and inflammatory response. PER2-deficient mice display altered lipid metabolism with drastic reduction of total triacylglycerol and nonesterified fatty acids. PER2 exerts its inhibitory function by blocking PPAR\u03b3 recruitment to target promoters and thereby transcriptional activation. Whole-genome microarray profiling demonstrates that PER2 dictates the specificity of PPAR\u03b3 transcriptional activity. Indeed, lack of PER2 results in enhanced adipocyte differentiation of cultured fibroblasts. PER2 targets S112 in PPAR\u03b3, a residue whose mutation has been associated with altered lipid metabolism. Lipidomic profiling demonstrates that PER2 is necessary for normal lipid metabolism in white adipocyte tissue. Our findings support a scenario in which PER2 controls the proadipogenic activity of PPAR\u03b3 by operating as its natural modulator, thereby revealing potential avenues of pharmacological and therapeutic intervention.", "author" : [ { "dropping-particle" : "", "family" : "Grimaldi", "given" : "Benedetto", "non-dropping-particle" : "", "parse-names" : false, "suffix" : "" }, { "dropping-particle" : "", "family" : "Bellet", "given" : "Marina Maria", "non-dropping-particle" : "", "parse-names" : false, "suffix" : "" }, { "dropping-particle" : "", "family" : "Katada", "given" : "Sayako", "non-dropping-particle" : "", "parse-names" : false, "suffix" : "" }, { "dropping-particle" : "", "family" : "Astarita", "given" : "Giuseppe", "non-dropping-particle" : "", "parse-names" : false, "suffix" : "" }, { "dropping-particle" : "", "family" : "Hirayama", "given" : "Jun", "non-dropping-particle" : "", "parse-names" : false, "suffix" : "" }, { "dropping-particle" : "", "family" : "Amin", "given" : "Rajesh H", "non-dropping-particle" : "", "parse-names" : false, "suffix" : "" }, { "dropping-particle" : "", "family" : "Granneman", "given" : "James G", "non-dropping-particle" : "", "parse-names" : false, "suffix" : "" }, { "dropping-particle" : "", "family" : "Piomelli", "given" : "Daniele", "non-dropping-particle" : "", "parse-names" : false, "suffix" : "" }, { "dropping-particle" : "", "family" : "Leff", "given" : "Todd", "non-dropping-particle" : "", "parse-names" : false, "suffix" : "" }, { "dropping-particle" : "", "family" : "Sassone-Corsi", "given" : "Paolo", "non-dropping-particle" : "", "parse-names" : false, "suffix" : "" } ], "container-title" : "Cell metabolism", "id" : "ITEM-4", "issue" : "5", "issued" : { "date-parts" : [ [ "2010", "11", "3" ] ] }, "page" : "509-20", "title" : "PER2 controls lipid metabolism by direct regulation of PPAR\u03b3.", "type" : "article-journal", "volume" : "12" }, "uris" : [ "http://www.mendeley.com/documents/?uuid=c60aa5c9-0fa9-4996-9fba-8374f1178336" ] }, { "id" : "ITEM-5", "itemData" : { "DOI" : "10.1016/j.cub.2008.04.012", "abstract" : "The circadian clock has been implicated in addiction and several forms of depression [1, 2], indicating interactions between the circadian and the reward systems in the brain [3\u20135]. Rewards such as food, sex, and drugs influence this system in part by modulating dopamine neurotransmission in the mesolimbic dopamine reward circuit, including the ventral tegmental area (VTA) and the ventral striatum (NAc). Hence, changes in dopamine levels in these brain areas are proposed to influence mood in humans and mice [6\u201310]. To establish a molecular link between the circadian-clock mech-anism and dopamine metabolism, we analyzed the murine promoters of genes encoding key enzymes important in dopa-mine metabolism. We find that transcription of the monoamine oxidase A (Maoa) promoter is regulated by the clock compo-nents BMAL1, NPAS2, and PER2. A mutation in the clock gene Per2 in mice leads to reduced expression and activity of MAOA in the mesolimbic dopaminergic system. Further-more, we observe increased levels of dopamine and altered neuronal activity in the striatum, and these results probably lead to behavioral alterations observed in Per2 mutant mice in despair-based tests. These findings suggest a role of circa-dian-clock components in dopamine metabolism highlighting a role of the clock in regulating mood-related behaviors.", "author" : [ { "dropping-particle" : "", "family" : "Hampp", "given" : "Gabriele", "non-dropping-particle" : "", "parse-names" : false, "suffix" : "" }, { "dropping-particle" : "", "family" : "Rgen", "given" : "J\u00fc", "non-dropping-particle" : "", "parse-names" : false, "suffix" : "" }, { "dropping-particle" : "", "family" : "Ripperger", "given" : "A", "non-dropping-particle" : "", "parse-names" : false, "suffix" : "" }, { "dropping-particle" : "", "family" : "Houben", "given" : "Thijs", "non-dropping-particle" : "", "parse-names" : false, "suffix" : "" }, { "dropping-particle" : "", "family" : "Schmutz", "given" : "Isabelle", "non-dropping-particle" : "", "parse-names" : false, "suffix" : "" }, { "dropping-particle" : "", "family" : "Blex", "given" : "Christian", "non-dropping-particle" : "", "parse-names" : false, "suffix" : "" }, { "dropping-particle" : "", "family" : "Phanie Perreau-Lenz", "given" : "St\u00e9", "non-dropping-particle" : "", "parse-names" : false, "suffix" : "" }, { "dropping-particle" : "", "family" : "Brunk", "given" : "Irene", "non-dropping-particle" : "", "parse-names" : false, "suffix" : "" }, { "dropping-particle" : "", "family" : "Spanagel", "given" : "Rainer", "non-dropping-particle" : "", "parse-names" : false, "suffix" : "" }, { "dropping-particle" : "", "family" : "Ahnert-Hilger", "given" : "Gudrun", "non-dropping-particle" : "", "parse-names" : false, "suffix" : "" }, { "dropping-particle" : "", "family" : "Meijer", "given" : "Johanna H", "non-dropping-particle" : "", "parse-names" : false, "suffix" : "" }, { "dropping-particle" : "", "family" : "Albrecht", "given" : "Urs", "non-dropping-particle" : "", "parse-names" : false, "suffix" : "" } ], "container-title" : "Current Biology", "id" : "ITEM-5", "issued" : { "date-parts" : [ [ "2008" ] ] }, "page" : "678-683", "title" : "Report Regulation of Monoamine Oxidase A by Circadian-Clock Components Implies Clock Influence on Mood", "type" : "article-journal", "volume" : "18" }, "uris" : [ "http://www.mendeley.com/documents/?uuid=1367930b-333f-3548-9a96-f8be616ed522" ] } ], "mendeley" : { "formattedCitation" : "&lt;sup&gt;4\u20138&lt;/sup&gt;", "plainTextFormattedCitation" : "4\u20138", "previouslyFormattedCitation" : "&lt;sup&gt;4\u20138&lt;/sup&gt;" }, "properties" : { "noteIndex" : 0 }, "schema" : "https://github.com/citation-style-language/schema/raw/master/csl-citation.json" }</w:instrText>
      </w:r>
      <w:r w:rsidR="007A2A10">
        <w:rPr>
          <w:rFonts w:ascii="Calibri" w:eastAsia="Calibri" w:hAnsi="Calibri" w:cs="Calibri"/>
          <w:lang w:val="en-GB"/>
        </w:rPr>
        <w:fldChar w:fldCharType="separate"/>
      </w:r>
      <w:r w:rsidR="00DD2895" w:rsidRPr="00DD2895">
        <w:rPr>
          <w:rFonts w:ascii="Calibri" w:eastAsia="Calibri" w:hAnsi="Calibri" w:cs="Calibri"/>
          <w:noProof/>
          <w:vertAlign w:val="superscript"/>
          <w:lang w:val="en-GB"/>
        </w:rPr>
        <w:t>4–8</w:t>
      </w:r>
      <w:r w:rsidR="007A2A10">
        <w:rPr>
          <w:rFonts w:ascii="Calibri" w:eastAsia="Calibri" w:hAnsi="Calibri" w:cs="Calibri"/>
          <w:lang w:val="en-GB"/>
        </w:rPr>
        <w:fldChar w:fldCharType="end"/>
      </w:r>
      <w:r w:rsidRPr="5ECC47B9">
        <w:rPr>
          <w:rFonts w:ascii="Calibri" w:eastAsia="Calibri" w:hAnsi="Calibri" w:cs="Calibri"/>
          <w:lang w:val="en-GB"/>
        </w:rPr>
        <w:t xml:space="preserve"> Due to its two LXXLL structural motifs, which can interact with a hydrophobic pocket of </w:t>
      </w:r>
      <w:r w:rsidR="003C2CB9">
        <w:rPr>
          <w:rFonts w:ascii="Calibri" w:eastAsia="Calibri" w:hAnsi="Calibri" w:cs="Calibri"/>
          <w:lang w:val="en-GB"/>
        </w:rPr>
        <w:t>NRs</w:t>
      </w:r>
      <w:r w:rsidRPr="5ECC47B9">
        <w:rPr>
          <w:rFonts w:ascii="Calibri" w:eastAsia="Calibri" w:hAnsi="Calibri" w:cs="Calibri"/>
          <w:lang w:val="en-GB"/>
        </w:rPr>
        <w:t>, it has been studied as a nuclear receptor co-activator.</w:t>
      </w:r>
      <w:r w:rsidR="007A2A10">
        <w:rPr>
          <w:rFonts w:ascii="Calibri" w:eastAsia="Calibri" w:hAnsi="Calibri" w:cs="Calibri"/>
          <w:lang w:val="en-GB"/>
        </w:rPr>
        <w:fldChar w:fldCharType="begin" w:fldLock="1"/>
      </w:r>
      <w:r w:rsidR="00DD2895">
        <w:rPr>
          <w:rFonts w:ascii="Calibri" w:eastAsia="Calibri" w:hAnsi="Calibri" w:cs="Calibri"/>
          <w:lang w:val="en-GB"/>
        </w:rPr>
        <w:instrText>ADDIN CSL_CITATION { "citationItems" : [ { "id" : "ITEM-1", "itemData" : { "DOI" : "10.1111/j.1399-3011.2004.00126.x", "ISSN" : "1397-002X", "PMID" : "15049832", "abstract" : "Nuclear receptors require coactivator binding in order to activate transcription of their cognate target genes. Ligands regulate nuclear receptor (NR)-mediated recruitment of coactivators by binding to the ligand-binding domain of the receptor and inducing a conformational change allowing for recognition of a specific motif contained within the coactivator protein. This motif is known as the NR box or LXXLL (where L is leucine and X is any amino acid) domain. Here, we review the discovery of the domain as well as its characterization.", "author" : [ { "dropping-particle" : "", "family" : "Savkur", "given" : "R S", "non-dropping-particle" : "", "parse-names" : false, "suffix" : "" }, { "dropping-particle" : "", "family" : "Burris", "given" : "T P", "non-dropping-particle" : "", "parse-names" : false, "suffix" : "" } ], "container-title" : "The journal of peptide research : official journal of the American Peptide Society", "id" : "ITEM-1", "issue" : "3", "issued" : { "date-parts" : [ [ "2004", "3" ] ] }, "page" : "207-12", "title" : "The coactivator LXXLL nuclear receptor recognition motif.", "type" : "article-journal", "volume" : "63" }, "uris" : [ "http://www.mendeley.com/documents/?uuid=d639121f-0ace-41d8-a8e3-c840b99370ca" ] } ], "mendeley" : { "formattedCitation" : "&lt;sup&gt;9&lt;/sup&gt;", "plainTextFormattedCitation" : "9", "previouslyFormattedCitation" : "&lt;sup&gt;9&lt;/sup&gt;" }, "properties" : { "noteIndex" : 0 }, "schema" : "https://github.com/citation-style-language/schema/raw/master/csl-citation.json" }</w:instrText>
      </w:r>
      <w:r w:rsidR="007A2A10">
        <w:rPr>
          <w:rFonts w:ascii="Calibri" w:eastAsia="Calibri" w:hAnsi="Calibri" w:cs="Calibri"/>
          <w:lang w:val="en-GB"/>
        </w:rPr>
        <w:fldChar w:fldCharType="separate"/>
      </w:r>
      <w:r w:rsidR="00DD2895" w:rsidRPr="00DD2895">
        <w:rPr>
          <w:rFonts w:ascii="Calibri" w:eastAsia="Calibri" w:hAnsi="Calibri" w:cs="Calibri"/>
          <w:noProof/>
          <w:vertAlign w:val="superscript"/>
          <w:lang w:val="en-GB"/>
        </w:rPr>
        <w:t>9</w:t>
      </w:r>
      <w:r w:rsidR="007A2A10">
        <w:rPr>
          <w:rFonts w:ascii="Calibri" w:eastAsia="Calibri" w:hAnsi="Calibri" w:cs="Calibri"/>
          <w:lang w:val="en-GB"/>
        </w:rPr>
        <w:fldChar w:fldCharType="end"/>
      </w:r>
      <w:r w:rsidRPr="5ECC47B9">
        <w:rPr>
          <w:rFonts w:ascii="Calibri" w:eastAsia="Calibri" w:hAnsi="Calibri" w:cs="Calibri"/>
          <w:lang w:val="en-GB"/>
        </w:rPr>
        <w:t xml:space="preserve"> </w:t>
      </w:r>
      <w:r w:rsidR="003C2CB9">
        <w:rPr>
          <w:rFonts w:ascii="Calibri" w:eastAsia="Calibri" w:hAnsi="Calibri" w:cs="Calibri"/>
          <w:lang w:val="en-GB"/>
        </w:rPr>
        <w:t>Perhaps</w:t>
      </w:r>
      <w:r w:rsidRPr="5ECC47B9">
        <w:rPr>
          <w:rFonts w:ascii="Calibri" w:eastAsia="Calibri" w:hAnsi="Calibri" w:cs="Calibri"/>
          <w:lang w:val="en-GB"/>
        </w:rPr>
        <w:t xml:space="preserve"> </w:t>
      </w:r>
      <w:r w:rsidR="00EF7E84">
        <w:rPr>
          <w:rFonts w:ascii="Calibri" w:eastAsia="Calibri" w:hAnsi="Calibri" w:cs="Calibri"/>
          <w:lang w:val="en-GB"/>
        </w:rPr>
        <w:t xml:space="preserve">one of </w:t>
      </w:r>
      <w:r w:rsidRPr="5ECC47B9">
        <w:rPr>
          <w:rFonts w:ascii="Calibri" w:eastAsia="Calibri" w:hAnsi="Calibri" w:cs="Calibri"/>
          <w:lang w:val="en-GB"/>
        </w:rPr>
        <w:t xml:space="preserve">the most important </w:t>
      </w:r>
      <w:r w:rsidRPr="5ECC47B9">
        <w:rPr>
          <w:rFonts w:ascii="Calibri" w:eastAsia="Calibri" w:hAnsi="Calibri" w:cs="Calibri"/>
        </w:rPr>
        <w:t>transcriptional regulat</w:t>
      </w:r>
      <w:r w:rsidR="003C2CB9">
        <w:rPr>
          <w:rFonts w:ascii="Calibri" w:eastAsia="Calibri" w:hAnsi="Calibri" w:cs="Calibri"/>
        </w:rPr>
        <w:t>or</w:t>
      </w:r>
      <w:r w:rsidRPr="5ECC47B9">
        <w:rPr>
          <w:rFonts w:ascii="Calibri" w:eastAsia="Calibri" w:hAnsi="Calibri" w:cs="Calibri"/>
        </w:rPr>
        <w:t xml:space="preserve"> of </w:t>
      </w:r>
      <w:r w:rsidR="004C6D3A">
        <w:rPr>
          <w:rFonts w:ascii="Calibri" w:eastAsia="Calibri" w:hAnsi="Calibri" w:cs="Calibri"/>
        </w:rPr>
        <w:t>metabolism</w:t>
      </w:r>
      <w:r w:rsidRPr="5ECC47B9">
        <w:rPr>
          <w:rFonts w:ascii="Calibri" w:eastAsia="Calibri" w:hAnsi="Calibri" w:cs="Calibri"/>
          <w:lang w:val="en-GB"/>
        </w:rPr>
        <w:t xml:space="preserve"> is CAR, a </w:t>
      </w:r>
      <w:r w:rsidR="003C2CB9">
        <w:rPr>
          <w:rFonts w:ascii="Calibri" w:eastAsia="Calibri" w:hAnsi="Calibri" w:cs="Calibri"/>
          <w:lang w:val="en-GB"/>
        </w:rPr>
        <w:t xml:space="preserve">NR that </w:t>
      </w:r>
      <w:r w:rsidRPr="5ECC47B9">
        <w:rPr>
          <w:rFonts w:ascii="Calibri" w:eastAsia="Calibri" w:hAnsi="Calibri" w:cs="Calibri"/>
          <w:lang w:val="en-GB"/>
        </w:rPr>
        <w:t>regulat</w:t>
      </w:r>
      <w:r w:rsidR="003C2CB9">
        <w:rPr>
          <w:rFonts w:ascii="Calibri" w:eastAsia="Calibri" w:hAnsi="Calibri" w:cs="Calibri"/>
          <w:lang w:val="en-GB"/>
        </w:rPr>
        <w:t>es</w:t>
      </w:r>
      <w:r w:rsidRPr="5ECC47B9">
        <w:rPr>
          <w:rFonts w:ascii="Calibri" w:eastAsia="Calibri" w:hAnsi="Calibri" w:cs="Calibri"/>
          <w:lang w:val="en-GB"/>
        </w:rPr>
        <w:t xml:space="preserve"> primary and secondary metabolism</w:t>
      </w:r>
      <w:r w:rsidR="007A2A10">
        <w:rPr>
          <w:rFonts w:ascii="Calibri" w:eastAsia="Calibri" w:hAnsi="Calibri" w:cs="Calibri"/>
          <w:lang w:val="en-GB"/>
        </w:rPr>
        <w:t>. CAR binds endogenous</w:t>
      </w:r>
      <w:r w:rsidR="003C2CB9">
        <w:rPr>
          <w:rFonts w:ascii="Calibri" w:eastAsia="Calibri" w:hAnsi="Calibri" w:cs="Calibri"/>
          <w:lang w:val="en-GB"/>
        </w:rPr>
        <w:t xml:space="preserve"> ligands</w:t>
      </w:r>
      <w:r w:rsidR="007A2A10">
        <w:rPr>
          <w:rFonts w:ascii="Calibri" w:eastAsia="Calibri" w:hAnsi="Calibri" w:cs="Calibri"/>
          <w:lang w:val="en-GB"/>
        </w:rPr>
        <w:t xml:space="preserve">, </w:t>
      </w:r>
      <w:proofErr w:type="spellStart"/>
      <w:r w:rsidR="007A2A10">
        <w:rPr>
          <w:rFonts w:ascii="Calibri" w:eastAsia="Calibri" w:hAnsi="Calibri" w:cs="Calibri"/>
          <w:lang w:val="en-GB"/>
        </w:rPr>
        <w:t>eg</w:t>
      </w:r>
      <w:proofErr w:type="spellEnd"/>
      <w:r w:rsidRPr="5ECC47B9">
        <w:rPr>
          <w:rFonts w:ascii="Calibri" w:eastAsia="Calibri" w:hAnsi="Calibri" w:cs="Calibri"/>
          <w:lang w:val="en-GB"/>
        </w:rPr>
        <w:t xml:space="preserve"> </w:t>
      </w:r>
      <w:r w:rsidR="004A4381" w:rsidRPr="5ECC47B9">
        <w:rPr>
          <w:rFonts w:ascii="Calibri" w:eastAsia="Calibri" w:hAnsi="Calibri" w:cs="Calibri"/>
          <w:lang w:val="en-GB"/>
        </w:rPr>
        <w:t>bilirubin</w:t>
      </w:r>
      <w:r w:rsidR="007A2A10">
        <w:rPr>
          <w:rFonts w:ascii="Calibri" w:eastAsia="Calibri" w:hAnsi="Calibri" w:cs="Calibri"/>
          <w:lang w:val="en-GB"/>
        </w:rPr>
        <w:t xml:space="preserve">, and </w:t>
      </w:r>
      <w:r w:rsidR="003C2CB9">
        <w:rPr>
          <w:rFonts w:ascii="Calibri" w:eastAsia="Calibri" w:hAnsi="Calibri" w:cs="Calibri"/>
          <w:lang w:val="en-GB"/>
        </w:rPr>
        <w:t>xenobiotics</w:t>
      </w:r>
      <w:r w:rsidR="007A2A10">
        <w:rPr>
          <w:rFonts w:ascii="Calibri" w:eastAsia="Calibri" w:hAnsi="Calibri" w:cs="Calibri"/>
          <w:lang w:val="en-GB"/>
        </w:rPr>
        <w:t xml:space="preserve">, </w:t>
      </w:r>
      <w:proofErr w:type="spellStart"/>
      <w:r w:rsidR="007A2A10">
        <w:rPr>
          <w:rFonts w:ascii="Calibri" w:eastAsia="Calibri" w:hAnsi="Calibri" w:cs="Calibri"/>
          <w:lang w:val="en-GB"/>
        </w:rPr>
        <w:t>eg</w:t>
      </w:r>
      <w:proofErr w:type="spellEnd"/>
      <w:r w:rsidR="007D471A">
        <w:rPr>
          <w:rFonts w:ascii="Calibri" w:eastAsia="Calibri" w:hAnsi="Calibri" w:cs="Calibri"/>
          <w:lang w:val="en-GB"/>
        </w:rPr>
        <w:t xml:space="preserve"> barbiturates.</w:t>
      </w:r>
      <w:r w:rsidR="00EF7E84">
        <w:rPr>
          <w:rFonts w:ascii="Calibri" w:eastAsia="Calibri" w:hAnsi="Calibri" w:cs="Calibri"/>
          <w:lang w:val="en-GB"/>
        </w:rPr>
        <w:fldChar w:fldCharType="begin" w:fldLock="1"/>
      </w:r>
      <w:r w:rsidR="00EF7E84">
        <w:rPr>
          <w:rFonts w:ascii="Calibri" w:eastAsia="Calibri" w:hAnsi="Calibri" w:cs="Calibri"/>
          <w:lang w:val="en-GB"/>
        </w:rPr>
        <w:instrText>ADDIN CSL_CITATION { "citationItems" : [ { "id" : "ITEM-1", "itemData" : { "ISSN" : "1875-5453", "PMID" : "21395540", "abstract" : "Cytochromes P450 of the liver are involved in maintenance of lipid homeostasis (cholesterol, vitamin D, oxysterol and bile acid metabolism) and in detoxification processes of endogenous compounds (i. e. bile acids) and xenochemicals (drugs). This review describes the roles of various CYPs in production of cholesterol related endogenous metabolites. These metabolites (oxysterols, bile acids, vitamin D3) act as activators of a battery of nuclear receptors, in particular liver X receptor (LXR), pregnane X receptor (PXR), constitutive androstane receptor (CAR), farnesoid X receptor (FXR) and vitamin D receptor (VDR). Nuclear receptors that are activated by cholesterol metabolites or by drugs (i. e. PXR or CAR) bind to promoter regions of responsive genes. The downstream genes include CYPs from cholesterol metabolism and/or from drug metabolism whose transcription is activated in a feedback manner. Cholesterol metabolites are thus major actors of the cross-talk that is mediated by nuclear receptors and activated CYPs. This results in a simultaneous regulation of genes from cholesterol metabolism, drug metabolism and also other pathways. The interplay between metabolism of endogenous and exogenous compounds is a frequent cause of drug failures that can now be explained at the molecular level.", "author" : [ { "dropping-particle" : "", "family" : "Hafner", "given" : "Mateja", "non-dropping-particle" : "", "parse-names" : false, "suffix" : "" }, { "dropping-particle" : "", "family" : "Rezen", "given" : "Tadeja", "non-dropping-particle" : "", "parse-names" : false, "suffix" : "" }, { "dropping-particle" : "", "family" : "Rozman", "given" : "Damjana", "non-dropping-particle" : "", "parse-names" : false, "suffix" : "" } ], "container-title" : "Current drug metabolism", "id" : "ITEM-1", "issue" : "2", "issued" : { "date-parts" : [ [ "2011", "2" ] ] }, "page" : "173-85", "title" : "Regulation of hepatic cytochromes p450 by lipids and cholesterol.", "type" : "article-journal", "volume" : "12" }, "uris" : [ "http://www.mendeley.com/documents/?uuid=3d618338-909e-3a5a-b36d-3fffd4865e74" ] }, { "id" : "ITEM-2", "itemData" : { "DOI" : "10.1517/17425255.2011.558083", "PMID" : "21320036", "abstract" : "INTRODUCTION Global prevalence of Western-type diet has increased in the last decades resulting in occurrence of certain chronic diseases. This type of diet is also linked to high-cholesterol intake and increase in blood cholesterol. Many of the molecular mechanisms of dealing with increased levels of cholesterol and its metabolites have been elucidated in animal models and humans. It is also evident that cholesterol metabolism is closely connected to drug metabolism. Cholesterol/bile acids and drugs share many transporters, enzymes and regulatory proteins which are key points in the crosstalk. AREAS COVERED This review presents an overview of the effect of cholesterol and its metabolites on drug metabolism with special emphasis on species-specific differences. The article focuses on the role of nuclear receptors farnesoid X receptor, vitamin D receptor and liver X receptor in the regulation of drug metabolism genes and the role of cholesterol biosynthesis intermediates, oxysterols and bile acids in the induction of drug metabolism through pregnane X receptor. EXPERT OPINION Studies show that the regulation of drug metabolism by sterols is multileveled. Many species-dependent differences were observed which hinder the transfer of findings from model animals to humans. As of now, there is little evidence available for cholesterol impact on drug metabolism in vivo in humans. There is also the need to confirm the results obtained in animal models and in vitro analyses in human cells but this is very difficult given the current lack of tools.", "author" : [ { "dropping-particle" : "", "family" : "Rezen", "given" : "Tadeja", "non-dropping-particle" : "", "parse-names" : false, "suffix" : "" } ], "container-title" : "Expert opinion on drug metabolism &amp; toxicology", "id" : "ITEM-2", "issue" : "4", "issued" : { "date-parts" : [ [ "2011", "4" ] ] }, "page" : "387-98", "title" : "The impact of cholesterol and its metabolites on drug metabolism.", "type" : "article-journal", "volume" : "7" }, "uris" : [ "http://www.mendeley.com/documents/?uuid=d0009f26-6851-34db-bb3b-45c80c2a9703" ] }, { "id" : "ITEM-3", "itemData" : { "DOI" : "10.1126/science.1073502", "ISSN" : "1095-9203", "PMID" : "12376703", "abstract" : "We have identified the xenobiotic receptor CAR (constitutive androstane receptor) as a key regulator of acetaminophen metabolism and hepatotoxicity. Known CAR activators as well as high doses of acetaminophen induced expression of three acetaminophen-metabolizing enzymes in wild-type but not in CAR null mice, and the CAR null mice were resistant to acetaminophen toxicity. Inhibition of CAR activity by administration of the inverse agonist ligand androstanol 1 hour after acetaminophen treatment blocked hepatotoxicity in wild type but not in CAR null mice. These results suggest an innovative therapeutic approach for treating the adverse effects of acetaminophen and potentially other hepatotoxic agents.", "author" : [ { "dropping-particle" : "", "family" : "Zhang", "given" : "Jun", "non-dropping-particle" : "", "parse-names" : false, "suffix" : "" }, { "dropping-particle" : "", "family" : "Huang", "given" : "Wendong", "non-dropping-particle" : "", "parse-names" : false, "suffix" : "" }, { "dropping-particle" : "", "family" : "Chua", "given" : "Steven S", "non-dropping-particle" : "", "parse-names" : false, "suffix" : "" }, { "dropping-particle" : "", "family" : "Wei", "given" : "Ping", "non-dropping-particle" : "", "parse-names" : false, "suffix" : "" }, { "dropping-particle" : "", "family" : "Moore", "given" : "David D", "non-dropping-particle" : "", "parse-names" : false, "suffix" : "" } ], "container-title" : "Science (New York, N.Y.)", "id" : "ITEM-3", "issue" : "5592", "issued" : { "date-parts" : [ [ "2002", "10", "11" ] ] }, "page" : "422-4", "title" : "Modulation of acetaminophen-induced hepatotoxicity by the xenobiotic receptor CAR.", "type" : "article-journal", "volume" : "298" }, "uris" : [ "http://www.mendeley.com/documents/?uuid=ec693dca-d379-4191-bd25-27d5aba676da" ] }, { "id" : "ITEM-4", "itemData" : { "ISSN" : "0270-7306", "PMID" : "10454578", "abstract" : "The constitutively active receptor (CAR) transactivates a distal enhancer called the phenobarbital (PB)-responsive enhancer module (PBREM) found in PB-inducible CYP2B genes. CAR dramatically increases its binding to PBREM in livers of PB-treated mice. We have investigated the cellular mechanism of PB-induced increase of CAR binding. Western blot analyses of mouse livers revealed an extensive nuclear accumulation of CAR following PB treatment. Nuclear contents of CAR perfectly correlate with an increase of CAR binding to PBREM. PB-elicited nuclear accumulation of CAR appears to be a general step regulating the induction of CYP2B genes, since treatments with other PB-type inducers result in the same nuclear accumulation of CAR. Both immunoprecipitation and immunohistochemistry studies show cytoplasmic localization of CAR in the livers of nontreated mice, indicating that CAR translocates into nuclei following PB treatment. Nuclear translocation of CAR also occurs in mouse primary hepatocytes but not in hepatocytes treated with the protein phosphatase inhibitor okadaic acid. Thus, the CAR-mediated transactivation of PBREM in vivo becomes PB responsive through an okadaic acid-sensitive nuclear translocation process.", "author" : [ { "dropping-particle" : "", "family" : "Kawamoto", "given" : "T", "non-dropping-particle" : "", "parse-names" : false, "suffix" : "" }, { "dropping-particle" : "", "family" : "Sueyoshi", "given" : "T", "non-dropping-particle" : "", "parse-names" : false, "suffix" : "" }, { "dropping-particle" : "", "family" : "Zelko", "given" : "I", "non-dropping-particle" : "", "parse-names" : false, "suffix" : "" }, { "dropping-particle" : "", "family" : "Moore", "given" : "R", "non-dropping-particle" : "", "parse-names" : false, "suffix" : "" }, { "dropping-particle" : "", "family" : "Washburn", "given" : "K", "non-dropping-particle" : "", "parse-names" : false, "suffix" : "" }, { "dropping-particle" : "", "family" : "Negishi", "given" : "M", "non-dropping-particle" : "", "parse-names" : false, "suffix" : "" } ], "container-title" : "Molecular and cellular biology", "id" : "ITEM-4", "issue" : "9", "issued" : { "date-parts" : [ [ "1999", "9" ] ] }, "page" : "6318-22", "title" : "Phenobarbital-responsive nuclear translocation of the receptor CAR in induction of the CYP2B gene.", "type" : "article-journal", "volume" : "19" }, "uris" : [ "http://www.mendeley.com/documents/?uuid=33cb923b-0151-4661-a48f-f168bdb0de53" ] }, { "id" : "ITEM-5", "itemData" : { "DOI" : "10.1073/pnas.0630614100", "ISSN" : "0027-8424", "PMID" : "12644704", "abstract" : "Bilirubin clearance is one of the numerous important functions of the liver. Defects in this process result in jaundice, which is particularly common in neonates. Elevated bilirubin levels can be decreased by treatment with phenobarbital. Because the nuclear hormone receptor constitutive androstane receptor (CAR) mediates hepatic effects of this xenobiotic inducer, we hypothesized that CAR could be a regulator of bilirubin clearance. Activation of the nuclear hormone receptor CAR increases hepatic expression of each of five components of the bilirubin-clearance pathway. This induction is absent in homozygous CAR null mice but is observed in mice expressing human CAR instead of mouse CAR. Pretreatment with xenobiotic inducers markedly increases the rate of clearance of an exogenous bilirubin load in wild-type but not CAR knockout animals. Bilirubin itself can also activate CAR, and mice lacking CAR are defective in clearing chronically elevated bilirubin levels. Unexpectedly, CAR expression is very low in livers of neonatal mice and humans. We conclude that CAR directs a protective response to elevated bilirubin levels and suggest that a functional deficit of CAR activity may contribute to neonatal jaundice.", "author" : [ { "dropping-particle" : "", "family" : "Huang", "given" : "Wendong", "non-dropping-particle" : "", "parse-names" : false, "suffix" : "" }, { "dropping-particle" : "", "family" : "Zhang", "given" : "Jun", "non-dropping-particle" : "", "parse-names" : false, "suffix" : "" }, { "dropping-particle" : "", "family" : "Chua", "given" : "Steven S", "non-dropping-particle" : "", "parse-names" : false, "suffix" : "" }, { "dropping-particle" : "", "family" : "Qatanani", "given" : "Mohammed", "non-dropping-particle" : "", "parse-names" : false, "suffix" : "" }, { "dropping-particle" : "", "family" : "Han", "given" : "Yunqing", "non-dropping-particle" : "", "parse-names" : false, "suffix" : "" }, { "dropping-particle" : "", "family" : "Granata", "given" : "Riccarda", "non-dropping-particle" : "", "parse-names" : false, "suffix" : "" }, { "dropping-particle" : "", "family" : "Moore", "given" : "David D", "non-dropping-particle" : "", "parse-names" : false, "suffix" : "" } ], "container-title" : "Proceedings of the National Academy of Sciences of the United States of America", "id" : "ITEM-5", "issue" : "7", "issued" : { "date-parts" : [ [ "2003", "4", "1" ] ] }, "page" : "4156-61", "title" : "Induction of bilirubin clearance by the constitutive androstane receptor (CAR).", "type" : "article-journal", "volume" : "100" }, "uris" : [ "http://www.mendeley.com/documents/?uuid=47c0f869-7e4c-4731-a6fd-978975cb99f6" ] }, { "id" : "ITEM-6", "itemData" : { "DOI" : "10.1074/jbc.M313601200", "ISSN" : "0021-9258", "PMID" : "15004031", "abstract" : "The orphan nuclear receptor CAR (NR1I3) has been characterized as a central component in the coordinate response to xenobiotic and endobiotic stress. In this study, we demonstrate that CAR plays a pivotal function in energy homeostasis and establish an unanticipated metabolic role for this nuclear receptor. Wild-type mice treated with the synthetic CAR agonist 1,4-bis[2-(3,5-dichloropyridyloxy)]benzene (TCPOBOP) exhibited decreased serum concentration of the thyroid hormone (TH) thyroxine (T(4)). However, treatment of Car(-/-) mice with TCPOBOP failed to elicit these changes. To examine whether CAR played a role in the regulation of TH levels under physiological conditions, wild-type and Car(-/-) mice were fasted for 24 h, a process known to alter TH metabolism in mammals. As expected, the serum triiodothyronine and T(4) concentrations decreased in wild-type mice. However, triiodothyronine and T(4) levels in fasted Car(-/-) mice remained significantly higher than those in fasted wild-type animals. Concomitant with the changes in serum TH levels, both CAR agonist treatment and fasting induced the expression of CAR target genes (notably, Cyp2b10, Ugt1a1, Sultn, Sult1a1, and Sult2a1) in a receptor-dependent manner. Importantly, the Ugt1a1, Sultn, Sult1a1, and Sult2a1 genes encode enzymes that are capable of metabolizing TH. An attenuated reduction in TH levels during fasting, as observed in Car(-/-) mice, would be predicted to increase weight loss during caloric restriction. Indeed, when Car(-/-) animals were placed on a 40% caloric restriction diet for 12 weeks, Car(-/-) animals lost over twice as much weight as their wild-type littermates. Thus, CAR participates in the molecular mechanisms contributing to homeostatic resistance to weight loss. These data imply that CAR represents a novel therapeutic target to uncouple metabolic rate from food intake and has implications in obesity and its associated disorders.", "author" : [ { "dropping-particle" : "", "family" : "Maglich", "given" : "Jodi M", "non-dropping-particle" : "", "parse-names" : false, "suffix" : "" }, { "dropping-particle" : "", "family" : "Watson", "given" : "Joe", "non-dropping-particle" : "", "parse-names" : false, "suffix" : "" }, { "dropping-particle" : "", "family" : "McMillen", "given" : "Patrick J", "non-dropping-particle" : "", "parse-names" : false, "suffix" : "" }, { "dropping-particle" : "", "family" : "Goodwin", "given" : "Bryan", "non-dropping-particle" : "", "parse-names" : false, "suffix" : "" }, { "dropping-particle" : "", "family" : "Willson", "given" : "Timothy M", "non-dropping-particle" : "", "parse-names" : false, "suffix" : "" }, { "dropping-particle" : "", "family" : "Moore", "given" : "John T", "non-dropping-particle" : "", "parse-names" : false, "suffix" : "" } ], "container-title" : "The Journal of biological chemistry", "id" : "ITEM-6", "issue" : "19", "issued" : { "date-parts" : [ [ "2004", "5", "7" ] ] }, "page" : "19832-8", "title" : "The nuclear receptor CAR is a regulator of thyroid hormone metabolism during caloric restriction.", "type" : "article-journal", "volume" : "279" }, "uris" : [ "http://www.mendeley.com/documents/?uuid=2ff960a5-8cc6-4f24-82a5-831d35539e9d" ] }, { "id" : "ITEM-7", "itemData" : { "DOI" : "10.1124/mol.58.6.1441", "ISSN" : "0026-895X", "PMID" : "11093784", "abstract" : "The barbiturate phenobarbital induces the transcription of cytochromes P450 (CYPs) 2B through the constitutive androstane receptor (CAR; NR1I3). CAR is a member of the nuclear receptor family (NR1) mostly expressed in the liver, which heterodimerizes with retinoid X receptor (RXR) and was shown to transactivate both the phenobarbital responsive element module of the human CYP2B6 gene and the CYP3A4 xenobiotic response element. Because previous studies in rodent hepatocyte cultures have shown that the phenobarbital-mediated induction of CYP2B genes is potentiated by glucocorticoids, we examined the role of activated glucocorticoid receptor in this process. We show that submicromolar concentrations of dexamethasone enhance phenobarbital-mediated induction of CYP3A4, CYP2B6, and CYP2C8 mRNA in cultured human hepatocytes. In parallel, we observed that glucocorticoid agonists, such as dexamethasone, prednisolone, or hydrocortisone, specifically increase human car (hCAR) mRNA expression. Accumulation of hCAR mRNA parallels that of tyrosine aminotransferase: both mRNAs reach a maximum at a concentration of 100 nM dexamethasone and are down-regulated by concomitant treatment with the glucocorticoid antagonist RU486. Moreover, the effect of dexamethasone on hCAR mRNA accumulation appears to be of transcriptional origin because the addition of protein synthesis inhibitor cycloheximide has no effect, and dexamethasone does not affect the degradation of hCAR mRNA. Furthermore, dexamethasone increases both basal and phenobarbital-mediated nuclear translocation of CAR immunoreactive protein in human hepatocytes. The up-regulation of CAR mRNA and protein in response to dexamethasone explains the synergistic effect of this glucocorticoid on phenobarbital-mediated induction of CYP2B genes and the controversial role of the glucocorticoid receptor on phenobarbital-mediated CYP gene inductions.", "author" : [ { "dropping-particle" : "", "family" : "Pascussi", "given" : "Jean-Marc", "non-dropping-particle" : "", "parse-names" : false, "suffix" : "" }, { "dropping-particle" : "", "family" : "Gerbal-Chaloin", "given" : "Sabine", "non-dropping-particle" : "", "parse-names" : false, "suffix" : "" }, { "dropping-particle" : "", "family" : "Fabre", "given" : "Jean-Michel", "non-dropping-particle" : "", "parse-names" : false, "suffix" : "" }, { "dropping-particle" : "", "family" : "Maurel", "given" : "Patrick", "non-dropping-particle" : "", "parse-names" : false, "suffix" : "" }, { "dropping-particle" : "", "family" : "Vilarem", "given" : "Marie-Jose", "non-dropping-particle" : "", "parse-names" : false, "suffix" : "" } ], "container-title" : "Mol. Pharmacol.", "id" : "ITEM-7", "issue" : "6", "issued" : { "date-parts" : [ [ "2000" ] ] }, "page" : "1441-1450", "title" : "Dexamethasone Enhances Constitutive Androstane Receptor Expression in Human Hepatocytes: Consequences on Cytochrome P450 Gene Regulation", "type" : "article-journal", "volume" : "58" }, "uris" : [ "http://www.mendeley.com/documents/?uuid=18f4a9af-0f0c-4697-91a8-be1f53d72b97" ] }, { "id" : "ITEM-8", "itemData" : { "DOI" : "10.1074/jbc.M109326200", "ISSN" : "0021-9258", "PMID" : "11706036", "abstract" : "The multidrug resistance-associated protein 2 (MRP2, ABCC2), mediates the efflux of several conjugated compounds across the apical membrane of the hepatocyte into the bile canaliculi. We identified MRP2 in a screen designed to isolate genes that are regulated by the farnesoid X-activated receptor (FXR, NR1H4). MRP2 mRNA levels were induced following treatment of human or rat hepatocytes with either naturally occurring (chenodeoxycholic acid) or synthetic (GW4064) FXR ligands. In addition, we have shown that MRP2 expression is regulated by the pregnane X receptor (PXR, NR1I2) and constitutive androstane receptor (CAR, NR1I3). Thus, treatment of rodent hepatocytes with PXR or CAR agonists results in a robust induction of MRP2 mRNA levels. The dexamethasone- and pregnenolone 16alpha-carbonitrile-dependent induction of MRP2 expression was not evident in hepatocytes derived from PXR null mice. In contrast, induction of MRP2 by phenobarbital, an activator of CAR, was comparable in wild-type and PXR null mice. An unusual 26-bp sequence was identified 440 bp upstream of the MRP2 transcription initiation site that contains an everted repeat of the AGTTCA hexad separated by 8 nucleotides (ER-8). PXR, CAR, and FXR bound with high affinity to this element as heterodimers with the retinoid X receptor alpha (RXRalpha, NR2B1). Luciferase reporter gene constructs containing 1 kb of the rat MRP2 promoter were prepared and transiently transfected into HepG2 cells. Luciferase activity was induced in a PXR-, CAR-, or FXR-dependent manner. Furthermore, the isolated ER-8 element was capable of conferring PXR, CAR, and FXR responsiveness on a heterologous thymidine kinase promoter. Mutation of the ER-8 element abolished the nuclear receptor response. These studies demonstrate that MRP2 is regulated by three distinct nuclear receptor signaling pathways that converge on a common response element in the 5'-flanking region of this gene.", "author" : [ { "dropping-particle" : "", "family" : "Kast", "given" : "Heidi R", "non-dropping-particle" : "", "parse-names" : false, "suffix" : "" }, { "dropping-particle" : "", "family" : "Goodwin", "given" : "Bryan", "non-dropping-particle" : "", "parse-names" : false, "suffix" : "" }, { "dropping-particle" : "", "family" : "Tarr", "given" : "Paul T", "non-dropping-particle" : "", "parse-names" : false, "suffix" : "" }, { "dropping-particle" : "", "family" : "Jones", "given" : "Stacey A", "non-dropping-particle" : "", "parse-names" : false, "suffix" : "" }, { "dropping-particle" : "", "family" : "Anisfeld", "given" : "Andrew M", "non-dropping-particle" : "", "parse-names" : false, "suffix" : "" }, { "dropping-particle" : "", "family" : "Stoltz", "given" : "Catherine M", "non-dropping-particle" : "", "parse-names" : false, "suffix" : "" }, { "dropping-particle" : "", "family" : "Tontonoz", "given" : "Peter", "non-dropping-particle" : "", "parse-names" : false, "suffix" : "" }, { "dropping-particle" : "", "family" : "Kliewer", "given" : "Steve", "non-dropping-particle" : "", "parse-names" : false, "suffix" : "" }, { "dropping-particle" : "", "family" : "Willson", "given" : "Timothy M", "non-dropping-particle" : "", "parse-names" : false, "suffix" : "" }, { "dropping-particle" : "", "family" : "Edwards", "given" : "Peter A", "non-dropping-particle" : "", "parse-names" : false, "suffix" : "" } ], "container-title" : "The Journal of biological chemistry", "id" : "ITEM-8", "issue" : "4", "issued" : { "date-parts" : [ [ "2002", "1", "25" ] ] }, "page" : "2908-15", "title" : "Regulation of multidrug resistance-associated protein 2 (ABCC2) by the nuclear receptors pregnane X receptor, farnesoid X-activated receptor, and constitutive androstane receptor.", "type" : "article-journal", "volume" : "277" }, "uris" : [ "http://www.mendeley.com/documents/?uuid=f55e2e20-b193-4f97-8557-6ccaae7d88b6" ] } ], "mendeley" : { "formattedCitation" : "&lt;sup&gt;10\u201317&lt;/sup&gt;", "plainTextFormattedCitation" : "10\u201317", "previouslyFormattedCitation" : "&lt;sup&gt;10\u201317&lt;/sup&gt;" }, "properties" : { "noteIndex" : 0 }, "schema" : "https://github.com/citation-style-language/schema/raw/master/csl-citation.json" }</w:instrText>
      </w:r>
      <w:r w:rsidR="00EF7E84">
        <w:rPr>
          <w:rFonts w:ascii="Calibri" w:eastAsia="Calibri" w:hAnsi="Calibri" w:cs="Calibri"/>
          <w:lang w:val="en-GB"/>
        </w:rPr>
        <w:fldChar w:fldCharType="separate"/>
      </w:r>
      <w:r w:rsidR="00EF7E84" w:rsidRPr="00EF7E84">
        <w:rPr>
          <w:rFonts w:ascii="Calibri" w:eastAsia="Calibri" w:hAnsi="Calibri" w:cs="Calibri"/>
          <w:noProof/>
          <w:vertAlign w:val="superscript"/>
          <w:lang w:val="en-GB"/>
        </w:rPr>
        <w:t>10–17</w:t>
      </w:r>
      <w:r w:rsidR="00EF7E84">
        <w:rPr>
          <w:rFonts w:ascii="Calibri" w:eastAsia="Calibri" w:hAnsi="Calibri" w:cs="Calibri"/>
          <w:lang w:val="en-GB"/>
        </w:rPr>
        <w:fldChar w:fldCharType="end"/>
      </w:r>
      <w:r w:rsidRPr="5ECC47B9">
        <w:rPr>
          <w:rFonts w:ascii="Calibri" w:eastAsia="Calibri" w:hAnsi="Calibri" w:cs="Calibri"/>
          <w:lang w:val="en-GB"/>
        </w:rPr>
        <w:t xml:space="preserve"> </w:t>
      </w:r>
      <w:r w:rsidR="007D471A">
        <w:rPr>
          <w:rFonts w:ascii="Calibri" w:eastAsia="Calibri" w:hAnsi="Calibri" w:cs="Calibri"/>
          <w:lang w:val="en-GB"/>
        </w:rPr>
        <w:t>A</w:t>
      </w:r>
      <w:r w:rsidRPr="5ECC47B9">
        <w:rPr>
          <w:rFonts w:ascii="Calibri" w:eastAsia="Calibri" w:hAnsi="Calibri" w:cs="Calibri"/>
          <w:lang w:val="en-GB"/>
        </w:rPr>
        <w:t>fter ligand binding it</w:t>
      </w:r>
      <w:r w:rsidR="007D471A">
        <w:rPr>
          <w:rFonts w:ascii="Calibri" w:eastAsia="Calibri" w:hAnsi="Calibri" w:cs="Calibri"/>
          <w:lang w:val="en-GB"/>
        </w:rPr>
        <w:t xml:space="preserve"> </w:t>
      </w:r>
      <w:r w:rsidR="003C2CB9">
        <w:rPr>
          <w:rFonts w:ascii="Calibri" w:eastAsia="Calibri" w:hAnsi="Calibri" w:cs="Calibri"/>
          <w:lang w:val="en-GB"/>
        </w:rPr>
        <w:t>interacts</w:t>
      </w:r>
      <w:r w:rsidRPr="5ECC47B9">
        <w:rPr>
          <w:rFonts w:ascii="Calibri" w:eastAsia="Calibri" w:hAnsi="Calibri" w:cs="Calibri"/>
          <w:lang w:val="en-GB"/>
        </w:rPr>
        <w:t xml:space="preserve"> with co-activators and </w:t>
      </w:r>
      <w:proofErr w:type="spellStart"/>
      <w:r w:rsidRPr="5ECC47B9">
        <w:rPr>
          <w:rFonts w:ascii="Calibri" w:eastAsia="Calibri" w:hAnsi="Calibri" w:cs="Calibri"/>
          <w:lang w:val="en-GB"/>
        </w:rPr>
        <w:t>heterodimerization</w:t>
      </w:r>
      <w:proofErr w:type="spellEnd"/>
      <w:r w:rsidRPr="5ECC47B9">
        <w:rPr>
          <w:rFonts w:ascii="Calibri" w:eastAsia="Calibri" w:hAnsi="Calibri" w:cs="Calibri"/>
          <w:lang w:val="en-GB"/>
        </w:rPr>
        <w:t xml:space="preserve"> partners, most o</w:t>
      </w:r>
      <w:r w:rsidR="007A2A10">
        <w:rPr>
          <w:rFonts w:ascii="Calibri" w:eastAsia="Calibri" w:hAnsi="Calibri" w:cs="Calibri"/>
          <w:lang w:val="en-GB"/>
        </w:rPr>
        <w:t xml:space="preserve">ften </w:t>
      </w:r>
      <w:r w:rsidR="004C6D3A">
        <w:rPr>
          <w:rFonts w:ascii="Calibri" w:eastAsia="Calibri" w:hAnsi="Calibri" w:cs="Calibri"/>
          <w:lang w:val="en-GB"/>
        </w:rPr>
        <w:t xml:space="preserve">the </w:t>
      </w:r>
      <w:r w:rsidR="007A2A10">
        <w:rPr>
          <w:rFonts w:ascii="Calibri" w:eastAsia="Calibri" w:hAnsi="Calibri" w:cs="Calibri"/>
          <w:lang w:val="en-GB"/>
        </w:rPr>
        <w:t xml:space="preserve">retinoid X receptor (RXR). </w:t>
      </w:r>
      <w:r w:rsidRPr="5ECC47B9">
        <w:rPr>
          <w:rFonts w:ascii="Calibri" w:eastAsia="Calibri" w:hAnsi="Calibri" w:cs="Calibri"/>
          <w:lang w:val="en-GB"/>
        </w:rPr>
        <w:t xml:space="preserve">The final protein complex can </w:t>
      </w:r>
      <w:proofErr w:type="spellStart"/>
      <w:r w:rsidRPr="5ECC47B9">
        <w:rPr>
          <w:rFonts w:ascii="Calibri" w:eastAsia="Calibri" w:hAnsi="Calibri" w:cs="Calibri"/>
          <w:lang w:val="en-GB"/>
        </w:rPr>
        <w:t>transactivate</w:t>
      </w:r>
      <w:proofErr w:type="spellEnd"/>
      <w:r w:rsidRPr="5ECC47B9">
        <w:rPr>
          <w:rFonts w:ascii="Calibri" w:eastAsia="Calibri" w:hAnsi="Calibri" w:cs="Calibri"/>
          <w:lang w:val="en-GB"/>
        </w:rPr>
        <w:t xml:space="preserve"> </w:t>
      </w:r>
      <w:r w:rsidR="003C2CB9">
        <w:rPr>
          <w:rFonts w:ascii="Calibri" w:eastAsia="Calibri" w:hAnsi="Calibri" w:cs="Calibri"/>
          <w:lang w:val="en-GB"/>
        </w:rPr>
        <w:t xml:space="preserve">enzymes of the </w:t>
      </w:r>
      <w:r w:rsidR="005C1F54">
        <w:rPr>
          <w:rFonts w:ascii="Calibri" w:eastAsia="Calibri" w:hAnsi="Calibri" w:cs="Calibri"/>
          <w:lang w:val="en-GB"/>
        </w:rPr>
        <w:t>cytochrome</w:t>
      </w:r>
      <w:r w:rsidR="004C6D3A">
        <w:rPr>
          <w:rFonts w:ascii="Calibri" w:eastAsia="Calibri" w:hAnsi="Calibri" w:cs="Calibri"/>
          <w:lang w:val="en-GB"/>
        </w:rPr>
        <w:t xml:space="preserve"> P450 </w:t>
      </w:r>
      <w:r w:rsidR="005C1F54">
        <w:rPr>
          <w:rFonts w:ascii="Calibri" w:eastAsia="Calibri" w:hAnsi="Calibri" w:cs="Calibri"/>
          <w:lang w:val="en-GB"/>
        </w:rPr>
        <w:t>(</w:t>
      </w:r>
      <w:r w:rsidR="003C2CB9">
        <w:rPr>
          <w:rFonts w:ascii="Calibri" w:eastAsia="Calibri" w:hAnsi="Calibri" w:cs="Calibri"/>
          <w:lang w:val="en-GB"/>
        </w:rPr>
        <w:t>CYP</w:t>
      </w:r>
      <w:r w:rsidR="005C1F54">
        <w:rPr>
          <w:rFonts w:ascii="Calibri" w:eastAsia="Calibri" w:hAnsi="Calibri" w:cs="Calibri"/>
          <w:lang w:val="en-GB"/>
        </w:rPr>
        <w:t>)</w:t>
      </w:r>
      <w:r w:rsidR="003C2CB9">
        <w:rPr>
          <w:rFonts w:ascii="Calibri" w:eastAsia="Calibri" w:hAnsi="Calibri" w:cs="Calibri"/>
          <w:lang w:val="en-GB"/>
        </w:rPr>
        <w:t xml:space="preserve">, </w:t>
      </w:r>
      <w:r w:rsidR="005C1F54">
        <w:rPr>
          <w:rFonts w:ascii="Calibri" w:eastAsia="Calibri" w:hAnsi="Calibri" w:cs="Calibri"/>
          <w:lang w:val="en-GB"/>
        </w:rPr>
        <w:t>glucuronosyltransferase (</w:t>
      </w:r>
      <w:r w:rsidR="003C2CB9">
        <w:rPr>
          <w:rFonts w:ascii="Calibri" w:eastAsia="Calibri" w:hAnsi="Calibri" w:cs="Calibri"/>
          <w:lang w:val="en-GB"/>
        </w:rPr>
        <w:t>UGT</w:t>
      </w:r>
      <w:r w:rsidR="005C1F54">
        <w:rPr>
          <w:rFonts w:ascii="Calibri" w:eastAsia="Calibri" w:hAnsi="Calibri" w:cs="Calibri"/>
          <w:lang w:val="en-GB"/>
        </w:rPr>
        <w:t>)</w:t>
      </w:r>
      <w:r w:rsidR="003C2CB9">
        <w:rPr>
          <w:rFonts w:ascii="Calibri" w:eastAsia="Calibri" w:hAnsi="Calibri" w:cs="Calibri"/>
          <w:lang w:val="en-GB"/>
        </w:rPr>
        <w:t xml:space="preserve"> and </w:t>
      </w:r>
      <w:r w:rsidR="005C1F54">
        <w:rPr>
          <w:rFonts w:ascii="Calibri" w:eastAsia="Calibri" w:hAnsi="Calibri" w:cs="Calibri"/>
          <w:lang w:val="en-GB"/>
        </w:rPr>
        <w:t>multi drug resistance protein (</w:t>
      </w:r>
      <w:r w:rsidR="003C2CB9">
        <w:rPr>
          <w:rFonts w:ascii="Calibri" w:eastAsia="Calibri" w:hAnsi="Calibri" w:cs="Calibri"/>
          <w:lang w:val="en-GB"/>
        </w:rPr>
        <w:t>MR</w:t>
      </w:r>
      <w:r w:rsidR="005C1F54">
        <w:rPr>
          <w:rFonts w:ascii="Calibri" w:eastAsia="Calibri" w:hAnsi="Calibri" w:cs="Calibri"/>
          <w:lang w:val="en-GB"/>
        </w:rPr>
        <w:t xml:space="preserve">P) </w:t>
      </w:r>
      <w:r w:rsidR="003C2CB9">
        <w:rPr>
          <w:rFonts w:ascii="Calibri" w:eastAsia="Calibri" w:hAnsi="Calibri" w:cs="Calibri"/>
          <w:lang w:val="en-GB"/>
        </w:rPr>
        <w:t>families</w:t>
      </w:r>
      <w:r w:rsidRPr="5ECC47B9">
        <w:rPr>
          <w:rFonts w:ascii="Calibri" w:eastAsia="Calibri" w:hAnsi="Calibri" w:cs="Calibri"/>
          <w:lang w:val="en-GB"/>
        </w:rPr>
        <w:t>.</w:t>
      </w:r>
      <w:r w:rsidR="00EF7E84">
        <w:rPr>
          <w:rFonts w:ascii="Calibri" w:eastAsia="Calibri" w:hAnsi="Calibri" w:cs="Calibri"/>
          <w:lang w:val="en-GB"/>
        </w:rPr>
        <w:fldChar w:fldCharType="begin" w:fldLock="1"/>
      </w:r>
      <w:r w:rsidR="00146957">
        <w:rPr>
          <w:rFonts w:ascii="Calibri" w:eastAsia="Calibri" w:hAnsi="Calibri" w:cs="Calibri"/>
          <w:lang w:val="en-GB"/>
        </w:rPr>
        <w:instrText>ADDIN CSL_CITATION { "citationItems" : [ { "id" : "ITEM-1", "itemData" : { "ISSN" : "0270-7306", "PMID" : "10454578", "abstract" : "The constitutively active receptor (CAR) transactivates a distal enhancer called the phenobarbital (PB)-responsive enhancer module (PBREM) found in PB-inducible CYP2B genes. CAR dramatically increases its binding to PBREM in livers of PB-treated mice. We have investigated the cellular mechanism of PB-induced increase of CAR binding. Western blot analyses of mouse livers revealed an extensive nuclear accumulation of CAR following PB treatment. Nuclear contents of CAR perfectly correlate with an increase of CAR binding to PBREM. PB-elicited nuclear accumulation of CAR appears to be a general step regulating the induction of CYP2B genes, since treatments with other PB-type inducers result in the same nuclear accumulation of CAR. Both immunoprecipitation and immunohistochemistry studies show cytoplasmic localization of CAR in the livers of nontreated mice, indicating that CAR translocates into nuclei following PB treatment. Nuclear translocation of CAR also occurs in mouse primary hepatocytes but not in hepatocytes treated with the protein phosphatase inhibitor okadaic acid. Thus, the CAR-mediated transactivation of PBREM in vivo becomes PB responsive through an okadaic acid-sensitive nuclear translocation process.", "author" : [ { "dropping-particle" : "", "family" : "Kawamoto", "given" : "T", "non-dropping-particle" : "", "parse-names" : false, "suffix" : "" }, { "dropping-particle" : "", "family" : "Sueyoshi", "given" : "T", "non-dropping-particle" : "", "parse-names" : false, "suffix" : "" }, { "dropping-particle" : "", "family" : "Zelko", "given" : "I", "non-dropping-particle" : "", "parse-names" : false, "suffix" : "" }, { "dropping-particle" : "", "family" : "Moore", "given" : "R", "non-dropping-particle" : "", "parse-names" : false, "suffix" : "" }, { "dropping-particle" : "", "family" : "Washburn", "given" : "K", "non-dropping-particle" : "", "parse-names" : false, "suffix" : "" }, { "dropping-particle" : "", "family" : "Negishi", "given" : "M", "non-dropping-particle" : "", "parse-names" : false, "suffix" : "" } ], "container-title" : "Molecular and cellular biology", "id" : "ITEM-1", "issue" : "9", "issued" : { "date-parts" : [ [ "1999", "9" ] ] }, "page" : "6318-22", "title" : "Phenobarbital-responsive nuclear translocation of the receptor CAR in induction of the CYP2B gene.", "type" : "article-journal", "volume" : "19" }, "uris" : [ "http://www.mendeley.com/documents/?uuid=33cb923b-0151-4661-a48f-f168bdb0de53" ] }, { "id" : "ITEM-2", "itemData" : { "DOI" : "10.1074/jbc.M313601200", "ISSN" : "0021-9258", "PMID" : "15004031", "abstract" : "The orphan nuclear receptor CAR (NR1I3) has been characterized as a central component in the coordinate response to xenobiotic and endobiotic stress. In this study, we demonstrate that CAR plays a pivotal function in energy homeostasis and establish an unanticipated metabolic role for this nuclear receptor. Wild-type mice treated with the synthetic CAR agonist 1,4-bis[2-(3,5-dichloropyridyloxy)]benzene (TCPOBOP) exhibited decreased serum concentration of the thyroid hormone (TH) thyroxine (T(4)). However, treatment of Car(-/-) mice with TCPOBOP failed to elicit these changes. To examine whether CAR played a role in the regulation of TH levels under physiological conditions, wild-type and Car(-/-) mice were fasted for 24 h, a process known to alter TH metabolism in mammals. As expected, the serum triiodothyronine and T(4) concentrations decreased in wild-type mice. However, triiodothyronine and T(4) levels in fasted Car(-/-) mice remained significantly higher than those in fasted wild-type animals. Concomitant with the changes in serum TH levels, both CAR agonist treatment and fasting induced the expression of CAR target genes (notably, Cyp2b10, Ugt1a1, Sultn, Sult1a1, and Sult2a1) in a receptor-dependent manner. Importantly, the Ugt1a1, Sultn, Sult1a1, and Sult2a1 genes encode enzymes that are capable of metabolizing TH. An attenuated reduction in TH levels during fasting, as observed in Car(-/-) mice, would be predicted to increase weight loss during caloric restriction. Indeed, when Car(-/-) animals were placed on a 40% caloric restriction diet for 12 weeks, Car(-/-) animals lost over twice as much weight as their wild-type littermates. Thus, CAR participates in the molecular mechanisms contributing to homeostatic resistance to weight loss. These data imply that CAR represents a novel therapeutic target to uncouple metabolic rate from food intake and has implications in obesity and its associated disorders.", "author" : [ { "dropping-particle" : "", "family" : "Maglich", "given" : "Jodi M", "non-dropping-particle" : "", "parse-names" : false, "suffix" : "" }, { "dropping-particle" : "", "family" : "Watson", "given" : "Joe", "non-dropping-particle" : "", "parse-names" : false, "suffix" : "" }, { "dropping-particle" : "", "family" : "McMillen", "given" : "Patrick J", "non-dropping-particle" : "", "parse-names" : false, "suffix" : "" }, { "dropping-particle" : "", "family" : "Goodwin", "given" : "Bryan", "non-dropping-particle" : "", "parse-names" : false, "suffix" : "" }, { "dropping-particle" : "", "family" : "Willson", "given" : "Timothy M", "non-dropping-particle" : "", "parse-names" : false, "suffix" : "" }, { "dropping-particle" : "", "family" : "Moore", "given" : "John T", "non-dropping-particle" : "", "parse-names" : false, "suffix" : "" } ], "container-title" : "The Journal of biological chemistry", "id" : "ITEM-2", "issue" : "19", "issued" : { "date-parts" : [ [ "2004", "5", "7" ] ] }, "page" : "19832-8", "title" : "The nuclear receptor CAR is a regulator of thyroid hormone metabolism during caloric restriction.", "type" : "article-journal", "volume" : "279" }, "uris" : [ "http://www.mendeley.com/documents/?uuid=2ff960a5-8cc6-4f24-82a5-831d35539e9d" ] }, { "id" : "ITEM-3", "itemData" : { "DOI" : "10.1021/jf903711q", "ISSN" : "1520-5118", "PMID" : "20099825", "abstract" : "The constitutive androstane receptor (CAR) is known as a xeno-sensor that regulates genes involved in xenobiotic excretion and energy metabolism. This study tested a variety of polyphenols for their ability to modulate CAR activity. HepG2 cells were transfected with a CAR expression plasmid and a reporter plasmid containing the human CYP2B6 regulatory region and then treated with flavonoids, catechins, and other bioactive polyphenols. Luciferase assays revealed that baicalein (5,6,7-OH flavone) was a potent activator of both human and mouse CAR. Catechin gallates also activated human and mouse CAR. Wild-type and CAR knockout mice were treated with baicalein and chrysin (5,7-OH flavone), and their liver mRNA was analyzed by real-time polymerase chain reaction (PCR). A significant increase in cyp2b10 mRNA content was observed only in wild-type mice fed chrysin. These results suggest that dietary flavonoids regulate CAR activity and thereby accelerate both detoxification and energy metabolism.", "author" : [ { "dropping-particle" : "", "family" : "Yao", "given" : "Ruiquing", "non-dropping-particle" : "", "parse-names" : false, "suffix" : "" }, { "dropping-particle" : "", "family" : "Yasuoka", "given" : "Akihito", "non-dropping-particle" : "", "parse-names" : false, "suffix" : "" }, { "dropping-particle" : "", "family" : "Kamei", "given" : "Asuka", "non-dropping-particle" : "", "parse-names" : false, "suffix" : "" }, { "dropping-particle" : "", "family" : "Kitagawa", "given" : "Yoshinori", "non-dropping-particle" : "", "parse-names" : false, "suffix" : "" }, { "dropping-particle" : "", "family" : "Tateishi", "given" : "Norifumi", "non-dropping-particle" : "", "parse-names" : false, "suffix" : "" }, { "dropping-particle" : "", "family" : "Tsuruoka", "given" : "Nobuo", "non-dropping-particle" : "", "parse-names" : false, "suffix" : "" }, { "dropping-particle" : "", "family" : "Kiso", "given" : "Yoshionobu", "non-dropping-particle" : "", "parse-names" : false, "suffix" : "" }, { "dropping-particle" : "", "family" : "Sueyoshi", "given" : "Tatsuya", "non-dropping-particle" : "", "parse-names" : false, "suffix" : "" }, { "dropping-particle" : "", "family" : "Negishi", "given" : "Masahiko", "non-dropping-particle" : "", "parse-names" : false, "suffix" : "" }, { "dropping-particle" : "", "family" : "Misaka", "given" : "Takumi", "non-dropping-particle" : "", "parse-names" : false, "suffix" : "" }, { "dropping-particle" : "", "family" : "Abe", "given" : "Keiko", "non-dropping-particle" : "", "parse-names" : false, "suffix" : "" } ], "container-title" : "Journal of agricultural and food chemistry", "id" : "ITEM-3", "issue" : "4", "issued" : { "date-parts" : [ [ "2010", "2", "24" ] ] }, "page" : "2168-73", "title" : "Dietary flavonoids activate the constitutive androstane receptor (CAR).", "type" : "article-journal", "volume" : "58" }, "uris" : [ "http://www.mendeley.com/documents/?uuid=41f6a80d-50b3-4fb8-add2-fceca7d0b2e0" ] }, { "id" : "ITEM-4", "itemData" : { "DOI" : "10.1007/s13238-013-0013-0", "ISBN" : "1674-8018 (Electronic)", "ISSN" : "1674-8018", "PMID" : "24474196", "abstract" : "The constitutive androstane receptor (CAR, NR1I3) plays a crucial role in the regulation of drug metabolism, energy homeostasis, and cancer development through modulating the transcription of its numerous target genes. Different from prototypical nuclear receptors, CAR can be activated by either direct ligand binding or ligand-independent (indirect) mechanisms both initiated with nuclear translocation of CAR from the cytoplasm. In comparison to the well-defined ligand-based activation, indirect activation of CAR appears to be exclusively involved in the nuclear translocation through mechanisms yet to be fully understood. Accumulating evidence reveals that without activation, CAR forms a protein complex in the cytoplasm where it can be functionally affected by multiple signaling pathways. In this review, we discuss recent progresses in our understanding of the signaling regulation of CAR nuclear accumulation and activation. We expect that this review will also provide greater insight into the similarity and difference between the mechanisms of direct vs. indirect human CAR activation.", "author" : [ { "dropping-particle" : "", "family" : "Yang", "given" : "Hui", "non-dropping-particle" : "", "parse-names" : false, "suffix" : "" }, { "dropping-particle" : "", "family" : "Wang", "given" : "Hongbing", "non-dropping-particle" : "", "parse-names" : false, "suffix" : "" } ], "container-title" : "Protein &amp; cell", "id" : "ITEM-4", "issue" : "2", "issued" : { "date-parts" : [ [ "2014" ] ] }, "page" : "113-23", "title" : "Signaling control of the constitutive androstane receptor (CAR).", "type" : "article-journal", "volume" : "5" }, "uris" : [ "http://www.mendeley.com/documents/?uuid=524b7307-0c77-4ec2-a2cb-1f2151c5b102" ] }, { "id" : "ITEM-5", "itemData" : { "DOI" : "10.1021/tx200538r", "ISSN" : "1520-5010", "PMID" : "22303888", "abstract" : "Metabolic processes have to be regulated tightly to prevent waste of energy and to ensure sufficient detoxification. Most anabolic processes operate in a timely manner when energy intake is the highest, while catabolism takes place in energy spending periods. Endobiotic and xenobiotic metabolism are therefore under circadian control. Circadian regulation is mediated through the suprachiasmatic nucleus (SCN), a master autonomous oscillator of the brain. Although many peripheral organs have their own oscillators, the SCN is important in orchestrating and entraining organs according to the environmental light cues. However, light is not the only signal for entrainment of internal clocks. For endobiotic and xenobitoic detoxification pathways, the food composition and intake regime are equally important. The rhythm of the liver as an organ where the major metabolic pathways intersect depends on SCN signals, signals from endocrine tissues, and, importantly, the type and time of feeding or xenobiotics ingestion. Several enzymes are involved in detoxification processes. Phase I is composed mainly of cytochromes P450, which are regulated by nuclear receptors. Phase II enzymes modify the phase I metabolites, while phase III includes membrane transporters responsible for the elimination of modified xenobiotics. Phases I-III of drug metabolism are under strong circadian regulation, starting with the drug-sensing nuclear receptors and ending with drug transporters. Disturbed circadian regualtion (jet-lag, shift work, and dysfunction of core clock genes) leads to changed periods of activity, sleep disorders, disturbed glucose homeostasis, breast or colon cancer, and metabolic syndrome. As many xenobiotics influence the circadian rhythm of the liver, bad drug administration timing can worsen the above listed effects. This review will cover the major hepatic circadian regulation of endogenous and xenobiotic metabolic pathways and will provide examples of how good timing of drug administration can change drug failure to treatment success.", "author" : [ { "dropping-particle" : "", "family" : "Zmrzljak", "given" : "Ursula Prosenc", "non-dropping-particle" : "", "parse-names" : false, "suffix" : "" }, { "dropping-particle" : "", "family" : "Rozman", "given" : "Damjana", "non-dropping-particle" : "", "parse-names" : false, "suffix" : "" } ], "container-title" : "Chemical research in toxicology", "id" : "ITEM-5", "issue" : "4", "issued" : { "date-parts" : [ [ "2012", "4", "16" ] ] }, "page" : "811-24", "title" : "Circadian regulation of the hepatic endobiotic and xenobitoic detoxification pathways: the time matters.", "type" : "article-journal", "volume" : "25" }, "uris" : [ "http://www.mendeley.com/documents/?uuid=7e698711-6f15-42b7-8f4a-9c20f7dd261d" ] }, { "id" : "ITEM-6", "itemData" : { "ISSN" : "1875-5453", "PMID" : "21395541", "abstract" : "Cytochrome P450 (P450) monooxygenases are capable of catalyzing metabolism of various endogenous and exogenous compounds, such as bile acids, fatty acids, retinoids, steroids, drugs and other xenobiotics. The enzymes, belonging to CYP1, CYP2 and CYP3 families are primarily involved in the metabolism of drugs and xenobiotics. P450-mediated defense mechanism protects organisms from the potentially toxic effects of xenobiotics to which they are exposed. The adaptive transcriptional induction of P450s by xenobiotics is mediated by aromatic hydrocarbon receptor of Per-ARNT-Sim family, and nuclear hormone receptors, including pregnane X receptor, constitutive androstane receptor and glucocorticoid receptor. In addition to the receptor-mediated induction, endogenous factors (developmental, sex or hormonal factors) can also modulate P450 expression. Steroid hormones are biologically active compounds, controlling many physiological processes via endocrine signaling pathways and contributing to the transcriptional regulation of drug metabolizing P450s. Any change in P450 activities influences the rate of activation or inactivation of drugs. Exposure to xenobiotics (drugs, environmental pollutants) can exert changes in endocrine function both directly as hormone agonists/antagonists or indirectly altering the rates of hormone metabolism and consequently the circulating levels of hormones. Modulation of P450 expression by xenobiotics can affect the subsequent metabolism of not only foreign chemicals, but also steroid hormones. Perturbation in hormone metabolism leads to the imbalance in sexual and reproductive development, and in glucose, lipid and salt/water homeostasis. The purpose of this review is to highlight the interplay between drug-metabolizing P450s and steroid hormones as well as the interactions of xenosensor with steroid signaling pathways.", "author" : [ { "dropping-particle" : "", "family" : "Monostory", "given" : "Katalin", "non-dropping-particle" : "", "parse-names" : false, "suffix" : "" }, { "dropping-particle" : "", "family" : "Dvorak", "given" : "Zdenek", "non-dropping-particle" : "", "parse-names" : false, "suffix" : "" } ], "container-title" : "Current drug metabolism", "id" : "ITEM-6", "issue" : "2", "issued" : { "date-parts" : [ [ "2011", "2" ] ] }, "page" : "154-72", "title" : "Steroid regulation of drug-metabolizing cytochromes P450.", "type" : "article-journal", "volume" : "12" }, "uris" : [ "http://www.mendeley.com/documents/?uuid=3a0d84f2-9797-3d15-b282-99600a3dca74" ] } ], "mendeley" : { "formattedCitation" : "&lt;sup&gt;3,13,15,18\u201320&lt;/sup&gt;", "plainTextFormattedCitation" : "3,13,15,18\u201320", "previouslyFormattedCitation" : "&lt;sup&gt;3,13,15,18\u201320&lt;/sup&gt;" }, "properties" : { "noteIndex" : 0 }, "schema" : "https://github.com/citation-style-language/schema/raw/master/csl-citation.json" }</w:instrText>
      </w:r>
      <w:r w:rsidR="00EF7E84">
        <w:rPr>
          <w:rFonts w:ascii="Calibri" w:eastAsia="Calibri" w:hAnsi="Calibri" w:cs="Calibri"/>
          <w:lang w:val="en-GB"/>
        </w:rPr>
        <w:fldChar w:fldCharType="separate"/>
      </w:r>
      <w:r w:rsidR="00EF7E84" w:rsidRPr="00EF7E84">
        <w:rPr>
          <w:rFonts w:ascii="Calibri" w:eastAsia="Calibri" w:hAnsi="Calibri" w:cs="Calibri"/>
          <w:noProof/>
          <w:vertAlign w:val="superscript"/>
          <w:lang w:val="en-GB"/>
        </w:rPr>
        <w:t>3,13,15,18–20</w:t>
      </w:r>
      <w:r w:rsidR="00EF7E84">
        <w:rPr>
          <w:rFonts w:ascii="Calibri" w:eastAsia="Calibri" w:hAnsi="Calibri" w:cs="Calibri"/>
          <w:lang w:val="en-GB"/>
        </w:rPr>
        <w:fldChar w:fldCharType="end"/>
      </w:r>
    </w:p>
    <w:p w14:paraId="2DE92F71" w14:textId="5FE73A56" w:rsidR="7B4AD3E9" w:rsidRDefault="5ECC47B9" w:rsidP="004513A2">
      <w:pPr>
        <w:spacing w:line="360" w:lineRule="auto"/>
        <w:jc w:val="both"/>
      </w:pPr>
      <w:r w:rsidRPr="5ECC47B9">
        <w:rPr>
          <w:rFonts w:ascii="Calibri" w:eastAsia="Calibri" w:hAnsi="Calibri" w:cs="Calibri"/>
          <w:lang w:val="en-GB"/>
        </w:rPr>
        <w:t xml:space="preserve">The interaction between nuclear receptors and their co-activators is a </w:t>
      </w:r>
      <w:r w:rsidR="002A3CEA" w:rsidRPr="5ECC47B9">
        <w:rPr>
          <w:rFonts w:ascii="Calibri" w:eastAsia="Calibri" w:hAnsi="Calibri" w:cs="Calibri"/>
          <w:lang w:val="en-GB"/>
        </w:rPr>
        <w:t>well-documented</w:t>
      </w:r>
      <w:r w:rsidRPr="5ECC47B9">
        <w:rPr>
          <w:rFonts w:ascii="Calibri" w:eastAsia="Calibri" w:hAnsi="Calibri" w:cs="Calibri"/>
          <w:lang w:val="en-GB"/>
        </w:rPr>
        <w:t xml:space="preserve"> interaction</w:t>
      </w:r>
      <w:r w:rsidR="007D471A">
        <w:rPr>
          <w:rFonts w:ascii="Calibri" w:eastAsia="Calibri" w:hAnsi="Calibri" w:cs="Calibri"/>
          <w:lang w:val="en-GB"/>
        </w:rPr>
        <w:t xml:space="preserve"> that is highly conserved among species</w:t>
      </w:r>
      <w:r w:rsidRPr="5ECC47B9">
        <w:rPr>
          <w:rFonts w:ascii="Calibri" w:eastAsia="Calibri" w:hAnsi="Calibri" w:cs="Calibri"/>
          <w:lang w:val="en-GB"/>
        </w:rPr>
        <w:t>.</w:t>
      </w:r>
      <w:r w:rsidR="00B6475E">
        <w:rPr>
          <w:rFonts w:ascii="Calibri" w:eastAsia="Calibri" w:hAnsi="Calibri" w:cs="Calibri"/>
          <w:lang w:val="en-GB"/>
        </w:rPr>
        <w:fldChar w:fldCharType="begin" w:fldLock="1"/>
      </w:r>
      <w:r w:rsidR="00EF7E84">
        <w:rPr>
          <w:rFonts w:ascii="Calibri" w:eastAsia="Calibri" w:hAnsi="Calibri" w:cs="Calibri"/>
          <w:lang w:val="en-GB"/>
        </w:rPr>
        <w:instrText>ADDIN CSL_CITATION { "citationItems" : [ { "id" : "ITEM-1", "itemData" : { "DOI" : "10.1091/mbc.E12-02-0142", "ISSN" : "1939-4586", "PMID" : "22875992", "abstract" : "In Neurospora crassa and other filamentous fungi, light-dependent-specific phenomena are regulated by transcription factors WC-1 and WC-2. In addition to its transcriptional activity, WC-1 is able to directly sense light stimuli through a LOV sensor domain. Its location in the nucleus and heterodimerization with WC-2, together with the presence of a zinc-finger DNA-binding domain and an environmental sensor domain, all resemble the functional evolutionary architecture adopted by vertebrate nuclear receptors (NRs). Here we describe a scenario in which WC-1 represents a functional orthologue of NRs and acts through association with the chromatin-modifying coactivator NGF-1, which encodes a homologue of the yeast Gcn5p acetyltransferase. To support this view, we show a direct association between WC-1 and NGF-1 that depends on a WC-1 region containing a conserved functional LXXLL motif, a signature previously described as being an exclusive feature of NR/coactivator interaction. Our data suggest that a WC-1/NGF-1 complex is preassembled in the dark on light-inducible promoters and that, after exposure to light stimulation, NGF-1-associated HAT activity leads to histone H3 acetylation and transcriptional activation. Finally, we provide evidence for a NGF-1-independent acetylated form of WC-1. Overall our data indicate that Neurospora and higher eukaryotes share a common mechanism for the signal transduction of environmental stimuli.", "author" : [ { "dropping-particle" : "", "family" : "Brenna", "given" : "Andrea", "non-dropping-particle" : "", "parse-names" : false, "suffix" : "" }, { "dropping-particle" : "", "family" : "Grimaldi", "given" : "Benedetto", "non-dropping-particle" : "", "parse-names" : false, "suffix" : "" }, { "dropping-particle" : "", "family" : "Filetici", "given" : "Patrizia", "non-dropping-particle" : "", "parse-names" : false, "suffix" : "" }, { "dropping-particle" : "", "family" : "Ballario", "given" : "Paola", "non-dropping-particle" : "", "parse-names" : false, "suffix" : "" } ], "container-title" : "Molecular biology of the cell", "id" : "ITEM-1", "issue" : "19", "issued" : { "date-parts" : [ [ "2012", "10" ] ] }, "page" : "3863-72", "publisher" : "American Society for Cell Biology", "title" : "Physical association of the WC-1 photoreceptor and the histone acetyltransferase NGF-1 is required for blue light signal transduction in Neurospora crassa.", "type" : "article-journal", "volume" : "23" }, "uris" : [ "http://www.mendeley.com/documents/?uuid=8cd55d0b-476b-3bd4-843f-5d147ef0693c" ] }, { "id" : "ITEM-2", "itemData" : { "DOI" : "10.1111/j.1399-3011.2004.00126.x", "ISSN" : "1397-002X", "PMID" : "15049832", "abstract" : "Nuclear receptors require coactivator binding in order to activate transcription of their cognate target genes. Ligands regulate nuclear receptor (NR)-mediated recruitment of coactivators by binding to the ligand-binding domain of the receptor and inducing a conformational change allowing for recognition of a specific motif contained within the coactivator protein. This motif is known as the NR box or LXXLL (where L is leucine and X is any amino acid) domain. Here, we review the discovery of the domain as well as its characterization.", "author" : [ { "dropping-particle" : "", "family" : "Savkur", "given" : "R S", "non-dropping-particle" : "", "parse-names" : false, "suffix" : "" }, { "dropping-particle" : "", "family" : "Burris", "given" : "T P", "non-dropping-particle" : "", "parse-names" : false, "suffix" : "" } ], "container-title" : "The journal of peptide research : official journal of the American Peptide Society", "id" : "ITEM-2", "issue" : "3", "issued" : { "date-parts" : [ [ "2004", "3" ] ] }, "page" : "207-12", "title" : "The coactivator LXXLL nuclear receptor recognition motif.", "type" : "article-journal", "volume" : "63" }, "uris" : [ "http://www.mendeley.com/documents/?uuid=d639121f-0ace-41d8-a8e3-c840b99370ca" ] } ], "mendeley" : { "formattedCitation" : "&lt;sup&gt;9,21&lt;/sup&gt;", "plainTextFormattedCitation" : "9,21", "previouslyFormattedCitation" : "&lt;sup&gt;9,21&lt;/sup&gt;" }, "properties" : { "noteIndex" : 0 }, "schema" : "https://github.com/citation-style-language/schema/raw/master/csl-citation.json" }</w:instrText>
      </w:r>
      <w:r w:rsidR="00B6475E">
        <w:rPr>
          <w:rFonts w:ascii="Calibri" w:eastAsia="Calibri" w:hAnsi="Calibri" w:cs="Calibri"/>
          <w:lang w:val="en-GB"/>
        </w:rPr>
        <w:fldChar w:fldCharType="separate"/>
      </w:r>
      <w:r w:rsidR="00EF7E84" w:rsidRPr="00EF7E84">
        <w:rPr>
          <w:rFonts w:ascii="Calibri" w:eastAsia="Calibri" w:hAnsi="Calibri" w:cs="Calibri"/>
          <w:noProof/>
          <w:vertAlign w:val="superscript"/>
          <w:lang w:val="en-GB"/>
        </w:rPr>
        <w:t>9,21</w:t>
      </w:r>
      <w:r w:rsidR="00B6475E">
        <w:rPr>
          <w:rFonts w:ascii="Calibri" w:eastAsia="Calibri" w:hAnsi="Calibri" w:cs="Calibri"/>
          <w:lang w:val="en-GB"/>
        </w:rPr>
        <w:fldChar w:fldCharType="end"/>
      </w:r>
      <w:r w:rsidRPr="5ECC47B9">
        <w:rPr>
          <w:rFonts w:ascii="Calibri" w:eastAsia="Calibri" w:hAnsi="Calibri" w:cs="Calibri"/>
          <w:lang w:val="en-GB"/>
        </w:rPr>
        <w:t xml:space="preserve"> </w:t>
      </w:r>
      <w:r w:rsidR="00B6475E">
        <w:rPr>
          <w:rFonts w:ascii="Calibri" w:eastAsia="Calibri" w:hAnsi="Calibri" w:cs="Calibri"/>
          <w:lang w:val="en-GB"/>
        </w:rPr>
        <w:t>N</w:t>
      </w:r>
      <w:r w:rsidRPr="5ECC47B9">
        <w:rPr>
          <w:rFonts w:ascii="Calibri" w:eastAsia="Calibri" w:hAnsi="Calibri" w:cs="Calibri"/>
          <w:lang w:val="en-GB"/>
        </w:rPr>
        <w:t xml:space="preserve">uclear receptors have high </w:t>
      </w:r>
      <w:r w:rsidR="005B2FD1">
        <w:rPr>
          <w:rFonts w:ascii="Calibri" w:eastAsia="Calibri" w:hAnsi="Calibri" w:cs="Calibri"/>
          <w:lang w:val="en-GB"/>
        </w:rPr>
        <w:t>similarity</w:t>
      </w:r>
      <w:r w:rsidRPr="5ECC47B9">
        <w:rPr>
          <w:rFonts w:ascii="Calibri" w:eastAsia="Calibri" w:hAnsi="Calibri" w:cs="Calibri"/>
          <w:lang w:val="en-GB"/>
        </w:rPr>
        <w:t xml:space="preserve"> in their ligand binding domains, especially in the region of helices 3, 4 and 5. These helices form a hydrophobic </w:t>
      </w:r>
      <w:r w:rsidR="007A2A10" w:rsidRPr="5ECC47B9">
        <w:rPr>
          <w:rFonts w:ascii="Calibri" w:eastAsia="Calibri" w:hAnsi="Calibri" w:cs="Calibri"/>
          <w:lang w:val="en-GB"/>
        </w:rPr>
        <w:t>cleft which</w:t>
      </w:r>
      <w:r w:rsidRPr="5ECC47B9">
        <w:rPr>
          <w:rFonts w:ascii="Calibri" w:eastAsia="Calibri" w:hAnsi="Calibri" w:cs="Calibri"/>
          <w:lang w:val="en-GB"/>
        </w:rPr>
        <w:t xml:space="preserve"> interacts with </w:t>
      </w:r>
      <w:proofErr w:type="spellStart"/>
      <w:r w:rsidRPr="5ECC47B9">
        <w:rPr>
          <w:rFonts w:ascii="Calibri" w:eastAsia="Calibri" w:hAnsi="Calibri" w:cs="Calibri"/>
          <w:lang w:val="en-GB"/>
        </w:rPr>
        <w:t>leucines</w:t>
      </w:r>
      <w:proofErr w:type="spellEnd"/>
      <w:r w:rsidRPr="5ECC47B9">
        <w:rPr>
          <w:rFonts w:ascii="Calibri" w:eastAsia="Calibri" w:hAnsi="Calibri" w:cs="Calibri"/>
          <w:lang w:val="en-GB"/>
        </w:rPr>
        <w:t xml:space="preserve"> of the co-activators' LXXLL motifs. </w:t>
      </w:r>
      <w:r>
        <w:t xml:space="preserve">The two residues </w:t>
      </w:r>
      <w:r w:rsidR="00435042">
        <w:t>between the three leucines</w:t>
      </w:r>
      <w:r>
        <w:t xml:space="preserve"> have little or no importance to binding of LXXLL motifs as they are in direct contact with the surrounding aqueous solution.</w:t>
      </w:r>
      <w:r w:rsidRPr="5ECC47B9">
        <w:rPr>
          <w:rFonts w:ascii="Calibri" w:eastAsia="Calibri" w:hAnsi="Calibri" w:cs="Calibri"/>
          <w:lang w:val="en-GB"/>
        </w:rPr>
        <w:t xml:space="preserve"> Charged residues of the helices 3-5 form interactions with amino acids surrounding the LXXLL motifs and this is crucial for specificity of interactions and recognition of appropriate co-activators. The most important </w:t>
      </w:r>
      <w:r w:rsidR="004C6D3A">
        <w:rPr>
          <w:rFonts w:ascii="Calibri" w:eastAsia="Calibri" w:hAnsi="Calibri" w:cs="Calibri"/>
          <w:lang w:val="en-GB"/>
        </w:rPr>
        <w:t>for specificity of co-activators</w:t>
      </w:r>
      <w:r w:rsidRPr="5ECC47B9">
        <w:rPr>
          <w:rFonts w:ascii="Calibri" w:eastAsia="Calibri" w:hAnsi="Calibri" w:cs="Calibri"/>
          <w:lang w:val="en-GB"/>
        </w:rPr>
        <w:t xml:space="preserve"> are the two residues just before the first leucine</w:t>
      </w:r>
      <w:r w:rsidR="008A5F7F">
        <w:rPr>
          <w:rFonts w:ascii="Calibri" w:eastAsia="Calibri" w:hAnsi="Calibri" w:cs="Calibri"/>
          <w:lang w:val="en-GB"/>
        </w:rPr>
        <w:t xml:space="preserve"> of the LXXLL motif</w:t>
      </w:r>
      <w:r w:rsidR="004C6D3A">
        <w:rPr>
          <w:rFonts w:ascii="Calibri" w:eastAsia="Calibri" w:hAnsi="Calibri" w:cs="Calibri"/>
          <w:lang w:val="en-GB"/>
        </w:rPr>
        <w:t>,</w:t>
      </w:r>
      <w:r w:rsidRPr="5ECC47B9">
        <w:rPr>
          <w:rFonts w:ascii="Calibri" w:eastAsia="Calibri" w:hAnsi="Calibri" w:cs="Calibri"/>
          <w:lang w:val="en-GB"/>
        </w:rPr>
        <w:t xml:space="preserve"> usually </w:t>
      </w:r>
      <w:r w:rsidR="007A2A10" w:rsidRPr="5ECC47B9">
        <w:rPr>
          <w:rFonts w:ascii="Calibri" w:eastAsia="Calibri" w:hAnsi="Calibri" w:cs="Calibri"/>
          <w:lang w:val="en-GB"/>
        </w:rPr>
        <w:t>referred</w:t>
      </w:r>
      <w:r w:rsidRPr="5ECC47B9">
        <w:rPr>
          <w:rFonts w:ascii="Calibri" w:eastAsia="Calibri" w:hAnsi="Calibri" w:cs="Calibri"/>
          <w:lang w:val="en-GB"/>
        </w:rPr>
        <w:t xml:space="preserve"> as –2 and –1. We were mostly interested in class 3 </w:t>
      </w:r>
      <w:r w:rsidR="004C6D3A">
        <w:rPr>
          <w:rFonts w:ascii="Calibri" w:eastAsia="Calibri" w:hAnsi="Calibri" w:cs="Calibri"/>
          <w:lang w:val="en-GB"/>
        </w:rPr>
        <w:t>of LXXLL motif</w:t>
      </w:r>
      <w:r w:rsidR="00F43444">
        <w:rPr>
          <w:rFonts w:ascii="Calibri" w:eastAsia="Calibri" w:hAnsi="Calibri" w:cs="Calibri"/>
          <w:lang w:val="en-GB"/>
        </w:rPr>
        <w:t>s,</w:t>
      </w:r>
      <w:r w:rsidR="004C6D3A">
        <w:rPr>
          <w:rFonts w:ascii="Calibri" w:eastAsia="Calibri" w:hAnsi="Calibri" w:cs="Calibri"/>
          <w:lang w:val="en-GB"/>
        </w:rPr>
        <w:t xml:space="preserve"> </w:t>
      </w:r>
      <w:r w:rsidRPr="5ECC47B9">
        <w:rPr>
          <w:rFonts w:ascii="Calibri" w:eastAsia="Calibri" w:hAnsi="Calibri" w:cs="Calibri"/>
          <w:lang w:val="en-GB"/>
        </w:rPr>
        <w:t xml:space="preserve">according to </w:t>
      </w:r>
      <w:proofErr w:type="spellStart"/>
      <w:r w:rsidRPr="5ECC47B9">
        <w:rPr>
          <w:rFonts w:ascii="Calibri" w:eastAsia="Calibri" w:hAnsi="Calibri" w:cs="Calibri"/>
          <w:lang w:val="en-GB"/>
        </w:rPr>
        <w:t>Savkur</w:t>
      </w:r>
      <w:proofErr w:type="spellEnd"/>
      <w:r w:rsidRPr="5ECC47B9">
        <w:rPr>
          <w:rFonts w:ascii="Calibri" w:eastAsia="Calibri" w:hAnsi="Calibri" w:cs="Calibri"/>
          <w:lang w:val="en-GB"/>
        </w:rPr>
        <w:t xml:space="preserve"> and Burris, which encompasses motifs SXLXXLL.</w:t>
      </w:r>
      <w:r w:rsidR="007A2A10">
        <w:rPr>
          <w:rFonts w:ascii="Calibri" w:eastAsia="Calibri" w:hAnsi="Calibri" w:cs="Calibri"/>
          <w:lang w:val="en-GB"/>
        </w:rPr>
        <w:fldChar w:fldCharType="begin" w:fldLock="1"/>
      </w:r>
      <w:r w:rsidR="00EF7E84">
        <w:rPr>
          <w:rFonts w:ascii="Calibri" w:eastAsia="Calibri" w:hAnsi="Calibri" w:cs="Calibri"/>
          <w:lang w:val="en-GB"/>
        </w:rPr>
        <w:instrText>ADDIN CSL_CITATION { "citationItems" : [ { "id" : "ITEM-1", "itemData" : { "DOI" : "10.1111/j.1399-3011.2004.00126.x", "ISSN" : "1397-002X", "PMID" : "15049832", "abstract" : "Nuclear receptors require coactivator binding in order to activate transcription of their cognate target genes. Ligands regulate nuclear receptor (NR)-mediated recruitment of coactivators by binding to the ligand-binding domain of the receptor and inducing a conformational change allowing for recognition of a specific motif contained within the coactivator protein. This motif is known as the NR box or LXXLL (where L is leucine and X is any amino acid) domain. Here, we review the discovery of the domain as well as its characterization.", "author" : [ { "dropping-particle" : "", "family" : "Savkur", "given" : "R S", "non-dropping-particle" : "", "parse-names" : false, "suffix" : "" }, { "dropping-particle" : "", "family" : "Burris", "given" : "T P", "non-dropping-particle" : "", "parse-names" : false, "suffix" : "" } ], "container-title" : "The journal of peptide research : official journal of the American Peptide Society", "id" : "ITEM-1", "issue" : "3", "issued" : { "date-parts" : [ [ "2004", "3" ] ] }, "page" : "207-12", "title" : "The coactivator LXXLL nuclear receptor recognition motif.", "type" : "article-journal", "volume" : "63" }, "uris" : [ "http://www.mendeley.com/documents/?uuid=d639121f-0ace-41d8-a8e3-c840b99370ca" ] }, { "id" : "ITEM-2", "itemData" : { "DOI" : "10.1016/j.molcel.2004.11.036", "ISSN" : "1097-2765", "PMID" : "15610733", "abstract" : "Constitutive androstane receptor (CAR) induces xenobiotic, bilirubin, and thyroid hormone metabolism as a heterodimer with the retinoid X receptor (RXR). Unlike ligand-dependent nuclear receptors, CAR is constitutively active. Here, we report the heterodimeric structure of the CAR and RXR ligand binding domains (LBDs), which reveals an unusually large dimerization interface and a small CAR ligand binding pocket. Constitutive CAR activity appears to be mediated by the compact nature of the CAR LBD that displays several unique features including a shortened AF2 helix and helix H10, which are linked by a two-turn helix that normally adopts an extended loop in other receptors, and an extended helix H2 that stabilizes the canonical LBD fold by packing tightly against helix H3. These structural observations provide a molecular framework for understanding the atypical transcriptional activation properties of CAR.", "author" : [ { "dropping-particle" : "", "family" : "Suino", "given" : "Kelly", "non-dropping-particle" : "", "parse-names" : false, "suffix" : "" }, { "dropping-particle" : "", "family" : "Peng", "given" : "Li", "non-dropping-particle" : "", "parse-names" : false, "suffix" : "" }, { "dropping-particle" : "", "family" : "Reynolds", "given" : "Ross", "non-dropping-particle" : "", "parse-names" : false, "suffix" : "" }, { "dropping-particle" : "", "family" : "Li", "given" : "Yong", "non-dropping-particle" : "", "parse-names" : false, "suffix" : "" }, { "dropping-particle" : "", "family" : "Cha", "given" : "Ji-Young", "non-dropping-particle" : "", "parse-names" : false, "suffix" : "" }, { "dropping-particle" : "", "family" : "Repa", "given" : "Joyce J", "non-dropping-particle" : "", "parse-names" : false, "suffix" : "" }, { "dropping-particle" : "", "family" : "Kliewer", "given" : "Steven A", "non-dropping-particle" : "", "parse-names" : false, "suffix" : "" }, { "dropping-particle" : "", "family" : "Xu", "given" : "H Eric", "non-dropping-particle" : "", "parse-names" : false, "suffix" : "" } ], "container-title" : "Molecular cell", "id" : "ITEM-2", "issue" : "6", "issued" : { "date-parts" : [ [ "2004", "12", "22" ] ] }, "page" : "893-905", "title" : "The nuclear xenobiotic receptor CAR: structural determinants of constitutive activation and heterodimerization.", "type" : "article-journal", "volume" : "16" }, "uris" : [ "http://www.mendeley.com/documents/?uuid=f5077e27-f4f1-4448-af06-65fa3ac8f1a3" ] } ], "mendeley" : { "formattedCitation" : "&lt;sup&gt;9,22&lt;/sup&gt;", "plainTextFormattedCitation" : "9,22", "previouslyFormattedCitation" : "&lt;sup&gt;9,22&lt;/sup&gt;" }, "properties" : { "noteIndex" : 0 }, "schema" : "https://github.com/citation-style-language/schema/raw/master/csl-citation.json" }</w:instrText>
      </w:r>
      <w:r w:rsidR="007A2A10">
        <w:rPr>
          <w:rFonts w:ascii="Calibri" w:eastAsia="Calibri" w:hAnsi="Calibri" w:cs="Calibri"/>
          <w:lang w:val="en-GB"/>
        </w:rPr>
        <w:fldChar w:fldCharType="separate"/>
      </w:r>
      <w:r w:rsidR="00EF7E84" w:rsidRPr="00EF7E84">
        <w:rPr>
          <w:rFonts w:ascii="Calibri" w:eastAsia="Calibri" w:hAnsi="Calibri" w:cs="Calibri"/>
          <w:noProof/>
          <w:vertAlign w:val="superscript"/>
          <w:lang w:val="en-GB"/>
        </w:rPr>
        <w:t>9,22</w:t>
      </w:r>
      <w:r w:rsidR="007A2A10">
        <w:rPr>
          <w:rFonts w:ascii="Calibri" w:eastAsia="Calibri" w:hAnsi="Calibri" w:cs="Calibri"/>
          <w:lang w:val="en-GB"/>
        </w:rPr>
        <w:fldChar w:fldCharType="end"/>
      </w:r>
    </w:p>
    <w:p w14:paraId="6D853FE9" w14:textId="1225F8A5" w:rsidR="004C6D3A" w:rsidRDefault="00EF7E84" w:rsidP="004513A2">
      <w:pPr>
        <w:spacing w:line="360" w:lineRule="auto"/>
        <w:jc w:val="both"/>
        <w:rPr>
          <w:rFonts w:ascii="Calibri" w:eastAsia="Calibri" w:hAnsi="Calibri" w:cs="Calibri"/>
          <w:lang w:val="en-GB"/>
        </w:rPr>
      </w:pPr>
      <w:r>
        <w:rPr>
          <w:rFonts w:ascii="Calibri" w:eastAsia="Calibri" w:hAnsi="Calibri" w:cs="Calibri"/>
          <w:lang w:val="en-GB"/>
        </w:rPr>
        <w:t xml:space="preserve">Here we show that CAR and PER2 interact and activate </w:t>
      </w:r>
      <w:r w:rsidRPr="00EF7E84">
        <w:rPr>
          <w:rFonts w:ascii="Calibri" w:eastAsia="Calibri" w:hAnsi="Calibri" w:cs="Calibri"/>
          <w:i/>
          <w:lang w:val="en-GB"/>
        </w:rPr>
        <w:t>Bmal1</w:t>
      </w:r>
      <w:r>
        <w:rPr>
          <w:rFonts w:ascii="Calibri" w:eastAsia="Calibri" w:hAnsi="Calibri" w:cs="Calibri"/>
          <w:lang w:val="en-GB"/>
        </w:rPr>
        <w:t xml:space="preserve"> transcription. The initial prediction was made on the basis of homology of LXXLL motifs of PER2 and several known CAR co-activators</w:t>
      </w:r>
      <w:r w:rsidR="004C6D3A">
        <w:rPr>
          <w:rFonts w:ascii="Calibri" w:eastAsia="Calibri" w:hAnsi="Calibri" w:cs="Calibri"/>
          <w:lang w:val="en-GB"/>
        </w:rPr>
        <w:t xml:space="preserve"> </w:t>
      </w:r>
      <w:r w:rsidR="004C6D3A">
        <w:rPr>
          <w:rFonts w:ascii="Calibri" w:eastAsia="Calibri" w:hAnsi="Calibri" w:cs="Calibri"/>
          <w:lang w:val="en-GB"/>
        </w:rPr>
        <w:lastRenderedPageBreak/>
        <w:t xml:space="preserve">and was confirmed experimentally. </w:t>
      </w:r>
      <w:r w:rsidR="00CA3FB4">
        <w:rPr>
          <w:rFonts w:ascii="Calibri" w:eastAsia="Calibri" w:hAnsi="Calibri" w:cs="Calibri"/>
          <w:lang w:val="en-GB"/>
        </w:rPr>
        <w:t>Our data presents the first report of communication between drug metabolism and the circadian rhythm at the level of direct interaction between PER2 and CAR.</w:t>
      </w:r>
    </w:p>
    <w:p w14:paraId="03EDDE01" w14:textId="33CD40DA" w:rsidR="7B4AD3E9" w:rsidRDefault="61EFD50B" w:rsidP="004513A2">
      <w:pPr>
        <w:pStyle w:val="Heading2"/>
        <w:spacing w:line="360" w:lineRule="auto"/>
        <w:jc w:val="both"/>
      </w:pPr>
      <w:r w:rsidRPr="61EFD50B">
        <w:rPr>
          <w:lang w:val="en-GB"/>
        </w:rPr>
        <w:t>Results</w:t>
      </w:r>
    </w:p>
    <w:p w14:paraId="5BBCA96F" w14:textId="68A3EC16" w:rsidR="61EFD50B" w:rsidRDefault="5ECC47B9" w:rsidP="004513A2">
      <w:pPr>
        <w:spacing w:line="360" w:lineRule="auto"/>
        <w:jc w:val="both"/>
        <w:rPr>
          <w:rFonts w:ascii="Calibri" w:eastAsia="Calibri" w:hAnsi="Calibri" w:cs="Calibri"/>
        </w:rPr>
      </w:pPr>
      <w:r w:rsidRPr="5ECC47B9">
        <w:rPr>
          <w:rFonts w:ascii="Calibri" w:eastAsia="Calibri" w:hAnsi="Calibri" w:cs="Calibri"/>
        </w:rPr>
        <w:t xml:space="preserve">Bioinformatic analysis of </w:t>
      </w:r>
      <w:r w:rsidR="5074CF87" w:rsidRPr="5074CF87">
        <w:rPr>
          <w:rFonts w:ascii="Calibri" w:eastAsia="Calibri" w:hAnsi="Calibri" w:cs="Calibri"/>
        </w:rPr>
        <w:t xml:space="preserve">transcription factor binding sites using MatInspector, Matrix Library 9.4 and User-defined IUPAC strings revealed potential binding sites for CAR on </w:t>
      </w:r>
      <w:r w:rsidR="5074CF87" w:rsidRPr="1E1A65AB">
        <w:rPr>
          <w:rFonts w:ascii="Calibri" w:eastAsia="Calibri" w:hAnsi="Calibri" w:cs="Calibri"/>
          <w:i/>
          <w:iCs/>
        </w:rPr>
        <w:t>Bmal1</w:t>
      </w:r>
      <w:r w:rsidR="5074CF87" w:rsidRPr="5074CF87">
        <w:rPr>
          <w:rFonts w:ascii="Calibri" w:eastAsia="Calibri" w:hAnsi="Calibri" w:cs="Calibri"/>
        </w:rPr>
        <w:t xml:space="preserve"> promoter, eg for CAR/RXR at 414-438 (positive strand) of GXP_5050588 (</w:t>
      </w:r>
      <w:r w:rsidR="5074CF87" w:rsidRPr="1E1A65AB">
        <w:rPr>
          <w:rFonts w:ascii="Calibri" w:eastAsia="Calibri" w:hAnsi="Calibri" w:cs="Calibri"/>
          <w:i/>
          <w:iCs/>
        </w:rPr>
        <w:t>Bmal1</w:t>
      </w:r>
      <w:r w:rsidR="5074CF87" w:rsidRPr="5074CF87">
        <w:rPr>
          <w:rFonts w:ascii="Calibri" w:eastAsia="Calibri" w:hAnsi="Calibri" w:cs="Calibri"/>
        </w:rPr>
        <w:t xml:space="preserve"> </w:t>
      </w:r>
      <w:r w:rsidR="5074CF87" w:rsidRPr="1E1A65AB">
        <w:rPr>
          <w:rFonts w:ascii="Calibri" w:eastAsia="Calibri" w:hAnsi="Calibri" w:cs="Calibri"/>
          <w:i/>
          <w:iCs/>
        </w:rPr>
        <w:t>Mus musculus</w:t>
      </w:r>
      <w:r w:rsidR="5074CF87" w:rsidRPr="5074CF87">
        <w:rPr>
          <w:rFonts w:ascii="Calibri" w:eastAsia="Calibri" w:hAnsi="Calibri" w:cs="Calibri"/>
        </w:rPr>
        <w:t>)</w:t>
      </w:r>
      <w:r w:rsidRPr="5ECC47B9">
        <w:rPr>
          <w:rFonts w:ascii="Calibri" w:eastAsia="Calibri" w:hAnsi="Calibri" w:cs="Calibri"/>
        </w:rPr>
        <w:t>.</w:t>
      </w:r>
      <w:r w:rsidR="00935DCB">
        <w:fldChar w:fldCharType="begin" w:fldLock="1"/>
      </w:r>
      <w:r w:rsidR="00507961">
        <w:instrText>ADDIN CSL_CITATION { "citationItems" : [ { "id" : "ITEM-1", "itemData" : { "DOI" : "10.1093/bioinformatics/bti473", "ISBN" : "1367-4803", "ISSN" : "13674803", "PMID" : "15860560", "abstract" : "MOTIVATION: Promoter analysis is an essential step on the way to identify regulatory networks. A prerequisite for successful promoter analysis is the prediction of potential transcription factor binding sites (TFBS) with reasonable accuracy. The next steps in promoter analysis can be tackled only with reliable predictions, e.g. finding phylogenetically conserved patterns or identifying higher order combinations of sites in promoters of co-regulated genes. RESULTS: We present a new version of the program MatInspector that identifies TFBS in nucleotide sequences using a large library of weight matrices. By introducing a matrix family concept, optimized thresholds, and comparative analysis, the enhanced program produces concise results avoiding redundant and false-positive matches. We describe a number of programs based on MatInspector allowing in-depth promoter analysis (DiAlignTF, FrameWorker) and targeted design of regulatory sequences (SequenceShaper).", "author" : [ { "dropping-particle" : "", "family" : "Cartharius", "given" : "K.", "non-dropping-particle" : "", "parse-names" : false, "suffix" : "" }, { "dropping-particle" : "", "family" : "Frech", "given" : "K.", "non-dropping-particle" : "", "parse-names" : false, "suffix" : "" }, { "dropping-particle" : "", "family" : "Grote", "given" : "K.", "non-dropping-particle" : "", "parse-names" : false, "suffix" : "" }, { "dropping-particle" : "", "family" : "Klocke", "given" : "B.", "non-dropping-particle" : "", "parse-names" : false, "suffix" : "" }, { "dropping-particle" : "", "family" : "Haltmeier", "given" : "M.", "non-dropping-particle" : "", "parse-names" : false, "suffix" : "" }, { "dropping-particle" : "", "family" : "Klingenhoff", "given" : "A.", "non-dropping-particle" : "", "parse-names" : false, "suffix" : "" }, { "dropping-particle" : "", "family" : "Frisch", "given" : "M.", "non-dropping-particle" : "", "parse-names" : false, "suffix" : "" }, { "dropping-particle" : "", "family" : "Bayerlein", "given" : "M.", "non-dropping-particle" : "", "parse-names" : false, "suffix" : "" }, { "dropping-particle" : "", "family" : "Werner", "given" : "T.", "non-dropping-particle" : "", "parse-names" : false, "suffix" : "" } ], "container-title" : "Bioinformatics", "id" : "ITEM-1", "issue" : "13", "issued" : { "date-parts" : [ [ "2005" ] ] }, "page" : "2933-2942", "title" : "MatInspector and beyond: Promoter analysis based on transcription factor binding sites", "type" : "article-journal", "volume" : "21" }, "uris" : [ "http://www.mendeley.com/documents/?uuid=07291389-f142-496a-aaf2-34e44287d5cb" ] }, { "id" : "ITEM-2", "itemData" : { "DOI" : "10.1074/jbc.M305186200", "ISSN" : "0021-9258", "PMID" : "12896978", "abstract" : "The nuclear receptor constitutive androstane receptor (CAR) acts as a xenobiotic sensor and regulates the expression of enzymes, such as several cytochromes P450s and the UDP-glucuronosyltransferase (UGT) type 1A1. CAR binds as a heterodimer with the retinoid X receptor (RXR) to specific DNA sites, called response elements (REs). Clusters of CAR REs, referred to as phenobarbital response enhancer modules (PBREMs), have been identified in several CAR target genes. In this study we confirm that REs formed by direct repeats of two AGTTCA hexamers with 4 spacing nucleotides are optimal for the binding of CAR-RXR heterodimers. In addition, we found that the heterodimers also form complexes on everted repeat-type arrangements with 8 spacing nucleotides. We also observed that CAR is able to bind DNA as a monomer and to interact in this form with different coregulators even in the presence of RXR. Systematic variation of the nucleotides 5'-flanking to both AGTTCA hexamers showed that the dinucleotide sequence modulates the DNA complex formation of CAR monomers and CAR-RXR heterodimer by a factor of up to 20. The highest preference was found for the sequence AG and lowest for CC. The increased DNA affinity of CAR is mediated by the positively charged arginines 90 and 91 located in the carboxyl-terminal extension of the DNA-binding domain of the receptor. Furthermore, we show that one of the three CAR REs of the human UGT1A1 PBREM is exclusively bound by CAR monomers and this is regulated by ligands that bind to this nuclear receptor. This points to a physiological role for CAR monomers. Therefore, both CAR-RXR heterodimers and CAR monomers can contribute to the gene activating function of PBREMs in CAR target genes.", "author" : [ { "dropping-particle" : "", "family" : "Frank", "given" : "Christian", "non-dropping-particle" : "", "parse-names" : false, "suffix" : "" }, { "dropping-particle" : "", "family" : "Gonzalez", "given" : "Manuel Macias", "non-dropping-particle" : "", "parse-names" : false, "suffix" : "" }, { "dropping-particle" : "", "family" : "Oinonen", "given" : "Carita", "non-dropping-particle" : "", "parse-names" : false, "suffix" : "" }, { "dropping-particle" : "", "family" : "Dunlop", "given" : "Thomas W", "non-dropping-particle" : "", "parse-names" : false, "suffix" : "" }, { "dropping-particle" : "", "family" : "Carlberg", "given" : "Carsten", "non-dropping-particle" : "", "parse-names" : false, "suffix" : "" } ], "container-title" : "The Journal of biological chemistry", "id" : "ITEM-2", "issue" : "44", "issued" : { "date-parts" : [ [ "2003", "10", "31" ] ] }, "page" : "43299-310", "title" : "Characterization of DNA complexes formed by the nuclear receptor constitutive androstane receptor.", "type" : "article-journal", "volume" : "278" }, "uris" : [ "http://www.mendeley.com/documents/?uuid=041ade5d-eb5f-4ac7-9fa4-2c1007be19e8" ] }, { "id" : "ITEM-3", "itemData" : { "DOI" : "10.1186/1478-1336-2-1", "ISSN" : "1478-1336", "PMID" : "15043764", "abstract" : "BACKGROUND: The constitutive androstane receptor (CAR) plays a key role in the control of drug metabolism and transport by mediating the phenobarbital-type induction of many phase I and II drug metabolizing enzymes and drug transporters. RESULTS: We identified transcripts generated by four different alternative splicing events in the human CAR gene. Two of the corresponding ligand binding domain isoforms demonstrated novel functional properties: First, CAR(SV3), which is encoded by a transcript containing an lengthened exon 7, differentially transactivated target gene promoters. Second, CAR(SV2), which results from the use of an alternative 3' splice site lengthening exon 8, showed ligand-dependent instead of constitutive interaction with coactivators. Furthermore, alternatively spliced transcripts demonstrated a tissue-specific expression pattern. In most tissues, only transcripts generated by alternative splicing within exon 9 were expressed. The encoded variant demonstrated a loss-of-function phenotype. Correct splicing of exon 8 to exon 9 is restricted to only a few tissues, among them liver and small intestine for which CAR function has been demonstrated, and is associated with the induction of CAR expression during differentiation of intestinal cells. CONCLUSION: Due to their specific activities, CAR variant proteins SV2 and SV3 may modulate the activity of reference CAR(SV1). Furthermore, we propose that transcriptional activation and regulation of splicing of exon 9 may be coupled to ensure appropriate tissue- and differentiation state-specific expression of transcripts encoding functional CAR protein. Altogether, alternative splicing seems to be of utmost importance for the regulation of CAR expression and function.", "author" : [ { "dropping-particle" : "", "family" : "Arnold", "given" : "Katja A", "non-dropping-particle" : "", "parse-names" : false, "suffix" : "" }, { "dropping-particle" : "", "family" : "Eichelbaum", "given" : "Michel", "non-dropping-particle" : "", "parse-names" : false, "suffix" : "" }, { "dropping-particle" : "", "family" : "Burk", "given" : "Oliver", "non-dropping-particle" : "", "parse-names" : false, "suffix" : "" } ], "container-title" : "Nuclear receptor", "id" : "ITEM-3", "issue" : "1", "issued" : { "date-parts" : [ [ "2004", "3", "25" ] ] }, "page" : "1", "title" : "Alternative splicing affects the function and tissue-specific expression of the human constitutive androstane receptor.", "type" : "article-journal", "volume" : "2" }, "uris" : [ "http://www.mendeley.com/documents/?uuid=df001ae0-c613-4623-b5c3-92fcf8476487" ] } ], "mendeley" : { "formattedCitation" : "&lt;sup&gt;23\u201325&lt;/sup&gt;", "plainTextFormattedCitation" : "23\u201325", "previouslyFormattedCitation" : "&lt;sup&gt;23\u201325&lt;/sup&gt;" }, "properties" : { "noteIndex" : 0 }, "schema" : "https://github.com/citation-style-language/schema/raw/master/csl-citation.json" }</w:instrText>
      </w:r>
      <w:r w:rsidR="00935DCB">
        <w:fldChar w:fldCharType="separate"/>
      </w:r>
      <w:r w:rsidR="00935DCB" w:rsidRPr="00935DCB">
        <w:rPr>
          <w:noProof/>
          <w:vertAlign w:val="superscript"/>
        </w:rPr>
        <w:t>23–25</w:t>
      </w:r>
      <w:r w:rsidR="00935DCB">
        <w:fldChar w:fldCharType="end"/>
      </w:r>
      <w:r w:rsidR="00050B5B">
        <w:rPr>
          <w:rFonts w:ascii="Calibri" w:eastAsia="Calibri" w:hAnsi="Calibri" w:cs="Calibri"/>
        </w:rPr>
        <w:t xml:space="preserve"> This provided a sufficient</w:t>
      </w:r>
      <w:r w:rsidRPr="5ECC47B9">
        <w:rPr>
          <w:rFonts w:ascii="Calibri" w:eastAsia="Calibri" w:hAnsi="Calibri" w:cs="Calibri"/>
        </w:rPr>
        <w:t xml:space="preserve"> basis for transfection experiments that showed induced expression of a </w:t>
      </w:r>
      <w:r w:rsidRPr="1E1A65AB">
        <w:rPr>
          <w:rFonts w:ascii="Calibri" w:eastAsia="Calibri" w:hAnsi="Calibri" w:cs="Calibri"/>
          <w:i/>
          <w:iCs/>
        </w:rPr>
        <w:t>Bmal1 luc</w:t>
      </w:r>
      <w:r w:rsidRPr="5ECC47B9">
        <w:rPr>
          <w:rFonts w:ascii="Calibri" w:eastAsia="Calibri" w:hAnsi="Calibri" w:cs="Calibri"/>
        </w:rPr>
        <w:t xml:space="preserve"> reporter when Hepa 1-6 cells were transfected with </w:t>
      </w:r>
      <w:r w:rsidRPr="1E1A65AB">
        <w:rPr>
          <w:rFonts w:ascii="Calibri" w:eastAsia="Calibri" w:hAnsi="Calibri" w:cs="Calibri"/>
          <w:i/>
          <w:iCs/>
        </w:rPr>
        <w:t>Car</w:t>
      </w:r>
      <w:r w:rsidRPr="1E1A65AB">
        <w:rPr>
          <w:rFonts w:ascii="Calibri" w:eastAsia="Calibri" w:hAnsi="Calibri" w:cs="Calibri"/>
        </w:rPr>
        <w:t xml:space="preserve"> (P &lt; 0.01)</w:t>
      </w:r>
      <w:r w:rsidRPr="1E1A65AB">
        <w:rPr>
          <w:rFonts w:ascii="Calibri" w:eastAsia="Calibri" w:hAnsi="Calibri" w:cs="Calibri"/>
          <w:i/>
          <w:iCs/>
        </w:rPr>
        <w:t>.</w:t>
      </w:r>
      <w:r w:rsidRPr="5ECC47B9">
        <w:rPr>
          <w:rFonts w:ascii="Calibri" w:eastAsia="Calibri" w:hAnsi="Calibri" w:cs="Calibri"/>
        </w:rPr>
        <w:t xml:space="preserve"> The induction was further enhanced when co-transfection with </w:t>
      </w:r>
      <w:r w:rsidRPr="1E1A65AB">
        <w:rPr>
          <w:rFonts w:ascii="Calibri" w:eastAsia="Calibri" w:hAnsi="Calibri" w:cs="Calibri"/>
          <w:i/>
          <w:iCs/>
        </w:rPr>
        <w:t>Car</w:t>
      </w:r>
      <w:r w:rsidRPr="5ECC47B9">
        <w:rPr>
          <w:rFonts w:ascii="Calibri" w:eastAsia="Calibri" w:hAnsi="Calibri" w:cs="Calibri"/>
        </w:rPr>
        <w:t xml:space="preserve"> and </w:t>
      </w:r>
      <w:r w:rsidRPr="1E1A65AB">
        <w:rPr>
          <w:rFonts w:ascii="Calibri" w:eastAsia="Calibri" w:hAnsi="Calibri" w:cs="Calibri"/>
          <w:i/>
          <w:iCs/>
        </w:rPr>
        <w:t>Per2</w:t>
      </w:r>
      <w:r w:rsidRPr="5ECC47B9">
        <w:rPr>
          <w:rFonts w:ascii="Calibri" w:eastAsia="Calibri" w:hAnsi="Calibri" w:cs="Calibri"/>
        </w:rPr>
        <w:t xml:space="preserve"> was performed (P &lt; 0.01) which suggest</w:t>
      </w:r>
      <w:r w:rsidR="005101B0">
        <w:rPr>
          <w:rFonts w:ascii="Calibri" w:eastAsia="Calibri" w:hAnsi="Calibri" w:cs="Calibri"/>
        </w:rPr>
        <w:t>s</w:t>
      </w:r>
      <w:r w:rsidRPr="5ECC47B9">
        <w:rPr>
          <w:rFonts w:ascii="Calibri" w:eastAsia="Calibri" w:hAnsi="Calibri" w:cs="Calibri"/>
        </w:rPr>
        <w:t xml:space="preserve"> an either direct or indirect influence of PER2 on CAR transactivation of </w:t>
      </w:r>
      <w:r w:rsidRPr="1E1A65AB">
        <w:rPr>
          <w:rFonts w:ascii="Calibri" w:eastAsia="Calibri" w:hAnsi="Calibri" w:cs="Calibri"/>
          <w:i/>
          <w:iCs/>
        </w:rPr>
        <w:t>Bmal1</w:t>
      </w:r>
      <w:r w:rsidRPr="5ECC47B9">
        <w:rPr>
          <w:rFonts w:ascii="Calibri" w:eastAsia="Calibri" w:hAnsi="Calibri" w:cs="Calibri"/>
        </w:rPr>
        <w:t xml:space="preserve"> (</w:t>
      </w:r>
      <w:r w:rsidR="009B55BD">
        <w:rPr>
          <w:rFonts w:ascii="Calibri" w:eastAsia="Calibri" w:hAnsi="Calibri" w:cs="Calibri"/>
        </w:rPr>
        <w:t>Figure 1</w:t>
      </w:r>
      <w:r w:rsidRPr="5ECC47B9">
        <w:rPr>
          <w:rFonts w:ascii="Calibri" w:eastAsia="Calibri" w:hAnsi="Calibri" w:cs="Calibri"/>
        </w:rPr>
        <w:t xml:space="preserve">). Surprisingly, the transactivation of </w:t>
      </w:r>
      <w:r w:rsidRPr="1E1A65AB">
        <w:rPr>
          <w:rFonts w:ascii="Calibri" w:eastAsia="Calibri" w:hAnsi="Calibri" w:cs="Calibri"/>
          <w:i/>
          <w:iCs/>
        </w:rPr>
        <w:t>Bmal1</w:t>
      </w:r>
      <w:r w:rsidRPr="5ECC47B9">
        <w:rPr>
          <w:rFonts w:ascii="Calibri" w:eastAsia="Calibri" w:hAnsi="Calibri" w:cs="Calibri"/>
        </w:rPr>
        <w:t xml:space="preserve"> </w:t>
      </w:r>
      <w:r w:rsidR="006B235F">
        <w:rPr>
          <w:rFonts w:ascii="Calibri" w:eastAsia="Calibri" w:hAnsi="Calibri" w:cs="Calibri"/>
        </w:rPr>
        <w:t xml:space="preserve">with vectors overexpressing </w:t>
      </w:r>
      <w:r w:rsidR="003B6F06" w:rsidRPr="00DB1871">
        <w:rPr>
          <w:rFonts w:ascii="Calibri" w:eastAsia="Calibri" w:hAnsi="Calibri" w:cs="Calibri"/>
        </w:rPr>
        <w:t>CAR</w:t>
      </w:r>
      <w:r w:rsidR="006B235F">
        <w:rPr>
          <w:rFonts w:ascii="Calibri" w:eastAsia="Calibri" w:hAnsi="Calibri" w:cs="Calibri"/>
        </w:rPr>
        <w:t xml:space="preserve"> and </w:t>
      </w:r>
      <w:r w:rsidR="006B235F" w:rsidRPr="003B6F06">
        <w:rPr>
          <w:rFonts w:ascii="Calibri" w:eastAsia="Calibri" w:hAnsi="Calibri" w:cs="Calibri"/>
        </w:rPr>
        <w:t>P</w:t>
      </w:r>
      <w:r w:rsidR="003B6F06" w:rsidRPr="00DB1871">
        <w:rPr>
          <w:rFonts w:ascii="Calibri" w:eastAsia="Calibri" w:hAnsi="Calibri" w:cs="Calibri"/>
        </w:rPr>
        <w:t>ER</w:t>
      </w:r>
      <w:r w:rsidR="00F43444" w:rsidRPr="003B6F06">
        <w:rPr>
          <w:rFonts w:ascii="Calibri" w:eastAsia="Calibri" w:hAnsi="Calibri" w:cs="Calibri"/>
        </w:rPr>
        <w:t>2</w:t>
      </w:r>
      <w:r w:rsidRPr="5ECC47B9">
        <w:rPr>
          <w:rFonts w:ascii="Calibri" w:eastAsia="Calibri" w:hAnsi="Calibri" w:cs="Calibri"/>
        </w:rPr>
        <w:t xml:space="preserve"> was not significantly different than transactivation with </w:t>
      </w:r>
      <w:r w:rsidR="00BD4B99">
        <w:rPr>
          <w:rFonts w:ascii="Calibri" w:eastAsia="Calibri" w:hAnsi="Calibri" w:cs="Calibri"/>
        </w:rPr>
        <w:t>positive control</w:t>
      </w:r>
      <w:r w:rsidR="003B6F06">
        <w:rPr>
          <w:rFonts w:ascii="Calibri" w:eastAsia="Calibri" w:hAnsi="Calibri" w:cs="Calibri"/>
        </w:rPr>
        <w:t xml:space="preserve"> overexpressing</w:t>
      </w:r>
      <w:r w:rsidR="006B235F">
        <w:rPr>
          <w:rFonts w:ascii="Calibri" w:eastAsia="Calibri" w:hAnsi="Calibri" w:cs="Calibri"/>
        </w:rPr>
        <w:t xml:space="preserve"> </w:t>
      </w:r>
      <w:r w:rsidR="006B235F" w:rsidRPr="003B6F06">
        <w:rPr>
          <w:rFonts w:ascii="Calibri" w:eastAsia="Calibri" w:hAnsi="Calibri" w:cs="Calibri"/>
        </w:rPr>
        <w:t>P</w:t>
      </w:r>
      <w:r w:rsidR="003B6F06" w:rsidRPr="00DB1871">
        <w:rPr>
          <w:rFonts w:ascii="Calibri" w:eastAsia="Calibri" w:hAnsi="Calibri" w:cs="Calibri"/>
        </w:rPr>
        <w:t>PAR</w:t>
      </w:r>
      <w:r w:rsidR="001D0A69" w:rsidRPr="003B6F06">
        <w:rPr>
          <w:rFonts w:ascii="Calibri" w:eastAsia="Calibri" w:hAnsi="Calibri" w:cs="Calibri"/>
        </w:rPr>
        <w:t>α</w:t>
      </w:r>
      <w:r w:rsidR="006B235F">
        <w:rPr>
          <w:rFonts w:ascii="Calibri" w:eastAsia="Calibri" w:hAnsi="Calibri" w:cs="Calibri"/>
        </w:rPr>
        <w:t xml:space="preserve"> and </w:t>
      </w:r>
      <w:r w:rsidR="006B235F" w:rsidRPr="003B6F06">
        <w:rPr>
          <w:rFonts w:ascii="Calibri" w:eastAsia="Calibri" w:hAnsi="Calibri" w:cs="Calibri"/>
        </w:rPr>
        <w:t>P</w:t>
      </w:r>
      <w:r w:rsidR="003B6F06" w:rsidRPr="00DB1871">
        <w:rPr>
          <w:rFonts w:ascii="Calibri" w:eastAsia="Calibri" w:hAnsi="Calibri" w:cs="Calibri"/>
        </w:rPr>
        <w:t>ER</w:t>
      </w:r>
      <w:r w:rsidR="006B235F" w:rsidRPr="003B6F06">
        <w:rPr>
          <w:rFonts w:ascii="Calibri" w:eastAsia="Calibri" w:hAnsi="Calibri" w:cs="Calibri"/>
        </w:rPr>
        <w:t>2</w:t>
      </w:r>
      <w:r w:rsidR="006B235F">
        <w:rPr>
          <w:rFonts w:ascii="Calibri" w:eastAsia="Calibri" w:hAnsi="Calibri" w:cs="Calibri"/>
        </w:rPr>
        <w:t xml:space="preserve"> </w:t>
      </w:r>
      <w:r w:rsidRPr="5ECC47B9">
        <w:rPr>
          <w:rFonts w:ascii="Calibri" w:eastAsia="Calibri" w:hAnsi="Calibri" w:cs="Calibri"/>
        </w:rPr>
        <w:t>(</w:t>
      </w:r>
      <w:r w:rsidR="00EA7525">
        <w:rPr>
          <w:rFonts w:ascii="Calibri" w:eastAsia="Calibri" w:hAnsi="Calibri" w:cs="Calibri"/>
        </w:rPr>
        <w:t>Figure 1</w:t>
      </w:r>
      <w:r w:rsidRPr="5ECC47B9">
        <w:rPr>
          <w:rFonts w:ascii="Calibri" w:eastAsia="Calibri" w:hAnsi="Calibri" w:cs="Calibri"/>
        </w:rPr>
        <w:t>)</w:t>
      </w:r>
      <w:r w:rsidR="008E49DC">
        <w:rPr>
          <w:rFonts w:ascii="Calibri" w:eastAsia="Calibri" w:hAnsi="Calibri" w:cs="Calibri"/>
        </w:rPr>
        <w:t xml:space="preserve"> that</w:t>
      </w:r>
      <w:r w:rsidR="001D0A69">
        <w:rPr>
          <w:rFonts w:ascii="Calibri" w:eastAsia="Calibri" w:hAnsi="Calibri" w:cs="Calibri"/>
        </w:rPr>
        <w:t xml:space="preserve"> </w:t>
      </w:r>
      <w:r w:rsidRPr="5ECC47B9">
        <w:rPr>
          <w:rFonts w:ascii="Calibri" w:eastAsia="Calibri" w:hAnsi="Calibri" w:cs="Calibri"/>
        </w:rPr>
        <w:t>c</w:t>
      </w:r>
      <w:r w:rsidR="00284C8C">
        <w:rPr>
          <w:rFonts w:ascii="Calibri" w:eastAsia="Calibri" w:hAnsi="Calibri" w:cs="Calibri"/>
        </w:rPr>
        <w:t>o</w:t>
      </w:r>
      <w:r w:rsidRPr="5ECC47B9">
        <w:rPr>
          <w:rFonts w:ascii="Calibri" w:eastAsia="Calibri" w:hAnsi="Calibri" w:cs="Calibri"/>
        </w:rPr>
        <w:t xml:space="preserve">-immunoprecipitate at </w:t>
      </w:r>
      <w:r w:rsidRPr="1E1A65AB">
        <w:rPr>
          <w:rFonts w:ascii="Calibri" w:eastAsia="Calibri" w:hAnsi="Calibri" w:cs="Calibri"/>
          <w:i/>
          <w:iCs/>
        </w:rPr>
        <w:t>Bmal1</w:t>
      </w:r>
      <w:r w:rsidR="00FC3518">
        <w:rPr>
          <w:rFonts w:ascii="Calibri" w:eastAsia="Calibri" w:hAnsi="Calibri" w:cs="Calibri"/>
        </w:rPr>
        <w:t xml:space="preserve"> regulatory sites.</w:t>
      </w:r>
      <w:r w:rsidR="005101B0" w:rsidRPr="5074CF87">
        <w:fldChar w:fldCharType="begin" w:fldLock="1"/>
      </w:r>
      <w:r w:rsidR="005101B0">
        <w:rPr>
          <w:rFonts w:ascii="Calibri" w:eastAsia="Calibri" w:hAnsi="Calibri" w:cs="Calibri"/>
        </w:rPr>
        <w:instrText>ADDIN CSL_CITATION { "citationItems" : [ { "id" : "ITEM-1", "itemData" : { "DOI" : "10.1101/gad.564110", "ISSN" : "1549-5477", "PMID" : "20159955", "abstract" : "Mammalian circadian clocks provide a temporal framework to synchronize biological functions. To obtain robust rhythms with a periodicity of about a day, these clocks use molecular oscillators consisting of two interlocked feedback loops. The core loop generates rhythms by transcriptional repression via the Period (PER) and Cryptochrome (CRY) proteins, whereas the stabilizing loop establishes roughly antiphasic rhythms via nuclear receptors. Nuclear receptors also govern many pathways that affect metabolism and physiology. Here we show that the core loop component PER2 can coordinate circadian output with the circadian oscillator. PER2 interacts with nuclear receptors including PPARalpha and REV-ERBalpha and serves as a coregulator of nuclear receptor-mediated transcription. Consequently, PER2 is rhythmically bound at the promoters of nuclear receptor target genes in vivo. In this way, the circadian oscillator can modulate the expression of nuclear receptor target genes like Bmal1, Hnf1alpha, and Glucose-6-phosphatase. The concept that PER2 may propagate clock information to metabolic pathways via nuclear receptors adds an important facet to the clock-dependent regulation of biological networks.", "author" : [ { "dropping-particle" : "", "family" : "Schmutz", "given" : "Isabelle", "non-dropping-particle" : "", "parse-names" : false, "suffix" : "" }, { "dropping-particle" : "", "family" : "Ripperger", "given" : "J\u00fcrgen A", "non-dropping-particle" : "", "parse-names" : false, "suffix" : "" }, { "dropping-particle" : "", "family" : "Baeriswyl-Aebischer", "given" : "St\u00e9phanie", "non-dropping-particle" : "", "parse-names" : false, "suffix" : "" }, { "dropping-particle" : "", "family" : "Albrecht", "given" : "Urs", "non-dropping-particle" : "", "parse-names" : false, "suffix" : "" } ], "container-title" : "Genes &amp; development", "id" : "ITEM-1", "issue" : "4", "issued" : { "date-parts" : [ [ "2010", "2", "15" ] ] }, "page" : "345-57", "title" : "The mammalian clock component PERIOD2 coordinates circadian output by interaction with nuclear receptors.", "type" : "article-journal", "volume" : "24" }, "uris" : [ "http://www.mendeley.com/documents/?uuid=4f7df27b-e214-4f35-99af-9ed969f53091" ] } ], "mendeley" : { "formattedCitation" : "&lt;sup&gt;1&lt;/sup&gt;", "plainTextFormattedCitation" : "1", "previouslyFormattedCitation" : "&lt;sup&gt;1&lt;/sup&gt;" }, "properties" : { "noteIndex" : 0 }, "schema" : "https://github.com/citation-style-language/schema/raw/master/csl-citation.json" }</w:instrText>
      </w:r>
      <w:r w:rsidR="005101B0" w:rsidRPr="5074CF87">
        <w:rPr>
          <w:rFonts w:ascii="Calibri" w:eastAsia="Calibri" w:hAnsi="Calibri" w:cs="Calibri"/>
        </w:rPr>
        <w:fldChar w:fldCharType="separate"/>
      </w:r>
      <w:r w:rsidR="005101B0" w:rsidRPr="005101B0">
        <w:rPr>
          <w:rFonts w:ascii="Calibri" w:eastAsia="Calibri" w:hAnsi="Calibri" w:cs="Calibri"/>
          <w:noProof/>
          <w:vertAlign w:val="superscript"/>
        </w:rPr>
        <w:t>1</w:t>
      </w:r>
      <w:r w:rsidR="005101B0" w:rsidRPr="5074CF87">
        <w:fldChar w:fldCharType="end"/>
      </w:r>
      <w:r w:rsidRPr="5ECC47B9">
        <w:rPr>
          <w:rFonts w:ascii="Calibri" w:eastAsia="Calibri" w:hAnsi="Calibri" w:cs="Calibri"/>
        </w:rPr>
        <w:t xml:space="preserve"> The lack of a statistically significant difference might suggest a similar mechanism of transactivation </w:t>
      </w:r>
      <w:r w:rsidR="00FC3518">
        <w:rPr>
          <w:rFonts w:ascii="Calibri" w:eastAsia="Calibri" w:hAnsi="Calibri" w:cs="Calibri"/>
        </w:rPr>
        <w:t xml:space="preserve">which </w:t>
      </w:r>
      <w:r w:rsidRPr="5ECC47B9">
        <w:rPr>
          <w:rFonts w:ascii="Calibri" w:eastAsia="Calibri" w:hAnsi="Calibri" w:cs="Calibri"/>
        </w:rPr>
        <w:t xml:space="preserve">lead us to explore structural properties of both PER2 and CAR to </w:t>
      </w:r>
      <w:r w:rsidR="00CE4453">
        <w:rPr>
          <w:rFonts w:ascii="Calibri" w:eastAsia="Calibri" w:hAnsi="Calibri" w:cs="Calibri"/>
        </w:rPr>
        <w:t xml:space="preserve">evaluate </w:t>
      </w:r>
      <w:r w:rsidRPr="5ECC47B9">
        <w:rPr>
          <w:rFonts w:ascii="Calibri" w:eastAsia="Calibri" w:hAnsi="Calibri" w:cs="Calibri"/>
        </w:rPr>
        <w:t>if a direct interaction between the proteins is plausible.</w:t>
      </w:r>
    </w:p>
    <w:p w14:paraId="4B9FBFB3" w14:textId="4A8A1902" w:rsidR="00FF0510" w:rsidRDefault="00FF0510" w:rsidP="004513A2">
      <w:pPr>
        <w:spacing w:line="360" w:lineRule="auto"/>
        <w:jc w:val="both"/>
        <w:rPr>
          <w:rFonts w:ascii="Calibri" w:eastAsia="Calibri" w:hAnsi="Calibri" w:cs="Calibri"/>
        </w:rPr>
      </w:pPr>
      <w:r>
        <w:rPr>
          <w:noProof/>
          <w:lang w:eastAsia="sl-SI"/>
        </w:rPr>
        <w:drawing>
          <wp:inline distT="0" distB="0" distL="0" distR="0" wp14:anchorId="2EEE398B" wp14:editId="04225ED8">
            <wp:extent cx="4572000" cy="3238500"/>
            <wp:effectExtent l="0" t="0" r="0" b="0"/>
            <wp:docPr id="10743032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p>
    <w:p w14:paraId="06DAF747" w14:textId="024AE4AE" w:rsidR="00FF0510" w:rsidRDefault="00FF0510" w:rsidP="00FF0510">
      <w:pPr>
        <w:spacing w:line="360" w:lineRule="auto"/>
        <w:jc w:val="both"/>
      </w:pPr>
      <w:r w:rsidRPr="00FF0510">
        <w:rPr>
          <w:b/>
        </w:rPr>
        <w:t xml:space="preserve">Figure 1. Co-transfection of Hepa 1-6 cells </w:t>
      </w:r>
      <w:r w:rsidRPr="00CE4453">
        <w:rPr>
          <w:b/>
        </w:rPr>
        <w:t>with</w:t>
      </w:r>
      <w:r w:rsidRPr="00FF0510">
        <w:rPr>
          <w:b/>
        </w:rPr>
        <w:t xml:space="preserve"> </w:t>
      </w:r>
      <w:r w:rsidR="003B6F06" w:rsidRPr="008E49DC">
        <w:rPr>
          <w:b/>
          <w:iCs/>
        </w:rPr>
        <w:t>C</w:t>
      </w:r>
      <w:r w:rsidR="008E49DC" w:rsidRPr="00DB1871">
        <w:rPr>
          <w:b/>
          <w:iCs/>
        </w:rPr>
        <w:t>AR</w:t>
      </w:r>
      <w:r w:rsidRPr="00FF0510">
        <w:rPr>
          <w:b/>
        </w:rPr>
        <w:t xml:space="preserve"> </w:t>
      </w:r>
      <w:r w:rsidRPr="00CE4453">
        <w:rPr>
          <w:b/>
        </w:rPr>
        <w:t>and</w:t>
      </w:r>
      <w:r w:rsidRPr="00FF0510">
        <w:rPr>
          <w:b/>
        </w:rPr>
        <w:t xml:space="preserve"> </w:t>
      </w:r>
      <w:r w:rsidR="00CE4453" w:rsidRPr="005B2FD1">
        <w:rPr>
          <w:b/>
          <w:iCs/>
        </w:rPr>
        <w:t>P</w:t>
      </w:r>
      <w:r w:rsidR="008E49DC" w:rsidRPr="00DB1871">
        <w:rPr>
          <w:b/>
          <w:iCs/>
        </w:rPr>
        <w:t>ER2</w:t>
      </w:r>
      <w:r w:rsidRPr="00FF0510">
        <w:rPr>
          <w:b/>
        </w:rPr>
        <w:t xml:space="preserve"> </w:t>
      </w:r>
      <w:r w:rsidR="003B6F06">
        <w:rPr>
          <w:b/>
        </w:rPr>
        <w:t>over</w:t>
      </w:r>
      <w:r w:rsidRPr="00FF0510">
        <w:rPr>
          <w:b/>
        </w:rPr>
        <w:t>expression plasmids</w:t>
      </w:r>
      <w:r>
        <w:t xml:space="preserve"> induces promoter activity of </w:t>
      </w:r>
      <w:r w:rsidRPr="5074CF87">
        <w:rPr>
          <w:i/>
          <w:iCs/>
        </w:rPr>
        <w:t>Bmal1</w:t>
      </w:r>
      <w:r>
        <w:rPr>
          <w:i/>
          <w:iCs/>
        </w:rPr>
        <w:t xml:space="preserve"> luc </w:t>
      </w:r>
      <w:r>
        <w:rPr>
          <w:iCs/>
        </w:rPr>
        <w:t>reporter</w:t>
      </w:r>
      <w:r>
        <w:t xml:space="preserve">. This induction is similar to the one observed when performing co-transfections with </w:t>
      </w:r>
      <w:r w:rsidRPr="5074CF87">
        <w:rPr>
          <w:i/>
          <w:iCs/>
        </w:rPr>
        <w:t>Ppar</w:t>
      </w:r>
      <w:r w:rsidRPr="5074CF87">
        <w:rPr>
          <w:rFonts w:ascii="Calibri" w:eastAsia="Calibri" w:hAnsi="Calibri" w:cs="Calibri"/>
          <w:i/>
          <w:iCs/>
        </w:rPr>
        <w:t>α</w:t>
      </w:r>
      <w:r>
        <w:t xml:space="preserve"> and </w:t>
      </w:r>
      <w:r w:rsidRPr="5074CF87">
        <w:rPr>
          <w:i/>
          <w:iCs/>
        </w:rPr>
        <w:t>Per2</w:t>
      </w:r>
      <w:r>
        <w:t xml:space="preserve"> (P &lt; 0.01) and different to the one observed when performing transfections with </w:t>
      </w:r>
      <w:r w:rsidRPr="5074CF87">
        <w:rPr>
          <w:i/>
          <w:iCs/>
        </w:rPr>
        <w:t>Car</w:t>
      </w:r>
      <w:r>
        <w:t xml:space="preserve"> only (P &lt; 0.01). The log10 relative luciferase units of individual wells for specific transfection mix are shown. ** - P &lt; 0.01</w:t>
      </w:r>
    </w:p>
    <w:p w14:paraId="47223869" w14:textId="77777777" w:rsidR="00FF0510" w:rsidRDefault="00FF0510" w:rsidP="004513A2">
      <w:pPr>
        <w:spacing w:line="360" w:lineRule="auto"/>
        <w:jc w:val="both"/>
      </w:pPr>
    </w:p>
    <w:p w14:paraId="1B0F2F99" w14:textId="7EE61512" w:rsidR="61EFD50B" w:rsidRDefault="5ECC47B9" w:rsidP="004513A2">
      <w:pPr>
        <w:spacing w:line="360" w:lineRule="auto"/>
        <w:jc w:val="both"/>
      </w:pPr>
      <w:r>
        <w:t>Our bioinformatic analysis showed that PGC1</w:t>
      </w:r>
      <w:r w:rsidR="00435042">
        <w:rPr>
          <w:rFonts w:ascii="Calibri" w:hAnsi="Calibri"/>
        </w:rPr>
        <w:t>α</w:t>
      </w:r>
      <w:r>
        <w:t xml:space="preserve"> (PPAR</w:t>
      </w:r>
      <w:r w:rsidR="00435042">
        <w:rPr>
          <w:rFonts w:ascii="Calibri" w:hAnsi="Calibri"/>
        </w:rPr>
        <w:t>γ</w:t>
      </w:r>
      <w:r>
        <w:t>C1A), a known CAR</w:t>
      </w:r>
      <w:r w:rsidR="00482308">
        <w:t xml:space="preserve"> and PPAR</w:t>
      </w:r>
      <w:r w:rsidR="00435042">
        <w:rPr>
          <w:rFonts w:ascii="Calibri" w:hAnsi="Calibri"/>
        </w:rPr>
        <w:t>γ</w:t>
      </w:r>
      <w:r>
        <w:t xml:space="preserve"> co-activator, </w:t>
      </w:r>
      <w:r w:rsidR="00482308">
        <w:t xml:space="preserve">possibly </w:t>
      </w:r>
      <w:r>
        <w:t>interacts with CAR via its motif SLLKKLL</w:t>
      </w:r>
      <w:r w:rsidR="00FC3518">
        <w:t xml:space="preserve"> (</w:t>
      </w:r>
      <w:r w:rsidR="00FC3518" w:rsidRPr="00FC3518">
        <w:rPr>
          <w:i/>
        </w:rPr>
        <w:t>Mus musculus</w:t>
      </w:r>
      <w:r w:rsidR="00FC3518">
        <w:t>)</w:t>
      </w:r>
      <w:r>
        <w:t xml:space="preserve">, which is homologous to both SXLXXLL motifs of PER2 </w:t>
      </w:r>
      <w:r w:rsidRPr="5ECC47B9">
        <w:rPr>
          <w:rFonts w:ascii="Calibri" w:eastAsia="Calibri" w:hAnsi="Calibri" w:cs="Calibri"/>
        </w:rPr>
        <w:t>(</w:t>
      </w:r>
      <w:r w:rsidR="00FC3518">
        <w:rPr>
          <w:rFonts w:ascii="Calibri" w:eastAsia="Calibri" w:hAnsi="Calibri" w:cs="Calibri"/>
        </w:rPr>
        <w:t>Figure 2</w:t>
      </w:r>
      <w:r w:rsidRPr="5ECC47B9">
        <w:rPr>
          <w:rFonts w:ascii="Calibri" w:eastAsia="Calibri" w:hAnsi="Calibri" w:cs="Calibri"/>
        </w:rPr>
        <w:t>)</w:t>
      </w:r>
      <w:r>
        <w:t>, namely SGLLNLL (</w:t>
      </w:r>
      <w:r w:rsidR="00FC3518" w:rsidRPr="00FC3518">
        <w:rPr>
          <w:i/>
        </w:rPr>
        <w:t>Mus musculus</w:t>
      </w:r>
      <w:r>
        <w:t>) and SDLLNLL (</w:t>
      </w:r>
      <w:r w:rsidR="00FC3518" w:rsidRPr="00FC3518">
        <w:rPr>
          <w:i/>
        </w:rPr>
        <w:t>Mus musculus</w:t>
      </w:r>
      <w:r w:rsidR="00B37CBA">
        <w:t>).</w:t>
      </w:r>
      <w:r w:rsidR="008A5F7F">
        <w:fldChar w:fldCharType="begin" w:fldLock="1"/>
      </w:r>
      <w:r w:rsidR="00935DCB">
        <w:instrText>ADDIN CSL_CITATION { "citationItems" : [ { "id" : "ITEM-1", "itemData" : { "DOI" : "10.1074/jbc.M109.052506", "ISSN" : "00219258", "PMID" : "19846556", "abstract" : "Hepatocyte nuclear factor 4\u03b1 (HNF4\u03b1) is a novel nuclear receptor that participates in a hierarchical network of transcription factors regulating the development and physiology of such vital organs as the liver, pancreas, and kidney. Among the various transcriptional coregulators with which HNF4\u03b1 interacts, peroxisome proliferation-activated receptor \u03b3 (PPAR\u03b3) coactivator 1\u03b1 (PGC-1\u03b1) represents a novel coactivator whose activation is unusually robust and whose binding mode appears to be distinct from that of canonical coactivators such as NCoA/SRC/p160 family members. To elucidate the potentially unique molecular mechanism of PGC-1\u03b1 recruitment, we have determined the crystal structure of HNF4\u03b1 in complex with a fragment of PGC-1\u03b1 containing all three of its LXXLL motifs. Despite the presence of all three LXXLL motifs available for interactions, only one is bound at the canonical binding site, with no additional contacts observed between the two proteins. However, a close inspection of the electron density map indicates that the bound LXXLL motif is not a selected one but an averaged structure of more than one LXXLL motif. Further biochemical and functional studies show that the individual LXXLL motifs can bind but drive only minimal transactivation. Only when more than one LXXLL motif is involved can significant transcriptional activity be measured, and full activation requires all three LXXLL motifs. These findings led us to propose a model wherein each LXXLL motif has an additive effect, and the multiple binding modes by HNF4\u03b1 toward the LXXLL motifs of PGC-1\u03b1 could account for the apparent robust activation by providing a flexible mechanism for combinatorial recruitment of additional coactivators and mediators.", "author" : [ { "dropping-particle" : "", "family" : "Rha", "given" : "Geun Bae", "non-dropping-particle" : "", "parse-names" : false, "suffix" : "" }, { "dropping-particle" : "", "family" : "Wu", "given" : "Guangteng", "non-dropping-particle" : "", "parse-names" : false, "suffix" : "" }, { "dropping-particle" : "", "family" : "Shoelson", "given" : "Steven E.", "non-dropping-particle" : "", "parse-names" : false, "suffix" : "" }, { "dropping-particle" : "", "family" : "Chi", "given" : "Young Chi", "non-dropping-particle" : "", "parse-names" : false, "suffix" : "" } ], "container-title" : "Journal of Biological Chemistry", "id" : "ITEM-1", "issue" : "50", "issued" : { "date-parts" : [ [ "2009" ] ] }, "page" : "35165-35176", "title" : "Multiple binding modes between HNF4?? and the LXXLL motifs of PGC-1?? lead to full activation", "type" : "article-journal", "volume" : "284" }, "uris" : [ "http://www.mendeley.com/documents/?uuid=8935a89c-1b77-4d82-9cae-69ad063e4272" ] }, { "id" : "ITEM-2", "itemData" : { "DOI" : "10.1074/jbc.M212859200", "ISSN" : "0021-9258", "PMID" : "12551939", "abstract" : "In contrast to the classical nuclear receptors, the constitutive androstane receptor (CAR) is transcriptionally active in the absence of ligand. In the course of searching for the mediator of CAR activation, we found that ligand-independent activation of CAR was achieved in cooperation with the peroxisome proliferator-activated receptor gamma coactivator-1 alpha (PGC-1 alpha). PGC-1 beta, a PGC-1 alpha homologue, also activated CAR to less of an extent than PGC-1 alpha. Coexpression of the ligand-binding domain of a heterodimerization partner, retinoid X receptor alpha, enhanced the PGC-1 alpha-mediated activation of CAR, although it had a weak effect on the basal activity of CAR in the absence of PGC-1 alpha. Both the N-terminal region, with the LXXLL motif, and the C-terminal region, with a serine/arginine-rich domain (RS domain), in PGC-1 alpha were required for full activation of CAR. Pull-down experiments using recombinant proteins revealed that CAR directly interacted with both the LXXLL motif and the RS domain. Furthermore, we demonstrated that the RS domain of PGC-1 alpha was required for CAR localization at nuclear speckles. These results indicate that PGC-1 alpha mediates the ligand-independent activation of CAR by means of subnuclear targeting through the RS domain of PGC-1 alpha.", "author" : [ { "dropping-particle" : "", "family" : "Shiraki", "given" : "Takuma", "non-dropping-particle" : "", "parse-names" : false, "suffix" : "" }, { "dropping-particle" : "", "family" : "Sakai", "given" : "Noriko", "non-dropping-particle" : "", "parse-names" : false, "suffix" : "" }, { "dropping-particle" : "", "family" : "Kanaya", "given" : "Eiko", "non-dropping-particle" : "", "parse-names" : false, "suffix" : "" }, { "dropping-particle" : "", "family" : "Jingami", "given" : "Hisato", "non-dropping-particle" : "", "parse-names" : false, "suffix" : "" } ], "container-title" : "The Journal of biological chemistry", "id" : "ITEM-2", "issue" : "13", "issued" : { "date-parts" : [ [ "2003", "3", "28" ] ] }, "page" : "11344-50", "title" : "Activation of orphan nuclear constitutive androstane receptor requires subnuclear targeting by peroxisome proliferator-activated receptor gamma coactivator-1 alpha. A possible link between xenobiotic response and nutritional state.", "type" : "article-journal", "volume" : "278" }, "uris" : [ "http://www.mendeley.com/documents/?uuid=d67e8cad-a2b5-4c4e-8474-789d66ef1934" ] }, { "id" : "ITEM-3", "itemData" : { "DOI" : "10.1093/nar/gku989", "ISBN" : "13624962 (Electronic)", "ISSN" : "13624962", "PMID" : "25348405", "abstract" : "UniProt is an important collection of protein sequences and their annotations, which has doubled in size to 80 million sequences during the past year. This growth in sequences has prompted an extension of UniProt accession number space from 6 to 10 characters. An increasing fraction of new sequences are identical to a sequence that already exists in the database with the majority of sequences coming from genome sequencing projects. We have created a new proteome identifier that uniquely identifies a particular assembly of a species and strain or subspecies to help users track the provenance of sequences. We present a new website that has been designed using a user-experience design process. We have introduced an annotation score for all entries in UniProt to represent the relative amount of knowledge known about each protein. These scores will be helpful in identifying which proteins are the best characterized and most informative for comparative analysis. All UniProt data is provided freely and is available on the web at http://www.uniprot.org/.", "author" : [ { "dropping-particle" : "", "family" : "Bateman", "given" : "Alex", "non-dropping-particle" : "", "parse-names" : false, "suffix" : "" }, { "dropping-particle" : "", "family" : "Martin", "given" : "Maria Jesus", "non-dropping-particle" : "", "parse-names" : false, "suffix" : "" }, { "dropping-particle" : "", "family" : "O'Donovan", "given" : "Claire", "non-dropping-particle" : "", "parse-names" : false, "suffix" : "" }, { "dropping-particle" : "", "family" : "Magrane", "given" : "Michele", "non-dropping-particle" : "", "parse-names" : false, "suffix" : "" }, { "dropping-particle" : "", "family" : "Apweiler", "given" : "Rolf", "non-dropping-particle" : "", "parse-names" : false, "suffix" : "" }, { "dropping-particle" : "", "family" : "Alpi", "given" : "Emanuele", "non-dropping-particle" : "", "parse-names" : false, "suffix" : "" }, { "dropping-particle" : "", "family" : "Antunes", "given" : "Ricardo", "non-dropping-particle" : "", "parse-names" : false, "suffix" : "" }, { "dropping-particle" : "", "family" : "Arganiska", "given" : "Joanna", "non-dropping-particle" : "", "parse-names" : false, "suffix" : "" }, { "dropping-particle" : "", "family" : "Bely", "given" : "Benoit", "non-dropping-particle" : "", "parse-names" : false, "suffix" : "" }, { "dropping-particle" : "", "family" : "Bingley", "given" : "Mark", "non-dropping-particle" : "", "parse-names" : false, "suffix" : "" }, { "dropping-particle" : "", "family" : "Bonilla", "given" : "Carlos", "non-dropping-particle" : "", "parse-names" : false, "suffix" : "" }, { "dropping-particle" : "", "family" : "Britto", "given" : "Ramona", "non-dropping-particle" : "", "parse-names" : false, "suffix" : "" }, { "dropping-particle" : "", "family" : "Bursteinas", "given" : "Borisas", "non-dropping-particle" : "", "parse-names" : false, "suffix" : "" }, { "dropping-particle" : "", "family" : "Chavali", "given" : "Gayatri", "non-dropping-particle" : "", "parse-names" : false, "suffix" : "" }, { "dropping-particle" : "", "family" : "Cibrian-Uhalte", "given" : "Elena", "non-dropping-particle" : "", "parse-names" : false, "suffix" : "" }, { "dropping-particle" : "", "family" : "Silva", "given" : "Alan", "non-dropping-particle" : "Da", "parse-names" : false, "suffix" : "" }, { "dropping-particle" : "", "family" : "Giorgi", "given" : "Maurizio", "non-dropping-particle" : "De", "parse-names" : false, "suffix" : "" }, { "dropping-particle" : "", "family" : "Dogan", "given" : "Tunca", "non-dropping-particle" : "", "parse-names" : false, "suffix" : "" }, { "dropping-particle" : "", "family" : "Fazzini", "given" : "Francesco", "non-dropping-particle" : "", "parse-names" : false, "suffix" : "" }, { "dropping-particle" : "", "family" : "Gane", "given" : "Paul", "non-dropping-particle" : "", "parse-names" : false, "suffix" : "" }, { "dropping-particle" : "", "family" : "Castro", "given" : "Leyla Garcia", "non-dropping-particle" : "", "parse-names" : false, "suffix" : "" }, { "dropping-particle" : "", "family" : "Garmiri", "given" : "Penelope", "non-dropping-particle" : "", "parse-names" : false, "suffix" : "" }, { "dropping-particle" : "", "family" : "Hatton-Ellis", "given" : "Emma", "non-dropping-particle" : "", "parse-names" : false, "suffix" : "" }, { "dropping-particle" : "", "family" : "Hieta", "given" : "Reija", "non-dropping-particle" : "", "parse-names" : false, "suffix" : "" }, { "dropping-particle" : "", "family" : "Huntley", "given" : "Rachael", "non-dropping-particle" : "", "parse-names" : false, "suffix" : "" }, { "dropping-particle" : "", "family" : "Legge", "given" : "Duncan", "non-dropping-particle" : "", "parse-names" : false, "suffix" : "" }, { "dropping-particle" : "", "family" : "Liu", "given" : "Wudong", "non-dropping-particle" : "", "parse-names" : false, "suffix" : "" }, { "dropping-particle" : "", "family" : "Luo", "given" : "Jie", "non-dropping-particle" : "", "parse-names" : false, "suffix" : "" }, { "dropping-particle" : "", "family" : "Macdougall", "given" : "Alistair", "non-dropping-particle" : "", "parse-names" : false, "suffix" : "" }, { "dropping-particle" : "", "family" : "Mutowo", "given" : "Prudence", "non-dropping-particle" : "", "parse-names" : false, "suffix" : "" }, { "dropping-particle" : "", "family" : "Nightingale", "given" : "Andrew", "non-dropping-particle" : "", "parse-names" : false, "suffix" : "" }, { "dropping-particle" : "", "family" : "Orchard", "given" : "Sandra", "non-dropping-particle" : "", "parse-names" : false, "suffix" : "" }, { "dropping-particle" : "", "family" : "Pichler", "given" : "Klemens", "non-dropping-particle" : "", "parse-names" : false, "suffix" : "" }, { "dropping-particle" : "", "family" : "Poggioli", "given" : "Diego", "non-dropping-particle" : "", "parse-names" : false, "suffix" : "" }, { "dropping-particle" : "", "family" : "Pundir", "given" : "Sangya", "non-dropping-particle" : "", "parse-names" : false, "suffix" : "" }, { "dropping-particle" : "", "family" : "Pureza", "given" : "Luis", "non-dropping-particle" : "", "parse-names" : false, "suffix" : "" }, { "dropping-particle" : "", "family" : "Qi", "given" : "Guoying", "non-dropping-particle" : "", "parse-names" : false, "suffix" : "" }, { "dropping-particle" : "", "family" : "Rosanoff", "given" : "Steven", "non-dropping-particle" : "", "parse-names" : false, "suffix" : "" }, { "dropping-particle" : "", "family" : "Saidi", "given" : "Rabie", "non-dropping-particle" : "", "parse-names" : false, "suffix" : "" }, { "dropping-particle" : "", "family" : "Sawford", "given" : "Tony", "non-dropping-particle" : "", "parse-names" : false, "suffix" : "" }, { "dropping-particle" : "", "family" : "Shypitsyna", "given" : "Aleksandra", "non-dropping-particle" : "", "parse-names" : false, "suffix" : "" }, { "dropping-particle" : "", "family" : "Turner", "given" : "Edward", "non-dropping-particle" : "", "parse-names" : false, "suffix" : "" }, { "dropping-particle" : "", "family" : "Volynkin", "given" : "Vladimir", "non-dropping-particle" : "", "parse-names" : false, "suffix" : "" }, { "dropping-particle" : "", "family" : "Wardell", "given" : "Tony", "non-dropping-particle" : "", "parse-names" : false, "suffix" : "" }, { "dropping-particle" : "", "family" : "Watkins", "given" : "Xavier", "non-dropping-particle" : "", "parse-names" : false, "suffix" : "" }, { "dropping-particle" : "", "family" : "Zellner", "given" : "Hermann", "non-dropping-particle" : "", "parse-names" : false, "suffix" : "" }, { "dropping-particle" : "", "family" : "Cowley", "given" : "Andrew", "non-dropping-particle" : "", "parse-names" : false, "suffix" : "" }, { "dropping-particle" : "", "family" : "Figueira", "given" : "Luis", "non-dropping-particle" : "", "parse-names" : false, "suffix" : "" }, { "dropping-particle" : "", "family" : "Li", "given" : "Weizhong", "non-dropping-particle" : "", "parse-names" : false, "suffix" : "" }, { "dropping-particle" : "", "family" : "McWilliam", "given" : "Hamish", "non-dropping-particle" : "", "parse-names" : false, "suffix" : "" }, { "dropping-particle" : "", "family" : "Lopez", "given" : "Rodrigo", "non-dropping-particle" : "", "parse-names" : false, "suffix" : "" }, { "dropping-particle" : "", "family" : "Xenarios", "given" : "Ioannis", "non-dropping-particle" : "", "parse-names" : false, "suffix" : "" }, { "dropping-particle" : "", "family" : "Bougueleret", "given" : "Lydie", "non-dropping-particle" : "", "parse-names" : false, "suffix" : "" }, { "dropping-particle" : "", "family" : "Bridge", "given" : "Alan", "non-dropping-particle" : "", "parse-names" : false, "suffix" : "" }, { "dropping-particle" : "", "family" : "Poux", "given" : "Sylvain", "non-dropping-particle" : "", "parse-names" : false, "suffix" : "" }, { "dropping-particle" : "", "family" : "Redaschi", "given" : "Nicole", "non-dropping-particle" : "", "parse-names" : false, "suffix" : "" }, { "dropping-particle" : "", "family" : "Aimo", "given" : "Lucila", "non-dropping-particle" : "", "parse-names" : false, "suffix" : "" }, { "dropping-particle" : "", "family" : "Argoud-Puy", "given" : "Ghislaine", "non-dropping-particle" : "", "parse-names" : false, "suffix" : "" }, { "dropping-particle" : "", "family" : "Auchincloss", "given" : "Andrea", "non-dropping-particle" : "", "parse-names" : false, "suffix" : "" }, { "dropping-particle" : "", "family" : "Axelsen", "given" : "Kristian", "non-dropping-particle" : "", "parse-names" : false, "suffix" : "" }, { "dropping-particle" : "", "family" : "Bansal", "given" : "Parit", "non-dropping-particle" : "", "parse-names" : false, "suffix" : "" }, { "dropping-particle" : "", "family" : "Baratin", "given" : "Delphine", "non-dropping-particle" : "", "parse-names" : false, "suffix" : "" }, { "dropping-particle" : "", "family" : "Blatter", "given" : "Marie Claude", "non-dropping-particle" : "", "parse-names" : false, "suffix" : "" }, { "dropping-particle" : "", "family" : "Boeckmann", "given" : "Brigitte", "non-dropping-particle" : "", "parse-names" : false, "suffix" : "" }, { "dropping-particle" : "", "family" : "Bolleman", "given" : "Jerven", "non-dropping-particle" : "", "parse-names" : false, "suffix" : "" }, { "dropping-particle" : "", "family" : "Boutet", "given" : "Emmanuel", "non-dropping-particle" : "", "parse-names" : false, "suffix" : "" }, { "dropping-particle" : "", "family" : "Breuza", "given" : "Lionel", "non-dropping-particle" : "", "parse-names" : false, "suffix" : "" }, { "dropping-particle" : "", "family" : "Casal-Casas", "given" : "Cristina", "non-dropping-particle" : "", "parse-names" : false, "suffix" : "" }, { "dropping-particle" : "", "family" : "Castro", "given" : "Edouard", "non-dropping-particle" : "De", "parse-names" : false, "suffix" : "" }, { "dropping-particle" : "", "family" : "Coudert", "given" : "Elisabeth", "non-dropping-particle" : "", "parse-names" : false, "suffix" : "" }, { "dropping-particle" : "", "family" : "Cuche", "given" : "Beatrice", "non-dropping-particle" : "", "parse-names" : false, "suffix" : "" }, { "dropping-particle" : "", "family" : "Doche", "given" : "Mikael", "non-dropping-particle" : "", "parse-names" : false, "suffix" : "" }, { "dropping-particle" : "", "family" : "Dornevil", "given" : "Dolnide", "non-dropping-particle" : "", "parse-names" : false, "suffix" : "" }, { "dropping-particle" : "", "family" : "Duvaud", "given" : "Severine", "non-dropping-particle" : "", "parse-names" : false, "suffix" : "" }, { "dropping-particle" : "", "family" : "Estreicher", "given" : "Anne", "non-dropping-particle" : "", "parse-names" : false, "suffix" : "" }, { "dropping-particle" : "", "family" : "Famiglietti", "given" : "Livia", "non-dropping-particle" : "", "parse-names" : false, "suffix" : "" }, { "dropping-particle" : "", "family" : "Feuermann", "given" : "Marc", "non-dropping-particle" : "", "parse-names" : false, "suffix" : "" }, { "dropping-particle" : "", "family" : "Gasteiger", "given" : "Elisabeth", "non-dropping-particle" : "", "parse-names" : false, "suffix" : "" }, { "dropping-particle" : "", "family" : "Gehant", "given" : "Sebastien", "non-dropping-particle" : "", "parse-names" : false, "suffix" : "" }, { "dropping-particle" : "", "family" : "Gerritsen", "given" : "Vivienne", "non-dropping-particle" : "", "parse-names" : false, "suffix" : "" }, { "dropping-particle" : "", "family" : "Gos", "given" : "Arnaud", "non-dropping-particle" : "", "parse-names" : false, "suffix" : "" }, { "dropping-particle" : "", "family" : "Gruaz-Gumowski", "given" : "Nadine", "non-dropping-particle" : "", "parse-names" : false, "suffix" : "" }, { "dropping-particle" : "", "family" : "Hinz", "given" : "Ursula", "non-dropping-particle" : "", "parse-names" : false, "suffix" : "" }, { "dropping-particle" : "", "family" : "Hulo", "given" : "Chantal", "non-dropping-particle" : "", "parse-names" : false, "suffix" : "" }, { "dropping-particle" : "", "family" : "Jungo", "given" : "Florence", "non-dropping-particle" : "", "parse-names" : false, "suffix" : "" }, { "dropping-particle" : "", "family" : "Keller", "given" : "Guillaume", "non-dropping-particle" : "", "parse-names" : false, "suffix" : "" }, { "dropping-particle" : "", "family" : "Lara", "given" : "Vicente", "non-dropping-particle" : "", "parse-names" : false, "suffix" : "" }, { "dropping-particle" : "", "family" : "Lemercier", "given" : "Philippe", "non-dropping-particle" : "", "parse-names" : false, "suffix" : "" }, { "dropping-particle" : "", "family" : "Lieberherr", "given" : "Damien", "non-dropping-particle" : "", "parse-names" : false, "suffix" : "" }, { "dropping-particle" : "", "family" : "Lombardot", "given" : "Thierry", "non-dropping-particle" : "", "parse-names" : false, "suffix" : "" }, { "dropping-particle" : "", "family" : "Martin", "given" : "Xavier", "non-dropping-particle" : "", "parse-names" : false, "suffix" : "" }, { "dropping-particle" : "", "family" : "Masson", "given" : "Patrick", "non-dropping-particle" : "", "parse-names" : false, "suffix" : "" }, { "dropping-particle" : "", "family" : "Morgat", "given" : "Anne", "non-dropping-particle" : "", "parse-names" : false, "suffix" : "" }, { "dropping-particle" : "", "family" : "Neto", "given" : "Teresa", "non-dropping-particle" : "", "parse-names" : false, "suffix" : "" }, { "dropping-particle" : "", "family" : "Nouspikel", "given" : "Nevila", "non-dropping-particle" : "", "parse-names" : false, "suffix" : "" }, { "dropping-particle" : "", "family" : "Paesano", "given" : "Salvo", "non-dropping-particle" : "", "parse-names" : false, "suffix" : "" }, { "dropping-particle" : "", "family" : "Pedruzzi", "given" : "Ivo", "non-dropping-particle" : "", "parse-names" : false, "suffix" : "" }, { "dropping-particle" : "", "family" : "Pilbout", "given" : "Sandrine", "non-dropping-particle" : "", "parse-names" : false, "suffix" : "" }, { "dropping-particle" : "", "family" : "Pozzato", "given" : "Monica", "non-dropping-particle" : "", "parse-names" : false, "suffix" : "" }, { "dropping-particle" : "", "family" : "Pruess", "given" : "Manuela", "non-dropping-particle" : "", "parse-names" : false, "suffix" : "" }, { "dropping-particle" : "", "family" : "Rivoire", "given" : "Catherine", "non-dropping-particle" : "", "parse-names" : false, "suffix" : "" }, { "dropping-particle" : "", "family" : "Roechert", "given" : "Bernd", "non-dropping-particle" : "", "parse-names" : false, "suffix" : "" }, { "dropping-particle" : "", "family" : "Schneider", "given" : "Michel", "non-dropping-particle" : "", "parse-names" : false, "suffix" : "" }, { "dropping-particle" : "", "family" : "Sigrist", "given" : "Christian", "non-dropping-particle" : "", "parse-names" : false, "suffix" : "" }, { "dropping-particle" : "", "family" : "Sonesson", "given" : "Karin", "non-dropping-particle" : "", "parse-names" : false, "suffix" : "" }, { "dropping-particle" : "", "family" : "Staehli", "given" : "Sylvie", "non-dropping-particle" : "", "parse-names" : false, "suffix" : "" }, { "dropping-particle" : "", "family" : "Stutz", "given" : "Andre", "non-dropping-particle" : "", "parse-names" : false, "suffix" : "" }, { "dropping-particle" : "", "family" : "Sundaram", "given" : "Shyamala", "non-dropping-particle" : "", "parse-names" : false, "suffix" : "" }, { "dropping-particle" : "", "family" : "Tognolli", "given" : "Michael", "non-dropping-particle" : "", "parse-names" : false, "suffix" : "" }, { "dropping-particle" : "", "family" : "Verbregue", "given" : "Laure", "non-dropping-particle" : "", "parse-names" : false, "suffix" : "" }, { "dropping-particle" : "", "family" : "Veuthey", "given" : "Anne Lise", "non-dropping-particle" : "", "parse-names" : false, "suffix" : "" }, { "dropping-particle" : "", "family" : "Wu", "given" : "Cathy H.", "non-dropping-particle" : "", "parse-names" : false, "suffix" : "" }, { "dropping-particle" : "", "family" : "Arighi", "given" : "Cecilia N.", "non-dropping-particle" : "", "parse-names" : false, "suffix" : "" }, { "dropping-particle" : "", "family" : "Arminski", "given" : "Leslie", "non-dropping-particle" : "", "parse-names" : false, "suffix" : "" }, { "dropping-particle" : "", "family" : "Chen", "given" : "Chuming", "non-dropping-particle" : "", "parse-names" : false, "suffix" : "" }, { "dropping-particle" : "", "family" : "Chen", "given" : "Yongxing", "non-dropping-particle" : "", "parse-names" : false, "suffix" : "" }, { "dropping-particle" : "", "family" : "Garavelli", "given" : "John S.", "non-dropping-particle" : "", "parse-names" : false, "suffix" : "" }, { "dropping-particle" : "", "family" : "Huang", "given" : "Hongzhan", "non-dropping-particle" : "", "parse-names" : false, "suffix" : "" }, { "dropping-particle" : "", "family" : "Laiho", "given" : "Kati", "non-dropping-particle" : "", "parse-names" : false, "suffix" : "" }, { "dropping-particle" : "", "family" : "McGarvey", "given" : "Peter", "non-dropping-particle" : "", "parse-names" : false, "suffix" : "" }, { "dropping-particle" : "", "family" : "Natale", "given" : "Darren A.", "non-dropping-particle" : "", "parse-names" : false, "suffix" : "" }, { "dropping-particle" : "", "family" : "Suzek", "given" : "Baris E.", "non-dropping-particle" : "", "parse-names" : false, "suffix" : "" }, { "dropping-particle" : "", "family" : "Vinayaka", "given" : "C. R.", "non-dropping-particle" : "", "parse-names" : false, "suffix" : "" }, { "dropping-particle" : "", "family" : "Wang", "given" : "Qinghua", "non-dropping-particle" : "", "parse-names" : false, "suffix" : "" }, { "dropping-particle" : "", "family" : "Wang", "given" : "Yuqi", "non-dropping-particle" : "", "parse-names" : false, "suffix" : "" }, { "dropping-particle" : "", "family" : "Yeh", "given" : "Lai Su", "non-dropping-particle" : "", "parse-names" : false, "suffix" : "" }, { "dropping-particle" : "", "family" : "Yerramalla", "given" : "Meher Shruti", "non-dropping-particle" : "", "parse-names" : false, "suffix" : "" }, { "dropping-particle" : "", "family" : "Zhang", "given" : "Jian", "non-dropping-particle" : "", "parse-names" : false, "suffix" : "" } ], "container-title" : "Nucleic Acids Research", "id" : "ITEM-3", "issue" : "D1", "issued" : { "date-parts" : [ [ "2015" ] ] }, "page" : "D204-D212", "title" : "UniProt: A hub for protein information", "type" : "article-journal", "volume" : "43" }, "uris" : [ "http://www.mendeley.com/documents/?uuid=6793c47f-7440-49e3-9e89-0c814f07de69" ] } ], "mendeley" : { "formattedCitation" : "&lt;sup&gt;26\u201328&lt;/sup&gt;", "plainTextFormattedCitation" : "26\u201328", "previouslyFormattedCitation" : "&lt;sup&gt;26\u201328&lt;/sup&gt;" }, "properties" : { "noteIndex" : 0 }, "schema" : "https://github.com/citation-style-language/schema/raw/master/csl-citation.json" }</w:instrText>
      </w:r>
      <w:r w:rsidR="008A5F7F">
        <w:fldChar w:fldCharType="separate"/>
      </w:r>
      <w:r w:rsidR="00146957" w:rsidRPr="00146957">
        <w:rPr>
          <w:noProof/>
          <w:vertAlign w:val="superscript"/>
        </w:rPr>
        <w:t>26–28</w:t>
      </w:r>
      <w:r w:rsidR="008A5F7F">
        <w:fldChar w:fldCharType="end"/>
      </w:r>
      <w:r w:rsidR="008A5F7F">
        <w:t xml:space="preserve"> </w:t>
      </w:r>
      <w:r w:rsidR="00B37CBA">
        <w:t>A further co-activator of CAR</w:t>
      </w:r>
      <w:r w:rsidR="00482308">
        <w:t xml:space="preserve"> and PPAR</w:t>
      </w:r>
      <w:r w:rsidR="00435042">
        <w:rPr>
          <w:rFonts w:ascii="Calibri" w:hAnsi="Calibri"/>
        </w:rPr>
        <w:t>γ</w:t>
      </w:r>
      <w:r w:rsidR="00B37CBA">
        <w:t xml:space="preserve">, </w:t>
      </w:r>
      <w:r w:rsidR="00482308">
        <w:t>PGC1</w:t>
      </w:r>
      <w:r w:rsidR="00435042">
        <w:rPr>
          <w:rFonts w:ascii="Calibri" w:hAnsi="Calibri"/>
        </w:rPr>
        <w:t>β</w:t>
      </w:r>
      <w:r w:rsidR="00482308">
        <w:t xml:space="preserve">, which has three LXXLL motifs, all with a serine at a </w:t>
      </w:r>
      <w:r w:rsidR="005B2FD1">
        <w:t>1 or -2</w:t>
      </w:r>
      <w:r w:rsidR="00482308">
        <w:t xml:space="preserve"> position, also exists.</w:t>
      </w:r>
      <w:r w:rsidR="00FE2859">
        <w:t xml:space="preserve"> </w:t>
      </w:r>
      <w:r w:rsidR="00482308">
        <w:t>A similar arrangement with a serine residue in front of a LXXLL motif can also be observed in NCoA6, another CAR co-activator.</w:t>
      </w:r>
      <w:r w:rsidR="004341AC">
        <w:fldChar w:fldCharType="begin" w:fldLock="1"/>
      </w:r>
      <w:r w:rsidR="00935DCB">
        <w:instrText>ADDIN CSL_CITATION { "citationItems" : [ { "id" : "ITEM-1", "itemData" : { "DOI" : "10.1074/jbc.M212859200", "ISSN" : "0021-9258", "PMID" : "12551939", "abstract" : "In contrast to the classical nuclear receptors, the constitutive androstane receptor (CAR) is transcriptionally active in the absence of ligand. In the course of searching for the mediator of CAR activation, we found that ligand-independent activation of CAR was achieved in cooperation with the peroxisome proliferator-activated receptor gamma coactivator-1 alpha (PGC-1 alpha). PGC-1 beta, a PGC-1 alpha homologue, also activated CAR to less of an extent than PGC-1 alpha. Coexpression of the ligand-binding domain of a heterodimerization partner, retinoid X receptor alpha, enhanced the PGC-1 alpha-mediated activation of CAR, although it had a weak effect on the basal activity of CAR in the absence of PGC-1 alpha. Both the N-terminal region, with the LXXLL motif, and the C-terminal region, with a serine/arginine-rich domain (RS domain), in PGC-1 alpha were required for full activation of CAR. Pull-down experiments using recombinant proteins revealed that CAR directly interacted with both the LXXLL motif and the RS domain. Furthermore, we demonstrated that the RS domain of PGC-1 alpha was required for CAR localization at nuclear speckles. These results indicate that PGC-1 alpha mediates the ligand-independent activation of CAR by means of subnuclear targeting through the RS domain of PGC-1 alpha.", "author" : [ { "dropping-particle" : "", "family" : "Shiraki", "given" : "Takuma", "non-dropping-particle" : "", "parse-names" : false, "suffix" : "" }, { "dropping-particle" : "", "family" : "Sakai", "given" : "Noriko", "non-dropping-particle" : "", "parse-names" : false, "suffix" : "" }, { "dropping-particle" : "", "family" : "Kanaya", "given" : "Eiko", "non-dropping-particle" : "", "parse-names" : false, "suffix" : "" }, { "dropping-particle" : "", "family" : "Jingami", "given" : "Hisato", "non-dropping-particle" : "", "parse-names" : false, "suffix" : "" } ], "container-title" : "The Journal of biological chemistry", "id" : "ITEM-1", "issue" : "13", "issued" : { "date-parts" : [ [ "2003", "3", "28" ] ] }, "page" : "11344-50", "title" : "Activation of orphan nuclear constitutive androstane receptor requires subnuclear targeting by peroxisome proliferator-activated receptor gamma coactivator-1 alpha. A possible link between xenobiotic response and nutritional state.", "type" : "article-journal", "volume" : "278" }, "uris" : [ "http://www.mendeley.com/documents/?uuid=d67e8cad-a2b5-4c4e-8474-789d66ef1934" ] }, { "id" : "ITEM-2", "itemData" : { "DOI" : "10.1124/mol.108.048983", "ISSN" : "1521-0111", "PMID" : "18552123", "abstract" : "Nuclear receptor coactivator 6 (NCOA6) also known as PRIP/RAP250/ASC-2 anchors a steady-state complex of cofactors and function as a transcriptional coactivator for certain nuclear receptors. This is the first study to identify NCOA6 as a hepatic nuclear factor 4alpha (HNF4alpha)-interacting protein. CYP2C9 is an important enzyme that metabolizes both commonly used therapeutic drugs and important endogenous compounds. We have shown previously that constitutive androstane receptor (CAR) (a xenobiotic-sensing receptor) up-regulates the CYP2C9 promoter through binding to a distal site, whereas HNF4alpha transcriptionally up-regulates CYP2C9 via proximal sites. We demonstrate ligand-enhanced synergistic cross-talk between CAR and HNF4alpha. We identify NCOA6 as crucial to the underlying mechanism of this cross-talk. NCOA6 was identified as an HNF4alpha-interacting protein in this study using a yeast two-hybrid screen and GST pull-down assays. Furthermore, we identified NCOA6, CAR, and other coactivators as part of a mega complex of cofactors associated with HNF4alpha in HepG2 cells. Although the interaction of NCOA6 with CAR is specifically through the first LXXLL motif of NCOA6, both LXXLL motifs are involved in its interaction with HNF4alpha. Silencing of NCOA6 abrogated the synergistic activation of the CYP2C9 promoter and the synergistic induction of the CYP2C9 gene by CAR-HNF4alpha. Chromatin immunoprecipitation analysis revealed that NCOA6 can pull down both the proximal HNF4alpha and distal CAR binding sites of the CYP2C9 promoter and provides the basis for the recruitment of other cofactors. We conclude that the coactivator NCOA6 mediates the mechanism of the synergistic activation of the CYP2C9 gene by CAR and HNF4alpha.", "author" : [ { "dropping-particle" : "", "family" : "Surapureddi", "given" : "Sailesh", "non-dropping-particle" : "", "parse-names" : false, "suffix" : "" }, { "dropping-particle" : "", "family" : "Rana", "given" : "Ritu", "non-dropping-particle" : "", "parse-names" : false, "suffix" : "" }, { "dropping-particle" : "", "family" : "Reddy", "given" : "Janardan K", "non-dropping-particle" : "", "parse-names" : false, "suffix" : "" }, { "dropping-particle" : "", "family" : "Goldstein", "given" : "Joyce A", "non-dropping-particle" : "", "parse-names" : false, "suffix" : "" } ], "container-title" : "Molecular pharmacology", "id" : "ITEM-2", "issue" : "3", "issued" : { "date-parts" : [ [ "2008", "9" ] ] }, "page" : "913-23", "title" : "Nuclear receptor coactivator 6 mediates the synergistic activation of human cytochrome P-450 2C9 by the constitutive androstane receptor and hepatic nuclear factor-4alpha.", "type" : "article-journal", "volume" : "74" }, "uris" : [ "http://www.mendeley.com/documents/?uuid=a1a66d31-ebe2-44e0-8786-243130d64ff8" ] } ], "mendeley" : { "formattedCitation" : "&lt;sup&gt;27,29&lt;/sup&gt;", "plainTextFormattedCitation" : "27,29", "previouslyFormattedCitation" : "&lt;sup&gt;27,29&lt;/sup&gt;" }, "properties" : { "noteIndex" : 0 }, "schema" : "https://github.com/citation-style-language/schema/raw/master/csl-citation.json" }</w:instrText>
      </w:r>
      <w:r w:rsidR="004341AC">
        <w:fldChar w:fldCharType="separate"/>
      </w:r>
      <w:r w:rsidR="00146957" w:rsidRPr="00146957">
        <w:rPr>
          <w:noProof/>
          <w:vertAlign w:val="superscript"/>
        </w:rPr>
        <w:t>27,29</w:t>
      </w:r>
      <w:r w:rsidR="004341AC">
        <w:fldChar w:fldCharType="end"/>
      </w:r>
    </w:p>
    <w:p w14:paraId="4EB59260" w14:textId="26BD5614" w:rsidR="00FF0510" w:rsidRDefault="00FF0510" w:rsidP="00DB1871">
      <w:pPr>
        <w:spacing w:line="360" w:lineRule="auto"/>
        <w:ind w:left="1560"/>
        <w:jc w:val="both"/>
      </w:pPr>
      <w:r>
        <w:rPr>
          <w:noProof/>
          <w:lang w:eastAsia="sl-SI"/>
        </w:rPr>
        <w:drawing>
          <wp:inline distT="0" distB="0" distL="0" distR="0" wp14:anchorId="489BF1A4" wp14:editId="2191F925">
            <wp:extent cx="3530600" cy="1873885"/>
            <wp:effectExtent l="0" t="0" r="0" b="5715"/>
            <wp:docPr id="8" name="Picture 8" descr="biolmac53 HD:Users:martinit:Desktop:Article:Rezultati: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lmac53 HD:Users:martinit:Desktop:Article:Rezultati:alignm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600" cy="1873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747FC7" w14:textId="6F703C4E" w:rsidR="00FF0510" w:rsidRDefault="00FF0510" w:rsidP="00FF0510">
      <w:pPr>
        <w:spacing w:line="360" w:lineRule="auto"/>
        <w:jc w:val="both"/>
      </w:pPr>
      <w:r w:rsidRPr="00FF0510">
        <w:rPr>
          <w:b/>
        </w:rPr>
        <w:t xml:space="preserve">Figure 2. </w:t>
      </w:r>
      <w:r w:rsidR="00DE2E7A">
        <w:rPr>
          <w:b/>
        </w:rPr>
        <w:t>A</w:t>
      </w:r>
      <w:r w:rsidRPr="00FF0510">
        <w:rPr>
          <w:b/>
        </w:rPr>
        <w:t>lignment showing similarity between PER2 and known co-activator LXXLL motifs of CAR</w:t>
      </w:r>
      <w:r w:rsidRPr="00F71168">
        <w:t>, namely PGC1alpha</w:t>
      </w:r>
      <w:r>
        <w:t>,</w:t>
      </w:r>
      <w:r w:rsidRPr="00F71168">
        <w:t xml:space="preserve"> NCoA6</w:t>
      </w:r>
      <w:r>
        <w:t xml:space="preserve"> and PGC1beta</w:t>
      </w:r>
      <w:r w:rsidRPr="00F71168">
        <w:t>.</w:t>
      </w:r>
      <w:r>
        <w:fldChar w:fldCharType="begin" w:fldLock="1"/>
      </w:r>
      <w:r>
        <w:instrText>ADDIN CSL_CITATION { "citationItems" : [ { "id" : "ITEM-1", "itemData" : { "DOI" : "10.1124/mol.108.048983", "ISSN" : "1521-0111", "PMID" : "18552123", "abstract" : "Nuclear receptor coactivator 6 (NCOA6) also known as PRIP/RAP250/ASC-2 anchors a steady-state complex of cofactors and function as a transcriptional coactivator for certain nuclear receptors. This is the first study to identify NCOA6 as a hepatic nuclear factor 4alpha (HNF4alpha)-interacting protein. CYP2C9 is an important enzyme that metabolizes both commonly used therapeutic drugs and important endogenous compounds. We have shown previously that constitutive androstane receptor (CAR) (a xenobiotic-sensing receptor) up-regulates the CYP2C9 promoter through binding to a distal site, whereas HNF4alpha transcriptionally up-regulates CYP2C9 via proximal sites. We demonstrate ligand-enhanced synergistic cross-talk between CAR and HNF4alpha. We identify NCOA6 as crucial to the underlying mechanism of this cross-talk. NCOA6 was identified as an HNF4alpha-interacting protein in this study using a yeast two-hybrid screen and GST pull-down assays. Furthermore, we identified NCOA6, CAR, and other coactivators as part of a mega complex of cofactors associated with HNF4alpha in HepG2 cells. Although the interaction of NCOA6 with CAR is specifically through the first LXXLL motif of NCOA6, both LXXLL motifs are involved in its interaction with HNF4alpha. Silencing of NCOA6 abrogated the synergistic activation of the CYP2C9 promoter and the synergistic induction of the CYP2C9 gene by CAR-HNF4alpha. Chromatin immunoprecipitation analysis revealed that NCOA6 can pull down both the proximal HNF4alpha and distal CAR binding sites of the CYP2C9 promoter and provides the basis for the recruitment of other cofactors. We conclude that the coactivator NCOA6 mediates the mechanism of the synergistic activation of the CYP2C9 gene by CAR and HNF4alpha.", "author" : [ { "dropping-particle" : "", "family" : "Surapureddi", "given" : "Sailesh", "non-dropping-particle" : "", "parse-names" : false, "suffix" : "" }, { "dropping-particle" : "", "family" : "Rana", "given" : "Ritu", "non-dropping-particle" : "", "parse-names" : false, "suffix" : "" }, { "dropping-particle" : "", "family" : "Reddy", "given" : "Janardan K", "non-dropping-particle" : "", "parse-names" : false, "suffix" : "" }, { "dropping-particle" : "", "family" : "Goldstein", "given" : "Joyce A", "non-dropping-particle" : "", "parse-names" : false, "suffix" : "" } ], "container-title" : "Molecular pharmacology", "id" : "ITEM-1", "issue" : "3", "issued" : { "date-parts" : [ [ "2008", "9" ] ] }, "page" : "913-23", "title" : "Nuclear receptor coactivator 6 mediates the synergistic activation of human cytochrome P-450 2C9 by the constitutive androstane receptor and hepatic nuclear factor-4alpha.", "type" : "article-journal", "volume" : "74" }, "uris" : [ "http://www.mendeley.com/documents/?uuid=a1a66d31-ebe2-44e0-8786-243130d64ff8" ] }, { "id" : "ITEM-2", "itemData" : { "DOI" : "10.1074/jbc.M212859200", "ISSN" : "0021-9258", "PMID" : "12551939", "abstract" : "In contrast to the classical nuclear receptors, the constitutive androstane receptor (CAR) is transcriptionally active in the absence of ligand. In the course of searching for the mediator of CAR activation, we found that ligand-independent activation of CAR was achieved in cooperation with the peroxisome proliferator-activated receptor gamma coactivator-1 alpha (PGC-1 alpha). PGC-1 beta, a PGC-1 alpha homologue, also activated CAR to less of an extent than PGC-1 alpha. Coexpression of the ligand-binding domain of a heterodimerization partner, retinoid X receptor alpha, enhanced the PGC-1 alpha-mediated activation of CAR, although it had a weak effect on the basal activity of CAR in the absence of PGC-1 alpha. Both the N-terminal region, with the LXXLL motif, and the C-terminal region, with a serine/arginine-rich domain (RS domain), in PGC-1 alpha were required for full activation of CAR. Pull-down experiments using recombinant proteins revealed that CAR directly interacted with both the LXXLL motif and the RS domain. Furthermore, we demonstrated that the RS domain of PGC-1 alpha was required for CAR localization at nuclear speckles. These results indicate that PGC-1 alpha mediates the ligand-independent activation of CAR by means of subnuclear targeting through the RS domain of PGC-1 alpha.", "author" : [ { "dropping-particle" : "", "family" : "Shiraki", "given" : "Takuma", "non-dropping-particle" : "", "parse-names" : false, "suffix" : "" }, { "dropping-particle" : "", "family" : "Sakai", "given" : "Noriko", "non-dropping-particle" : "", "parse-names" : false, "suffix" : "" }, { "dropping-particle" : "", "family" : "Kanaya", "given" : "Eiko", "non-dropping-particle" : "", "parse-names" : false, "suffix" : "" }, { "dropping-particle" : "", "family" : "Jingami", "given" : "Hisato", "non-dropping-particle" : "", "parse-names" : false, "suffix" : "" } ], "container-title" : "The Journal of biological chemistry", "id" : "ITEM-2", "issue" : "13", "issued" : { "date-parts" : [ [ "2003", "3", "28" ] ] }, "page" : "11344-50", "title" : "Activation of orphan nuclear constitutive androstane receptor requires subnuclear targeting by peroxisome proliferator-activated receptor gamma coactivator-1 alpha. A possible link between xenobiotic response and nutritional state.", "type" : "article-journal", "volume" : "278" }, "uris" : [ "http://www.mendeley.com/documents/?uuid=d67e8cad-a2b5-4c4e-8474-789d66ef1934" ] } ], "mendeley" : { "formattedCitation" : "&lt;sup&gt;27,29&lt;/sup&gt;", "plainTextFormattedCitation" : "27,29", "previouslyFormattedCitation" : "&lt;sup&gt;27,29&lt;/sup&gt;" }, "properties" : { "noteIndex" : 0 }, "schema" : "https://github.com/citation-style-language/schema/raw/master/csl-citation.json" }</w:instrText>
      </w:r>
      <w:r>
        <w:fldChar w:fldCharType="separate"/>
      </w:r>
      <w:r w:rsidRPr="00146957">
        <w:rPr>
          <w:noProof/>
          <w:vertAlign w:val="superscript"/>
        </w:rPr>
        <w:t>27,29</w:t>
      </w:r>
      <w:r>
        <w:fldChar w:fldCharType="end"/>
      </w:r>
      <w:r w:rsidRPr="00F71168">
        <w:t xml:space="preserve"> The letters h and m before the protein name designate species </w:t>
      </w:r>
      <w:r w:rsidRPr="00F71168">
        <w:rPr>
          <w:i/>
        </w:rPr>
        <w:t>Homo sapiens</w:t>
      </w:r>
      <w:r w:rsidRPr="00F71168">
        <w:t xml:space="preserve"> and </w:t>
      </w:r>
      <w:r w:rsidRPr="00F71168">
        <w:rPr>
          <w:i/>
        </w:rPr>
        <w:t>Mus musculus</w:t>
      </w:r>
      <w:r>
        <w:t>, with</w:t>
      </w:r>
      <w:r w:rsidRPr="00F71168">
        <w:t xml:space="preserve"> </w:t>
      </w:r>
      <w:r>
        <w:t xml:space="preserve">the sequential number of the noted LXXLL and UniProt/Swiss-Prot entry number following the protein name. </w:t>
      </w:r>
      <w:r w:rsidRPr="00F71168">
        <w:t>The predicted LXXLL motifs with residues marked as 1-5 are shown in red, as are serines just before LXXLL</w:t>
      </w:r>
      <w:r w:rsidR="00DE2E7A">
        <w:t>. Note</w:t>
      </w:r>
      <w:r w:rsidRPr="00F71168">
        <w:t xml:space="preserve"> negatively charged side-chain or a hydroxyl group</w:t>
      </w:r>
      <w:r w:rsidR="00DE2E7A">
        <w:t xml:space="preserve"> containing residues (E, S, T) just in front of the -2 serine</w:t>
      </w:r>
      <w:r w:rsidRPr="00F71168">
        <w:t>.</w:t>
      </w:r>
      <w:r>
        <w:fldChar w:fldCharType="begin" w:fldLock="1"/>
      </w:r>
      <w:r>
        <w:instrText>ADDIN CSL_CITATION { "citationItems" : [ { "id" : "ITEM-1", "itemData" : { "DOI" : "10.1093/nar/gku989", "ISBN" : "13624962 (Electronic)", "ISSN" : "13624962", "PMID" : "25348405", "abstract" : "UniProt is an important collection of protein sequences and their annotations, which has doubled in size to 80 million sequences during the past year. This growth in sequences has prompted an extension of UniProt accession number space from 6 to 10 characters. An increasing fraction of new sequences are identical to a sequence that already exists in the database with the majority of sequences coming from genome sequencing projects. We have created a new proteome identifier that uniquely identifies a particular assembly of a species and strain or subspecies to help users track the provenance of sequences. We present a new website that has been designed using a user-experience design process. We have introduced an annotation score for all entries in UniProt to represent the relative amount of knowledge known about each protein. These scores will be helpful in identifying which proteins are the best characterized and most informative for comparative analysis. All UniProt data is provided freely and is available on the web at http://www.uniprot.org/.", "author" : [ { "dropping-particle" : "", "family" : "Bateman", "given" : "Alex", "non-dropping-particle" : "", "parse-names" : false, "suffix" : "" }, { "dropping-particle" : "", "family" : "Martin", "given" : "Maria Jesus", "non-dropping-particle" : "", "parse-names" : false, "suffix" : "" }, { "dropping-particle" : "", "family" : "O'Donovan", "given" : "Claire", "non-dropping-particle" : "", "parse-names" : false, "suffix" : "" }, { "dropping-particle" : "", "family" : "Magrane", "given" : "Michele", "non-dropping-particle" : "", "parse-names" : false, "suffix" : "" }, { "dropping-particle" : "", "family" : "Apweiler", "given" : "Rolf", "non-dropping-particle" : "", "parse-names" : false, "suffix" : "" }, { "dropping-particle" : "", "family" : "Alpi", "given" : "Emanuele", "non-dropping-particle" : "", "parse-names" : false, "suffix" : "" }, { "dropping-particle" : "", "family" : "Antunes", "given" : "Ricardo", "non-dropping-particle" : "", "parse-names" : false, "suffix" : "" }, { "dropping-particle" : "", "family" : "Arganiska", "given" : "Joanna", "non-dropping-particle" : "", "parse-names" : false, "suffix" : "" }, { "dropping-particle" : "", "family" : "Bely", "given" : "Benoit", "non-dropping-particle" : "", "parse-names" : false, "suffix" : "" }, { "dropping-particle" : "", "family" : "Bingley", "given" : "Mark", "non-dropping-particle" : "", "parse-names" : false, "suffix" : "" }, { "dropping-particle" : "", "family" : "Bonilla", "given" : "Carlos", "non-dropping-particle" : "", "parse-names" : false, "suffix" : "" }, { "dropping-particle" : "", "family" : "Britto", "given" : "Ramona", "non-dropping-particle" : "", "parse-names" : false, "suffix" : "" }, { "dropping-particle" : "", "family" : "Bursteinas", "given" : "Borisas", "non-dropping-particle" : "", "parse-names" : false, "suffix" : "" }, { "dropping-particle" : "", "family" : "Chavali", "given" : "Gayatri", "non-dropping-particle" : "", "parse-names" : false, "suffix" : "" }, { "dropping-particle" : "", "family" : "Cibrian-Uhalte", "given" : "Elena", "non-dropping-particle" : "", "parse-names" : false, "suffix" : "" }, { "dropping-particle" : "", "family" : "Silva", "given" : "Alan", "non-dropping-particle" : "Da", "parse-names" : false, "suffix" : "" }, { "dropping-particle" : "", "family" : "Giorgi", "given" : "Maurizio", "non-dropping-particle" : "De", "parse-names" : false, "suffix" : "" }, { "dropping-particle" : "", "family" : "Dogan", "given" : "Tunca", "non-dropping-particle" : "", "parse-names" : false, "suffix" : "" }, { "dropping-particle" : "", "family" : "Fazzini", "given" : "Francesco", "non-dropping-particle" : "", "parse-names" : false, "suffix" : "" }, { "dropping-particle" : "", "family" : "Gane", "given" : "Paul", "non-dropping-particle" : "", "parse-names" : false, "suffix" : "" }, { "dropping-particle" : "", "family" : "Castro", "given" : "Leyla Garcia", "non-dropping-particle" : "", "parse-names" : false, "suffix" : "" }, { "dropping-particle" : "", "family" : "Garmiri", "given" : "Penelope", "non-dropping-particle" : "", "parse-names" : false, "suffix" : "" }, { "dropping-particle" : "", "family" : "Hatton-Ellis", "given" : "Emma", "non-dropping-particle" : "", "parse-names" : false, "suffix" : "" }, { "dropping-particle" : "", "family" : "Hieta", "given" : "Reija", "non-dropping-particle" : "", "parse-names" : false, "suffix" : "" }, { "dropping-particle" : "", "family" : "Huntley", "given" : "Rachael", "non-dropping-particle" : "", "parse-names" : false, "suffix" : "" }, { "dropping-particle" : "", "family" : "Legge", "given" : "Duncan", "non-dropping-particle" : "", "parse-names" : false, "suffix" : "" }, { "dropping-particle" : "", "family" : "Liu", "given" : "Wudong", "non-dropping-particle" : "", "parse-names" : false, "suffix" : "" }, { "dropping-particle" : "", "family" : "Luo", "given" : "Jie", "non-dropping-particle" : "", "parse-names" : false, "suffix" : "" }, { "dropping-particle" : "", "family" : "Macdougall", "given" : "Alistair", "non-dropping-particle" : "", "parse-names" : false, "suffix" : "" }, { "dropping-particle" : "", "family" : "Mutowo", "given" : "Prudence", "non-dropping-particle" : "", "parse-names" : false, "suffix" : "" }, { "dropping-particle" : "", "family" : "Nightingale", "given" : "Andrew", "non-dropping-particle" : "", "parse-names" : false, "suffix" : "" }, { "dropping-particle" : "", "family" : "Orchard", "given" : "Sandra", "non-dropping-particle" : "", "parse-names" : false, "suffix" : "" }, { "dropping-particle" : "", "family" : "Pichler", "given" : "Klemens", "non-dropping-particle" : "", "parse-names" : false, "suffix" : "" }, { "dropping-particle" : "", "family" : "Poggioli", "given" : "Diego", "non-dropping-particle" : "", "parse-names" : false, "suffix" : "" }, { "dropping-particle" : "", "family" : "Pundir", "given" : "Sangya", "non-dropping-particle" : "", "parse-names" : false, "suffix" : "" }, { "dropping-particle" : "", "family" : "Pureza", "given" : "Luis", "non-dropping-particle" : "", "parse-names" : false, "suffix" : "" }, { "dropping-particle" : "", "family" : "Qi", "given" : "Guoying", "non-dropping-particle" : "", "parse-names" : false, "suffix" : "" }, { "dropping-particle" : "", "family" : "Rosanoff", "given" : "Steven", "non-dropping-particle" : "", "parse-names" : false, "suffix" : "" }, { "dropping-particle" : "", "family" : "Saidi", "given" : "Rabie", "non-dropping-particle" : "", "parse-names" : false, "suffix" : "" }, { "dropping-particle" : "", "family" : "Sawford", "given" : "Tony", "non-dropping-particle" : "", "parse-names" : false, "suffix" : "" }, { "dropping-particle" : "", "family" : "Shypitsyna", "given" : "Aleksandra", "non-dropping-particle" : "", "parse-names" : false, "suffix" : "" }, { "dropping-particle" : "", "family" : "Turner", "given" : "Edward", "non-dropping-particle" : "", "parse-names" : false, "suffix" : "" }, { "dropping-particle" : "", "family" : "Volynkin", "given" : "Vladimir", "non-dropping-particle" : "", "parse-names" : false, "suffix" : "" }, { "dropping-particle" : "", "family" : "Wardell", "given" : "Tony", "non-dropping-particle" : "", "parse-names" : false, "suffix" : "" }, { "dropping-particle" : "", "family" : "Watkins", "given" : "Xavier", "non-dropping-particle" : "", "parse-names" : false, "suffix" : "" }, { "dropping-particle" : "", "family" : "Zellner", "given" : "Hermann", "non-dropping-particle" : "", "parse-names" : false, "suffix" : "" }, { "dropping-particle" : "", "family" : "Cowley", "given" : "Andrew", "non-dropping-particle" : "", "parse-names" : false, "suffix" : "" }, { "dropping-particle" : "", "family" : "Figueira", "given" : "Luis", "non-dropping-particle" : "", "parse-names" : false, "suffix" : "" }, { "dropping-particle" : "", "family" : "Li", "given" : "Weizhong", "non-dropping-particle" : "", "parse-names" : false, "suffix" : "" }, { "dropping-particle" : "", "family" : "McWilliam", "given" : "Hamish", "non-dropping-particle" : "", "parse-names" : false, "suffix" : "" }, { "dropping-particle" : "", "family" : "Lopez", "given" : "Rodrigo", "non-dropping-particle" : "", "parse-names" : false, "suffix" : "" }, { "dropping-particle" : "", "family" : "Xenarios", "given" : "Ioannis", "non-dropping-particle" : "", "parse-names" : false, "suffix" : "" }, { "dropping-particle" : "", "family" : "Bougueleret", "given" : "Lydie", "non-dropping-particle" : "", "parse-names" : false, "suffix" : "" }, { "dropping-particle" : "", "family" : "Bridge", "given" : "Alan", "non-dropping-particle" : "", "parse-names" : false, "suffix" : "" }, { "dropping-particle" : "", "family" : "Poux", "given" : "Sylvain", "non-dropping-particle" : "", "parse-names" : false, "suffix" : "" }, { "dropping-particle" : "", "family" : "Redaschi", "given" : "Nicole", "non-dropping-particle" : "", "parse-names" : false, "suffix" : "" }, { "dropping-particle" : "", "family" : "Aimo", "given" : "Lucila", "non-dropping-particle" : "", "parse-names" : false, "suffix" : "" }, { "dropping-particle" : "", "family" : "Argoud-Puy", "given" : "Ghislaine", "non-dropping-particle" : "", "parse-names" : false, "suffix" : "" }, { "dropping-particle" : "", "family" : "Auchincloss", "given" : "Andrea", "non-dropping-particle" : "", "parse-names" : false, "suffix" : "" }, { "dropping-particle" : "", "family" : "Axelsen", "given" : "Kristian", "non-dropping-particle" : "", "parse-names" : false, "suffix" : "" }, { "dropping-particle" : "", "family" : "Bansal", "given" : "Parit", "non-dropping-particle" : "", "parse-names" : false, "suffix" : "" }, { "dropping-particle" : "", "family" : "Baratin", "given" : "Delphine", "non-dropping-particle" : "", "parse-names" : false, "suffix" : "" }, { "dropping-particle" : "", "family" : "Blatter", "given" : "Marie Claude", "non-dropping-particle" : "", "parse-names" : false, "suffix" : "" }, { "dropping-particle" : "", "family" : "Boeckmann", "given" : "Brigitte", "non-dropping-particle" : "", "parse-names" : false, "suffix" : "" }, { "dropping-particle" : "", "family" : "Bolleman", "given" : "Jerven", "non-dropping-particle" : "", "parse-names" : false, "suffix" : "" }, { "dropping-particle" : "", "family" : "Boutet", "given" : "Emmanuel", "non-dropping-particle" : "", "parse-names" : false, "suffix" : "" }, { "dropping-particle" : "", "family" : "Breuza", "given" : "Lionel", "non-dropping-particle" : "", "parse-names" : false, "suffix" : "" }, { "dropping-particle" : "", "family" : "Casal-Casas", "given" : "Cristina", "non-dropping-particle" : "", "parse-names" : false, "suffix" : "" }, { "dropping-particle" : "", "family" : "Castro", "given" : "Edouard", "non-dropping-particle" : "De", "parse-names" : false, "suffix" : "" }, { "dropping-particle" : "", "family" : "Coudert", "given" : "Elisabeth", "non-dropping-particle" : "", "parse-names" : false, "suffix" : "" }, { "dropping-particle" : "", "family" : "Cuche", "given" : "Beatrice", "non-dropping-particle" : "", "parse-names" : false, "suffix" : "" }, { "dropping-particle" : "", "family" : "Doche", "given" : "Mikael", "non-dropping-particle" : "", "parse-names" : false, "suffix" : "" }, { "dropping-particle" : "", "family" : "Dornevil", "given" : "Dolnide", "non-dropping-particle" : "", "parse-names" : false, "suffix" : "" }, { "dropping-particle" : "", "family" : "Duvaud", "given" : "Severine", "non-dropping-particle" : "", "parse-names" : false, "suffix" : "" }, { "dropping-particle" : "", "family" : "Estreicher", "given" : "Anne", "non-dropping-particle" : "", "parse-names" : false, "suffix" : "" }, { "dropping-particle" : "", "family" : "Famiglietti", "given" : "Livia", "non-dropping-particle" : "", "parse-names" : false, "suffix" : "" }, { "dropping-particle" : "", "family" : "Feuermann", "given" : "Marc", "non-dropping-particle" : "", "parse-names" : false, "suffix" : "" }, { "dropping-particle" : "", "family" : "Gasteiger", "given" : "Elisabeth", "non-dropping-particle" : "", "parse-names" : false, "suffix" : "" }, { "dropping-particle" : "", "family" : "Gehant", "given" : "Sebastien", "non-dropping-particle" : "", "parse-names" : false, "suffix" : "" }, { "dropping-particle" : "", "family" : "Gerritsen", "given" : "Vivienne", "non-dropping-particle" : "", "parse-names" : false, "suffix" : "" }, { "dropping-particle" : "", "family" : "Gos", "given" : "Arnaud", "non-dropping-particle" : "", "parse-names" : false, "suffix" : "" }, { "dropping-particle" : "", "family" : "Gruaz-Gumowski", "given" : "Nadine", "non-dropping-particle" : "", "parse-names" : false, "suffix" : "" }, { "dropping-particle" : "", "family" : "Hinz", "given" : "Ursula", "non-dropping-particle" : "", "parse-names" : false, "suffix" : "" }, { "dropping-particle" : "", "family" : "Hulo", "given" : "Chantal", "non-dropping-particle" : "", "parse-names" : false, "suffix" : "" }, { "dropping-particle" : "", "family" : "Jungo", "given" : "Florence", "non-dropping-particle" : "", "parse-names" : false, "suffix" : "" }, { "dropping-particle" : "", "family" : "Keller", "given" : "Guillaume", "non-dropping-particle" : "", "parse-names" : false, "suffix" : "" }, { "dropping-particle" : "", "family" : "Lara", "given" : "Vicente", "non-dropping-particle" : "", "parse-names" : false, "suffix" : "" }, { "dropping-particle" : "", "family" : "Lemercier", "given" : "Philippe", "non-dropping-particle" : "", "parse-names" : false, "suffix" : "" }, { "dropping-particle" : "", "family" : "Lieberherr", "given" : "Damien", "non-dropping-particle" : "", "parse-names" : false, "suffix" : "" }, { "dropping-particle" : "", "family" : "Lombardot", "given" : "Thierry", "non-dropping-particle" : "", "parse-names" : false, "suffix" : "" }, { "dropping-particle" : "", "family" : "Martin", "given" : "Xavier", "non-dropping-particle" : "", "parse-names" : false, "suffix" : "" }, { "dropping-particle" : "", "family" : "Masson", "given" : "Patrick", "non-dropping-particle" : "", "parse-names" : false, "suffix" : "" }, { "dropping-particle" : "", "family" : "Morgat", "given" : "Anne", "non-dropping-particle" : "", "parse-names" : false, "suffix" : "" }, { "dropping-particle" : "", "family" : "Neto", "given" : "Teresa", "non-dropping-particle" : "", "parse-names" : false, "suffix" : "" }, { "dropping-particle" : "", "family" : "Nouspikel", "given" : "Nevila", "non-dropping-particle" : "", "parse-names" : false, "suffix" : "" }, { "dropping-particle" : "", "family" : "Paesano", "given" : "Salvo", "non-dropping-particle" : "", "parse-names" : false, "suffix" : "" }, { "dropping-particle" : "", "family" : "Pedruzzi", "given" : "Ivo", "non-dropping-particle" : "", "parse-names" : false, "suffix" : "" }, { "dropping-particle" : "", "family" : "Pilbout", "given" : "Sandrine", "non-dropping-particle" : "", "parse-names" : false, "suffix" : "" }, { "dropping-particle" : "", "family" : "Pozzato", "given" : "Monica", "non-dropping-particle" : "", "parse-names" : false, "suffix" : "" }, { "dropping-particle" : "", "family" : "Pruess", "given" : "Manuela", "non-dropping-particle" : "", "parse-names" : false, "suffix" : "" }, { "dropping-particle" : "", "family" : "Rivoire", "given" : "Catherine", "non-dropping-particle" : "", "parse-names" : false, "suffix" : "" }, { "dropping-particle" : "", "family" : "Roechert", "given" : "Bernd", "non-dropping-particle" : "", "parse-names" : false, "suffix" : "" }, { "dropping-particle" : "", "family" : "Schneider", "given" : "Michel", "non-dropping-particle" : "", "parse-names" : false, "suffix" : "" }, { "dropping-particle" : "", "family" : "Sigrist", "given" : "Christian", "non-dropping-particle" : "", "parse-names" : false, "suffix" : "" }, { "dropping-particle" : "", "family" : "Sonesson", "given" : "Karin", "non-dropping-particle" : "", "parse-names" : false, "suffix" : "" }, { "dropping-particle" : "", "family" : "Staehli", "given" : "Sylvie", "non-dropping-particle" : "", "parse-names" : false, "suffix" : "" }, { "dropping-particle" : "", "family" : "Stutz", "given" : "Andre", "non-dropping-particle" : "", "parse-names" : false, "suffix" : "" }, { "dropping-particle" : "", "family" : "Sundaram", "given" : "Shyamala", "non-dropping-particle" : "", "parse-names" : false, "suffix" : "" }, { "dropping-particle" : "", "family" : "Tognolli", "given" : "Michael", "non-dropping-particle" : "", "parse-names" : false, "suffix" : "" }, { "dropping-particle" : "", "family" : "Verbregue", "given" : "Laure", "non-dropping-particle" : "", "parse-names" : false, "suffix" : "" }, { "dropping-particle" : "", "family" : "Veuthey", "given" : "Anne Lise", "non-dropping-particle" : "", "parse-names" : false, "suffix" : "" }, { "dropping-particle" : "", "family" : "Wu", "given" : "Cathy H.", "non-dropping-particle" : "", "parse-names" : false, "suffix" : "" }, { "dropping-particle" : "", "family" : "Arighi", "given" : "Cecilia N.", "non-dropping-particle" : "", "parse-names" : false, "suffix" : "" }, { "dropping-particle" : "", "family" : "Arminski", "given" : "Leslie", "non-dropping-particle" : "", "parse-names" : false, "suffix" : "" }, { "dropping-particle" : "", "family" : "Chen", "given" : "Chuming", "non-dropping-particle" : "", "parse-names" : false, "suffix" : "" }, { "dropping-particle" : "", "family" : "Chen", "given" : "Yongxing", "non-dropping-particle" : "", "parse-names" : false, "suffix" : "" }, { "dropping-particle" : "", "family" : "Garavelli", "given" : "John S.", "non-dropping-particle" : "", "parse-names" : false, "suffix" : "" }, { "dropping-particle" : "", "family" : "Huang", "given" : "Hongzhan", "non-dropping-particle" : "", "parse-names" : false, "suffix" : "" }, { "dropping-particle" : "", "family" : "Laiho", "given" : "Kati", "non-dropping-particle" : "", "parse-names" : false, "suffix" : "" }, { "dropping-particle" : "", "family" : "McGarvey", "given" : "Peter", "non-dropping-particle" : "", "parse-names" : false, "suffix" : "" }, { "dropping-particle" : "", "family" : "Natale", "given" : "Darren A.", "non-dropping-particle" : "", "parse-names" : false, "suffix" : "" }, { "dropping-particle" : "", "family" : "Suzek", "given" : "Baris E.", "non-dropping-particle" : "", "parse-names" : false, "suffix" : "" }, { "dropping-particle" : "", "family" : "Vinayaka", "given" : "C. R.", "non-dropping-particle" : "", "parse-names" : false, "suffix" : "" }, { "dropping-particle" : "", "family" : "Wang", "given" : "Qinghua", "non-dropping-particle" : "", "parse-names" : false, "suffix" : "" }, { "dropping-particle" : "", "family" : "Wang", "given" : "Yuqi", "non-dropping-particle" : "", "parse-names" : false, "suffix" : "" }, { "dropping-particle" : "", "family" : "Yeh", "given" : "Lai Su", "non-dropping-particle" : "", "parse-names" : false, "suffix" : "" }, { "dropping-particle" : "", "family" : "Yerramalla", "given" : "Meher Shruti", "non-dropping-particle" : "", "parse-names" : false, "suffix" : "" }, { "dropping-particle" : "", "family" : "Zhang", "given" : "Jian", "non-dropping-particle" : "", "parse-names" : false, "suffix" : "" } ], "container-title" : "Nucleic Acids Research", "id" : "ITEM-1", "issue" : "D1", "issued" : { "date-parts" : [ [ "2015" ] ] }, "page" : "D204-D212", "title" : "UniProt: A hub for protein information", "type" : "article-journal", "volume" : "43" }, "uris" : [ "http://www.mendeley.com/documents/?uuid=6793c47f-7440-49e3-9e89-0c814f07de69" ] } ], "mendeley" : { "formattedCitation" : "&lt;sup&gt;28&lt;/sup&gt;", "plainTextFormattedCitation" : "28", "previouslyFormattedCitation" : "&lt;sup&gt;28&lt;/sup&gt;" }, "properties" : { "noteIndex" : 0 }, "schema" : "https://github.com/citation-style-language/schema/raw/master/csl-citation.json" }</w:instrText>
      </w:r>
      <w:r>
        <w:fldChar w:fldCharType="separate"/>
      </w:r>
      <w:r w:rsidRPr="00146957">
        <w:rPr>
          <w:noProof/>
          <w:vertAlign w:val="superscript"/>
        </w:rPr>
        <w:t>28</w:t>
      </w:r>
      <w:r>
        <w:fldChar w:fldCharType="end"/>
      </w:r>
    </w:p>
    <w:p w14:paraId="3BCA643E" w14:textId="77777777" w:rsidR="00FF0510" w:rsidRDefault="00FF0510" w:rsidP="004513A2">
      <w:pPr>
        <w:spacing w:line="360" w:lineRule="auto"/>
        <w:jc w:val="both"/>
      </w:pPr>
    </w:p>
    <w:p w14:paraId="630BE7DE" w14:textId="4A972FCE" w:rsidR="004341AC" w:rsidRDefault="5ECC47B9" w:rsidP="004513A2">
      <w:pPr>
        <w:spacing w:line="360" w:lineRule="auto"/>
        <w:jc w:val="both"/>
        <w:rPr>
          <w:rFonts w:ascii="Calibri" w:eastAsia="Calibri" w:hAnsi="Calibri" w:cs="Calibri"/>
          <w:lang w:val="en-GB"/>
        </w:rPr>
      </w:pPr>
      <w:r>
        <w:t>As both PER2 and PGC1</w:t>
      </w:r>
      <w:r w:rsidR="00435042">
        <w:rPr>
          <w:rFonts w:ascii="Calibri" w:hAnsi="Calibri"/>
        </w:rPr>
        <w:t>α</w:t>
      </w:r>
      <w:r>
        <w:t xml:space="preserve"> are co-activators of PPAR</w:t>
      </w:r>
      <w:r w:rsidR="00435042">
        <w:rPr>
          <w:rFonts w:ascii="Calibri" w:hAnsi="Calibri"/>
        </w:rPr>
        <w:t>γ</w:t>
      </w:r>
      <w:r>
        <w:t xml:space="preserve">, </w:t>
      </w:r>
      <w:r w:rsidR="00AA3514">
        <w:t xml:space="preserve">a NR </w:t>
      </w:r>
      <w:r>
        <w:t>involved in lipid and carbohydrate metabolism, we focused our attention on nuclear receptor homology. Most receptor residues that are in contact with LXXLL motifs have no charge pointing towards the co-activator motifs besides two very distincs lysins at both CAR and PPAR</w:t>
      </w:r>
      <w:r w:rsidR="00435042">
        <w:rPr>
          <w:rFonts w:ascii="Calibri" w:hAnsi="Calibri"/>
        </w:rPr>
        <w:t>γ</w:t>
      </w:r>
      <w:r>
        <w:t xml:space="preserve"> on homologous positions. The receptors also seem to have high </w:t>
      </w:r>
      <w:r w:rsidR="00DE2E7A">
        <w:t>3D similarity</w:t>
      </w:r>
      <w:r>
        <w:t xml:space="preserve"> of the hydrophobic cleft as helices 3, 4, 5 are positioned in a similar manner. Both receptors seem to bind LXXLL</w:t>
      </w:r>
      <w:r w:rsidRPr="5ECC47B9">
        <w:rPr>
          <w:rFonts w:ascii="Calibri" w:eastAsia="Calibri" w:hAnsi="Calibri" w:cs="Calibri"/>
          <w:lang w:val="en-GB"/>
        </w:rPr>
        <w:t xml:space="preserve"> motifs in an "end of helix 5" to "end of helix 3" fashion, which coincides with the lysine positioning.</w:t>
      </w:r>
      <w:r w:rsidR="000E3498">
        <w:rPr>
          <w:rFonts w:ascii="Calibri" w:eastAsia="Calibri" w:hAnsi="Calibri" w:cs="Calibri"/>
          <w:lang w:val="en-GB"/>
        </w:rPr>
        <w:fldChar w:fldCharType="begin" w:fldLock="1"/>
      </w:r>
      <w:r w:rsidR="00935DCB">
        <w:rPr>
          <w:rFonts w:ascii="Calibri" w:eastAsia="Calibri" w:hAnsi="Calibri" w:cs="Calibri"/>
          <w:lang w:val="en-GB"/>
        </w:rPr>
        <w:instrText>ADDIN CSL_CITATION { "citationItems" : [ { "id" : "ITEM-1", "itemData" : { "DOI" : "10.1016/j.molcel.2004.11.036", "PMID" : "15610733", "abstract" : "Constitutive androstane receptor (CAR) induces xenobiotic, bilirubin, and thyroid hormone metabolism as a heterodimer with the retinoid X receptor (RXR). Unlike ligand-dependent nuclear receptors, CAR is constitutively active. Here, we report the heterodimeric structure of the CAR and RXR ligand binding domains (LBDs), which reveals an unusually large dimerization interface and a small CAR ligand binding pocket. Constitutive CAR activity appears to be mediated by the compact nature of the CAR LBD that displays several unique features including a shortened AF2 helix and helix H10, which are linked by a two-turn helix that normally adopts an extended loop in other receptors, and an extended helix H2 that stabilizes the canonical LBD fold by packing tightly against helix H3. These structural observations provide a molecular framework for understanding the atypical transcriptional activation properties of CAR.", "author" : [ { "dropping-particle" : "", "family" : "Suino", "given" : "Kelly", "non-dropping-particle" : "", "parse-names" : false, "suffix" : "" }, { "dropping-particle" : "", "family" : "Peng", "given" : "Li", "non-dropping-particle" : "", "parse-names" : false, "suffix" : "" }, { "dropping-particle" : "", "family" : "Reynolds", "given" : "Ross", "non-dropping-particle" : "", "parse-names" : false, "suffix" : "" }, { "dropping-particle" : "", "family" : "Li", "given" : "Yong", "non-dropping-particle" : "", "parse-names" : false, "suffix" : "" }, { "dropping-particle" : "", "family" : "Cha", "given" : "Ji-Young", "non-dropping-particle" : "", "parse-names" : false, "suffix" : "" }, { "dropping-particle" : "", "family" : "Repa", "given" : "Joyce J", "non-dropping-particle" : "", "parse-names" : false, "suffix" : "" }, { "dropping-particle" : "", "family" : "Kliewer", "given" : "Steven A", "non-dropping-particle" : "", "parse-names" : false, "suffix" : "" }, { "dropping-particle" : "", "family" : "Xu", "given" : "H Eric", "non-dropping-particle" : "", "parse-names" : false, "suffix" : "" } ], "container-title" : "Molecular cell", "id" : "ITEM-1", "issue" : "6", "issued" : { "date-parts" : [ [ "2004", "12", "22" ] ] }, "page" : "893-905", "title" : "PDB ID: 1XLS; The nuclear xenobiotic receptor CAR: structural determinants of constitutive activation and heterodimerization.", "type" : "article-journal", "volume" : "16" }, "uris" : [ "http://www.mendeley.com/documents/?uuid=0e734f83-25cf-3b62-b60d-8c63da890ea1" ] }, { "id" : "ITEM-2", "itemData" : { "PMID" : "21720019", "abstract" : "Peroxisome proliferator-activated receptor \u03b3 (PPAR\u03b3; NR1C3) is known as a key regulator of adipocytogenesis and the molecular target of thiazolidinediones (TZDs), also known as antidiabetic agents. Despite the clinical benefits of TZDs, their use is often associated with adverse effects including peripheral edema, congestive heart failure, and weight gain. Here we report the identification and characterization of a non-thiazolidinedione PPAR\u03b3 partial agonist, Cerco-A, which is a derivative of the natural product, (-)-cercosporamide. Cerco-A was found to be a binder of the PPAR\u03b3 ligand-binding domain in a ligand competitive binding assay and showed a unique cofactor recruitment profile compared to rosiglitazone. A crystal structure analysis revealed that Cerco-A binds to PPAR\u03b3 without direct hydrogen bonding to helix12. In PPAR\u03b3 transcriptional activation assay and an adipocyte differentiation assay, Cerco-A was a potent partial agonist of PPAR\u03b3. After a 14-day oral administration, once per day of Cerco-A in Zucker diabetic fatty (ZDF) rats, an apparent decrease of plasma glucose and triglyceride was observed, as with pioglitazone. To evaluate drug safety, Cerco-A was administered for 13 days orally in non-diabetic Zucker fatty (ZF) rats. Each of the hemodilution parameters (hematocrit, red blood cells number, and hemoglobin), which are considered as undesirable effects of TZDs, was improved significantly compared to pioglitazone. While Cerco-A showed body weight gain, as with pioglitazone, Cerco-A had significantly lower effects on heart and white adipose tissues weight gain. The results suggest that Cerco-A offers beneficial effects on glycemic control with attenuated undesirable side effects.", "author" : [ { "dropping-particle" : "", "family" : "Wakabayashi", "given" : "Kenji", "non-dropping-particle" : "", "parse-names" : false, "suffix" : "" }, { "dropping-particle" : "", "family" : "Hayashi", "given" : "Shinko", "non-dropping-particle" : "", "parse-names" : false, "suffix" : "" }, { "dropping-particle" : "", "family" : "Matsui", "given" : "Yumi", "non-dropping-particle" : "", "parse-names" : false, "suffix" : "" }, { "dropping-particle" : "", "family" : "Matsumoto", "given" : "Takuo", "non-dropping-particle" : "", "parse-names" : false, "suffix" : "" }, { "dropping-particle" : "", "family" : "Furukawa", "given" : "Akihiro", "non-dropping-particle" : "", "parse-names" : false, "suffix" : "" }, { "dropping-particle" : "", "family" : "Kuroha", "given" : "Masanori", "non-dropping-particle" : "", "parse-names" : false, "suffix" : "" }, { "dropping-particle" : "", "family" : "Tanaka", "given" : "Naomi", "non-dropping-particle" : "", "parse-names" : false, "suffix" : "" }, { "dropping-particle" : "", "family" : "Inaba", "given" : "Tomoko", "non-dropping-particle" : "", "parse-names" : false, "suffix" : "" }, { "dropping-particle" : "", "family" : "Kanda", "given" : "Shoichi", "non-dropping-particle" : "", "parse-names" : false, "suffix" : "" }, { "dropping-particle" : "", "family" : "Tanaka", "given" : "Jun", "non-dropping-particle" : "", "parse-names" : false, "suffix" : "" }, { "dropping-particle" : "", "family" : "Okuyama", "given" : "Ryo", "non-dropping-particle" : "", "parse-names" : false, "suffix" : "" }, { "dropping-particle" : "", "family" : "Wakimoto", "given" : "Satoko", "non-dropping-particle" : "", "parse-names" : false, "suffix" : "" }, { "dropping-particle" : "", "family" : "Ogata", "given" : "Tsuneaki", "non-dropping-particle" : "", "parse-names" : false, "suffix" : "" }, { "dropping-particle" : "", "family" : "Araki", "given" : "Kazushi", "non-dropping-particle" : "", "parse-names" : false, "suffix" : "" }, { "dropping-particle" : "", "family" : "Ohsumi", "given" : "Jun", "non-dropping-particle" : "", "parse-names" : false, "suffix" : "" } ], "container-title" : "Biological &amp; pharmaceutical bulletin", "id" : "ITEM-2", "issue" : "7", "issued" : { "date-parts" : [ [ "2011" ] ] }, "page" : "1094-104", "title" : "PDB ID: 3B1M; Pharmacology and in vitro profiling of a novel peroxisome proliferator-activated receptor \u03b3 ligand, Cerco-A.", "type" : "article-journal", "volume" : "34" }, "uris" : [ "http://www.mendeley.com/documents/?uuid=182a28a0-101a-3209-b598-87ad3ba98407" ] }, { "id" : "ITEM-3", "itemData" : { "DOI" : "10.1074/jbc.M802040200", "PMID" : "18469005", "abstract" : "The functional interaction between the peroxisome proliferator-activated receptor gamma (PPARgamma) and its coactivator PGC-1alpha is crucial for the normal physiology of PPARgamma and its pharmacological response to antidiabetic treatment with rosiglitazone. Here we report the crystal structure of the PPARgamma ligand-binding domain bound to rosiglitazone and to a large PGC-1alpha fragment that contains two LXXLL-related motifs. The structure reveals critical contacts mediated through the first LXXLL motif of PGC-1alpha and the PPARgamma coactivator binding site. Through a combination of biochemical and structural studies, we demonstrate that the first LXXLL motif is the most potent among all nuclear receptor coactivator motifs tested, and only this motif of the two LXXLL-related motifs in PGC-1alpha is capable of binding to PPARgamma. Our studies reveal that the strong interaction of PGC-1alpha and PPARgamma is mediated through both hydrophobic and specific polar interactions. Mutations within the context of the full-length PGC-1alpha indicate that the first PGC-1alpha motif is necessary and sufficient for PGC-1alpha to coactivate PPARgamma in the presence or absence of rosiglitazone. These results provide a molecular basis for specific recruitment and functional interplay between PPARgamma and PGC-1alpha in glucose homeostasis and adipocyte differentiation.", "author" : [ { "dropping-particle" : "", "family" : "Li", "given" : "Yong", "non-dropping-particle" : "", "parse-names" : false, "suffix" : "" }, { "dropping-particle" : "", "family" : "Kovach", "given" : "Amanda", "non-dropping-particle" : "", "parse-names" : false, "suffix" : "" }, { "dropping-particle" : "", "family" : "Suino-Powell", "given" : "Kelly", "non-dropping-particle" : "", "parse-names" : false, "suffix" : "" }, { "dropping-particle" : "", "family" : "Martynowski", "given" : "Dariusz", "non-dropping-particle" : "", "parse-names" : false, "suffix" : "" }, { "dropping-particle" : "", "family" : "Xu", "given" : "H Eric", "non-dropping-particle" : "", "parse-names" : false, "suffix" : "" } ], "container-title" : "The Journal of biological chemistry", "id" : "ITEM-3", "issue" : "27", "issued" : { "date-parts" : [ [ "2008", "7", "4" ] ] }, "page" : "19132-9", "title" : "PDB ID: 3CS8; Structural and biochemical basis for the binding selectivity of peroxisome proliferator-activated receptor gamma to PGC-1alpha.", "type" : "article-journal", "volume" : "283" }, "uris" : [ "http://www.mendeley.com/documents/?uuid=61e375de-14f1-3307-a117-6c1545c9b830" ] }, { "id" : "ITEM-4", "itemData" : { "DOI" : "10.1016/j.molcel.2004.11.037", "PMID" : "15610734", "abstract" : "The nuclear receptor CAR is a xenobiotic responsive transcription factor that plays a central role in the clearance of drugs and bilirubin while promoting cocaine and acetaminophen toxicity. In addition, CAR has established a \"reverse\" paradigm of nuclear receptor action where the receptor is active in the absence of ligand and inactive when bound to inverse agonists. We now report the crystal structure of murine CAR bound to the inverse agonist androstenol. Androstenol binds within the ligand binding pocket, but unlike many nuclear receptor ligands, it makes no contacts with helix H12/AF2. The transition from constitutive to basal activity (androstenol bound) appears to be associated with a ligand-induced kink between helices H10 and H11. This disrupts the previously predicted salt bridge that locks H12 in the transcriptionally active conformation. This mechanism of inverse agonism is distinct from traditional nuclear receptor antagonists thereby offering a new approach to receptor modulation.", "author" : [ { "dropping-particle" : "", "family" : "Shan", "given" : "Li", "non-dropping-particle" : "", "parse-names" : false, "suffix" : "" }, { "dropping-particle" : "", "family" : "Vincent", "given" : "Jeremy", "non-dropping-particle" : "", "parse-names" : false, "suffix" : "" }, { "dropping-particle" : "", "family" : "Brunzelle", "given" : "Joseph S", "non-dropping-particle" : "", "parse-names" : false, "suffix" : "" }, { "dropping-particle" : "", "family" : "Dussault", "given" : "Isabelle", "non-dropping-particle" : "", "parse-names" : false, "suffix" : "" }, { "dropping-particle" : "", "family" : "Lin", "given" : "Min", "non-dropping-particle" : "", "parse-names" : false, "suffix" : "" }, { "dropping-particle" : "", "family" : "Ianculescu", "given" : "Irina", "non-dropping-particle" : "", "parse-names" : false, "suffix" : "" }, { "dropping-particle" : "", "family" : "Sherman", "given" : "Mark A", "non-dropping-particle" : "", "parse-names" : false, "suffix" : "" }, { "dropping-particle" : "", "family" : "Forman", "given" : "Barry M", "non-dropping-particle" : "", "parse-names" : false, "suffix" : "" }, { "dropping-particle" : "", "family" : "Fernandez", "given" : "Elias J", "non-dropping-particle" : "", "parse-names" : false, "suffix" : "" } ], "container-title" : "Molecular cell", "id" : "ITEM-4", "issue" : "6", "issued" : { "date-parts" : [ [ "2004", "12", "22" ] ] }, "page" : "907-17", "title" : "PDB ID: 1XNX; Structure of the murine constitutive androstane receptor complexed to androstenol: a molecular basis for inverse agonism.", "type" : "article-journal", "volume" : "16" }, "uris" : [ "http://www.mendeley.com/documents/?uuid=8d599161-c147-30a6-900c-e86bf8b64130" ] }, { "id" : "ITEM-5", "itemData" : { "DOI" : "10.1371/journal.pbio.1000094", "PMID" : "19402751", "abstract" : "PERIOD proteins are central components of the Drosophila and mammalian circadian clocks. The crystal structure of a Drosophila PERIOD (dPER) fragment comprising two PER-ARNT-SIM (PAS) domains (PAS-A and PAS-B) and two additional C-terminal alpha-helices (alphaE and alphaF) has revealed a homodimer mediated by intermolecular interactions of PAS-A with tryptophane 482 in PAS-B and helix alphaF. Here we present the crystal structure of a monomeric PAS domain fragment of dPER lacking the alphaF helix. Moreover, we have solved the crystal structure of a PAS domain fragment of the mouse PERIOD homologue mPER2. The mPER2 structure shows a different dimer interface than dPER, which is stabilized by interactions of the PAS-B beta-sheet surface including tryptophane 419 (equivalent to Trp482dPER). We have validated and quantitatively analysed the homodimer interactions of dPER and mPER2 by site-directed mutagenesis using analytical gel filtration, analytical ultracentrifugation, and co-immunoprecipitation experiments. Furthermore we show, by yeast-two-hybrid experiments, that the PAS-B beta-sheet surface of dPER mediates interactions with TIMELESS (dTIM). Our study reveals quantitative and qualitative differences between the homodimeric PAS domain interactions of dPER and its mammalian homologue mPER2. In addition, we identify the PAS-B beta-sheet surface as a versatile interaction site mediating mPER2 homodimerization in the mammalian system and dPER-dTIM heterodimer formation in the Drosophila system.", "author" : [ { "dropping-particle" : "", "family" : "Hennig", "given" : "Sven", "non-dropping-particle" : "", "parse-names" : false, "suffix" : "" }, { "dropping-particle" : "", "family" : "Strauss", "given" : "Holger M", "non-dropping-particle" : "", "parse-names" : false, "suffix" : "" }, { "dropping-particle" : "", "family" : "Vanselow", "given" : "Katja", "non-dropping-particle" : "", "parse-names" : false, "suffix" : "" }, { "dropping-particle" : "", "family" : "Yildiz", "given" : "Ozkan", "non-dropping-particle" : "", "parse-names" : false, "suffix" : "" }, { "dropping-particle" : "", "family" : "Schulze", "given" : "Sabrina", "non-dropping-particle" : "", "parse-names" : false, "suffix" : "" }, { "dropping-particle" : "", "family" : "Arens", "given" : "Julia", "non-dropping-particle" : "", "parse-names" : false, "suffix" : "" }, { "dropping-particle" : "", "family" : "Kramer", "given" : "Achim", "non-dropping-particle" : "", "parse-names" : false, "suffix" : "" }, { "dropping-particle" : "", "family" : "Wolf", "given" : "Eva", "non-dropping-particle" : "", "parse-names" : false, "suffix" : "" } ], "container-title" : "PLoS biology", "id" : "ITEM-5", "issue" : "4", "issued" : { "date-parts" : [ [ "2009", "4", "28" ] ] }, "page" : "e94", "title" : "PDB ID: 3GDI; Structural and functional analyses of PAS domain interactions of the clock proteins Drosophila PERIOD and mouse PERIOD2.", "type" : "article-journal", "volume" : "7" }, "uris" : [ "http://www.mendeley.com/documents/?uuid=d9d3238c-dd1e-3e95-94e7-fdf578f756ca" ] } ], "mendeley" : { "formattedCitation" : "&lt;sup&gt;30\u201334&lt;/sup&gt;", "plainTextFormattedCitation" : "30\u201334", "previouslyFormattedCitation" : "&lt;sup&gt;30\u201334&lt;/sup&gt;" }, "properties" : { "noteIndex" : 0 }, "schema" : "https://github.com/citation-style-language/schema/raw/master/csl-citation.json" }</w:instrText>
      </w:r>
      <w:r w:rsidR="000E3498">
        <w:rPr>
          <w:rFonts w:ascii="Calibri" w:eastAsia="Calibri" w:hAnsi="Calibri" w:cs="Calibri"/>
          <w:lang w:val="en-GB"/>
        </w:rPr>
        <w:fldChar w:fldCharType="separate"/>
      </w:r>
      <w:r w:rsidR="00146957" w:rsidRPr="00146957">
        <w:rPr>
          <w:rFonts w:ascii="Calibri" w:eastAsia="Calibri" w:hAnsi="Calibri" w:cs="Calibri"/>
          <w:noProof/>
          <w:vertAlign w:val="superscript"/>
          <w:lang w:val="en-GB"/>
        </w:rPr>
        <w:t>30–34</w:t>
      </w:r>
      <w:r w:rsidR="000E3498">
        <w:rPr>
          <w:rFonts w:ascii="Calibri" w:eastAsia="Calibri" w:hAnsi="Calibri" w:cs="Calibri"/>
          <w:lang w:val="en-GB"/>
        </w:rPr>
        <w:fldChar w:fldCharType="end"/>
      </w:r>
      <w:r w:rsidR="00FC3518">
        <w:rPr>
          <w:rFonts w:ascii="Calibri" w:eastAsia="Calibri" w:hAnsi="Calibri" w:cs="Calibri"/>
          <w:lang w:val="en-GB"/>
        </w:rPr>
        <w:t xml:space="preserve"> </w:t>
      </w:r>
      <w:r w:rsidR="00482308">
        <w:rPr>
          <w:rFonts w:ascii="Calibri" w:eastAsia="Calibri" w:hAnsi="Calibri" w:cs="Calibri"/>
          <w:lang w:val="en-GB"/>
        </w:rPr>
        <w:t>Even though</w:t>
      </w:r>
      <w:r w:rsidR="00FC3518">
        <w:rPr>
          <w:rFonts w:ascii="Calibri" w:eastAsia="Calibri" w:hAnsi="Calibri" w:cs="Calibri"/>
          <w:lang w:val="en-GB"/>
        </w:rPr>
        <w:t xml:space="preserve"> this could be projected onto many nuclear receptors</w:t>
      </w:r>
      <w:r w:rsidR="00482308">
        <w:rPr>
          <w:rFonts w:ascii="Calibri" w:eastAsia="Calibri" w:hAnsi="Calibri" w:cs="Calibri"/>
          <w:lang w:val="en-GB"/>
        </w:rPr>
        <w:t>, the position of the lysine at helix 5 could additionally explain favo</w:t>
      </w:r>
      <w:r w:rsidR="008A5F7F">
        <w:rPr>
          <w:rFonts w:ascii="Calibri" w:eastAsia="Calibri" w:hAnsi="Calibri" w:cs="Calibri"/>
          <w:lang w:val="en-GB"/>
        </w:rPr>
        <w:t>u</w:t>
      </w:r>
      <w:r w:rsidR="00482308">
        <w:rPr>
          <w:rFonts w:ascii="Calibri" w:eastAsia="Calibri" w:hAnsi="Calibri" w:cs="Calibri"/>
          <w:lang w:val="en-GB"/>
        </w:rPr>
        <w:t>ri</w:t>
      </w:r>
      <w:r w:rsidR="008A5F7F">
        <w:rPr>
          <w:rFonts w:ascii="Calibri" w:eastAsia="Calibri" w:hAnsi="Calibri" w:cs="Calibri"/>
          <w:lang w:val="en-GB"/>
        </w:rPr>
        <w:t>ng</w:t>
      </w:r>
      <w:r w:rsidR="00482308">
        <w:rPr>
          <w:rFonts w:ascii="Calibri" w:eastAsia="Calibri" w:hAnsi="Calibri" w:cs="Calibri"/>
          <w:lang w:val="en-GB"/>
        </w:rPr>
        <w:t xml:space="preserve"> co-activators with a serine before LXXLL.</w:t>
      </w:r>
      <w:r w:rsidR="00736813">
        <w:rPr>
          <w:rFonts w:ascii="Calibri" w:eastAsia="Calibri" w:hAnsi="Calibri" w:cs="Calibri"/>
          <w:lang w:val="en-GB"/>
        </w:rPr>
        <w:fldChar w:fldCharType="begin" w:fldLock="1"/>
      </w:r>
      <w:r w:rsidR="00935DCB">
        <w:rPr>
          <w:rFonts w:ascii="Calibri" w:eastAsia="Calibri" w:hAnsi="Calibri" w:cs="Calibri"/>
          <w:lang w:val="en-GB"/>
        </w:rPr>
        <w:instrText>ADDIN CSL_CITATION { "citationItems" : [ { "id" : "ITEM-1", "itemData" : { "DOI" : "10.1111/j.1399-3011.2004.00126.x", "ISSN" : "1397-002X", "PMID" : "15049832", "abstract" : "Nuclear receptors require coactivator binding in order to activate transcription of their cognate target genes. Ligands regulate nuclear receptor (NR)-mediated recruitment of coactivators by binding to the ligand-binding domain of the receptor and inducing a conformational change allowing for recognition of a specific motif contained within the coactivator protein. This motif is known as the NR box or LXXLL (where L is leucine and X is any amino acid) domain. Here, we review the discovery of the domain as well as its characterization.", "author" : [ { "dropping-particle" : "", "family" : "Savkur", "given" : "R S", "non-dropping-particle" : "", "parse-names" : false, "suffix" : "" }, { "dropping-particle" : "", "family" : "Burris", "given" : "T P", "non-dropping-particle" : "", "parse-names" : false, "suffix" : "" } ], "container-title" : "The journal of peptide research : official journal of the American Peptide Society", "id" : "ITEM-1", "issue" : "3", "issued" : { "date-parts" : [ [ "2004", "3" ] ] }, "page" : "207-12", "title" : "The coactivator LXXLL nuclear receptor recognition motif.", "type" : "article-journal", "volume" : "63" }, "uris" : [ "http://www.mendeley.com/documents/?uuid=d639121f-0ace-41d8-a8e3-c840b99370ca" ] }, { "id" : "ITEM-2", "itemData" : { "DOI" : "10.1093/nar/gku989", "ISBN" : "13624962 (Electronic)", "ISSN" : "13624962", "PMID" : "25348405", "abstract" : "UniProt is an important collection of protein sequences and their annotations, which has doubled in size to 80 million sequences during the past year. This growth in sequences has prompted an extension of UniProt accession number space from 6 to 10 characters. An increasing fraction of new sequences are identical to a sequence that already exists in the database with the majority of sequences coming from genome sequencing projects. We have created a new proteome identifier that uniquely identifies a particular assembly of a species and strain or subspecies to help users track the provenance of sequences. We present a new website that has been designed using a user-experience design process. We have introduced an annotation score for all entries in UniProt to represent the relative amount of knowledge known about each protein. These scores will be helpful in identifying which proteins are the best characterized and most informative for comparative analysis. All UniProt data is provided freely and is available on the web at http://www.uniprot.org/.", "author" : [ { "dropping-particle" : "", "family" : "Bateman", "given" : "Alex", "non-dropping-particle" : "", "parse-names" : false, "suffix" : "" }, { "dropping-particle" : "", "family" : "Martin", "given" : "Maria Jesus", "non-dropping-particle" : "", "parse-names" : false, "suffix" : "" }, { "dropping-particle" : "", "family" : "O'Donovan", "given" : "Claire", "non-dropping-particle" : "", "parse-names" : false, "suffix" : "" }, { "dropping-particle" : "", "family" : "Magrane", "given" : "Michele", "non-dropping-particle" : "", "parse-names" : false, "suffix" : "" }, { "dropping-particle" : "", "family" : "Apweiler", "given" : "Rolf", "non-dropping-particle" : "", "parse-names" : false, "suffix" : "" }, { "dropping-particle" : "", "family" : "Alpi", "given" : "Emanuele", "non-dropping-particle" : "", "parse-names" : false, "suffix" : "" }, { "dropping-particle" : "", "family" : "Antunes", "given" : "Ricardo", "non-dropping-particle" : "", "parse-names" : false, "suffix" : "" }, { "dropping-particle" : "", "family" : "Arganiska", "given" : "Joanna", "non-dropping-particle" : "", "parse-names" : false, "suffix" : "" }, { "dropping-particle" : "", "family" : "Bely", "given" : "Benoit", "non-dropping-particle" : "", "parse-names" : false, "suffix" : "" }, { "dropping-particle" : "", "family" : "Bingley", "given" : "Mark", "non-dropping-particle" : "", "parse-names" : false, "suffix" : "" }, { "dropping-particle" : "", "family" : "Bonilla", "given" : "Carlos", "non-dropping-particle" : "", "parse-names" : false, "suffix" : "" }, { "dropping-particle" : "", "family" : "Britto", "given" : "Ramona", "non-dropping-particle" : "", "parse-names" : false, "suffix" : "" }, { "dropping-particle" : "", "family" : "Bursteinas", "given" : "Borisas", "non-dropping-particle" : "", "parse-names" : false, "suffix" : "" }, { "dropping-particle" : "", "family" : "Chavali", "given" : "Gayatri", "non-dropping-particle" : "", "parse-names" : false, "suffix" : "" }, { "dropping-particle" : "", "family" : "Cibrian-Uhalte", "given" : "Elena", "non-dropping-particle" : "", "parse-names" : false, "suffix" : "" }, { "dropping-particle" : "", "family" : "Silva", "given" : "Alan", "non-dropping-particle" : "Da", "parse-names" : false, "suffix" : "" }, { "dropping-particle" : "", "family" : "Giorgi", "given" : "Maurizio", "non-dropping-particle" : "De", "parse-names" : false, "suffix" : "" }, { "dropping-particle" : "", "family" : "Dogan", "given" : "Tunca", "non-dropping-particle" : "", "parse-names" : false, "suffix" : "" }, { "dropping-particle" : "", "family" : "Fazzini", "given" : "Francesco", "non-dropping-particle" : "", "parse-names" : false, "suffix" : "" }, { "dropping-particle" : "", "family" : "Gane", "given" : "Paul", "non-dropping-particle" : "", "parse-names" : false, "suffix" : "" }, { "dropping-particle" : "", "family" : "Castro", "given" : "Leyla Garcia", "non-dropping-particle" : "", "parse-names" : false, "suffix" : "" }, { "dropping-particle" : "", "family" : "Garmiri", "given" : "Penelope", "non-dropping-particle" : "", "parse-names" : false, "suffix" : "" }, { "dropping-particle" : "", "family" : "Hatton-Ellis", "given" : "Emma", "non-dropping-particle" : "", "parse-names" : false, "suffix" : "" }, { "dropping-particle" : "", "family" : "Hieta", "given" : "Reija", "non-dropping-particle" : "", "parse-names" : false, "suffix" : "" }, { "dropping-particle" : "", "family" : "Huntley", "given" : "Rachael", "non-dropping-particle" : "", "parse-names" : false, "suffix" : "" }, { "dropping-particle" : "", "family" : "Legge", "given" : "Duncan", "non-dropping-particle" : "", "parse-names" : false, "suffix" : "" }, { "dropping-particle" : "", "family" : "Liu", "given" : "Wudong", "non-dropping-particle" : "", "parse-names" : false, "suffix" : "" }, { "dropping-particle" : "", "family" : "Luo", "given" : "Jie", "non-dropping-particle" : "", "parse-names" : false, "suffix" : "" }, { "dropping-particle" : "", "family" : "Macdougall", "given" : "Alistair", "non-dropping-particle" : "", "parse-names" : false, "suffix" : "" }, { "dropping-particle" : "", "family" : "Mutowo", "given" : "Prudence", "non-dropping-particle" : "", "parse-names" : false, "suffix" : "" }, { "dropping-particle" : "", "family" : "Nightingale", "given" : "Andrew", "non-dropping-particle" : "", "parse-names" : false, "suffix" : "" }, { "dropping-particle" : "", "family" : "Orchard", "given" : "Sandra", "non-dropping-particle" : "", "parse-names" : false, "suffix" : "" }, { "dropping-particle" : "", "family" : "Pichler", "given" : "Klemens", "non-dropping-particle" : "", "parse-names" : false, "suffix" : "" }, { "dropping-particle" : "", "family" : "Poggioli", "given" : "Diego", "non-dropping-particle" : "", "parse-names" : false, "suffix" : "" }, { "dropping-particle" : "", "family" : "Pundir", "given" : "Sangya", "non-dropping-particle" : "", "parse-names" : false, "suffix" : "" }, { "dropping-particle" : "", "family" : "Pureza", "given" : "Luis", "non-dropping-particle" : "", "parse-names" : false, "suffix" : "" }, { "dropping-particle" : "", "family" : "Qi", "given" : "Guoying", "non-dropping-particle" : "", "parse-names" : false, "suffix" : "" }, { "dropping-particle" : "", "family" : "Rosanoff", "given" : "Steven", "non-dropping-particle" : "", "parse-names" : false, "suffix" : "" }, { "dropping-particle" : "", "family" : "Saidi", "given" : "Rabie", "non-dropping-particle" : "", "parse-names" : false, "suffix" : "" }, { "dropping-particle" : "", "family" : "Sawford", "given" : "Tony", "non-dropping-particle" : "", "parse-names" : false, "suffix" : "" }, { "dropping-particle" : "", "family" : "Shypitsyna", "given" : "Aleksandra", "non-dropping-particle" : "", "parse-names" : false, "suffix" : "" }, { "dropping-particle" : "", "family" : "Turner", "given" : "Edward", "non-dropping-particle" : "", "parse-names" : false, "suffix" : "" }, { "dropping-particle" : "", "family" : "Volynkin", "given" : "Vladimir", "non-dropping-particle" : "", "parse-names" : false, "suffix" : "" }, { "dropping-particle" : "", "family" : "Wardell", "given" : "Tony", "non-dropping-particle" : "", "parse-names" : false, "suffix" : "" }, { "dropping-particle" : "", "family" : "Watkins", "given" : "Xavier", "non-dropping-particle" : "", "parse-names" : false, "suffix" : "" }, { "dropping-particle" : "", "family" : "Zellner", "given" : "Hermann", "non-dropping-particle" : "", "parse-names" : false, "suffix" : "" }, { "dropping-particle" : "", "family" : "Cowley", "given" : "Andrew", "non-dropping-particle" : "", "parse-names" : false, "suffix" : "" }, { "dropping-particle" : "", "family" : "Figueira", "given" : "Luis", "non-dropping-particle" : "", "parse-names" : false, "suffix" : "" }, { "dropping-particle" : "", "family" : "Li", "given" : "Weizhong", "non-dropping-particle" : "", "parse-names" : false, "suffix" : "" }, { "dropping-particle" : "", "family" : "McWilliam", "given" : "Hamish", "non-dropping-particle" : "", "parse-names" : false, "suffix" : "" }, { "dropping-particle" : "", "family" : "Lopez", "given" : "Rodrigo", "non-dropping-particle" : "", "parse-names" : false, "suffix" : "" }, { "dropping-particle" : "", "family" : "Xenarios", "given" : "Ioannis", "non-dropping-particle" : "", "parse-names" : false, "suffix" : "" }, { "dropping-particle" : "", "family" : "Bougueleret", "given" : "Lydie", "non-dropping-particle" : "", "parse-names" : false, "suffix" : "" }, { "dropping-particle" : "", "family" : "Bridge", "given" : "Alan", "non-dropping-particle" : "", "parse-names" : false, "suffix" : "" }, { "dropping-particle" : "", "family" : "Poux", "given" : "Sylvain", "non-dropping-particle" : "", "parse-names" : false, "suffix" : "" }, { "dropping-particle" : "", "family" : "Redaschi", "given" : "Nicole", "non-dropping-particle" : "", "parse-names" : false, "suffix" : "" }, { "dropping-particle" : "", "family" : "Aimo", "given" : "Lucila", "non-dropping-particle" : "", "parse-names" : false, "suffix" : "" }, { "dropping-particle" : "", "family" : "Argoud-Puy", "given" : "Ghislaine", "non-dropping-particle" : "", "parse-names" : false, "suffix" : "" }, { "dropping-particle" : "", "family" : "Auchincloss", "given" : "Andrea", "non-dropping-particle" : "", "parse-names" : false, "suffix" : "" }, { "dropping-particle" : "", "family" : "Axelsen", "given" : "Kristian", "non-dropping-particle" : "", "parse-names" : false, "suffix" : "" }, { "dropping-particle" : "", "family" : "Bansal", "given" : "Parit", "non-dropping-particle" : "", "parse-names" : false, "suffix" : "" }, { "dropping-particle" : "", "family" : "Baratin", "given" : "Delphine", "non-dropping-particle" : "", "parse-names" : false, "suffix" : "" }, { "dropping-particle" : "", "family" : "Blatter", "given" : "Marie Claude", "non-dropping-particle" : "", "parse-names" : false, "suffix" : "" }, { "dropping-particle" : "", "family" : "Boeckmann", "given" : "Brigitte", "non-dropping-particle" : "", "parse-names" : false, "suffix" : "" }, { "dropping-particle" : "", "family" : "Bolleman", "given" : "Jerven", "non-dropping-particle" : "", "parse-names" : false, "suffix" : "" }, { "dropping-particle" : "", "family" : "Boutet", "given" : "Emmanuel", "non-dropping-particle" : "", "parse-names" : false, "suffix" : "" }, { "dropping-particle" : "", "family" : "Breuza", "given" : "Lionel", "non-dropping-particle" : "", "parse-names" : false, "suffix" : "" }, { "dropping-particle" : "", "family" : "Casal-Casas", "given" : "Cristina", "non-dropping-particle" : "", "parse-names" : false, "suffix" : "" }, { "dropping-particle" : "", "family" : "Castro", "given" : "Edouard", "non-dropping-particle" : "De", "parse-names" : false, "suffix" : "" }, { "dropping-particle" : "", "family" : "Coudert", "given" : "Elisabeth", "non-dropping-particle" : "", "parse-names" : false, "suffix" : "" }, { "dropping-particle" : "", "family" : "Cuche", "given" : "Beatrice", "non-dropping-particle" : "", "parse-names" : false, "suffix" : "" }, { "dropping-particle" : "", "family" : "Doche", "given" : "Mikael", "non-dropping-particle" : "", "parse-names" : false, "suffix" : "" }, { "dropping-particle" : "", "family" : "Dornevil", "given" : "Dolnide", "non-dropping-particle" : "", "parse-names" : false, "suffix" : "" }, { "dropping-particle" : "", "family" : "Duvaud", "given" : "Severine", "non-dropping-particle" : "", "parse-names" : false, "suffix" : "" }, { "dropping-particle" : "", "family" : "Estreicher", "given" : "Anne", "non-dropping-particle" : "", "parse-names" : false, "suffix" : "" }, { "dropping-particle" : "", "family" : "Famiglietti", "given" : "Livia", "non-dropping-particle" : "", "parse-names" : false, "suffix" : "" }, { "dropping-particle" : "", "family" : "Feuermann", "given" : "Marc", "non-dropping-particle" : "", "parse-names" : false, "suffix" : "" }, { "dropping-particle" : "", "family" : "Gasteiger", "given" : "Elisabeth", "non-dropping-particle" : "", "parse-names" : false, "suffix" : "" }, { "dropping-particle" : "", "family" : "Gehant", "given" : "Sebastien", "non-dropping-particle" : "", "parse-names" : false, "suffix" : "" }, { "dropping-particle" : "", "family" : "Gerritsen", "given" : "Vivienne", "non-dropping-particle" : "", "parse-names" : false, "suffix" : "" }, { "dropping-particle" : "", "family" : "Gos", "given" : "Arnaud", "non-dropping-particle" : "", "parse-names" : false, "suffix" : "" }, { "dropping-particle" : "", "family" : "Gruaz-Gumowski", "given" : "Nadine", "non-dropping-particle" : "", "parse-names" : false, "suffix" : "" }, { "dropping-particle" : "", "family" : "Hinz", "given" : "Ursula", "non-dropping-particle" : "", "parse-names" : false, "suffix" : "" }, { "dropping-particle" : "", "family" : "Hulo", "given" : "Chantal", "non-dropping-particle" : "", "parse-names" : false, "suffix" : "" }, { "dropping-particle" : "", "family" : "Jungo", "given" : "Florence", "non-dropping-particle" : "", "parse-names" : false, "suffix" : "" }, { "dropping-particle" : "", "family" : "Keller", "given" : "Guillaume", "non-dropping-particle" : "", "parse-names" : false, "suffix" : "" }, { "dropping-particle" : "", "family" : "Lara", "given" : "Vicente", "non-dropping-particle" : "", "parse-names" : false, "suffix" : "" }, { "dropping-particle" : "", "family" : "Lemercier", "given" : "Philippe", "non-dropping-particle" : "", "parse-names" : false, "suffix" : "" }, { "dropping-particle" : "", "family" : "Lieberherr", "given" : "Damien", "non-dropping-particle" : "", "parse-names" : false, "suffix" : "" }, { "dropping-particle" : "", "family" : "Lombardot", "given" : "Thierry", "non-dropping-particle" : "", "parse-names" : false, "suffix" : "" }, { "dropping-particle" : "", "family" : "Martin", "given" : "Xavier", "non-dropping-particle" : "", "parse-names" : false, "suffix" : "" }, { "dropping-particle" : "", "family" : "Masson", "given" : "Patrick", "non-dropping-particle" : "", "parse-names" : false, "suffix" : "" }, { "dropping-particle" : "", "family" : "Morgat", "given" : "Anne", "non-dropping-particle" : "", "parse-names" : false, "suffix" : "" }, { "dropping-particle" : "", "family" : "Neto", "given" : "Teresa", "non-dropping-particle" : "", "parse-names" : false, "suffix" : "" }, { "dropping-particle" : "", "family" : "Nouspikel", "given" : "Nevila", "non-dropping-particle" : "", "parse-names" : false, "suffix" : "" }, { "dropping-particle" : "", "family" : "Paesano", "given" : "Salvo", "non-dropping-particle" : "", "parse-names" : false, "suffix" : "" }, { "dropping-particle" : "", "family" : "Pedruzzi", "given" : "Ivo", "non-dropping-particle" : "", "parse-names" : false, "suffix" : "" }, { "dropping-particle" : "", "family" : "Pilbout", "given" : "Sandrine", "non-dropping-particle" : "", "parse-names" : false, "suffix" : "" }, { "dropping-particle" : "", "family" : "Pozzato", "given" : "Monica", "non-dropping-particle" : "", "parse-names" : false, "suffix" : "" }, { "dropping-particle" : "", "family" : "Pruess", "given" : "Manuela", "non-dropping-particle" : "", "parse-names" : false, "suffix" : "" }, { "dropping-particle" : "", "family" : "Rivoire", "given" : "Catherine", "non-dropping-particle" : "", "parse-names" : false, "suffix" : "" }, { "dropping-particle" : "", "family" : "Roechert", "given" : "Bernd", "non-dropping-particle" : "", "parse-names" : false, "suffix" : "" }, { "dropping-particle" : "", "family" : "Schneider", "given" : "Michel", "non-dropping-particle" : "", "parse-names" : false, "suffix" : "" }, { "dropping-particle" : "", "family" : "Sigrist", "given" : "Christian", "non-dropping-particle" : "", "parse-names" : false, "suffix" : "" }, { "dropping-particle" : "", "family" : "Sonesson", "given" : "Karin", "non-dropping-particle" : "", "parse-names" : false, "suffix" : "" }, { "dropping-particle" : "", "family" : "Staehli", "given" : "Sylvie", "non-dropping-particle" : "", "parse-names" : false, "suffix" : "" }, { "dropping-particle" : "", "family" : "Stutz", "given" : "Andre", "non-dropping-particle" : "", "parse-names" : false, "suffix" : "" }, { "dropping-particle" : "", "family" : "Sundaram", "given" : "Shyamala", "non-dropping-particle" : "", "parse-names" : false, "suffix" : "" }, { "dropping-particle" : "", "family" : "Tognolli", "given" : "Michael", "non-dropping-particle" : "", "parse-names" : false, "suffix" : "" }, { "dropping-particle" : "", "family" : "Verbregue", "given" : "Laure", "non-dropping-particle" : "", "parse-names" : false, "suffix" : "" }, { "dropping-particle" : "", "family" : "Veuthey", "given" : "Anne Lise", "non-dropping-particle" : "", "parse-names" : false, "suffix" : "" }, { "dropping-particle" : "", "family" : "Wu", "given" : "Cathy H.", "non-dropping-particle" : "", "parse-names" : false, "suffix" : "" }, { "dropping-particle" : "", "family" : "Arighi", "given" : "Cecilia N.", "non-dropping-particle" : "", "parse-names" : false, "suffix" : "" }, { "dropping-particle" : "", "family" : "Arminski", "given" : "Leslie", "non-dropping-particle" : "", "parse-names" : false, "suffix" : "" }, { "dropping-particle" : "", "family" : "Chen", "given" : "Chuming", "non-dropping-particle" : "", "parse-names" : false, "suffix" : "" }, { "dropping-particle" : "", "family" : "Chen", "given" : "Yongxing", "non-dropping-particle" : "", "parse-names" : false, "suffix" : "" }, { "dropping-particle" : "", "family" : "Garavelli", "given" : "John S.", "non-dropping-particle" : "", "parse-names" : false, "suffix" : "" }, { "dropping-particle" : "", "family" : "Huang", "given" : "Hongzhan", "non-dropping-particle" : "", "parse-names" : false, "suffix" : "" }, { "dropping-particle" : "", "family" : "Laiho", "given" : "Kati", "non-dropping-particle" : "", "parse-names" : false, "suffix" : "" }, { "dropping-particle" : "", "family" : "McGarvey", "given" : "Peter", "non-dropping-particle" : "", "parse-names" : false, "suffix" : "" }, { "dropping-particle" : "", "family" : "Natale", "given" : "Darren A.", "non-dropping-particle" : "", "parse-names" : false, "suffix" : "" }, { "dropping-particle" : "", "family" : "Suzek", "given" : "Baris E.", "non-dropping-particle" : "", "parse-names" : false, "suffix" : "" }, { "dropping-particle" : "", "family" : "Vinayaka", "given" : "C. R.", "non-dropping-particle" : "", "parse-names" : false, "suffix" : "" }, { "dropping-particle" : "", "family" : "Wang", "given" : "Qinghua", "non-dropping-particle" : "", "parse-names" : false, "suffix" : "" }, { "dropping-particle" : "", "family" : "Wang", "given" : "Yuqi", "non-dropping-particle" : "", "parse-names" : false, "suffix" : "" }, { "dropping-particle" : "", "family" : "Yeh", "given" : "Lai Su", "non-dropping-particle" : "", "parse-names" : false, "suffix" : "" }, { "dropping-particle" : "", "family" : "Yerramalla", "given" : "Meher Shruti", "non-dropping-particle" : "", "parse-names" : false, "suffix" : "" }, { "dropping-particle" : "", "family" : "Zhang", "given" : "Jian", "non-dropping-particle" : "", "parse-names" : false, "suffix" : "" } ], "container-title" : "Nucleic Acids Research", "id" : "ITEM-2", "issue" : "D1", "issued" : { "date-parts" : [ [ "2015" ] ] }, "page" : "D204-D212", "title" : "UniProt: A hub for protein information", "type" : "article-journal", "volume" : "43" }, "uris" : [ "http://www.mendeley.com/documents/?uuid=6793c47f-7440-49e3-9e89-0c814f07de69" ] }, { "id" : "ITEM-3", "itemData" : { "DOI" : "10.1093/NAR/28.1.235", "PMID" : "10592235", "abstract" : "The Protein Data Bank (PDB; http://www.rcsb.org/pdb/ ) is the single worldwide archive of structural data of biological macromolecules. This paper describes the goals of the PDB, the systems in place for data deposition and access, how to obtain further information, and near-term plans for the future development of the resource.", "author" : [ { "dropping-particle" : "", "family" : "Berman", "given" : "H M", "non-dropping-particle" : "", "parse-names" : false, "suffix" : "" }, { "dropping-particle" : "", "family" : "Westbrook", "given" : "J", "non-dropping-particle" : "", "parse-names" : false, "suffix" : "" }, { "dropping-particle" : "", "family" : "Feng", "given" : "Z", "non-dropping-particle" : "", "parse-names" : false, "suffix" : "" }, { "dropping-particle" : "", "family" : "Gilliland", "given" : "G", "non-dropping-particle" : "", "parse-names" : false, "suffix" : "" }, { "dropping-particle" : "", "family" : "Bhat", "given" : "T N", "non-dropping-particle" : "", "parse-names" : false, "suffix" : "" }, { "dropping-particle" : "", "family" : "Weissig", "given" : "H", "non-dropping-particle" : "", "parse-names" : false, "suffix" : "" }, { "dropping-particle" : "", "family" : "Shindyalov", "given" : "I N", "non-dropping-particle" : "", "parse-names" : false, "suffix" : "" }, { "dropping-particle" : "", "family" : "Bourne", "given" : "P E", "non-dropping-particle" : "", "parse-names" : false, "suffix" : "" } ], "container-title" : "Nucleic acids research", "id" : "ITEM-3", "issue" : "1", "issued" : { "date-parts" : [ [ "2000", "1", "1" ] ] }, "page" : "235-42", "publisher" : "Oxford University Press", "title" : "The Protein Data Bank (www.rcsb.org)", "type" : "article-journal", "volume" : "28" }, "uris" : [ "http://www.mendeley.com/documents/?uuid=1fcec77a-701a-3fa7-9773-2929284745e6" ] } ], "mendeley" : { "formattedCitation" : "&lt;sup&gt;9,28,35&lt;/sup&gt;", "plainTextFormattedCitation" : "9,28,35", "previouslyFormattedCitation" : "&lt;sup&gt;9,28,35&lt;/sup&gt;" }, "properties" : { "noteIndex" : 0 }, "schema" : "https://github.com/citation-style-language/schema/raw/master/csl-citation.json" }</w:instrText>
      </w:r>
      <w:r w:rsidR="00736813">
        <w:rPr>
          <w:rFonts w:ascii="Calibri" w:eastAsia="Calibri" w:hAnsi="Calibri" w:cs="Calibri"/>
          <w:lang w:val="en-GB"/>
        </w:rPr>
        <w:fldChar w:fldCharType="separate"/>
      </w:r>
      <w:r w:rsidR="00146957" w:rsidRPr="00146957">
        <w:rPr>
          <w:rFonts w:ascii="Calibri" w:eastAsia="Calibri" w:hAnsi="Calibri" w:cs="Calibri"/>
          <w:noProof/>
          <w:vertAlign w:val="superscript"/>
          <w:lang w:val="en-GB"/>
        </w:rPr>
        <w:t>9,28,35</w:t>
      </w:r>
      <w:r w:rsidR="00736813">
        <w:rPr>
          <w:rFonts w:ascii="Calibri" w:eastAsia="Calibri" w:hAnsi="Calibri" w:cs="Calibri"/>
          <w:lang w:val="en-GB"/>
        </w:rPr>
        <w:fldChar w:fldCharType="end"/>
      </w:r>
    </w:p>
    <w:p w14:paraId="13E3016B" w14:textId="59E5BCBE" w:rsidR="7B4AD3E9" w:rsidRDefault="5ECC47B9" w:rsidP="004513A2">
      <w:pPr>
        <w:spacing w:line="360" w:lineRule="auto"/>
        <w:jc w:val="both"/>
        <w:rPr>
          <w:rFonts w:ascii="Calibri" w:eastAsia="Calibri" w:hAnsi="Calibri" w:cs="Calibri"/>
        </w:rPr>
      </w:pPr>
      <w:r w:rsidRPr="5ECC47B9">
        <w:rPr>
          <w:rFonts w:ascii="Calibri" w:eastAsia="Calibri" w:hAnsi="Calibri" w:cs="Calibri"/>
        </w:rPr>
        <w:lastRenderedPageBreak/>
        <w:t>The presumption that PER2 and CAR interact directly was confirmed with co-immunoprecipitation</w:t>
      </w:r>
      <w:r w:rsidR="008A5F7F">
        <w:rPr>
          <w:rFonts w:ascii="Calibri" w:eastAsia="Calibri" w:hAnsi="Calibri" w:cs="Calibri"/>
        </w:rPr>
        <w:t xml:space="preserve"> (Figure 3)</w:t>
      </w:r>
      <w:r w:rsidRPr="5ECC47B9">
        <w:rPr>
          <w:rFonts w:ascii="Calibri" w:eastAsia="Calibri" w:hAnsi="Calibri" w:cs="Calibri"/>
        </w:rPr>
        <w:t>.</w:t>
      </w:r>
      <w:r w:rsidR="00962583">
        <w:rPr>
          <w:rFonts w:ascii="Calibri" w:eastAsia="Calibri" w:hAnsi="Calibri" w:cs="Calibri"/>
        </w:rPr>
        <w:t xml:space="preserve"> </w:t>
      </w:r>
      <w:r w:rsidR="00791C7E">
        <w:rPr>
          <w:rFonts w:ascii="Calibri" w:eastAsia="Calibri" w:hAnsi="Calibri" w:cs="Calibri"/>
        </w:rPr>
        <w:t xml:space="preserve">For this, </w:t>
      </w:r>
      <w:r w:rsidR="00962583" w:rsidRPr="00962583">
        <w:rPr>
          <w:rFonts w:ascii="Calibri" w:eastAsia="Calibri" w:hAnsi="Calibri" w:cs="Calibri"/>
          <w:i/>
        </w:rPr>
        <w:t>Car-Flag</w:t>
      </w:r>
      <w:r w:rsidR="00962583" w:rsidRPr="00962583">
        <w:rPr>
          <w:rFonts w:ascii="Calibri" w:eastAsia="Calibri" w:hAnsi="Calibri" w:cs="Calibri"/>
        </w:rPr>
        <w:t xml:space="preserve"> and </w:t>
      </w:r>
      <w:r w:rsidR="00962583" w:rsidRPr="00962583">
        <w:rPr>
          <w:rFonts w:ascii="Calibri" w:eastAsia="Calibri" w:hAnsi="Calibri" w:cs="Calibri"/>
          <w:i/>
        </w:rPr>
        <w:t>Per2</w:t>
      </w:r>
      <w:r w:rsidR="002A3CEA">
        <w:rPr>
          <w:rFonts w:ascii="Calibri" w:eastAsia="Calibri" w:hAnsi="Calibri" w:cs="Calibri"/>
        </w:rPr>
        <w:t>-</w:t>
      </w:r>
      <w:r w:rsidR="00962583" w:rsidRPr="00050B5B">
        <w:rPr>
          <w:rFonts w:ascii="Calibri" w:eastAsia="Calibri" w:hAnsi="Calibri" w:cs="Calibri"/>
          <w:i/>
        </w:rPr>
        <w:t>V5</w:t>
      </w:r>
      <w:r w:rsidR="00962583" w:rsidRPr="00962583">
        <w:rPr>
          <w:rFonts w:ascii="Calibri" w:eastAsia="Calibri" w:hAnsi="Calibri" w:cs="Calibri"/>
        </w:rPr>
        <w:t xml:space="preserve"> co</w:t>
      </w:r>
      <w:r w:rsidR="00791C7E">
        <w:rPr>
          <w:rFonts w:ascii="Calibri" w:eastAsia="Calibri" w:hAnsi="Calibri" w:cs="Calibri"/>
        </w:rPr>
        <w:t>-</w:t>
      </w:r>
      <w:r w:rsidR="00962583" w:rsidRPr="00962583">
        <w:rPr>
          <w:rFonts w:ascii="Calibri" w:eastAsia="Calibri" w:hAnsi="Calibri" w:cs="Calibri"/>
        </w:rPr>
        <w:t>transfection</w:t>
      </w:r>
      <w:r w:rsidR="00791C7E">
        <w:rPr>
          <w:rFonts w:ascii="Calibri" w:eastAsia="Calibri" w:hAnsi="Calibri" w:cs="Calibri"/>
        </w:rPr>
        <w:t xml:space="preserve"> was performed</w:t>
      </w:r>
      <w:r w:rsidR="00962583" w:rsidRPr="00962583">
        <w:rPr>
          <w:rFonts w:ascii="Calibri" w:eastAsia="Calibri" w:hAnsi="Calibri" w:cs="Calibri"/>
        </w:rPr>
        <w:t>. Initial release of proteins from Sepharose beads was performed at 70°</w:t>
      </w:r>
      <w:r w:rsidR="00791C7E">
        <w:rPr>
          <w:rFonts w:ascii="Calibri" w:eastAsia="Calibri" w:hAnsi="Calibri" w:cs="Calibri"/>
        </w:rPr>
        <w:t xml:space="preserve"> </w:t>
      </w:r>
      <w:r w:rsidR="00962583" w:rsidRPr="00962583">
        <w:rPr>
          <w:rFonts w:ascii="Calibri" w:eastAsia="Calibri" w:hAnsi="Calibri" w:cs="Calibri"/>
        </w:rPr>
        <w:t>C and</w:t>
      </w:r>
      <w:r w:rsidR="00962583">
        <w:rPr>
          <w:rFonts w:ascii="Calibri" w:eastAsia="Calibri" w:hAnsi="Calibri" w:cs="Calibri"/>
        </w:rPr>
        <w:t xml:space="preserve"> </w:t>
      </w:r>
      <w:r w:rsidR="00962583" w:rsidRPr="00962583">
        <w:rPr>
          <w:rFonts w:ascii="Calibri" w:eastAsia="Calibri" w:hAnsi="Calibri" w:cs="Calibri"/>
        </w:rPr>
        <w:t>revealed just the V5 reactive protein at approximate size of 40</w:t>
      </w:r>
      <w:r w:rsidR="00791C7E">
        <w:rPr>
          <w:rFonts w:ascii="Calibri" w:eastAsia="Calibri" w:hAnsi="Calibri" w:cs="Calibri"/>
        </w:rPr>
        <w:t xml:space="preserve"> </w:t>
      </w:r>
      <w:r w:rsidR="00962583" w:rsidRPr="00962583">
        <w:rPr>
          <w:rFonts w:ascii="Calibri" w:eastAsia="Calibri" w:hAnsi="Calibri" w:cs="Calibri"/>
        </w:rPr>
        <w:t>kDa. After additional heating of</w:t>
      </w:r>
      <w:r w:rsidR="00962583">
        <w:rPr>
          <w:rFonts w:ascii="Calibri" w:eastAsia="Calibri" w:hAnsi="Calibri" w:cs="Calibri"/>
        </w:rPr>
        <w:t xml:space="preserve"> </w:t>
      </w:r>
      <w:r w:rsidR="00791C7E">
        <w:rPr>
          <w:rFonts w:ascii="Calibri" w:eastAsia="Calibri" w:hAnsi="Calibri" w:cs="Calibri"/>
        </w:rPr>
        <w:t>S</w:t>
      </w:r>
      <w:r w:rsidR="00962583" w:rsidRPr="00962583">
        <w:rPr>
          <w:rFonts w:ascii="Calibri" w:eastAsia="Calibri" w:hAnsi="Calibri" w:cs="Calibri"/>
        </w:rPr>
        <w:t>epharose at 95°</w:t>
      </w:r>
      <w:r w:rsidR="00791C7E">
        <w:rPr>
          <w:rFonts w:ascii="Calibri" w:eastAsia="Calibri" w:hAnsi="Calibri" w:cs="Calibri"/>
        </w:rPr>
        <w:t xml:space="preserve"> </w:t>
      </w:r>
      <w:r w:rsidR="00962583" w:rsidRPr="00962583">
        <w:rPr>
          <w:rFonts w:ascii="Calibri" w:eastAsia="Calibri" w:hAnsi="Calibri" w:cs="Calibri"/>
        </w:rPr>
        <w:t>C for 2 min, 135</w:t>
      </w:r>
      <w:r w:rsidR="00791C7E">
        <w:rPr>
          <w:rFonts w:ascii="Calibri" w:eastAsia="Calibri" w:hAnsi="Calibri" w:cs="Calibri"/>
        </w:rPr>
        <w:t xml:space="preserve"> kDa protein w</w:t>
      </w:r>
      <w:r w:rsidR="00962583" w:rsidRPr="00962583">
        <w:rPr>
          <w:rFonts w:ascii="Calibri" w:eastAsia="Calibri" w:hAnsi="Calibri" w:cs="Calibri"/>
        </w:rPr>
        <w:t>as released</w:t>
      </w:r>
      <w:r w:rsidR="00303121">
        <w:rPr>
          <w:rFonts w:ascii="Calibri" w:eastAsia="Calibri" w:hAnsi="Calibri" w:cs="Calibri"/>
        </w:rPr>
        <w:t xml:space="preserve"> (Figure 3A)</w:t>
      </w:r>
      <w:r w:rsidR="00791C7E">
        <w:rPr>
          <w:rFonts w:ascii="Calibri" w:eastAsia="Calibri" w:hAnsi="Calibri" w:cs="Calibri"/>
        </w:rPr>
        <w:t>, corresponding to the expected size of PER2</w:t>
      </w:r>
      <w:r w:rsidR="00962583" w:rsidRPr="00962583">
        <w:rPr>
          <w:rFonts w:ascii="Calibri" w:eastAsia="Calibri" w:hAnsi="Calibri" w:cs="Calibri"/>
        </w:rPr>
        <w:t>.</w:t>
      </w:r>
      <w:r w:rsidR="00791C7E">
        <w:rPr>
          <w:rFonts w:ascii="Calibri" w:eastAsia="Calibri" w:hAnsi="Calibri" w:cs="Calibri"/>
        </w:rPr>
        <w:fldChar w:fldCharType="begin" w:fldLock="1"/>
      </w:r>
      <w:r w:rsidR="00935DCB">
        <w:rPr>
          <w:rFonts w:ascii="Calibri" w:eastAsia="Calibri" w:hAnsi="Calibri" w:cs="Calibri"/>
        </w:rPr>
        <w:instrText>ADDIN CSL_CITATION { "citationItems" : [ { "id" : "ITEM-1", "itemData" : { "DOI" : "10.1093/nar/gku989", "ISBN" : "13624962 (Electronic)", "ISSN" : "13624962", "PMID" : "25348405", "abstract" : "UniProt is an important collection of protein sequences and their annotations, which has doubled in size to 80 million sequences during the past year. This growth in sequences has prompted an extension of UniProt accession number space from 6 to 10 characters. An increasing fraction of new sequences are identical to a sequence that already exists in the database with the majority of sequences coming from genome sequencing projects. We have created a new proteome identifier that uniquely identifies a particular assembly of a species and strain or subspecies to help users track the provenance of sequences. We present a new website that has been designed using a user-experience design process. We have introduced an annotation score for all entries in UniProt to represent the relative amount of knowledge known about each protein. These scores will be helpful in identifying which proteins are the best characterized and most informative for comparative analysis. All UniProt data is provided freely and is available on the web at http://www.uniprot.org/.", "author" : [ { "dropping-particle" : "", "family" : "Bateman", "given" : "Alex", "non-dropping-particle" : "", "parse-names" : false, "suffix" : "" }, { "dropping-particle" : "", "family" : "Martin", "given" : "Maria Jesus", "non-dropping-particle" : "", "parse-names" : false, "suffix" : "" }, { "dropping-particle" : "", "family" : "O'Donovan", "given" : "Claire", "non-dropping-particle" : "", "parse-names" : false, "suffix" : "" }, { "dropping-particle" : "", "family" : "Magrane", "given" : "Michele", "non-dropping-particle" : "", "parse-names" : false, "suffix" : "" }, { "dropping-particle" : "", "family" : "Apweiler", "given" : "Rolf", "non-dropping-particle" : "", "parse-names" : false, "suffix" : "" }, { "dropping-particle" : "", "family" : "Alpi", "given" : "Emanuele", "non-dropping-particle" : "", "parse-names" : false, "suffix" : "" }, { "dropping-particle" : "", "family" : "Antunes", "given" : "Ricardo", "non-dropping-particle" : "", "parse-names" : false, "suffix" : "" }, { "dropping-particle" : "", "family" : "Arganiska", "given" : "Joanna", "non-dropping-particle" : "", "parse-names" : false, "suffix" : "" }, { "dropping-particle" : "", "family" : "Bely", "given" : "Benoit", "non-dropping-particle" : "", "parse-names" : false, "suffix" : "" }, { "dropping-particle" : "", "family" : "Bingley", "given" : "Mark", "non-dropping-particle" : "", "parse-names" : false, "suffix" : "" }, { "dropping-particle" : "", "family" : "Bonilla", "given" : "Carlos", "non-dropping-particle" : "", "parse-names" : false, "suffix" : "" }, { "dropping-particle" : "", "family" : "Britto", "given" : "Ramona", "non-dropping-particle" : "", "parse-names" : false, "suffix" : "" }, { "dropping-particle" : "", "family" : "Bursteinas", "given" : "Borisas", "non-dropping-particle" : "", "parse-names" : false, "suffix" : "" }, { "dropping-particle" : "", "family" : "Chavali", "given" : "Gayatri", "non-dropping-particle" : "", "parse-names" : false, "suffix" : "" }, { "dropping-particle" : "", "family" : "Cibrian-Uhalte", "given" : "Elena", "non-dropping-particle" : "", "parse-names" : false, "suffix" : "" }, { "dropping-particle" : "", "family" : "Silva", "given" : "Alan", "non-dropping-particle" : "Da", "parse-names" : false, "suffix" : "" }, { "dropping-particle" : "", "family" : "Giorgi", "given" : "Maurizio", "non-dropping-particle" : "De", "parse-names" : false, "suffix" : "" }, { "dropping-particle" : "", "family" : "Dogan", "given" : "Tunca", "non-dropping-particle" : "", "parse-names" : false, "suffix" : "" }, { "dropping-particle" : "", "family" : "Fazzini", "given" : "Francesco", "non-dropping-particle" : "", "parse-names" : false, "suffix" : "" }, { "dropping-particle" : "", "family" : "Gane", "given" : "Paul", "non-dropping-particle" : "", "parse-names" : false, "suffix" : "" }, { "dropping-particle" : "", "family" : "Castro", "given" : "Leyla Garcia", "non-dropping-particle" : "", "parse-names" : false, "suffix" : "" }, { "dropping-particle" : "", "family" : "Garmiri", "given" : "Penelope", "non-dropping-particle" : "", "parse-names" : false, "suffix" : "" }, { "dropping-particle" : "", "family" : "Hatton-Ellis", "given" : "Emma", "non-dropping-particle" : "", "parse-names" : false, "suffix" : "" }, { "dropping-particle" : "", "family" : "Hieta", "given" : "Reija", "non-dropping-particle" : "", "parse-names" : false, "suffix" : "" }, { "dropping-particle" : "", "family" : "Huntley", "given" : "Rachael", "non-dropping-particle" : "", "parse-names" : false, "suffix" : "" }, { "dropping-particle" : "", "family" : "Legge", "given" : "Duncan", "non-dropping-particle" : "", "parse-names" : false, "suffix" : "" }, { "dropping-particle" : "", "family" : "Liu", "given" : "Wudong", "non-dropping-particle" : "", "parse-names" : false, "suffix" : "" }, { "dropping-particle" : "", "family" : "Luo", "given" : "Jie", "non-dropping-particle" : "", "parse-names" : false, "suffix" : "" }, { "dropping-particle" : "", "family" : "Macdougall", "given" : "Alistair", "non-dropping-particle" : "", "parse-names" : false, "suffix" : "" }, { "dropping-particle" : "", "family" : "Mutowo", "given" : "Prudence", "non-dropping-particle" : "", "parse-names" : false, "suffix" : "" }, { "dropping-particle" : "", "family" : "Nightingale", "given" : "Andrew", "non-dropping-particle" : "", "parse-names" : false, "suffix" : "" }, { "dropping-particle" : "", "family" : "Orchard", "given" : "Sandra", "non-dropping-particle" : "", "parse-names" : false, "suffix" : "" }, { "dropping-particle" : "", "family" : "Pichler", "given" : "Klemens", "non-dropping-particle" : "", "parse-names" : false, "suffix" : "" }, { "dropping-particle" : "", "family" : "Poggioli", "given" : "Diego", "non-dropping-particle" : "", "parse-names" : false, "suffix" : "" }, { "dropping-particle" : "", "family" : "Pundir", "given" : "Sangya", "non-dropping-particle" : "", "parse-names" : false, "suffix" : "" }, { "dropping-particle" : "", "family" : "Pureza", "given" : "Luis", "non-dropping-particle" : "", "parse-names" : false, "suffix" : "" }, { "dropping-particle" : "", "family" : "Qi", "given" : "Guoying", "non-dropping-particle" : "", "parse-names" : false, "suffix" : "" }, { "dropping-particle" : "", "family" : "Rosanoff", "given" : "Steven", "non-dropping-particle" : "", "parse-names" : false, "suffix" : "" }, { "dropping-particle" : "", "family" : "Saidi", "given" : "Rabie", "non-dropping-particle" : "", "parse-names" : false, "suffix" : "" }, { "dropping-particle" : "", "family" : "Sawford", "given" : "Tony", "non-dropping-particle" : "", "parse-names" : false, "suffix" : "" }, { "dropping-particle" : "", "family" : "Shypitsyna", "given" : "Aleksandra", "non-dropping-particle" : "", "parse-names" : false, "suffix" : "" }, { "dropping-particle" : "", "family" : "Turner", "given" : "Edward", "non-dropping-particle" : "", "parse-names" : false, "suffix" : "" }, { "dropping-particle" : "", "family" : "Volynkin", "given" : "Vladimir", "non-dropping-particle" : "", "parse-names" : false, "suffix" : "" }, { "dropping-particle" : "", "family" : "Wardell", "given" : "Tony", "non-dropping-particle" : "", "parse-names" : false, "suffix" : "" }, { "dropping-particle" : "", "family" : "Watkins", "given" : "Xavier", "non-dropping-particle" : "", "parse-names" : false, "suffix" : "" }, { "dropping-particle" : "", "family" : "Zellner", "given" : "Hermann", "non-dropping-particle" : "", "parse-names" : false, "suffix" : "" }, { "dropping-particle" : "", "family" : "Cowley", "given" : "Andrew", "non-dropping-particle" : "", "parse-names" : false, "suffix" : "" }, { "dropping-particle" : "", "family" : "Figueira", "given" : "Luis", "non-dropping-particle" : "", "parse-names" : false, "suffix" : "" }, { "dropping-particle" : "", "family" : "Li", "given" : "Weizhong", "non-dropping-particle" : "", "parse-names" : false, "suffix" : "" }, { "dropping-particle" : "", "family" : "McWilliam", "given" : "Hamish", "non-dropping-particle" : "", "parse-names" : false, "suffix" : "" }, { "dropping-particle" : "", "family" : "Lopez", "given" : "Rodrigo", "non-dropping-particle" : "", "parse-names" : false, "suffix" : "" }, { "dropping-particle" : "", "family" : "Xenarios", "given" : "Ioannis", "non-dropping-particle" : "", "parse-names" : false, "suffix" : "" }, { "dropping-particle" : "", "family" : "Bougueleret", "given" : "Lydie", "non-dropping-particle" : "", "parse-names" : false, "suffix" : "" }, { "dropping-particle" : "", "family" : "Bridge", "given" : "Alan", "non-dropping-particle" : "", "parse-names" : false, "suffix" : "" }, { "dropping-particle" : "", "family" : "Poux", "given" : "Sylvain", "non-dropping-particle" : "", "parse-names" : false, "suffix" : "" }, { "dropping-particle" : "", "family" : "Redaschi", "given" : "Nicole", "non-dropping-particle" : "", "parse-names" : false, "suffix" : "" }, { "dropping-particle" : "", "family" : "Aimo", "given" : "Lucila", "non-dropping-particle" : "", "parse-names" : false, "suffix" : "" }, { "dropping-particle" : "", "family" : "Argoud-Puy", "given" : "Ghislaine", "non-dropping-particle" : "", "parse-names" : false, "suffix" : "" }, { "dropping-particle" : "", "family" : "Auchincloss", "given" : "Andrea", "non-dropping-particle" : "", "parse-names" : false, "suffix" : "" }, { "dropping-particle" : "", "family" : "Axelsen", "given" : "Kristian", "non-dropping-particle" : "", "parse-names" : false, "suffix" : "" }, { "dropping-particle" : "", "family" : "Bansal", "given" : "Parit", "non-dropping-particle" : "", "parse-names" : false, "suffix" : "" }, { "dropping-particle" : "", "family" : "Baratin", "given" : "Delphine", "non-dropping-particle" : "", "parse-names" : false, "suffix" : "" }, { "dropping-particle" : "", "family" : "Blatter", "given" : "Marie Claude", "non-dropping-particle" : "", "parse-names" : false, "suffix" : "" }, { "dropping-particle" : "", "family" : "Boeckmann", "given" : "Brigitte", "non-dropping-particle" : "", "parse-names" : false, "suffix" : "" }, { "dropping-particle" : "", "family" : "Bolleman", "given" : "Jerven", "non-dropping-particle" : "", "parse-names" : false, "suffix" : "" }, { "dropping-particle" : "", "family" : "Boutet", "given" : "Emmanuel", "non-dropping-particle" : "", "parse-names" : false, "suffix" : "" }, { "dropping-particle" : "", "family" : "Breuza", "given" : "Lionel", "non-dropping-particle" : "", "parse-names" : false, "suffix" : "" }, { "dropping-particle" : "", "family" : "Casal-Casas", "given" : "Cristina", "non-dropping-particle" : "", "parse-names" : false, "suffix" : "" }, { "dropping-particle" : "", "family" : "Castro", "given" : "Edouard", "non-dropping-particle" : "De", "parse-names" : false, "suffix" : "" }, { "dropping-particle" : "", "family" : "Coudert", "given" : "Elisabeth", "non-dropping-particle" : "", "parse-names" : false, "suffix" : "" }, { "dropping-particle" : "", "family" : "Cuche", "given" : "Beatrice", "non-dropping-particle" : "", "parse-names" : false, "suffix" : "" }, { "dropping-particle" : "", "family" : "Doche", "given" : "Mikael", "non-dropping-particle" : "", "parse-names" : false, "suffix" : "" }, { "dropping-particle" : "", "family" : "Dornevil", "given" : "Dolnide", "non-dropping-particle" : "", "parse-names" : false, "suffix" : "" }, { "dropping-particle" : "", "family" : "Duvaud", "given" : "Severine", "non-dropping-particle" : "", "parse-names" : false, "suffix" : "" }, { "dropping-particle" : "", "family" : "Estreicher", "given" : "Anne", "non-dropping-particle" : "", "parse-names" : false, "suffix" : "" }, { "dropping-particle" : "", "family" : "Famiglietti", "given" : "Livia", "non-dropping-particle" : "", "parse-names" : false, "suffix" : "" }, { "dropping-particle" : "", "family" : "Feuermann", "given" : "Marc", "non-dropping-particle" : "", "parse-names" : false, "suffix" : "" }, { "dropping-particle" : "", "family" : "Gasteiger", "given" : "Elisabeth", "non-dropping-particle" : "", "parse-names" : false, "suffix" : "" }, { "dropping-particle" : "", "family" : "Gehant", "given" : "Sebastien", "non-dropping-particle" : "", "parse-names" : false, "suffix" : "" }, { "dropping-particle" : "", "family" : "Gerritsen", "given" : "Vivienne", "non-dropping-particle" : "", "parse-names" : false, "suffix" : "" }, { "dropping-particle" : "", "family" : "Gos", "given" : "Arnaud", "non-dropping-particle" : "", "parse-names" : false, "suffix" : "" }, { "dropping-particle" : "", "family" : "Gruaz-Gumowski", "given" : "Nadine", "non-dropping-particle" : "", "parse-names" : false, "suffix" : "" }, { "dropping-particle" : "", "family" : "Hinz", "given" : "Ursula", "non-dropping-particle" : "", "parse-names" : false, "suffix" : "" }, { "dropping-particle" : "", "family" : "Hulo", "given" : "Chantal", "non-dropping-particle" : "", "parse-names" : false, "suffix" : "" }, { "dropping-particle" : "", "family" : "Jungo", "given" : "Florence", "non-dropping-particle" : "", "parse-names" : false, "suffix" : "" }, { "dropping-particle" : "", "family" : "Keller", "given" : "Guillaume", "non-dropping-particle" : "", "parse-names" : false, "suffix" : "" }, { "dropping-particle" : "", "family" : "Lara", "given" : "Vicente", "non-dropping-particle" : "", "parse-names" : false, "suffix" : "" }, { "dropping-particle" : "", "family" : "Lemercier", "given" : "Philippe", "non-dropping-particle" : "", "parse-names" : false, "suffix" : "" }, { "dropping-particle" : "", "family" : "Lieberherr", "given" : "Damien", "non-dropping-particle" : "", "parse-names" : false, "suffix" : "" }, { "dropping-particle" : "", "family" : "Lombardot", "given" : "Thierry", "non-dropping-particle" : "", "parse-names" : false, "suffix" : "" }, { "dropping-particle" : "", "family" : "Martin", "given" : "Xavier", "non-dropping-particle" : "", "parse-names" : false, "suffix" : "" }, { "dropping-particle" : "", "family" : "Masson", "given" : "Patrick", "non-dropping-particle" : "", "parse-names" : false, "suffix" : "" }, { "dropping-particle" : "", "family" : "Morgat", "given" : "Anne", "non-dropping-particle" : "", "parse-names" : false, "suffix" : "" }, { "dropping-particle" : "", "family" : "Neto", "given" : "Teresa", "non-dropping-particle" : "", "parse-names" : false, "suffix" : "" }, { "dropping-particle" : "", "family" : "Nouspikel", "given" : "Nevila", "non-dropping-particle" : "", "parse-names" : false, "suffix" : "" }, { "dropping-particle" : "", "family" : "Paesano", "given" : "Salvo", "non-dropping-particle" : "", "parse-names" : false, "suffix" : "" }, { "dropping-particle" : "", "family" : "Pedruzzi", "given" : "Ivo", "non-dropping-particle" : "", "parse-names" : false, "suffix" : "" }, { "dropping-particle" : "", "family" : "Pilbout", "given" : "Sandrine", "non-dropping-particle" : "", "parse-names" : false, "suffix" : "" }, { "dropping-particle" : "", "family" : "Pozzato", "given" : "Monica", "non-dropping-particle" : "", "parse-names" : false, "suffix" : "" }, { "dropping-particle" : "", "family" : "Pruess", "given" : "Manuela", "non-dropping-particle" : "", "parse-names" : false, "suffix" : "" }, { "dropping-particle" : "", "family" : "Rivoire", "given" : "Catherine", "non-dropping-particle" : "", "parse-names" : false, "suffix" : "" }, { "dropping-particle" : "", "family" : "Roechert", "given" : "Bernd", "non-dropping-particle" : "", "parse-names" : false, "suffix" : "" }, { "dropping-particle" : "", "family" : "Schneider", "given" : "Michel", "non-dropping-particle" : "", "parse-names" : false, "suffix" : "" }, { "dropping-particle" : "", "family" : "Sigrist", "given" : "Christian", "non-dropping-particle" : "", "parse-names" : false, "suffix" : "" }, { "dropping-particle" : "", "family" : "Sonesson", "given" : "Karin", "non-dropping-particle" : "", "parse-names" : false, "suffix" : "" }, { "dropping-particle" : "", "family" : "Staehli", "given" : "Sylvie", "non-dropping-particle" : "", "parse-names" : false, "suffix" : "" }, { "dropping-particle" : "", "family" : "Stutz", "given" : "Andre", "non-dropping-particle" : "", "parse-names" : false, "suffix" : "" }, { "dropping-particle" : "", "family" : "Sundaram", "given" : "Shyamala", "non-dropping-particle" : "", "parse-names" : false, "suffix" : "" }, { "dropping-particle" : "", "family" : "Tognolli", "given" : "Michael", "non-dropping-particle" : "", "parse-names" : false, "suffix" : "" }, { "dropping-particle" : "", "family" : "Verbregue", "given" : "Laure", "non-dropping-particle" : "", "parse-names" : false, "suffix" : "" }, { "dropping-particle" : "", "family" : "Veuthey", "given" : "Anne Lise", "non-dropping-particle" : "", "parse-names" : false, "suffix" : "" }, { "dropping-particle" : "", "family" : "Wu", "given" : "Cathy H.", "non-dropping-particle" : "", "parse-names" : false, "suffix" : "" }, { "dropping-particle" : "", "family" : "Arighi", "given" : "Cecilia N.", "non-dropping-particle" : "", "parse-names" : false, "suffix" : "" }, { "dropping-particle" : "", "family" : "Arminski", "given" : "Leslie", "non-dropping-particle" : "", "parse-names" : false, "suffix" : "" }, { "dropping-particle" : "", "family" : "Chen", "given" : "Chuming", "non-dropping-particle" : "", "parse-names" : false, "suffix" : "" }, { "dropping-particle" : "", "family" : "Chen", "given" : "Yongxing", "non-dropping-particle" : "", "parse-names" : false, "suffix" : "" }, { "dropping-particle" : "", "family" : "Garavelli", "given" : "John S.", "non-dropping-particle" : "", "parse-names" : false, "suffix" : "" }, { "dropping-particle" : "", "family" : "Huang", "given" : "Hongzhan", "non-dropping-particle" : "", "parse-names" : false, "suffix" : "" }, { "dropping-particle" : "", "family" : "Laiho", "given" : "Kati", "non-dropping-particle" : "", "parse-names" : false, "suffix" : "" }, { "dropping-particle" : "", "family" : "McGarvey", "given" : "Peter", "non-dropping-particle" : "", "parse-names" : false, "suffix" : "" }, { "dropping-particle" : "", "family" : "Natale", "given" : "Darren A.", "non-dropping-particle" : "", "parse-names" : false, "suffix" : "" }, { "dropping-particle" : "", "family" : "Suzek", "given" : "Baris E.", "non-dropping-particle" : "", "parse-names" : false, "suffix" : "" }, { "dropping-particle" : "", "family" : "Vinayaka", "given" : "C. R.", "non-dropping-particle" : "", "parse-names" : false, "suffix" : "" }, { "dropping-particle" : "", "family" : "Wang", "given" : "Qinghua", "non-dropping-particle" : "", "parse-names" : false, "suffix" : "" }, { "dropping-particle" : "", "family" : "Wang", "given" : "Yuqi", "non-dropping-particle" : "", "parse-names" : false, "suffix" : "" }, { "dropping-particle" : "", "family" : "Yeh", "given" : "Lai Su", "non-dropping-particle" : "", "parse-names" : false, "suffix" : "" }, { "dropping-particle" : "", "family" : "Yerramalla", "given" : "Meher Shruti", "non-dropping-particle" : "", "parse-names" : false, "suffix" : "" }, { "dropping-particle" : "", "family" : "Zhang", "given" : "Jian", "non-dropping-particle" : "", "parse-names" : false, "suffix" : "" } ], "container-title" : "Nucleic Acids Research", "id" : "ITEM-1", "issue" : "D1", "issued" : { "date-parts" : [ [ "2015" ] ] }, "page" : "D204-D212", "title" : "UniProt: A hub for protein information", "type" : "article-journal", "volume" : "43" }, "uris" : [ "http://www.mendeley.com/documents/?uuid=6793c47f-7440-49e3-9e89-0c814f07de69" ] } ], "mendeley" : { "formattedCitation" : "&lt;sup&gt;28&lt;/sup&gt;", "plainTextFormattedCitation" : "28", "previouslyFormattedCitation" : "&lt;sup&gt;28&lt;/sup&gt;" }, "properties" : { "noteIndex" : 0 }, "schema" : "https://github.com/citation-style-language/schema/raw/master/csl-citation.json" }</w:instrText>
      </w:r>
      <w:r w:rsidR="00791C7E">
        <w:rPr>
          <w:rFonts w:ascii="Calibri" w:eastAsia="Calibri" w:hAnsi="Calibri" w:cs="Calibri"/>
        </w:rPr>
        <w:fldChar w:fldCharType="separate"/>
      </w:r>
      <w:r w:rsidR="00146957" w:rsidRPr="00146957">
        <w:rPr>
          <w:rFonts w:ascii="Calibri" w:eastAsia="Calibri" w:hAnsi="Calibri" w:cs="Calibri"/>
          <w:noProof/>
          <w:vertAlign w:val="superscript"/>
        </w:rPr>
        <w:t>28</w:t>
      </w:r>
      <w:r w:rsidR="00791C7E">
        <w:rPr>
          <w:rFonts w:ascii="Calibri" w:eastAsia="Calibri" w:hAnsi="Calibri" w:cs="Calibri"/>
        </w:rPr>
        <w:fldChar w:fldCharType="end"/>
      </w:r>
      <w:r w:rsidR="00962583" w:rsidRPr="00962583">
        <w:rPr>
          <w:rFonts w:ascii="Calibri" w:eastAsia="Calibri" w:hAnsi="Calibri" w:cs="Calibri"/>
        </w:rPr>
        <w:t xml:space="preserve"> </w:t>
      </w:r>
      <w:r w:rsidR="00791C7E">
        <w:rPr>
          <w:rFonts w:ascii="Calibri" w:eastAsia="Calibri" w:hAnsi="Calibri" w:cs="Calibri"/>
        </w:rPr>
        <w:t xml:space="preserve">The </w:t>
      </w:r>
      <w:r w:rsidR="00962583" w:rsidRPr="00962583">
        <w:rPr>
          <w:rFonts w:ascii="Calibri" w:eastAsia="Calibri" w:hAnsi="Calibri" w:cs="Calibri"/>
        </w:rPr>
        <w:t>FLAG reactive protein was detected very faintly,</w:t>
      </w:r>
      <w:r w:rsidR="00962583">
        <w:rPr>
          <w:rFonts w:ascii="Calibri" w:eastAsia="Calibri" w:hAnsi="Calibri" w:cs="Calibri"/>
        </w:rPr>
        <w:t xml:space="preserve"> </w:t>
      </w:r>
      <w:r w:rsidR="00962583" w:rsidRPr="00962583">
        <w:rPr>
          <w:rFonts w:ascii="Calibri" w:eastAsia="Calibri" w:hAnsi="Calibri" w:cs="Calibri"/>
        </w:rPr>
        <w:t>irrespective of temperature, at 40</w:t>
      </w:r>
      <w:r w:rsidR="00791C7E">
        <w:rPr>
          <w:rFonts w:ascii="Calibri" w:eastAsia="Calibri" w:hAnsi="Calibri" w:cs="Calibri"/>
        </w:rPr>
        <w:t xml:space="preserve"> </w:t>
      </w:r>
      <w:r w:rsidR="00962583" w:rsidRPr="00962583">
        <w:rPr>
          <w:rFonts w:ascii="Calibri" w:eastAsia="Calibri" w:hAnsi="Calibri" w:cs="Calibri"/>
        </w:rPr>
        <w:t>kDa</w:t>
      </w:r>
      <w:r w:rsidR="00303121">
        <w:rPr>
          <w:rFonts w:ascii="Calibri" w:eastAsia="Calibri" w:hAnsi="Calibri" w:cs="Calibri"/>
        </w:rPr>
        <w:t xml:space="preserve"> (Figure 3B)</w:t>
      </w:r>
      <w:r w:rsidR="00962583" w:rsidRPr="00962583">
        <w:rPr>
          <w:rFonts w:ascii="Calibri" w:eastAsia="Calibri" w:hAnsi="Calibri" w:cs="Calibri"/>
        </w:rPr>
        <w:t xml:space="preserve">. This could correspond to </w:t>
      </w:r>
      <w:r w:rsidR="00791C7E">
        <w:rPr>
          <w:rFonts w:ascii="Calibri" w:eastAsia="Calibri" w:hAnsi="Calibri" w:cs="Calibri"/>
        </w:rPr>
        <w:t>CAR</w:t>
      </w:r>
      <w:r w:rsidR="00962583" w:rsidRPr="00962583">
        <w:rPr>
          <w:rFonts w:ascii="Calibri" w:eastAsia="Calibri" w:hAnsi="Calibri" w:cs="Calibri"/>
        </w:rPr>
        <w:t>.</w:t>
      </w:r>
      <w:r w:rsidR="00791C7E">
        <w:rPr>
          <w:rFonts w:ascii="Calibri" w:eastAsia="Calibri" w:hAnsi="Calibri" w:cs="Calibri"/>
        </w:rPr>
        <w:fldChar w:fldCharType="begin" w:fldLock="1"/>
      </w:r>
      <w:r w:rsidR="00935DCB">
        <w:rPr>
          <w:rFonts w:ascii="Calibri" w:eastAsia="Calibri" w:hAnsi="Calibri" w:cs="Calibri"/>
        </w:rPr>
        <w:instrText>ADDIN CSL_CITATION { "citationItems" : [ { "id" : "ITEM-1", "itemData" : { "DOI" : "10.1093/nar/gku989", "ISBN" : "13624962 (Electronic)", "ISSN" : "13624962", "PMID" : "25348405", "abstract" : "UniProt is an important collection of protein sequences and their annotations, which has doubled in size to 80 million sequences during the past year. This growth in sequences has prompted an extension of UniProt accession number space from 6 to 10 characters. An increasing fraction of new sequences are identical to a sequence that already exists in the database with the majority of sequences coming from genome sequencing projects. We have created a new proteome identifier that uniquely identifies a particular assembly of a species and strain or subspecies to help users track the provenance of sequences. We present a new website that has been designed using a user-experience design process. We have introduced an annotation score for all entries in UniProt to represent the relative amount of knowledge known about each protein. These scores will be helpful in identifying which proteins are the best characterized and most informative for comparative analysis. All UniProt data is provided freely and is available on the web at http://www.uniprot.org/.", "author" : [ { "dropping-particle" : "", "family" : "Bateman", "given" : "Alex", "non-dropping-particle" : "", "parse-names" : false, "suffix" : "" }, { "dropping-particle" : "", "family" : "Martin", "given" : "Maria Jesus", "non-dropping-particle" : "", "parse-names" : false, "suffix" : "" }, { "dropping-particle" : "", "family" : "O'Donovan", "given" : "Claire", "non-dropping-particle" : "", "parse-names" : false, "suffix" : "" }, { "dropping-particle" : "", "family" : "Magrane", "given" : "Michele", "non-dropping-particle" : "", "parse-names" : false, "suffix" : "" }, { "dropping-particle" : "", "family" : "Apweiler", "given" : "Rolf", "non-dropping-particle" : "", "parse-names" : false, "suffix" : "" }, { "dropping-particle" : "", "family" : "Alpi", "given" : "Emanuele", "non-dropping-particle" : "", "parse-names" : false, "suffix" : "" }, { "dropping-particle" : "", "family" : "Antunes", "given" : "Ricardo", "non-dropping-particle" : "", "parse-names" : false, "suffix" : "" }, { "dropping-particle" : "", "family" : "Arganiska", "given" : "Joanna", "non-dropping-particle" : "", "parse-names" : false, "suffix" : "" }, { "dropping-particle" : "", "family" : "Bely", "given" : "Benoit", "non-dropping-particle" : "", "parse-names" : false, "suffix" : "" }, { "dropping-particle" : "", "family" : "Bingley", "given" : "Mark", "non-dropping-particle" : "", "parse-names" : false, "suffix" : "" }, { "dropping-particle" : "", "family" : "Bonilla", "given" : "Carlos", "non-dropping-particle" : "", "parse-names" : false, "suffix" : "" }, { "dropping-particle" : "", "family" : "Britto", "given" : "Ramona", "non-dropping-particle" : "", "parse-names" : false, "suffix" : "" }, { "dropping-particle" : "", "family" : "Bursteinas", "given" : "Borisas", "non-dropping-particle" : "", "parse-names" : false, "suffix" : "" }, { "dropping-particle" : "", "family" : "Chavali", "given" : "Gayatri", "non-dropping-particle" : "", "parse-names" : false, "suffix" : "" }, { "dropping-particle" : "", "family" : "Cibrian-Uhalte", "given" : "Elena", "non-dropping-particle" : "", "parse-names" : false, "suffix" : "" }, { "dropping-particle" : "", "family" : "Silva", "given" : "Alan", "non-dropping-particle" : "Da", "parse-names" : false, "suffix" : "" }, { "dropping-particle" : "", "family" : "Giorgi", "given" : "Maurizio", "non-dropping-particle" : "De", "parse-names" : false, "suffix" : "" }, { "dropping-particle" : "", "family" : "Dogan", "given" : "Tunca", "non-dropping-particle" : "", "parse-names" : false, "suffix" : "" }, { "dropping-particle" : "", "family" : "Fazzini", "given" : "Francesco", "non-dropping-particle" : "", "parse-names" : false, "suffix" : "" }, { "dropping-particle" : "", "family" : "Gane", "given" : "Paul", "non-dropping-particle" : "", "parse-names" : false, "suffix" : "" }, { "dropping-particle" : "", "family" : "Castro", "given" : "Leyla Garcia", "non-dropping-particle" : "", "parse-names" : false, "suffix" : "" }, { "dropping-particle" : "", "family" : "Garmiri", "given" : "Penelope", "non-dropping-particle" : "", "parse-names" : false, "suffix" : "" }, { "dropping-particle" : "", "family" : "Hatton-Ellis", "given" : "Emma", "non-dropping-particle" : "", "parse-names" : false, "suffix" : "" }, { "dropping-particle" : "", "family" : "Hieta", "given" : "Reija", "non-dropping-particle" : "", "parse-names" : false, "suffix" : "" }, { "dropping-particle" : "", "family" : "Huntley", "given" : "Rachael", "non-dropping-particle" : "", "parse-names" : false, "suffix" : "" }, { "dropping-particle" : "", "family" : "Legge", "given" : "Duncan", "non-dropping-particle" : "", "parse-names" : false, "suffix" : "" }, { "dropping-particle" : "", "family" : "Liu", "given" : "Wudong", "non-dropping-particle" : "", "parse-names" : false, "suffix" : "" }, { "dropping-particle" : "", "family" : "Luo", "given" : "Jie", "non-dropping-particle" : "", "parse-names" : false, "suffix" : "" }, { "dropping-particle" : "", "family" : "Macdougall", "given" : "Alistair", "non-dropping-particle" : "", "parse-names" : false, "suffix" : "" }, { "dropping-particle" : "", "family" : "Mutowo", "given" : "Prudence", "non-dropping-particle" : "", "parse-names" : false, "suffix" : "" }, { "dropping-particle" : "", "family" : "Nightingale", "given" : "Andrew", "non-dropping-particle" : "", "parse-names" : false, "suffix" : "" }, { "dropping-particle" : "", "family" : "Orchard", "given" : "Sandra", "non-dropping-particle" : "", "parse-names" : false, "suffix" : "" }, { "dropping-particle" : "", "family" : "Pichler", "given" : "Klemens", "non-dropping-particle" : "", "parse-names" : false, "suffix" : "" }, { "dropping-particle" : "", "family" : "Poggioli", "given" : "Diego", "non-dropping-particle" : "", "parse-names" : false, "suffix" : "" }, { "dropping-particle" : "", "family" : "Pundir", "given" : "Sangya", "non-dropping-particle" : "", "parse-names" : false, "suffix" : "" }, { "dropping-particle" : "", "family" : "Pureza", "given" : "Luis", "non-dropping-particle" : "", "parse-names" : false, "suffix" : "" }, { "dropping-particle" : "", "family" : "Qi", "given" : "Guoying", "non-dropping-particle" : "", "parse-names" : false, "suffix" : "" }, { "dropping-particle" : "", "family" : "Rosanoff", "given" : "Steven", "non-dropping-particle" : "", "parse-names" : false, "suffix" : "" }, { "dropping-particle" : "", "family" : "Saidi", "given" : "Rabie", "non-dropping-particle" : "", "parse-names" : false, "suffix" : "" }, { "dropping-particle" : "", "family" : "Sawford", "given" : "Tony", "non-dropping-particle" : "", "parse-names" : false, "suffix" : "" }, { "dropping-particle" : "", "family" : "Shypitsyna", "given" : "Aleksandra", "non-dropping-particle" : "", "parse-names" : false, "suffix" : "" }, { "dropping-particle" : "", "family" : "Turner", "given" : "Edward", "non-dropping-particle" : "", "parse-names" : false, "suffix" : "" }, { "dropping-particle" : "", "family" : "Volynkin", "given" : "Vladimir", "non-dropping-particle" : "", "parse-names" : false, "suffix" : "" }, { "dropping-particle" : "", "family" : "Wardell", "given" : "Tony", "non-dropping-particle" : "", "parse-names" : false, "suffix" : "" }, { "dropping-particle" : "", "family" : "Watkins", "given" : "Xavier", "non-dropping-particle" : "", "parse-names" : false, "suffix" : "" }, { "dropping-particle" : "", "family" : "Zellner", "given" : "Hermann", "non-dropping-particle" : "", "parse-names" : false, "suffix" : "" }, { "dropping-particle" : "", "family" : "Cowley", "given" : "Andrew", "non-dropping-particle" : "", "parse-names" : false, "suffix" : "" }, { "dropping-particle" : "", "family" : "Figueira", "given" : "Luis", "non-dropping-particle" : "", "parse-names" : false, "suffix" : "" }, { "dropping-particle" : "", "family" : "Li", "given" : "Weizhong", "non-dropping-particle" : "", "parse-names" : false, "suffix" : "" }, { "dropping-particle" : "", "family" : "McWilliam", "given" : "Hamish", "non-dropping-particle" : "", "parse-names" : false, "suffix" : "" }, { "dropping-particle" : "", "family" : "Lopez", "given" : "Rodrigo", "non-dropping-particle" : "", "parse-names" : false, "suffix" : "" }, { "dropping-particle" : "", "family" : "Xenarios", "given" : "Ioannis", "non-dropping-particle" : "", "parse-names" : false, "suffix" : "" }, { "dropping-particle" : "", "family" : "Bougueleret", "given" : "Lydie", "non-dropping-particle" : "", "parse-names" : false, "suffix" : "" }, { "dropping-particle" : "", "family" : "Bridge", "given" : "Alan", "non-dropping-particle" : "", "parse-names" : false, "suffix" : "" }, { "dropping-particle" : "", "family" : "Poux", "given" : "Sylvain", "non-dropping-particle" : "", "parse-names" : false, "suffix" : "" }, { "dropping-particle" : "", "family" : "Redaschi", "given" : "Nicole", "non-dropping-particle" : "", "parse-names" : false, "suffix" : "" }, { "dropping-particle" : "", "family" : "Aimo", "given" : "Lucila", "non-dropping-particle" : "", "parse-names" : false, "suffix" : "" }, { "dropping-particle" : "", "family" : "Argoud-Puy", "given" : "Ghislaine", "non-dropping-particle" : "", "parse-names" : false, "suffix" : "" }, { "dropping-particle" : "", "family" : "Auchincloss", "given" : "Andrea", "non-dropping-particle" : "", "parse-names" : false, "suffix" : "" }, { "dropping-particle" : "", "family" : "Axelsen", "given" : "Kristian", "non-dropping-particle" : "", "parse-names" : false, "suffix" : "" }, { "dropping-particle" : "", "family" : "Bansal", "given" : "Parit", "non-dropping-particle" : "", "parse-names" : false, "suffix" : "" }, { "dropping-particle" : "", "family" : "Baratin", "given" : "Delphine", "non-dropping-particle" : "", "parse-names" : false, "suffix" : "" }, { "dropping-particle" : "", "family" : "Blatter", "given" : "Marie Claude", "non-dropping-particle" : "", "parse-names" : false, "suffix" : "" }, { "dropping-particle" : "", "family" : "Boeckmann", "given" : "Brigitte", "non-dropping-particle" : "", "parse-names" : false, "suffix" : "" }, { "dropping-particle" : "", "family" : "Bolleman", "given" : "Jerven", "non-dropping-particle" : "", "parse-names" : false, "suffix" : "" }, { "dropping-particle" : "", "family" : "Boutet", "given" : "Emmanuel", "non-dropping-particle" : "", "parse-names" : false, "suffix" : "" }, { "dropping-particle" : "", "family" : "Breuza", "given" : "Lionel", "non-dropping-particle" : "", "parse-names" : false, "suffix" : "" }, { "dropping-particle" : "", "family" : "Casal-Casas", "given" : "Cristina", "non-dropping-particle" : "", "parse-names" : false, "suffix" : "" }, { "dropping-particle" : "", "family" : "Castro", "given" : "Edouard", "non-dropping-particle" : "De", "parse-names" : false, "suffix" : "" }, { "dropping-particle" : "", "family" : "Coudert", "given" : "Elisabeth", "non-dropping-particle" : "", "parse-names" : false, "suffix" : "" }, { "dropping-particle" : "", "family" : "Cuche", "given" : "Beatrice", "non-dropping-particle" : "", "parse-names" : false, "suffix" : "" }, { "dropping-particle" : "", "family" : "Doche", "given" : "Mikael", "non-dropping-particle" : "", "parse-names" : false, "suffix" : "" }, { "dropping-particle" : "", "family" : "Dornevil", "given" : "Dolnide", "non-dropping-particle" : "", "parse-names" : false, "suffix" : "" }, { "dropping-particle" : "", "family" : "Duvaud", "given" : "Severine", "non-dropping-particle" : "", "parse-names" : false, "suffix" : "" }, { "dropping-particle" : "", "family" : "Estreicher", "given" : "Anne", "non-dropping-particle" : "", "parse-names" : false, "suffix" : "" }, { "dropping-particle" : "", "family" : "Famiglietti", "given" : "Livia", "non-dropping-particle" : "", "parse-names" : false, "suffix" : "" }, { "dropping-particle" : "", "family" : "Feuermann", "given" : "Marc", "non-dropping-particle" : "", "parse-names" : false, "suffix" : "" }, { "dropping-particle" : "", "family" : "Gasteiger", "given" : "Elisabeth", "non-dropping-particle" : "", "parse-names" : false, "suffix" : "" }, { "dropping-particle" : "", "family" : "Gehant", "given" : "Sebastien", "non-dropping-particle" : "", "parse-names" : false, "suffix" : "" }, { "dropping-particle" : "", "family" : "Gerritsen", "given" : "Vivienne", "non-dropping-particle" : "", "parse-names" : false, "suffix" : "" }, { "dropping-particle" : "", "family" : "Gos", "given" : "Arnaud", "non-dropping-particle" : "", "parse-names" : false, "suffix" : "" }, { "dropping-particle" : "", "family" : "Gruaz-Gumowski", "given" : "Nadine", "non-dropping-particle" : "", "parse-names" : false, "suffix" : "" }, { "dropping-particle" : "", "family" : "Hinz", "given" : "Ursula", "non-dropping-particle" : "", "parse-names" : false, "suffix" : "" }, { "dropping-particle" : "", "family" : "Hulo", "given" : "Chantal", "non-dropping-particle" : "", "parse-names" : false, "suffix" : "" }, { "dropping-particle" : "", "family" : "Jungo", "given" : "Florence", "non-dropping-particle" : "", "parse-names" : false, "suffix" : "" }, { "dropping-particle" : "", "family" : "Keller", "given" : "Guillaume", "non-dropping-particle" : "", "parse-names" : false, "suffix" : "" }, { "dropping-particle" : "", "family" : "Lara", "given" : "Vicente", "non-dropping-particle" : "", "parse-names" : false, "suffix" : "" }, { "dropping-particle" : "", "family" : "Lemercier", "given" : "Philippe", "non-dropping-particle" : "", "parse-names" : false, "suffix" : "" }, { "dropping-particle" : "", "family" : "Lieberherr", "given" : "Damien", "non-dropping-particle" : "", "parse-names" : false, "suffix" : "" }, { "dropping-particle" : "", "family" : "Lombardot", "given" : "Thierry", "non-dropping-particle" : "", "parse-names" : false, "suffix" : "" }, { "dropping-particle" : "", "family" : "Martin", "given" : "Xavier", "non-dropping-particle" : "", "parse-names" : false, "suffix" : "" }, { "dropping-particle" : "", "family" : "Masson", "given" : "Patrick", "non-dropping-particle" : "", "parse-names" : false, "suffix" : "" }, { "dropping-particle" : "", "family" : "Morgat", "given" : "Anne", "non-dropping-particle" : "", "parse-names" : false, "suffix" : "" }, { "dropping-particle" : "", "family" : "Neto", "given" : "Teresa", "non-dropping-particle" : "", "parse-names" : false, "suffix" : "" }, { "dropping-particle" : "", "family" : "Nouspikel", "given" : "Nevila", "non-dropping-particle" : "", "parse-names" : false, "suffix" : "" }, { "dropping-particle" : "", "family" : "Paesano", "given" : "Salvo", "non-dropping-particle" : "", "parse-names" : false, "suffix" : "" }, { "dropping-particle" : "", "family" : "Pedruzzi", "given" : "Ivo", "non-dropping-particle" : "", "parse-names" : false, "suffix" : "" }, { "dropping-particle" : "", "family" : "Pilbout", "given" : "Sandrine", "non-dropping-particle" : "", "parse-names" : false, "suffix" : "" }, { "dropping-particle" : "", "family" : "Pozzato", "given" : "Monica", "non-dropping-particle" : "", "parse-names" : false, "suffix" : "" }, { "dropping-particle" : "", "family" : "Pruess", "given" : "Manuela", "non-dropping-particle" : "", "parse-names" : false, "suffix" : "" }, { "dropping-particle" : "", "family" : "Rivoire", "given" : "Catherine", "non-dropping-particle" : "", "parse-names" : false, "suffix" : "" }, { "dropping-particle" : "", "family" : "Roechert", "given" : "Bernd", "non-dropping-particle" : "", "parse-names" : false, "suffix" : "" }, { "dropping-particle" : "", "family" : "Schneider", "given" : "Michel", "non-dropping-particle" : "", "parse-names" : false, "suffix" : "" }, { "dropping-particle" : "", "family" : "Sigrist", "given" : "Christian", "non-dropping-particle" : "", "parse-names" : false, "suffix" : "" }, { "dropping-particle" : "", "family" : "Sonesson", "given" : "Karin", "non-dropping-particle" : "", "parse-names" : false, "suffix" : "" }, { "dropping-particle" : "", "family" : "Staehli", "given" : "Sylvie", "non-dropping-particle" : "", "parse-names" : false, "suffix" : "" }, { "dropping-particle" : "", "family" : "Stutz", "given" : "Andre", "non-dropping-particle" : "", "parse-names" : false, "suffix" : "" }, { "dropping-particle" : "", "family" : "Sundaram", "given" : "Shyamala", "non-dropping-particle" : "", "parse-names" : false, "suffix" : "" }, { "dropping-particle" : "", "family" : "Tognolli", "given" : "Michael", "non-dropping-particle" : "", "parse-names" : false, "suffix" : "" }, { "dropping-particle" : "", "family" : "Verbregue", "given" : "Laure", "non-dropping-particle" : "", "parse-names" : false, "suffix" : "" }, { "dropping-particle" : "", "family" : "Veuthey", "given" : "Anne Lise", "non-dropping-particle" : "", "parse-names" : false, "suffix" : "" }, { "dropping-particle" : "", "family" : "Wu", "given" : "Cathy H.", "non-dropping-particle" : "", "parse-names" : false, "suffix" : "" }, { "dropping-particle" : "", "family" : "Arighi", "given" : "Cecilia N.", "non-dropping-particle" : "", "parse-names" : false, "suffix" : "" }, { "dropping-particle" : "", "family" : "Arminski", "given" : "Leslie", "non-dropping-particle" : "", "parse-names" : false, "suffix" : "" }, { "dropping-particle" : "", "family" : "Chen", "given" : "Chuming", "non-dropping-particle" : "", "parse-names" : false, "suffix" : "" }, { "dropping-particle" : "", "family" : "Chen", "given" : "Yongxing", "non-dropping-particle" : "", "parse-names" : false, "suffix" : "" }, { "dropping-particle" : "", "family" : "Garavelli", "given" : "John S.", "non-dropping-particle" : "", "parse-names" : false, "suffix" : "" }, { "dropping-particle" : "", "family" : "Huang", "given" : "Hongzhan", "non-dropping-particle" : "", "parse-names" : false, "suffix" : "" }, { "dropping-particle" : "", "family" : "Laiho", "given" : "Kati", "non-dropping-particle" : "", "parse-names" : false, "suffix" : "" }, { "dropping-particle" : "", "family" : "McGarvey", "given" : "Peter", "non-dropping-particle" : "", "parse-names" : false, "suffix" : "" }, { "dropping-particle" : "", "family" : "Natale", "given" : "Darren A.", "non-dropping-particle" : "", "parse-names" : false, "suffix" : "" }, { "dropping-particle" : "", "family" : "Suzek", "given" : "Baris E.", "non-dropping-particle" : "", "parse-names" : false, "suffix" : "" }, { "dropping-particle" : "", "family" : "Vinayaka", "given" : "C. R.", "non-dropping-particle" : "", "parse-names" : false, "suffix" : "" }, { "dropping-particle" : "", "family" : "Wang", "given" : "Qinghua", "non-dropping-particle" : "", "parse-names" : false, "suffix" : "" }, { "dropping-particle" : "", "family" : "Wang", "given" : "Yuqi", "non-dropping-particle" : "", "parse-names" : false, "suffix" : "" }, { "dropping-particle" : "", "family" : "Yeh", "given" : "Lai Su", "non-dropping-particle" : "", "parse-names" : false, "suffix" : "" }, { "dropping-particle" : "", "family" : "Yerramalla", "given" : "Meher Shruti", "non-dropping-particle" : "", "parse-names" : false, "suffix" : "" }, { "dropping-particle" : "", "family" : "Zhang", "given" : "Jian", "non-dropping-particle" : "", "parse-names" : false, "suffix" : "" } ], "container-title" : "Nucleic Acids Research", "id" : "ITEM-1", "issue" : "D1", "issued" : { "date-parts" : [ [ "2015" ] ] }, "page" : "D204-D212", "title" : "UniProt: A hub for protein information", "type" : "article-journal", "volume" : "43" }, "uris" : [ "http://www.mendeley.com/documents/?uuid=6793c47f-7440-49e3-9e89-0c814f07de69" ] } ], "mendeley" : { "formattedCitation" : "&lt;sup&gt;28&lt;/sup&gt;", "plainTextFormattedCitation" : "28", "previouslyFormattedCitation" : "&lt;sup&gt;28&lt;/sup&gt;" }, "properties" : { "noteIndex" : 0 }, "schema" : "https://github.com/citation-style-language/schema/raw/master/csl-citation.json" }</w:instrText>
      </w:r>
      <w:r w:rsidR="00791C7E">
        <w:rPr>
          <w:rFonts w:ascii="Calibri" w:eastAsia="Calibri" w:hAnsi="Calibri" w:cs="Calibri"/>
        </w:rPr>
        <w:fldChar w:fldCharType="separate"/>
      </w:r>
      <w:r w:rsidR="00146957" w:rsidRPr="00146957">
        <w:rPr>
          <w:rFonts w:ascii="Calibri" w:eastAsia="Calibri" w:hAnsi="Calibri" w:cs="Calibri"/>
          <w:noProof/>
          <w:vertAlign w:val="superscript"/>
        </w:rPr>
        <w:t>28</w:t>
      </w:r>
      <w:r w:rsidR="00791C7E">
        <w:rPr>
          <w:rFonts w:ascii="Calibri" w:eastAsia="Calibri" w:hAnsi="Calibri" w:cs="Calibri"/>
        </w:rPr>
        <w:fldChar w:fldCharType="end"/>
      </w:r>
      <w:r w:rsidRPr="5ECC47B9">
        <w:rPr>
          <w:rFonts w:ascii="Calibri" w:eastAsia="Calibri" w:hAnsi="Calibri" w:cs="Calibri"/>
        </w:rPr>
        <w:t xml:space="preserve"> This </w:t>
      </w:r>
      <w:r w:rsidR="00DE2E7A">
        <w:rPr>
          <w:rFonts w:ascii="Calibri" w:eastAsia="Calibri" w:hAnsi="Calibri" w:cs="Calibri"/>
        </w:rPr>
        <w:t>corroborates</w:t>
      </w:r>
      <w:r w:rsidRPr="5ECC47B9">
        <w:rPr>
          <w:rFonts w:ascii="Calibri" w:eastAsia="Calibri" w:hAnsi="Calibri" w:cs="Calibri"/>
        </w:rPr>
        <w:t xml:space="preserve"> with our prediction that the two proteins could interact </w:t>
      </w:r>
      <w:r w:rsidR="001634D2">
        <w:rPr>
          <w:rFonts w:ascii="Calibri" w:eastAsia="Calibri" w:hAnsi="Calibri" w:cs="Calibri"/>
        </w:rPr>
        <w:t>in a</w:t>
      </w:r>
      <w:r w:rsidRPr="5ECC47B9">
        <w:rPr>
          <w:rFonts w:ascii="Calibri" w:eastAsia="Calibri" w:hAnsi="Calibri" w:cs="Calibri"/>
        </w:rPr>
        <w:t xml:space="preserve"> co-activator and nuclear receptor</w:t>
      </w:r>
      <w:r w:rsidR="001634D2">
        <w:rPr>
          <w:rFonts w:ascii="Calibri" w:eastAsia="Calibri" w:hAnsi="Calibri" w:cs="Calibri"/>
        </w:rPr>
        <w:t xml:space="preserve"> manner</w:t>
      </w:r>
      <w:r w:rsidRPr="5ECC47B9">
        <w:rPr>
          <w:rFonts w:ascii="Calibri" w:eastAsia="Calibri" w:hAnsi="Calibri" w:cs="Calibri"/>
        </w:rPr>
        <w:t>.</w:t>
      </w:r>
    </w:p>
    <w:p w14:paraId="221ACCE6" w14:textId="79336526" w:rsidR="00FF0510" w:rsidRDefault="00FF0510" w:rsidP="00DB1871">
      <w:pPr>
        <w:spacing w:line="360" w:lineRule="auto"/>
        <w:ind w:left="2410"/>
        <w:jc w:val="both"/>
        <w:rPr>
          <w:rFonts w:ascii="Calibri" w:eastAsia="Calibri" w:hAnsi="Calibri" w:cs="Calibri"/>
        </w:rPr>
      </w:pPr>
      <w:r>
        <w:rPr>
          <w:noProof/>
          <w:lang w:eastAsia="sl-SI"/>
        </w:rPr>
        <w:drawing>
          <wp:inline distT="0" distB="0" distL="0" distR="0" wp14:anchorId="43BC5B97" wp14:editId="2C128234">
            <wp:extent cx="2831910" cy="25730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_IP.jpg"/>
                    <pic:cNvPicPr/>
                  </pic:nvPicPr>
                  <pic:blipFill>
                    <a:blip r:embed="rId9">
                      <a:extLst>
                        <a:ext uri="{28A0092B-C50C-407E-A947-70E740481C1C}">
                          <a14:useLocalDpi xmlns:a14="http://schemas.microsoft.com/office/drawing/2010/main" val="0"/>
                        </a:ext>
                      </a:extLst>
                    </a:blip>
                    <a:stretch>
                      <a:fillRect/>
                    </a:stretch>
                  </pic:blipFill>
                  <pic:spPr>
                    <a:xfrm>
                      <a:off x="0" y="0"/>
                      <a:ext cx="2833817" cy="2574752"/>
                    </a:xfrm>
                    <a:prstGeom prst="rect">
                      <a:avLst/>
                    </a:prstGeom>
                  </pic:spPr>
                </pic:pic>
              </a:graphicData>
            </a:graphic>
          </wp:inline>
        </w:drawing>
      </w:r>
    </w:p>
    <w:p w14:paraId="03A6417F" w14:textId="77777777" w:rsidR="00FF0510" w:rsidRDefault="00FF0510" w:rsidP="00FF0510">
      <w:pPr>
        <w:spacing w:line="360" w:lineRule="auto"/>
        <w:jc w:val="both"/>
      </w:pPr>
      <w:r w:rsidRPr="00FF0510">
        <w:rPr>
          <w:b/>
        </w:rPr>
        <w:t xml:space="preserve">Figure 3. Co-immunoprecipitation with FLAG Ab conjugated Sepharose of </w:t>
      </w:r>
      <w:r w:rsidRPr="00FF0510">
        <w:rPr>
          <w:b/>
          <w:i/>
          <w:iCs/>
        </w:rPr>
        <w:t>Car-Flag</w:t>
      </w:r>
      <w:r w:rsidRPr="00FF0510">
        <w:rPr>
          <w:b/>
        </w:rPr>
        <w:t xml:space="preserve"> and </w:t>
      </w:r>
      <w:r w:rsidRPr="00FF0510">
        <w:rPr>
          <w:b/>
          <w:i/>
          <w:iCs/>
        </w:rPr>
        <w:t>Per2-V5</w:t>
      </w:r>
      <w:r w:rsidRPr="00FF0510">
        <w:rPr>
          <w:b/>
        </w:rPr>
        <w:t>.</w:t>
      </w:r>
      <w:r>
        <w:t xml:space="preserve"> </w:t>
      </w:r>
      <w:r w:rsidRPr="00BD4B99">
        <w:rPr>
          <w:b/>
        </w:rPr>
        <w:t>A</w:t>
      </w:r>
      <w:r>
        <w:t xml:space="preserve">: Western blot with V5 Ab – PER2 shows two bands, at 40 and 135 kDa. After the final incubation of Sepharose beads at 70° C, only the 40 kDa form was visible on the blot. The 135 kDa isoform was visible after additional incubation at 95° C. </w:t>
      </w:r>
      <w:r w:rsidRPr="00BD4B99">
        <w:rPr>
          <w:b/>
        </w:rPr>
        <w:t>B</w:t>
      </w:r>
      <w:r>
        <w:t>: Western blot with FLAG Ab – the signal of CAR is in the range of expected protein size (40 kDa).</w:t>
      </w:r>
    </w:p>
    <w:p w14:paraId="3FC1AA12" w14:textId="77777777" w:rsidR="00FF0510" w:rsidRPr="00B37B3B" w:rsidRDefault="00FF0510" w:rsidP="004513A2">
      <w:pPr>
        <w:spacing w:line="360" w:lineRule="auto"/>
        <w:jc w:val="both"/>
        <w:rPr>
          <w:rFonts w:ascii="Calibri" w:eastAsia="Calibri" w:hAnsi="Calibri" w:cs="Calibri"/>
        </w:rPr>
      </w:pPr>
    </w:p>
    <w:p w14:paraId="7DBCECFF" w14:textId="66EA4B20" w:rsidR="53024C8F" w:rsidRDefault="5ECC47B9" w:rsidP="00FF0510">
      <w:pPr>
        <w:pStyle w:val="Heading2"/>
        <w:spacing w:line="360" w:lineRule="auto"/>
        <w:jc w:val="both"/>
      </w:pPr>
      <w:r>
        <w:t>Materials and methods</w:t>
      </w:r>
    </w:p>
    <w:p w14:paraId="13907418" w14:textId="42F1984C" w:rsidR="5ECC47B9" w:rsidRDefault="5ECC47B9" w:rsidP="00FF0510">
      <w:pPr>
        <w:pStyle w:val="Heading3"/>
        <w:spacing w:line="360" w:lineRule="auto"/>
        <w:jc w:val="both"/>
      </w:pPr>
      <w:r>
        <w:t>Plasmids</w:t>
      </w:r>
    </w:p>
    <w:p w14:paraId="382D6797" w14:textId="3337866D" w:rsidR="53024C8F" w:rsidRDefault="5ECC47B9" w:rsidP="00FF0510">
      <w:pPr>
        <w:spacing w:line="360" w:lineRule="auto"/>
        <w:jc w:val="both"/>
      </w:pPr>
      <w:r w:rsidRPr="5ECC47B9">
        <w:rPr>
          <w:i/>
          <w:iCs/>
        </w:rPr>
        <w:t>Bmal1 luc</w:t>
      </w:r>
      <w:r w:rsidRPr="5ECC47B9">
        <w:t xml:space="preserve">, having a </w:t>
      </w:r>
      <w:r w:rsidRPr="5ECC47B9">
        <w:rPr>
          <w:i/>
          <w:iCs/>
        </w:rPr>
        <w:t>Bmal1</w:t>
      </w:r>
      <w:r w:rsidR="00050B5B">
        <w:t xml:space="preserve"> promote</w:t>
      </w:r>
      <w:r w:rsidRPr="5ECC47B9">
        <w:t>r cloned into a pGL3 luciferase reporter vector,</w:t>
      </w:r>
      <w:r>
        <w:t xml:space="preserve"> </w:t>
      </w:r>
      <w:r w:rsidRPr="5ECC47B9">
        <w:rPr>
          <w:i/>
          <w:iCs/>
        </w:rPr>
        <w:t>Per2</w:t>
      </w:r>
      <w:r w:rsidRPr="5ECC47B9">
        <w:t>, coding for a V5-tagged PER2,</w:t>
      </w:r>
      <w:r>
        <w:t xml:space="preserve"> and </w:t>
      </w:r>
      <w:r w:rsidRPr="5ECC47B9">
        <w:rPr>
          <w:i/>
          <w:iCs/>
        </w:rPr>
        <w:t>Ppar</w:t>
      </w:r>
      <w:r w:rsidR="00366BF4">
        <w:rPr>
          <w:rFonts w:ascii="Calibri" w:hAnsi="Calibri"/>
          <w:i/>
          <w:iCs/>
        </w:rPr>
        <w:t>α</w:t>
      </w:r>
      <w:r>
        <w:t xml:space="preserve"> constructs were kindly provided by </w:t>
      </w:r>
      <w:r w:rsidR="00CB3FAB">
        <w:t xml:space="preserve">J. Ripperger and </w:t>
      </w:r>
      <w:r>
        <w:t>U. Albrecht (Department of Biology, Faculty of Science, University of Fribourg, Switzerland) and have been previ</w:t>
      </w:r>
      <w:r w:rsidR="00F71168">
        <w:t>ously described in more detail.</w:t>
      </w:r>
      <w:r w:rsidR="00267715">
        <w:fldChar w:fldCharType="begin" w:fldLock="1"/>
      </w:r>
      <w:r w:rsidR="00B00E5E">
        <w:instrText>ADDIN CSL_CITATION { "citationItems" : [ { "id" : "ITEM-1", "itemData" : { "DOI" : "10.1101/gad.564110", "ISSN" : "1549-5477", "PMID" : "20159955", "abstract" : "Mammalian circadian clocks provide a temporal framework to synchronize biological functions. To obtain robust rhythms with a periodicity of about a day, these clocks use molecular oscillators consisting of two interlocked feedback loops. The core loop generates rhythms by transcriptional repression via the Period (PER) and Cryptochrome (CRY) proteins, whereas the stabilizing loop establishes roughly antiphasic rhythms via nuclear receptors. Nuclear receptors also govern many pathways that affect metabolism and physiology. Here we show that the core loop component PER2 can coordinate circadian output with the circadian oscillator. PER2 interacts with nuclear receptors including PPARalpha and REV-ERBalpha and serves as a coregulator of nuclear receptor-mediated transcription. Consequently, PER2 is rhythmically bound at the promoters of nuclear receptor target genes in vivo. In this way, the circadian oscillator can modulate the expression of nuclear receptor target genes like Bmal1, Hnf1alpha, and Glucose-6-phosphatase. The concept that PER2 may propagate clock information to metabolic pathways via nuclear receptors adds an important facet to the clock-dependent regulation of biological networks.", "author" : [ { "dropping-particle" : "", "family" : "Schmutz", "given" : "Isabelle", "non-dropping-particle" : "", "parse-names" : false, "suffix" : "" }, { "dropping-particle" : "", "family" : "Ripperger", "given" : "J\u00fcrgen A", "non-dropping-particle" : "", "parse-names" : false, "suffix" : "" }, { "dropping-particle" : "", "family" : "Baeriswyl-Aebischer", "given" : "St\u00e9phanie", "non-dropping-particle" : "", "parse-names" : false, "suffix" : "" }, { "dropping-particle" : "", "family" : "Albrecht", "given" : "Urs", "non-dropping-particle" : "", "parse-names" : false, "suffix" : "" } ], "container-title" : "Genes &amp; development", "id" : "ITEM-1", "issue" : "4", "issued" : { "date-parts" : [ [ "2010", "2", "15" ] ] }, "page" : "345-57", "title" : "The mammalian clock component PERIOD2 coordinates circadian output by interaction with nuclear receptors.", "type" : "article-journal", "volume" : "24" }, "uris" : [ "http://www.mendeley.com/documents/?uuid=4f7df27b-e214-4f35-99af-9ed969f53091" ] } ], "mendeley" : { "formattedCitation" : "&lt;sup&gt;1&lt;/sup&gt;", "plainTextFormattedCitation" : "1", "previouslyFormattedCitation" : "&lt;sup&gt;1&lt;/sup&gt;" }, "properties" : { "noteIndex" : 0 }, "schema" : "https://github.com/citation-style-language/schema/raw/master/csl-citation.json" }</w:instrText>
      </w:r>
      <w:r w:rsidR="00267715">
        <w:fldChar w:fldCharType="separate"/>
      </w:r>
      <w:r w:rsidR="00267715" w:rsidRPr="00267715">
        <w:rPr>
          <w:noProof/>
          <w:vertAlign w:val="superscript"/>
        </w:rPr>
        <w:t>1</w:t>
      </w:r>
      <w:r w:rsidR="00267715">
        <w:fldChar w:fldCharType="end"/>
      </w:r>
    </w:p>
    <w:p w14:paraId="142109C5" w14:textId="603F9DB5" w:rsidR="53024C8F" w:rsidRDefault="5ECC47B9" w:rsidP="00FF0510">
      <w:pPr>
        <w:spacing w:line="360" w:lineRule="auto"/>
        <w:jc w:val="both"/>
      </w:pPr>
      <w:r>
        <w:lastRenderedPageBreak/>
        <w:t xml:space="preserve">The </w:t>
      </w:r>
      <w:r w:rsidRPr="5ECC47B9">
        <w:rPr>
          <w:i/>
          <w:iCs/>
        </w:rPr>
        <w:t>Car</w:t>
      </w:r>
      <w:r>
        <w:t xml:space="preserve"> expression constr</w:t>
      </w:r>
      <w:r w:rsidR="003942ED">
        <w:t>uct was kindly provided by Jean</w:t>
      </w:r>
      <w:r>
        <w:t xml:space="preserve">Marc Pascussi (Institut de genomique fonctionnelle, Montpellier, France) </w:t>
      </w:r>
      <w:r w:rsidR="00DB0537">
        <w:t>and it was constructed by Negishi Masah</w:t>
      </w:r>
      <w:r w:rsidR="00303121">
        <w:t>iko (NIH, North Carolina, USA) a</w:t>
      </w:r>
      <w:r>
        <w:t>nd has previously been described in more detail</w:t>
      </w:r>
      <w:r w:rsidR="00DB0537">
        <w:t>.</w:t>
      </w:r>
      <w:r w:rsidR="00DB0537">
        <w:fldChar w:fldCharType="begin" w:fldLock="1"/>
      </w:r>
      <w:r w:rsidR="00935DCB">
        <w:instrText>ADDIN CSL_CITATION { "citationItems" : [ { "id" : "ITEM-1", "itemData" : { "ISBN" : "0270-7306 (Print)\\r0270-7306 (Linking)", "ISSN" : "0270-7306", "PMID" : "9742082", "abstract" : "PBREM, the phenobarbital-responsive enhancer module of the cytochrome P-450 Cyp2b10 gene, contains two potential nuclear receptor binding sites, NR1 and NR2. Consistent with the finding that anti-retinoid X receptor (RXR) could supershift the NR1-nuclear protein complex, DNA affinity chromatography with NR1 oligonucleotides enriched the nuclear orphan receptor RXR from the hepatic nuclear extracts of phenobarbital-treated mice. In addition to RXR, the nuclear orphan receptor CAR was present in the same enriched fraction. In the phenobarbital-treated mice, the binding of both CAR and RXR was rapidly increased before the induction of CYP2B10 mRNA. In vitro-translated CAR bound to NR1, but only in the presence of similarly prepared RXR. PBREM was synergistically activated by transfection of CAR and RXR in HepG2 and HEK293 cells when the NR1 site was functional. A CAR-RXR heterodimer has thus been characterized as a trans-acting factor for the phenobarbital-inducible Cyp2b10 gene.", "author" : [ { "dropping-particle" : "", "family" : "Honkakoski", "given" : "P", "non-dropping-particle" : "", "parse-names" : false, "suffix" : "" }, { "dropping-particle" : "", "family" : "Zelko", "given" : "I", "non-dropping-particle" : "", "parse-names" : false, "suffix" : "" }, { "dropping-particle" : "", "family" : "Sueyoshi", "given" : "T", "non-dropping-particle" : "", "parse-names" : false, "suffix" : "" }, { "dropping-particle" : "", "family" : "Negishi", "given" : "M", "non-dropping-particle" : "", "parse-names" : false, "suffix" : "" } ], "container-title" : "Molecular and cellular biology", "id" : "ITEM-1", "issue" : "10", "issued" : { "date-parts" : [ [ "1998" ] ] }, "page" : "5652-8", "title" : "The nuclear orphan receptor CAR-retinoid X receptor heterodimer activates the phenobarbital-responsive enhancer module of the CYP2B gene.", "type" : "article-journal", "volume" : "18" }, "uris" : [ "http://www.mendeley.com/documents/?uuid=c425362c-9214-4049-86ea-6c0eb3b2b7cf" ] } ], "mendeley" : { "formattedCitation" : "&lt;sup&gt;36&lt;/sup&gt;", "plainTextFormattedCitation" : "36", "previouslyFormattedCitation" : "&lt;sup&gt;36&lt;/sup&gt;" }, "properties" : { "noteIndex" : 0 }, "schema" : "https://github.com/citation-style-language/schema/raw/master/csl-citation.json" }</w:instrText>
      </w:r>
      <w:r w:rsidR="00DB0537">
        <w:fldChar w:fldCharType="separate"/>
      </w:r>
      <w:r w:rsidR="00146957" w:rsidRPr="00146957">
        <w:rPr>
          <w:noProof/>
          <w:vertAlign w:val="superscript"/>
        </w:rPr>
        <w:t>36</w:t>
      </w:r>
      <w:r w:rsidR="00DB0537">
        <w:fldChar w:fldCharType="end"/>
      </w:r>
    </w:p>
    <w:p w14:paraId="78BEA711" w14:textId="1C2AE6CF" w:rsidR="00267715" w:rsidRDefault="00267715" w:rsidP="00FF0510">
      <w:pPr>
        <w:spacing w:line="360" w:lineRule="auto"/>
        <w:jc w:val="both"/>
      </w:pPr>
      <w:r>
        <w:t xml:space="preserve">The </w:t>
      </w:r>
      <w:r w:rsidRPr="00267715">
        <w:rPr>
          <w:i/>
        </w:rPr>
        <w:t>Car</w:t>
      </w:r>
      <w:r w:rsidRPr="00E637D3">
        <w:rPr>
          <w:i/>
        </w:rPr>
        <w:t>-</w:t>
      </w:r>
      <w:r w:rsidR="00E637D3" w:rsidRPr="00E637D3">
        <w:rPr>
          <w:i/>
        </w:rPr>
        <w:t>Flag</w:t>
      </w:r>
      <w:r>
        <w:t xml:space="preserve"> plasmid was kindly provided by </w:t>
      </w:r>
      <w:r w:rsidR="00DB0537">
        <w:t>Ne</w:t>
      </w:r>
      <w:r w:rsidR="00010D39">
        <w:t>gishi Masahiko</w:t>
      </w:r>
      <w:r w:rsidR="00884274">
        <w:t xml:space="preserve"> (NIH, North Carolina, USA) and has previously been described in more detail</w:t>
      </w:r>
      <w:r>
        <w:t>.</w:t>
      </w:r>
      <w:r w:rsidR="00884274">
        <w:fldChar w:fldCharType="begin" w:fldLock="1"/>
      </w:r>
      <w:r w:rsidR="00935DCB">
        <w:instrText>ADDIN CSL_CITATION { "citationItems" : [ { "id" : "ITEM-1", "itemData" : { "DOI" : "10.1371/journal.pone.0096092", "ISSN" : "19326203", "PMID" : "24789201", "abstract" : "The constitutive active/androstane receptor (CAR) plays an important role as a coordinate transcription factor in the regulation of various hepatic metabolic pathways for chemicals such as drugs, glucose, fatty acids, bilirubin, and bile acids. Currently, it is known that in its inactive state, CAR is retained in the cytoplasm in a protein complex with HSP90 and the tetratricopeptide repeat protein cytosoplasmic CAR retention protein (CCRP). Upon activation by phenobarbital (PB) or the PB-like inducer 1,4-bis[2-(3,5-dichloropyridyloxy)]-benzene (TCPOBOP), CAR translocates into the nucleus. We have identified two new components to the cytoplasmic regulation of CAR: ubiquitin-dependent degradation of CCRP and protein-protein interaction with HSP70. Treatment with the proteasome inhibitor MG132 (5 \u00b5M) causes CAR to accumulate in the cytoplasm of transfected HepG2 cells. In the presence of MG132, TCPOBOP increases CCRP ubiquitination in HepG2 cells co-expressing CAR, while CAR ubiquitination was not detected. MG132 treatment of HepG2 also attenuated of TCPOBOP-induced CAR transcriptional activation on reporter constructs which contain CAR-binding DNA elements derived from the human CYP2B6 gene. The elevation of cytoplasmic CAR protein with MG132 correlated with an increase of HSP70, and to a lesser extent HSP60. Both CCRP and CAR were found to interact with endogenous HSP70 in HepG2 cells by immunoprecipitation analysis. Induction of HSP70 levels by heat shock also increased cytoplasmic CAR levels, similar to the effect of MG132. Lastly, heat shock attenuated TCPOBOP-induced CAR transcriptional activation, also similar to the effect of MG132. Collectively, these data suggest that ubiquitin-proteasomal regulation of CCRP and HSP70 are important contributors to the regulation of cytoplasmic CAR levels, and hence the ability of CAR to respond to PB or PB-like inducers.", "author" : [ { "dropping-particle" : "", "family" : "Timsit", "given" : "Yoav E.", "non-dropping-particle" : "", "parse-names" : false, "suffix" : "" }, { "dropping-particle" : "", "family" : "Negishi", "given" : "Masahiko", "non-dropping-particle" : "", "parse-names" : false, "suffix" : "" } ], "container-title" : "PLoS ONE", "id" : "ITEM-1", "issue" : "5", "issued" : { "date-parts" : [ [ "2014" ] ] }, "title" : "Coordinated regulation of nuclear receptor CAR by CCRP/DNAJC7, HSP70 and the ubiquitin-proteasome system", "type" : "article-journal", "volume" : "9" }, "uris" : [ "http://www.mendeley.com/documents/?uuid=3ac69950-054c-4b39-a055-8759ff2657e3" ] } ], "mendeley" : { "formattedCitation" : "&lt;sup&gt;37&lt;/sup&gt;", "plainTextFormattedCitation" : "37", "previouslyFormattedCitation" : "&lt;sup&gt;37&lt;/sup&gt;" }, "properties" : { "noteIndex" : 0 }, "schema" : "https://github.com/citation-style-language/schema/raw/master/csl-citation.json" }</w:instrText>
      </w:r>
      <w:r w:rsidR="00884274">
        <w:fldChar w:fldCharType="separate"/>
      </w:r>
      <w:r w:rsidR="00146957" w:rsidRPr="00146957">
        <w:rPr>
          <w:noProof/>
          <w:vertAlign w:val="superscript"/>
        </w:rPr>
        <w:t>37</w:t>
      </w:r>
      <w:r w:rsidR="00884274">
        <w:fldChar w:fldCharType="end"/>
      </w:r>
    </w:p>
    <w:p w14:paraId="1D561D36" w14:textId="0691649A" w:rsidR="53024C8F" w:rsidRDefault="00BD4B99" w:rsidP="00FF0510">
      <w:pPr>
        <w:spacing w:line="360" w:lineRule="auto"/>
        <w:jc w:val="both"/>
      </w:pPr>
      <w:r>
        <w:t>An empty pGL3 basic vector</w:t>
      </w:r>
      <w:r w:rsidR="5ECC47B9">
        <w:t xml:space="preserve"> </w:t>
      </w:r>
      <w:r>
        <w:t>(</w:t>
      </w:r>
      <w:r w:rsidR="5ECC47B9">
        <w:t>Promega</w:t>
      </w:r>
      <w:r>
        <w:t>)</w:t>
      </w:r>
      <w:r w:rsidR="5ECC47B9">
        <w:t xml:space="preserve"> was used to perform transfections with equal ammounts of DNA. All wells were transfected with 50 ng </w:t>
      </w:r>
      <w:r w:rsidR="00EA7525">
        <w:rPr>
          <w:i/>
          <w:iCs/>
        </w:rPr>
        <w:t>Bgal</w:t>
      </w:r>
      <w:r>
        <w:rPr>
          <w:iCs/>
        </w:rPr>
        <w:t xml:space="preserve"> - </w:t>
      </w:r>
      <w:r w:rsidR="003E30DB" w:rsidRPr="003E30DB">
        <w:rPr>
          <w:iCs/>
        </w:rPr>
        <w:t>pSV-β-Galactosidase Control Vector</w:t>
      </w:r>
      <w:r w:rsidRPr="00BD4B99">
        <w:rPr>
          <w:iCs/>
        </w:rPr>
        <w:t xml:space="preserve"> </w:t>
      </w:r>
      <w:r>
        <w:rPr>
          <w:iCs/>
        </w:rPr>
        <w:t>(Promega)</w:t>
      </w:r>
      <w:r w:rsidR="004439CD">
        <w:rPr>
          <w:iCs/>
        </w:rPr>
        <w:t>,</w:t>
      </w:r>
      <w:r w:rsidR="5ECC47B9">
        <w:t xml:space="preserve"> for normalization. All constructs besides </w:t>
      </w:r>
      <w:r w:rsidR="004439CD">
        <w:t>the commercial pGl3 basic</w:t>
      </w:r>
      <w:r w:rsidR="5ECC47B9">
        <w:t xml:space="preserve"> and </w:t>
      </w:r>
      <w:r w:rsidR="004439CD">
        <w:rPr>
          <w:i/>
          <w:iCs/>
        </w:rPr>
        <w:t>Bgal</w:t>
      </w:r>
      <w:r w:rsidR="5ECC47B9">
        <w:t xml:space="preserve"> represent </w:t>
      </w:r>
      <w:r w:rsidR="5ECC47B9" w:rsidRPr="5ECC47B9">
        <w:rPr>
          <w:i/>
          <w:iCs/>
        </w:rPr>
        <w:t>Mus musculus</w:t>
      </w:r>
      <w:r w:rsidR="5ECC47B9">
        <w:t>.</w:t>
      </w:r>
    </w:p>
    <w:p w14:paraId="162992A5" w14:textId="1F8318EB" w:rsidR="53024C8F" w:rsidRDefault="5ECC47B9" w:rsidP="00FF0510">
      <w:pPr>
        <w:pStyle w:val="Heading3"/>
        <w:spacing w:line="360" w:lineRule="auto"/>
        <w:jc w:val="both"/>
      </w:pPr>
      <w:r>
        <w:t>Transfections</w:t>
      </w:r>
    </w:p>
    <w:p w14:paraId="607213D5" w14:textId="01ED0F9F" w:rsidR="53024C8F" w:rsidRDefault="5ECC47B9" w:rsidP="00FF0510">
      <w:pPr>
        <w:spacing w:line="360" w:lineRule="auto"/>
        <w:jc w:val="both"/>
      </w:pPr>
      <w:r>
        <w:t xml:space="preserve">Transfections were performed on Hepa 1-6 cells available from the European Collection of Authenticated Cell Cultures. The cells were held at 5% CO2 and 37° C and transfered to 96-well microplates 24 hours prior to transfections with 5 </w:t>
      </w:r>
      <w:r w:rsidR="00736813">
        <w:rPr>
          <w:rFonts w:ascii="Calibri" w:hAnsi="Calibri"/>
        </w:rPr>
        <w:t>×</w:t>
      </w:r>
      <w:r>
        <w:t xml:space="preserve"> 10</w:t>
      </w:r>
      <w:r w:rsidRPr="00736813">
        <w:rPr>
          <w:vertAlign w:val="superscript"/>
        </w:rPr>
        <w:t>6</w:t>
      </w:r>
      <w:r w:rsidR="00BD4B99">
        <w:t xml:space="preserve"> cells in DMEM and 10% FBS</w:t>
      </w:r>
      <w:r>
        <w:t>. For tran</w:t>
      </w:r>
      <w:r w:rsidR="00BD4B99">
        <w:t>sfections X-tremeGENE HP DNA (</w:t>
      </w:r>
      <w:r>
        <w:t>Roche</w:t>
      </w:r>
      <w:r w:rsidR="00BD4B99">
        <w:t>)</w:t>
      </w:r>
      <w:r>
        <w:t xml:space="preserve"> was used according to manufacturer's instructions. Total plasmid mass was equal to 200 ng per well, with each construct of interest at 50 ng and total mass added to 200 ng w</w:t>
      </w:r>
      <w:r w:rsidR="00BD4B99">
        <w:t>ith the</w:t>
      </w:r>
      <w:r w:rsidR="00EA7525">
        <w:t xml:space="preserve"> pGL3 basic vector.</w:t>
      </w:r>
      <w:r w:rsidR="004439CD">
        <w:t xml:space="preserve"> The negative control represents transfections with </w:t>
      </w:r>
      <w:r w:rsidR="004439CD" w:rsidRPr="00EA7525">
        <w:rPr>
          <w:i/>
        </w:rPr>
        <w:t>Bgal</w:t>
      </w:r>
      <w:r w:rsidR="004439CD">
        <w:t xml:space="preserve">, </w:t>
      </w:r>
      <w:r w:rsidR="004439CD" w:rsidRPr="00EA7525">
        <w:rPr>
          <w:i/>
        </w:rPr>
        <w:t>Bmal1 luc</w:t>
      </w:r>
      <w:r w:rsidR="00BD4B99">
        <w:t xml:space="preserve"> and</w:t>
      </w:r>
      <w:r w:rsidR="004439CD">
        <w:t xml:space="preserve"> pGL3 basic vector, a positive control of </w:t>
      </w:r>
      <w:r w:rsidR="004439CD" w:rsidRPr="004439CD">
        <w:rPr>
          <w:i/>
        </w:rPr>
        <w:t>Bgal</w:t>
      </w:r>
      <w:r w:rsidR="004439CD">
        <w:t xml:space="preserve">, </w:t>
      </w:r>
      <w:r w:rsidR="004439CD" w:rsidRPr="004439CD">
        <w:rPr>
          <w:i/>
        </w:rPr>
        <w:t>Bmal1 luc</w:t>
      </w:r>
      <w:r w:rsidR="004439CD">
        <w:t xml:space="preserve">, </w:t>
      </w:r>
      <w:r w:rsidR="004439CD" w:rsidRPr="004439CD">
        <w:rPr>
          <w:i/>
        </w:rPr>
        <w:t>Ppar</w:t>
      </w:r>
      <w:r w:rsidR="00E637D3">
        <w:rPr>
          <w:rFonts w:ascii="Calibri" w:hAnsi="Calibri"/>
          <w:i/>
        </w:rPr>
        <w:t>α</w:t>
      </w:r>
      <w:r w:rsidR="004439CD">
        <w:t xml:space="preserve"> and </w:t>
      </w:r>
      <w:r w:rsidR="004439CD" w:rsidRPr="004439CD">
        <w:rPr>
          <w:i/>
        </w:rPr>
        <w:t>Per2</w:t>
      </w:r>
      <w:r w:rsidR="00BD4B99">
        <w:t xml:space="preserve"> was used.</w:t>
      </w:r>
    </w:p>
    <w:p w14:paraId="429CBE02" w14:textId="3A398C80" w:rsidR="53024C8F" w:rsidRDefault="5ECC47B9" w:rsidP="00FF0510">
      <w:pPr>
        <w:pStyle w:val="Heading3"/>
        <w:spacing w:line="360" w:lineRule="auto"/>
        <w:jc w:val="both"/>
      </w:pPr>
      <w:r>
        <w:t>Luciferase assay and statistical analysis of results</w:t>
      </w:r>
    </w:p>
    <w:p w14:paraId="116DED17" w14:textId="46856DCA" w:rsidR="53024C8F" w:rsidRDefault="5074CF87" w:rsidP="00FF0510">
      <w:pPr>
        <w:spacing w:line="360" w:lineRule="auto"/>
        <w:jc w:val="both"/>
      </w:pPr>
      <w:r>
        <w:t>Cells were lys</w:t>
      </w:r>
      <w:r w:rsidR="00BD4B99">
        <w:t>ed using Passive Lysis Buffer</w:t>
      </w:r>
      <w:r>
        <w:t xml:space="preserve"> </w:t>
      </w:r>
      <w:r w:rsidR="00BD4B99">
        <w:t>(</w:t>
      </w:r>
      <w:r>
        <w:t>Promega</w:t>
      </w:r>
      <w:r w:rsidR="00BD4B99">
        <w:t>)</w:t>
      </w:r>
      <w:r>
        <w:t xml:space="preserve">. Luciferase assay was performed </w:t>
      </w:r>
      <w:r w:rsidR="00BD4B99">
        <w:t>using the ONE-Glo Luciferase (</w:t>
      </w:r>
      <w:r>
        <w:t>Promega</w:t>
      </w:r>
      <w:r w:rsidR="00BD4B99">
        <w:t>)</w:t>
      </w:r>
      <w:r>
        <w:t xml:space="preserve"> according to manufacturer's instructions and measurements </w:t>
      </w:r>
      <w:r w:rsidR="00BD4B99">
        <w:t>were performed on Synergy H4 (</w:t>
      </w:r>
      <w:r>
        <w:t>BioTek</w:t>
      </w:r>
      <w:r w:rsidR="00BD4B99">
        <w:t>)</w:t>
      </w:r>
      <w:r>
        <w:t xml:space="preserve">. Results were normalized using analysis of </w:t>
      </w:r>
      <w:r w:rsidRPr="5074CF87">
        <w:rPr>
          <w:rFonts w:ascii="Calibri" w:eastAsia="Calibri" w:hAnsi="Calibri" w:cs="Calibri"/>
        </w:rPr>
        <w:t>β</w:t>
      </w:r>
      <w:r>
        <w:t xml:space="preserve">-galactosidase activity and additional normalization to positive control using luciferase activity was performed for microplate comparisson. Analysis of variance was performed and results were </w:t>
      </w:r>
      <w:r w:rsidRPr="5074CF87">
        <w:rPr>
          <w:rFonts w:ascii="Calibri" w:eastAsia="Calibri" w:hAnsi="Calibri" w:cs="Calibri"/>
        </w:rPr>
        <w:t>logarithmized to achieve variance homogeneity.</w:t>
      </w:r>
    </w:p>
    <w:p w14:paraId="5F126AD0" w14:textId="4D15407C" w:rsidR="53024C8F" w:rsidRDefault="5ECC47B9" w:rsidP="00FF0510">
      <w:pPr>
        <w:pStyle w:val="Heading3"/>
        <w:spacing w:line="360" w:lineRule="auto"/>
        <w:jc w:val="both"/>
      </w:pPr>
      <w:r>
        <w:t>Co-immunoprecipitation (co-IP)</w:t>
      </w:r>
    </w:p>
    <w:p w14:paraId="447ED6B0" w14:textId="1F849D37" w:rsidR="53024C8F" w:rsidRDefault="003E30DB" w:rsidP="00FF0510">
      <w:pPr>
        <w:spacing w:line="360" w:lineRule="auto"/>
        <w:jc w:val="both"/>
      </w:pPr>
      <w:r>
        <w:t xml:space="preserve">HeLa cells were seeded on 6-well plates and co-transfected with </w:t>
      </w:r>
      <w:r w:rsidRPr="003E30DB">
        <w:rPr>
          <w:i/>
        </w:rPr>
        <w:t>Car-Flag</w:t>
      </w:r>
      <w:r>
        <w:t xml:space="preserve"> and V5-tagged </w:t>
      </w:r>
      <w:r w:rsidRPr="003E30DB">
        <w:rPr>
          <w:i/>
        </w:rPr>
        <w:t>Per2</w:t>
      </w:r>
      <w:r>
        <w:t xml:space="preserve"> using Lipofectamine</w:t>
      </w:r>
      <w:r w:rsidR="0089016A">
        <w:t xml:space="preserve"> </w:t>
      </w:r>
      <w:r>
        <w:t xml:space="preserve">2000 </w:t>
      </w:r>
      <w:r w:rsidR="00BD4B99">
        <w:t>(</w:t>
      </w:r>
      <w:r>
        <w:t>Thermo</w:t>
      </w:r>
      <w:r w:rsidR="0089016A">
        <w:t xml:space="preserve"> F</w:t>
      </w:r>
      <w:r>
        <w:t>isher Scientific</w:t>
      </w:r>
      <w:r w:rsidR="00BD4B99">
        <w:t>)</w:t>
      </w:r>
      <w:r>
        <w:t xml:space="preserve">. </w:t>
      </w:r>
      <w:r w:rsidR="0089016A">
        <w:t xml:space="preserve">Cells were harvested </w:t>
      </w:r>
      <w:r>
        <w:t>2 days after transfection</w:t>
      </w:r>
      <w:r w:rsidR="0089016A">
        <w:t xml:space="preserve"> using 200 microliters</w:t>
      </w:r>
      <w:r>
        <w:t xml:space="preserve"> of </w:t>
      </w:r>
      <w:r w:rsidR="0089016A">
        <w:t xml:space="preserve">the </w:t>
      </w:r>
      <w:r>
        <w:t>lysis buffer: 50</w:t>
      </w:r>
      <w:r w:rsidR="0089016A">
        <w:t xml:space="preserve"> </w:t>
      </w:r>
      <w:r>
        <w:t>mM Tris</w:t>
      </w:r>
      <w:r w:rsidR="0089016A">
        <w:t xml:space="preserve"> </w:t>
      </w:r>
      <w:r w:rsidR="0089016A">
        <w:rPr>
          <w:rFonts w:ascii="Wingdings" w:hAnsi="Wingdings"/>
        </w:rPr>
        <w:t></w:t>
      </w:r>
      <w:r>
        <w:t xml:space="preserve"> HCl </w:t>
      </w:r>
      <w:r w:rsidR="0089016A">
        <w:t xml:space="preserve">at </w:t>
      </w:r>
      <w:r>
        <w:t>pH</w:t>
      </w:r>
      <w:r w:rsidR="0089016A">
        <w:t xml:space="preserve"> </w:t>
      </w:r>
      <w:r>
        <w:t>7</w:t>
      </w:r>
      <w:r w:rsidR="0089016A">
        <w:t>.5,</w:t>
      </w:r>
      <w:r>
        <w:t xml:space="preserve"> 150</w:t>
      </w:r>
      <w:r w:rsidR="0089016A">
        <w:t xml:space="preserve"> </w:t>
      </w:r>
      <w:r>
        <w:t>mM NaCl</w:t>
      </w:r>
      <w:r w:rsidR="0089016A">
        <w:t>,</w:t>
      </w:r>
      <w:r>
        <w:t xml:space="preserve"> 0,5% (w/</w:t>
      </w:r>
      <w:r w:rsidR="0089016A">
        <w:t>v</w:t>
      </w:r>
      <w:r>
        <w:t>) NP</w:t>
      </w:r>
      <w:r w:rsidR="00BD4B99">
        <w:t xml:space="preserve">-40 and complemented with </w:t>
      </w:r>
      <w:r>
        <w:t>protease inhibitors</w:t>
      </w:r>
      <w:r w:rsidR="00BD4B99">
        <w:t xml:space="preserve"> (Roche)</w:t>
      </w:r>
      <w:r>
        <w:t>. Cell lysate was agitated for 10 min at 4°</w:t>
      </w:r>
      <w:r w:rsidR="0089016A">
        <w:t xml:space="preserve"> C and centrifuged at 14</w:t>
      </w:r>
      <w:r>
        <w:t>000</w:t>
      </w:r>
      <w:r w:rsidR="0089016A">
        <w:t xml:space="preserve"> </w:t>
      </w:r>
      <w:r>
        <w:t>g 20 min at 4°</w:t>
      </w:r>
      <w:r w:rsidR="0089016A">
        <w:t xml:space="preserve"> </w:t>
      </w:r>
      <w:r>
        <w:t xml:space="preserve">C. Supernatant was transferred to </w:t>
      </w:r>
      <w:r w:rsidR="0089016A">
        <w:t>a</w:t>
      </w:r>
      <w:r>
        <w:t xml:space="preserve"> tube containing F</w:t>
      </w:r>
      <w:r w:rsidR="0089016A">
        <w:t>LAG-coupled S</w:t>
      </w:r>
      <w:r>
        <w:t xml:space="preserve">epharose beads </w:t>
      </w:r>
      <w:r w:rsidR="00BD4B99">
        <w:t>(</w:t>
      </w:r>
      <w:r>
        <w:t>Sigma</w:t>
      </w:r>
      <w:r w:rsidR="0089016A">
        <w:t>-</w:t>
      </w:r>
      <w:r>
        <w:t>Aldrich</w:t>
      </w:r>
      <w:r w:rsidR="00BD4B99">
        <w:t>)</w:t>
      </w:r>
      <w:r>
        <w:t xml:space="preserve"> and rotated for 2</w:t>
      </w:r>
      <w:r w:rsidR="0089016A">
        <w:t xml:space="preserve"> </w:t>
      </w:r>
      <w:r>
        <w:t>h at 4°</w:t>
      </w:r>
      <w:r w:rsidR="0089016A">
        <w:t xml:space="preserve"> </w:t>
      </w:r>
      <w:r>
        <w:t>C. After the centrifugation at 10000</w:t>
      </w:r>
      <w:r w:rsidR="0089016A">
        <w:t xml:space="preserve"> </w:t>
      </w:r>
      <w:r>
        <w:t xml:space="preserve">g </w:t>
      </w:r>
      <w:r w:rsidR="0089016A">
        <w:t xml:space="preserve">for </w:t>
      </w:r>
      <w:r>
        <w:t>5</w:t>
      </w:r>
      <w:r w:rsidR="0089016A">
        <w:t xml:space="preserve"> </w:t>
      </w:r>
      <w:r>
        <w:t>min at 4°</w:t>
      </w:r>
      <w:r w:rsidR="0089016A">
        <w:t xml:space="preserve"> </w:t>
      </w:r>
      <w:r>
        <w:t xml:space="preserve">C </w:t>
      </w:r>
      <w:r w:rsidR="0089016A">
        <w:t xml:space="preserve">the </w:t>
      </w:r>
      <w:r>
        <w:t xml:space="preserve">supernatant was collected and stored as </w:t>
      </w:r>
      <w:r w:rsidR="0089016A">
        <w:t xml:space="preserve">a </w:t>
      </w:r>
      <w:r>
        <w:t xml:space="preserve">whole cell lysate sample. </w:t>
      </w:r>
      <w:r>
        <w:lastRenderedPageBreak/>
        <w:t>Sepharose was washed 3 times with additional 200</w:t>
      </w:r>
      <w:r w:rsidR="0089016A">
        <w:t xml:space="preserve"> microliters</w:t>
      </w:r>
      <w:r>
        <w:t xml:space="preserve"> of lysis buffer and </w:t>
      </w:r>
      <w:r w:rsidR="0089016A">
        <w:t xml:space="preserve">the </w:t>
      </w:r>
      <w:r>
        <w:t>f</w:t>
      </w:r>
      <w:r w:rsidR="0089016A">
        <w:t xml:space="preserve">irst wash-out was collected as </w:t>
      </w:r>
      <w:r>
        <w:t>wash out sample. 50</w:t>
      </w:r>
      <w:r w:rsidR="0089016A">
        <w:t xml:space="preserve"> microliters</w:t>
      </w:r>
      <w:r>
        <w:t xml:space="preserve"> of L</w:t>
      </w:r>
      <w:r w:rsidR="0089016A">
        <w:t>ae</w:t>
      </w:r>
      <w:r>
        <w:t>m</w:t>
      </w:r>
      <w:r w:rsidR="0089016A">
        <w:t>m</w:t>
      </w:r>
      <w:r>
        <w:t>li buffer was added to the Sepharose</w:t>
      </w:r>
      <w:r w:rsidR="0089016A">
        <w:t>, followed by heating</w:t>
      </w:r>
      <w:r>
        <w:t xml:space="preserve"> for 10</w:t>
      </w:r>
      <w:r w:rsidR="0089016A">
        <w:t xml:space="preserve"> </w:t>
      </w:r>
      <w:r>
        <w:t>min at 70°</w:t>
      </w:r>
      <w:r w:rsidR="0089016A">
        <w:t xml:space="preserve"> </w:t>
      </w:r>
      <w:r>
        <w:t>C and again for 2</w:t>
      </w:r>
      <w:r w:rsidR="0089016A">
        <w:t xml:space="preserve"> </w:t>
      </w:r>
      <w:r>
        <w:t>min at 95°</w:t>
      </w:r>
      <w:r w:rsidR="0089016A">
        <w:t xml:space="preserve"> </w:t>
      </w:r>
      <w:r>
        <w:t>C. Western blot was perf</w:t>
      </w:r>
      <w:r w:rsidR="0089016A">
        <w:t xml:space="preserve">omed with 3 different samples: </w:t>
      </w:r>
      <w:r>
        <w:t>whole cell lysate, wash out and immunoprecipitate (IP) in two paral</w:t>
      </w:r>
      <w:r w:rsidR="0089016A">
        <w:t>l</w:t>
      </w:r>
      <w:r>
        <w:t>el conditions</w:t>
      </w:r>
      <w:r w:rsidR="000D6F76">
        <w:t>,</w:t>
      </w:r>
      <w:r>
        <w:t xml:space="preserve"> one with </w:t>
      </w:r>
      <w:r w:rsidR="000D6F76">
        <w:t>a</w:t>
      </w:r>
      <w:r>
        <w:t>nti</w:t>
      </w:r>
      <w:r w:rsidR="000D6F76">
        <w:t>-FLAG</w:t>
      </w:r>
      <w:r>
        <w:t xml:space="preserve"> Ab</w:t>
      </w:r>
      <w:r w:rsidR="00BD4B99">
        <w:t xml:space="preserve"> A8592</w:t>
      </w:r>
      <w:r w:rsidR="000D6F76">
        <w:t xml:space="preserve"> (</w:t>
      </w:r>
      <w:r w:rsidR="00BD4B99">
        <w:t>Sigma-Aldrich</w:t>
      </w:r>
      <w:r>
        <w:t xml:space="preserve">) and the other with </w:t>
      </w:r>
      <w:r w:rsidR="000D6F76">
        <w:t>anti-V5</w:t>
      </w:r>
      <w:r>
        <w:t xml:space="preserve"> Ab</w:t>
      </w:r>
      <w:r w:rsidR="00BD4B99">
        <w:t xml:space="preserve"> V8137</w:t>
      </w:r>
      <w:r w:rsidR="000D6F76">
        <w:t xml:space="preserve"> (</w:t>
      </w:r>
      <w:r w:rsidR="00BD4B99">
        <w:t>Sigma-Aldrich</w:t>
      </w:r>
      <w:r>
        <w:t>).</w:t>
      </w:r>
    </w:p>
    <w:p w14:paraId="53175E5B" w14:textId="57901944" w:rsidR="53024C8F" w:rsidRDefault="5ECC47B9" w:rsidP="00FF0510">
      <w:pPr>
        <w:pStyle w:val="Heading2"/>
        <w:spacing w:line="360" w:lineRule="auto"/>
        <w:jc w:val="both"/>
      </w:pPr>
      <w:r>
        <w:t>Discussion</w:t>
      </w:r>
    </w:p>
    <w:p w14:paraId="200F8AF9" w14:textId="25FEDFEC" w:rsidR="001E432F" w:rsidRDefault="5ECC47B9" w:rsidP="00FF0510">
      <w:pPr>
        <w:spacing w:line="360" w:lineRule="auto"/>
        <w:jc w:val="both"/>
      </w:pPr>
      <w:r>
        <w:t xml:space="preserve">The comparable transactivation of </w:t>
      </w:r>
      <w:r w:rsidRPr="1C820409">
        <w:rPr>
          <w:i/>
          <w:iCs/>
        </w:rPr>
        <w:t>Bmal1</w:t>
      </w:r>
      <w:r>
        <w:t xml:space="preserve"> after co-transfections with </w:t>
      </w:r>
      <w:r w:rsidRPr="1C820409">
        <w:rPr>
          <w:i/>
          <w:iCs/>
        </w:rPr>
        <w:t>Car</w:t>
      </w:r>
      <w:r>
        <w:t>/</w:t>
      </w:r>
      <w:r w:rsidRPr="1C820409">
        <w:rPr>
          <w:i/>
          <w:iCs/>
        </w:rPr>
        <w:t>Per2</w:t>
      </w:r>
      <w:r>
        <w:t xml:space="preserve"> </w:t>
      </w:r>
      <w:r w:rsidR="001962D1">
        <w:t>or</w:t>
      </w:r>
      <w:r>
        <w:t xml:space="preserve"> </w:t>
      </w:r>
      <w:r w:rsidR="00366BF4" w:rsidRPr="1C820409">
        <w:rPr>
          <w:i/>
          <w:iCs/>
        </w:rPr>
        <w:t>Ppar</w:t>
      </w:r>
      <w:r w:rsidR="00366BF4" w:rsidRPr="1C820409">
        <w:rPr>
          <w:rFonts w:ascii="Calibri" w:eastAsia="Calibri" w:hAnsi="Calibri" w:cs="Calibri"/>
          <w:i/>
          <w:iCs/>
        </w:rPr>
        <w:t>α</w:t>
      </w:r>
      <w:r>
        <w:t>/</w:t>
      </w:r>
      <w:r w:rsidRPr="1C820409">
        <w:rPr>
          <w:i/>
          <w:iCs/>
        </w:rPr>
        <w:t>Per2</w:t>
      </w:r>
      <w:r>
        <w:t xml:space="preserve"> might suggest a similar mechanism of transcriptional activation of </w:t>
      </w:r>
      <w:r w:rsidRPr="1C820409">
        <w:rPr>
          <w:i/>
          <w:iCs/>
        </w:rPr>
        <w:t>Bmal1</w:t>
      </w:r>
      <w:r>
        <w:t>. If this is the case, and since we know that ChIP experiments reveal binding of PER2 and PPAR</w:t>
      </w:r>
      <w:r w:rsidR="00F76F57" w:rsidRPr="1C820409">
        <w:rPr>
          <w:rFonts w:ascii="Calibri" w:eastAsia="Calibri" w:hAnsi="Calibri" w:cs="Calibri"/>
        </w:rPr>
        <w:t>α</w:t>
      </w:r>
      <w:r>
        <w:t xml:space="preserve"> at regulatory regions of </w:t>
      </w:r>
      <w:r w:rsidRPr="1C820409">
        <w:rPr>
          <w:i/>
          <w:iCs/>
        </w:rPr>
        <w:t>Bmal1</w:t>
      </w:r>
      <w:r>
        <w:t>,</w:t>
      </w:r>
      <w:r w:rsidR="00B00E5E">
        <w:fldChar w:fldCharType="begin" w:fldLock="1"/>
      </w:r>
      <w:r w:rsidR="00D64793">
        <w:instrText>ADDIN CSL_CITATION { "citationItems" : [ { "id" : "ITEM-1", "itemData" : { "DOI" : "10.1101/gad.564110", "ISSN" : "1549-5477", "PMID" : "20159955", "abstract" : "Mammalian circadian clocks provide a temporal framework to synchronize biological functions. To obtain robust rhythms with a periodicity of about a day, these clocks use molecular oscillators consisting of two interlocked feedback loops. The core loop generates rhythms by transcriptional repression via the Period (PER) and Cryptochrome (CRY) proteins, whereas the stabilizing loop establishes roughly antiphasic rhythms via nuclear receptors. Nuclear receptors also govern many pathways that affect metabolism and physiology. Here we show that the core loop component PER2 can coordinate circadian output with the circadian oscillator. PER2 interacts with nuclear receptors including PPARalpha and REV-ERBalpha and serves as a coregulator of nuclear receptor-mediated transcription. Consequently, PER2 is rhythmically bound at the promoters of nuclear receptor target genes in vivo. In this way, the circadian oscillator can modulate the expression of nuclear receptor target genes like Bmal1, Hnf1alpha, and Glucose-6-phosphatase. The concept that PER2 may propagate clock information to metabolic pathways via nuclear receptors adds an important facet to the clock-dependent regulation of biological networks.", "author" : [ { "dropping-particle" : "", "family" : "Schmutz", "given" : "Isabelle", "non-dropping-particle" : "", "parse-names" : false, "suffix" : "" }, { "dropping-particle" : "", "family" : "Ripperger", "given" : "J\u00fcrgen A", "non-dropping-particle" : "", "parse-names" : false, "suffix" : "" }, { "dropping-particle" : "", "family" : "Baeriswyl-Aebischer", "given" : "St\u00e9phanie", "non-dropping-particle" : "", "parse-names" : false, "suffix" : "" }, { "dropping-particle" : "", "family" : "Albrecht", "given" : "Urs", "non-dropping-particle" : "", "parse-names" : false, "suffix" : "" } ], "container-title" : "Genes &amp; development", "id" : "ITEM-1", "issue" : "4", "issued" : { "date-parts" : [ [ "2010", "2", "15" ] ] }, "page" : "345-57", "title" : "The mammalian clock component PERIOD2 coordinates circadian output by interaction with nuclear receptors.", "type" : "article-journal", "volume" : "24" }, "uris" : [ "http://www.mendeley.com/documents/?uuid=4f7df27b-e214-4f35-99af-9ed969f53091" ] } ], "mendeley" : { "formattedCitation" : "&lt;sup&gt;1&lt;/sup&gt;", "plainTextFormattedCitation" : "1", "previouslyFormattedCitation" : "&lt;sup&gt;1&lt;/sup&gt;" }, "properties" : { "noteIndex" : 0 }, "schema" : "https://github.com/citation-style-language/schema/raw/master/csl-citation.json" }</w:instrText>
      </w:r>
      <w:r w:rsidR="00B00E5E">
        <w:fldChar w:fldCharType="separate"/>
      </w:r>
      <w:r w:rsidR="00B00E5E" w:rsidRPr="00B00E5E">
        <w:rPr>
          <w:noProof/>
          <w:vertAlign w:val="superscript"/>
        </w:rPr>
        <w:t>1</w:t>
      </w:r>
      <w:r w:rsidR="00B00E5E">
        <w:fldChar w:fldCharType="end"/>
      </w:r>
      <w:r>
        <w:t xml:space="preserve"> this could further support our proposal that PER2 c</w:t>
      </w:r>
      <w:r w:rsidR="00EA4DA7">
        <w:t>ould potentially</w:t>
      </w:r>
      <w:r>
        <w:t xml:space="preserve"> act as CAR's co-activator and that the pair can form, alone or with other partners, transactivation complexes. This is </w:t>
      </w:r>
      <w:r w:rsidR="00507961">
        <w:t>also</w:t>
      </w:r>
      <w:r>
        <w:t xml:space="preserve"> supported by finding CAR binding sites at </w:t>
      </w:r>
      <w:r w:rsidRPr="1C820409">
        <w:rPr>
          <w:i/>
          <w:iCs/>
        </w:rPr>
        <w:t>Bmal1</w:t>
      </w:r>
      <w:r>
        <w:t xml:space="preserve"> promotor.</w:t>
      </w:r>
      <w:r w:rsidR="00EA4DA7">
        <w:t xml:space="preserve"> The discovery is interesting as both proteins are</w:t>
      </w:r>
      <w:r w:rsidR="00DE2E7A">
        <w:t xml:space="preserve"> important for cell</w:t>
      </w:r>
      <w:r w:rsidR="004A4381">
        <w:t xml:space="preserve"> homeostasis.</w:t>
      </w:r>
    </w:p>
    <w:p w14:paraId="4C3ED9B2" w14:textId="208E64AE" w:rsidR="1C820409" w:rsidRDefault="1C820409" w:rsidP="00FF0510">
      <w:pPr>
        <w:spacing w:line="360" w:lineRule="auto"/>
        <w:jc w:val="both"/>
      </w:pPr>
      <w:r w:rsidRPr="1C820409">
        <w:rPr>
          <w:rFonts w:ascii="Calibri" w:eastAsia="Calibri" w:hAnsi="Calibri" w:cs="Calibri"/>
        </w:rPr>
        <w:t>Since some of our predictions were based on homology, it is worth noting that according to Savkur and Burris the amino acid at -1 of their class 3 LXXLL motifs should be an unpolar amino acid.</w:t>
      </w:r>
      <w:r w:rsidR="00507961">
        <w:rPr>
          <w:rFonts w:ascii="Calibri" w:eastAsia="Calibri" w:hAnsi="Calibri" w:cs="Calibri"/>
        </w:rPr>
        <w:fldChar w:fldCharType="begin" w:fldLock="1"/>
      </w:r>
      <w:r w:rsidR="00507961">
        <w:rPr>
          <w:rFonts w:ascii="Calibri" w:eastAsia="Calibri" w:hAnsi="Calibri" w:cs="Calibri"/>
        </w:rPr>
        <w:instrText>ADDIN CSL_CITATION { "citationItems" : [ { "id" : "ITEM-1", "itemData" : { "DOI" : "10.1111/j.1399-3011.2004.00126.x", "ISSN" : "1397-002X", "PMID" : "15049832", "abstract" : "Nuclear receptors require coactivator binding in order to activate transcription of their cognate target genes. Ligands regulate nuclear receptor (NR)-mediated recruitment of coactivators by binding to the ligand-binding domain of the receptor and inducing a conformational change allowing for recognition of a specific motif contained within the coactivator protein. This motif is known as the NR box or LXXLL (where L is leucine and X is any amino acid) domain. Here, we review the discovery of the domain as well as its characterization.", "author" : [ { "dropping-particle" : "", "family" : "Savkur", "given" : "R S", "non-dropping-particle" : "", "parse-names" : false, "suffix" : "" }, { "dropping-particle" : "", "family" : "Burris", "given" : "T P", "non-dropping-particle" : "", "parse-names" : false, "suffix" : "" } ], "container-title" : "The journal of peptide research : official journal of the American Peptide Society", "id" : "ITEM-1", "issue" : "3", "issued" : { "date-parts" : [ [ "2004", "3" ] ] }, "page" : "207-12", "title" : "The coactivator LXXLL nuclear receptor recognition motif.", "type" : "article-journal", "volume" : "63" }, "uris" : [ "http://www.mendeley.com/documents/?uuid=d639121f-0ace-41d8-a8e3-c840b99370ca" ] } ], "mendeley" : { "formattedCitation" : "&lt;sup&gt;9&lt;/sup&gt;", "plainTextFormattedCitation" : "9", "previouslyFormattedCitation" : "&lt;sup&gt;9&lt;/sup&gt;" }, "properties" : { "noteIndex" : 0 }, "schema" : "https://github.com/citation-style-language/schema/raw/master/csl-citation.json" }</w:instrText>
      </w:r>
      <w:r w:rsidR="00507961">
        <w:rPr>
          <w:rFonts w:ascii="Calibri" w:eastAsia="Calibri" w:hAnsi="Calibri" w:cs="Calibri"/>
        </w:rPr>
        <w:fldChar w:fldCharType="separate"/>
      </w:r>
      <w:r w:rsidR="00507961" w:rsidRPr="00507961">
        <w:rPr>
          <w:rFonts w:ascii="Calibri" w:eastAsia="Calibri" w:hAnsi="Calibri" w:cs="Calibri"/>
          <w:noProof/>
          <w:vertAlign w:val="superscript"/>
        </w:rPr>
        <w:t>9</w:t>
      </w:r>
      <w:r w:rsidR="00507961">
        <w:rPr>
          <w:rFonts w:ascii="Calibri" w:eastAsia="Calibri" w:hAnsi="Calibri" w:cs="Calibri"/>
        </w:rPr>
        <w:fldChar w:fldCharType="end"/>
      </w:r>
      <w:r w:rsidRPr="1C820409">
        <w:rPr>
          <w:rFonts w:ascii="Calibri" w:eastAsia="Calibri" w:hAnsi="Calibri" w:cs="Calibri"/>
        </w:rPr>
        <w:t xml:space="preserve"> However, since human and mouse 2nd PER2 LXXLL have G or D at -1, with high conservation of the rest of the sequence, motifs that do not follow this strict consensus of an unpolar -1 residue are shown </w:t>
      </w:r>
      <w:r w:rsidR="00507961">
        <w:rPr>
          <w:rFonts w:ascii="Calibri" w:eastAsia="Calibri" w:hAnsi="Calibri" w:cs="Calibri"/>
        </w:rPr>
        <w:t>in</w:t>
      </w:r>
      <w:r w:rsidRPr="1C820409">
        <w:rPr>
          <w:rFonts w:ascii="Calibri" w:eastAsia="Calibri" w:hAnsi="Calibri" w:cs="Calibri"/>
        </w:rPr>
        <w:t xml:space="preserve"> our alignment.</w:t>
      </w:r>
      <w:r w:rsidR="00507961">
        <w:rPr>
          <w:rFonts w:ascii="Calibri" w:eastAsia="Calibri" w:hAnsi="Calibri" w:cs="Calibri"/>
        </w:rPr>
        <w:fldChar w:fldCharType="begin" w:fldLock="1"/>
      </w:r>
      <w:r w:rsidR="00507961">
        <w:rPr>
          <w:rFonts w:ascii="Calibri" w:eastAsia="Calibri" w:hAnsi="Calibri" w:cs="Calibri"/>
        </w:rPr>
        <w:instrText>ADDIN CSL_CITATION { "citationItems" : [ { "id" : "ITEM-1", "itemData" : { "DOI" : "10.1093/nar/gku989", "ISBN" : "13624962 (Electronic)", "ISSN" : "13624962", "PMID" : "25348405", "abstract" : "UniProt is an important collection of protein sequences and their annotations, which has doubled in size to 80 million sequences during the past year. This growth in sequences has prompted an extension of UniProt accession number space from 6 to 10 characters. An increasing fraction of new sequences are identical to a sequence that already exists in the database with the majority of sequences coming from genome sequencing projects. We have created a new proteome identifier that uniquely identifies a particular assembly of a species and strain or subspecies to help users track the provenance of sequences. We present a new website that has been designed using a user-experience design process. We have introduced an annotation score for all entries in UniProt to represent the relative amount of knowledge known about each protein. These scores will be helpful in identifying which proteins are the best characterized and most informative for comparative analysis. All UniProt data is provided freely and is available on the web at http://www.uniprot.org/.", "author" : [ { "dropping-particle" : "", "family" : "Bateman", "given" : "Alex", "non-dropping-particle" : "", "parse-names" : false, "suffix" : "" }, { "dropping-particle" : "", "family" : "Martin", "given" : "Maria Jesus", "non-dropping-particle" : "", "parse-names" : false, "suffix" : "" }, { "dropping-particle" : "", "family" : "O'Donovan", "given" : "Claire", "non-dropping-particle" : "", "parse-names" : false, "suffix" : "" }, { "dropping-particle" : "", "family" : "Magrane", "given" : "Michele", "non-dropping-particle" : "", "parse-names" : false, "suffix" : "" }, { "dropping-particle" : "", "family" : "Apweiler", "given" : "Rolf", "non-dropping-particle" : "", "parse-names" : false, "suffix" : "" }, { "dropping-particle" : "", "family" : "Alpi", "given" : "Emanuele", "non-dropping-particle" : "", "parse-names" : false, "suffix" : "" }, { "dropping-particle" : "", "family" : "Antunes", "given" : "Ricardo", "non-dropping-particle" : "", "parse-names" : false, "suffix" : "" }, { "dropping-particle" : "", "family" : "Arganiska", "given" : "Joanna", "non-dropping-particle" : "", "parse-names" : false, "suffix" : "" }, { "dropping-particle" : "", "family" : "Bely", "given" : "Benoit", "non-dropping-particle" : "", "parse-names" : false, "suffix" : "" }, { "dropping-particle" : "", "family" : "Bingley", "given" : "Mark", "non-dropping-particle" : "", "parse-names" : false, "suffix" : "" }, { "dropping-particle" : "", "family" : "Bonilla", "given" : "Carlos", "non-dropping-particle" : "", "parse-names" : false, "suffix" : "" }, { "dropping-particle" : "", "family" : "Britto", "given" : "Ramona", "non-dropping-particle" : "", "parse-names" : false, "suffix" : "" }, { "dropping-particle" : "", "family" : "Bursteinas", "given" : "Borisas", "non-dropping-particle" : "", "parse-names" : false, "suffix" : "" }, { "dropping-particle" : "", "family" : "Chavali", "given" : "Gayatri", "non-dropping-particle" : "", "parse-names" : false, "suffix" : "" }, { "dropping-particle" : "", "family" : "Cibrian-Uhalte", "given" : "Elena", "non-dropping-particle" : "", "parse-names" : false, "suffix" : "" }, { "dropping-particle" : "", "family" : "Silva", "given" : "Alan", "non-dropping-particle" : "Da", "parse-names" : false, "suffix" : "" }, { "dropping-particle" : "", "family" : "Giorgi", "given" : "Maurizio", "non-dropping-particle" : "De", "parse-names" : false, "suffix" : "" }, { "dropping-particle" : "", "family" : "Dogan", "given" : "Tunca", "non-dropping-particle" : "", "parse-names" : false, "suffix" : "" }, { "dropping-particle" : "", "family" : "Fazzini", "given" : "Francesco", "non-dropping-particle" : "", "parse-names" : false, "suffix" : "" }, { "dropping-particle" : "", "family" : "Gane", "given" : "Paul", "non-dropping-particle" : "", "parse-names" : false, "suffix" : "" }, { "dropping-particle" : "", "family" : "Castro", "given" : "Leyla Garcia", "non-dropping-particle" : "", "parse-names" : false, "suffix" : "" }, { "dropping-particle" : "", "family" : "Garmiri", "given" : "Penelope", "non-dropping-particle" : "", "parse-names" : false, "suffix" : "" }, { "dropping-particle" : "", "family" : "Hatton-Ellis", "given" : "Emma", "non-dropping-particle" : "", "parse-names" : false, "suffix" : "" }, { "dropping-particle" : "", "family" : "Hieta", "given" : "Reija", "non-dropping-particle" : "", "parse-names" : false, "suffix" : "" }, { "dropping-particle" : "", "family" : "Huntley", "given" : "Rachael", "non-dropping-particle" : "", "parse-names" : false, "suffix" : "" }, { "dropping-particle" : "", "family" : "Legge", "given" : "Duncan", "non-dropping-particle" : "", "parse-names" : false, "suffix" : "" }, { "dropping-particle" : "", "family" : "Liu", "given" : "Wudong", "non-dropping-particle" : "", "parse-names" : false, "suffix" : "" }, { "dropping-particle" : "", "family" : "Luo", "given" : "Jie", "non-dropping-particle" : "", "parse-names" : false, "suffix" : "" }, { "dropping-particle" : "", "family" : "Macdougall", "given" : "Alistair", "non-dropping-particle" : "", "parse-names" : false, "suffix" : "" }, { "dropping-particle" : "", "family" : "Mutowo", "given" : "Prudence", "non-dropping-particle" : "", "parse-names" : false, "suffix" : "" }, { "dropping-particle" : "", "family" : "Nightingale", "given" : "Andrew", "non-dropping-particle" : "", "parse-names" : false, "suffix" : "" }, { "dropping-particle" : "", "family" : "Orchard", "given" : "Sandra", "non-dropping-particle" : "", "parse-names" : false, "suffix" : "" }, { "dropping-particle" : "", "family" : "Pichler", "given" : "Klemens", "non-dropping-particle" : "", "parse-names" : false, "suffix" : "" }, { "dropping-particle" : "", "family" : "Poggioli", "given" : "Diego", "non-dropping-particle" : "", "parse-names" : false, "suffix" : "" }, { "dropping-particle" : "", "family" : "Pundir", "given" : "Sangya", "non-dropping-particle" : "", "parse-names" : false, "suffix" : "" }, { "dropping-particle" : "", "family" : "Pureza", "given" : "Luis", "non-dropping-particle" : "", "parse-names" : false, "suffix" : "" }, { "dropping-particle" : "", "family" : "Qi", "given" : "Guoying", "non-dropping-particle" : "", "parse-names" : false, "suffix" : "" }, { "dropping-particle" : "", "family" : "Rosanoff", "given" : "Steven", "non-dropping-particle" : "", "parse-names" : false, "suffix" : "" }, { "dropping-particle" : "", "family" : "Saidi", "given" : "Rabie", "non-dropping-particle" : "", "parse-names" : false, "suffix" : "" }, { "dropping-particle" : "", "family" : "Sawford", "given" : "Tony", "non-dropping-particle" : "", "parse-names" : false, "suffix" : "" }, { "dropping-particle" : "", "family" : "Shypitsyna", "given" : "Aleksandra", "non-dropping-particle" : "", "parse-names" : false, "suffix" : "" }, { "dropping-particle" : "", "family" : "Turner", "given" : "Edward", "non-dropping-particle" : "", "parse-names" : false, "suffix" : "" }, { "dropping-particle" : "", "family" : "Volynkin", "given" : "Vladimir", "non-dropping-particle" : "", "parse-names" : false, "suffix" : "" }, { "dropping-particle" : "", "family" : "Wardell", "given" : "Tony", "non-dropping-particle" : "", "parse-names" : false, "suffix" : "" }, { "dropping-particle" : "", "family" : "Watkins", "given" : "Xavier", "non-dropping-particle" : "", "parse-names" : false, "suffix" : "" }, { "dropping-particle" : "", "family" : "Zellner", "given" : "Hermann", "non-dropping-particle" : "", "parse-names" : false, "suffix" : "" }, { "dropping-particle" : "", "family" : "Cowley", "given" : "Andrew", "non-dropping-particle" : "", "parse-names" : false, "suffix" : "" }, { "dropping-particle" : "", "family" : "Figueira", "given" : "Luis", "non-dropping-particle" : "", "parse-names" : false, "suffix" : "" }, { "dropping-particle" : "", "family" : "Li", "given" : "Weizhong", "non-dropping-particle" : "", "parse-names" : false, "suffix" : "" }, { "dropping-particle" : "", "family" : "McWilliam", "given" : "Hamish", "non-dropping-particle" : "", "parse-names" : false, "suffix" : "" }, { "dropping-particle" : "", "family" : "Lopez", "given" : "Rodrigo", "non-dropping-particle" : "", "parse-names" : false, "suffix" : "" }, { "dropping-particle" : "", "family" : "Xenarios", "given" : "Ioannis", "non-dropping-particle" : "", "parse-names" : false, "suffix" : "" }, { "dropping-particle" : "", "family" : "Bougueleret", "given" : "Lydie", "non-dropping-particle" : "", "parse-names" : false, "suffix" : "" }, { "dropping-particle" : "", "family" : "Bridge", "given" : "Alan", "non-dropping-particle" : "", "parse-names" : false, "suffix" : "" }, { "dropping-particle" : "", "family" : "Poux", "given" : "Sylvain", "non-dropping-particle" : "", "parse-names" : false, "suffix" : "" }, { "dropping-particle" : "", "family" : "Redaschi", "given" : "Nicole", "non-dropping-particle" : "", "parse-names" : false, "suffix" : "" }, { "dropping-particle" : "", "family" : "Aimo", "given" : "Lucila", "non-dropping-particle" : "", "parse-names" : false, "suffix" : "" }, { "dropping-particle" : "", "family" : "Argoud-Puy", "given" : "Ghislaine", "non-dropping-particle" : "", "parse-names" : false, "suffix" : "" }, { "dropping-particle" : "", "family" : "Auchincloss", "given" : "Andrea", "non-dropping-particle" : "", "parse-names" : false, "suffix" : "" }, { "dropping-particle" : "", "family" : "Axelsen", "given" : "Kristian", "non-dropping-particle" : "", "parse-names" : false, "suffix" : "" }, { "dropping-particle" : "", "family" : "Bansal", "given" : "Parit", "non-dropping-particle" : "", "parse-names" : false, "suffix" : "" }, { "dropping-particle" : "", "family" : "Baratin", "given" : "Delphine", "non-dropping-particle" : "", "parse-names" : false, "suffix" : "" }, { "dropping-particle" : "", "family" : "Blatter", "given" : "Marie Claude", "non-dropping-particle" : "", "parse-names" : false, "suffix" : "" }, { "dropping-particle" : "", "family" : "Boeckmann", "given" : "Brigitte", "non-dropping-particle" : "", "parse-names" : false, "suffix" : "" }, { "dropping-particle" : "", "family" : "Bolleman", "given" : "Jerven", "non-dropping-particle" : "", "parse-names" : false, "suffix" : "" }, { "dropping-particle" : "", "family" : "Boutet", "given" : "Emmanuel", "non-dropping-particle" : "", "parse-names" : false, "suffix" : "" }, { "dropping-particle" : "", "family" : "Breuza", "given" : "Lionel", "non-dropping-particle" : "", "parse-names" : false, "suffix" : "" }, { "dropping-particle" : "", "family" : "Casal-Casas", "given" : "Cristina", "non-dropping-particle" : "", "parse-names" : false, "suffix" : "" }, { "dropping-particle" : "", "family" : "Castro", "given" : "Edouard", "non-dropping-particle" : "De", "parse-names" : false, "suffix" : "" }, { "dropping-particle" : "", "family" : "Coudert", "given" : "Elisabeth", "non-dropping-particle" : "", "parse-names" : false, "suffix" : "" }, { "dropping-particle" : "", "family" : "Cuche", "given" : "Beatrice", "non-dropping-particle" : "", "parse-names" : false, "suffix" : "" }, { "dropping-particle" : "", "family" : "Doche", "given" : "Mikael", "non-dropping-particle" : "", "parse-names" : false, "suffix" : "" }, { "dropping-particle" : "", "family" : "Dornevil", "given" : "Dolnide", "non-dropping-particle" : "", "parse-names" : false, "suffix" : "" }, { "dropping-particle" : "", "family" : "Duvaud", "given" : "Severine", "non-dropping-particle" : "", "parse-names" : false, "suffix" : "" }, { "dropping-particle" : "", "family" : "Estreicher", "given" : "Anne", "non-dropping-particle" : "", "parse-names" : false, "suffix" : "" }, { "dropping-particle" : "", "family" : "Famiglietti", "given" : "Livia", "non-dropping-particle" : "", "parse-names" : false, "suffix" : "" }, { "dropping-particle" : "", "family" : "Feuermann", "given" : "Marc", "non-dropping-particle" : "", "parse-names" : false, "suffix" : "" }, { "dropping-particle" : "", "family" : "Gasteiger", "given" : "Elisabeth", "non-dropping-particle" : "", "parse-names" : false, "suffix" : "" }, { "dropping-particle" : "", "family" : "Gehant", "given" : "Sebastien", "non-dropping-particle" : "", "parse-names" : false, "suffix" : "" }, { "dropping-particle" : "", "family" : "Gerritsen", "given" : "Vivienne", "non-dropping-particle" : "", "parse-names" : false, "suffix" : "" }, { "dropping-particle" : "", "family" : "Gos", "given" : "Arnaud", "non-dropping-particle" : "", "parse-names" : false, "suffix" : "" }, { "dropping-particle" : "", "family" : "Gruaz-Gumowski", "given" : "Nadine", "non-dropping-particle" : "", "parse-names" : false, "suffix" : "" }, { "dropping-particle" : "", "family" : "Hinz", "given" : "Ursula", "non-dropping-particle" : "", "parse-names" : false, "suffix" : "" }, { "dropping-particle" : "", "family" : "Hulo", "given" : "Chantal", "non-dropping-particle" : "", "parse-names" : false, "suffix" : "" }, { "dropping-particle" : "", "family" : "Jungo", "given" : "Florence", "non-dropping-particle" : "", "parse-names" : false, "suffix" : "" }, { "dropping-particle" : "", "family" : "Keller", "given" : "Guillaume", "non-dropping-particle" : "", "parse-names" : false, "suffix" : "" }, { "dropping-particle" : "", "family" : "Lara", "given" : "Vicente", "non-dropping-particle" : "", "parse-names" : false, "suffix" : "" }, { "dropping-particle" : "", "family" : "Lemercier", "given" : "Philippe", "non-dropping-particle" : "", "parse-names" : false, "suffix" : "" }, { "dropping-particle" : "", "family" : "Lieberherr", "given" : "Damien", "non-dropping-particle" : "", "parse-names" : false, "suffix" : "" }, { "dropping-particle" : "", "family" : "Lombardot", "given" : "Thierry", "non-dropping-particle" : "", "parse-names" : false, "suffix" : "" }, { "dropping-particle" : "", "family" : "Martin", "given" : "Xavier", "non-dropping-particle" : "", "parse-names" : false, "suffix" : "" }, { "dropping-particle" : "", "family" : "Masson", "given" : "Patrick", "non-dropping-particle" : "", "parse-names" : false, "suffix" : "" }, { "dropping-particle" : "", "family" : "Morgat", "given" : "Anne", "non-dropping-particle" : "", "parse-names" : false, "suffix" : "" }, { "dropping-particle" : "", "family" : "Neto", "given" : "Teresa", "non-dropping-particle" : "", "parse-names" : false, "suffix" : "" }, { "dropping-particle" : "", "family" : "Nouspikel", "given" : "Nevila", "non-dropping-particle" : "", "parse-names" : false, "suffix" : "" }, { "dropping-particle" : "", "family" : "Paesano", "given" : "Salvo", "non-dropping-particle" : "", "parse-names" : false, "suffix" : "" }, { "dropping-particle" : "", "family" : "Pedruzzi", "given" : "Ivo", "non-dropping-particle" : "", "parse-names" : false, "suffix" : "" }, { "dropping-particle" : "", "family" : "Pilbout", "given" : "Sandrine", "non-dropping-particle" : "", "parse-names" : false, "suffix" : "" }, { "dropping-particle" : "", "family" : "Pozzato", "given" : "Monica", "non-dropping-particle" : "", "parse-names" : false, "suffix" : "" }, { "dropping-particle" : "", "family" : "Pruess", "given" : "Manuela", "non-dropping-particle" : "", "parse-names" : false, "suffix" : "" }, { "dropping-particle" : "", "family" : "Rivoire", "given" : "Catherine", "non-dropping-particle" : "", "parse-names" : false, "suffix" : "" }, { "dropping-particle" : "", "family" : "Roechert", "given" : "Bernd", "non-dropping-particle" : "", "parse-names" : false, "suffix" : "" }, { "dropping-particle" : "", "family" : "Schneider", "given" : "Michel", "non-dropping-particle" : "", "parse-names" : false, "suffix" : "" }, { "dropping-particle" : "", "family" : "Sigrist", "given" : "Christian", "non-dropping-particle" : "", "parse-names" : false, "suffix" : "" }, { "dropping-particle" : "", "family" : "Sonesson", "given" : "Karin", "non-dropping-particle" : "", "parse-names" : false, "suffix" : "" }, { "dropping-particle" : "", "family" : "Staehli", "given" : "Sylvie", "non-dropping-particle" : "", "parse-names" : false, "suffix" : "" }, { "dropping-particle" : "", "family" : "Stutz", "given" : "Andre", "non-dropping-particle" : "", "parse-names" : false, "suffix" : "" }, { "dropping-particle" : "", "family" : "Sundaram", "given" : "Shyamala", "non-dropping-particle" : "", "parse-names" : false, "suffix" : "" }, { "dropping-particle" : "", "family" : "Tognolli", "given" : "Michael", "non-dropping-particle" : "", "parse-names" : false, "suffix" : "" }, { "dropping-particle" : "", "family" : "Verbregue", "given" : "Laure", "non-dropping-particle" : "", "parse-names" : false, "suffix" : "" }, { "dropping-particle" : "", "family" : "Veuthey", "given" : "Anne Lise", "non-dropping-particle" : "", "parse-names" : false, "suffix" : "" }, { "dropping-particle" : "", "family" : "Wu", "given" : "Cathy H.", "non-dropping-particle" : "", "parse-names" : false, "suffix" : "" }, { "dropping-particle" : "", "family" : "Arighi", "given" : "Cecilia N.", "non-dropping-particle" : "", "parse-names" : false, "suffix" : "" }, { "dropping-particle" : "", "family" : "Arminski", "given" : "Leslie", "non-dropping-particle" : "", "parse-names" : false, "suffix" : "" }, { "dropping-particle" : "", "family" : "Chen", "given" : "Chuming", "non-dropping-particle" : "", "parse-names" : false, "suffix" : "" }, { "dropping-particle" : "", "family" : "Chen", "given" : "Yongxing", "non-dropping-particle" : "", "parse-names" : false, "suffix" : "" }, { "dropping-particle" : "", "family" : "Garavelli", "given" : "John S.", "non-dropping-particle" : "", "parse-names" : false, "suffix" : "" }, { "dropping-particle" : "", "family" : "Huang", "given" : "Hongzhan", "non-dropping-particle" : "", "parse-names" : false, "suffix" : "" }, { "dropping-particle" : "", "family" : "Laiho", "given" : "Kati", "non-dropping-particle" : "", "parse-names" : false, "suffix" : "" }, { "dropping-particle" : "", "family" : "McGarvey", "given" : "Peter", "non-dropping-particle" : "", "parse-names" : false, "suffix" : "" }, { "dropping-particle" : "", "family" : "Natale", "given" : "Darren A.", "non-dropping-particle" : "", "parse-names" : false, "suffix" : "" }, { "dropping-particle" : "", "family" : "Suzek", "given" : "Baris E.", "non-dropping-particle" : "", "parse-names" : false, "suffix" : "" }, { "dropping-particle" : "", "family" : "Vinayaka", "given" : "C. R.", "non-dropping-particle" : "", "parse-names" : false, "suffix" : "" }, { "dropping-particle" : "", "family" : "Wang", "given" : "Qinghua", "non-dropping-particle" : "", "parse-names" : false, "suffix" : "" }, { "dropping-particle" : "", "family" : "Wang", "given" : "Yuqi", "non-dropping-particle" : "", "parse-names" : false, "suffix" : "" }, { "dropping-particle" : "", "family" : "Yeh", "given" : "Lai Su", "non-dropping-particle" : "", "parse-names" : false, "suffix" : "" }, { "dropping-particle" : "", "family" : "Yerramalla", "given" : "Meher Shruti", "non-dropping-particle" : "", "parse-names" : false, "suffix" : "" }, { "dropping-particle" : "", "family" : "Zhang", "given" : "Jian", "non-dropping-particle" : "", "parse-names" : false, "suffix" : "" } ], "container-title" : "Nucleic Acids Research", "id" : "ITEM-1", "issue" : "D1", "issued" : { "date-parts" : [ [ "2015" ] ] }, "page" : "D204-D212", "title" : "UniProt: A hub for protein information", "type" : "article-journal", "volume" : "43" }, "uris" : [ "http://www.mendeley.com/documents/?uuid=6793c47f-7440-49e3-9e89-0c814f07de69" ] } ], "mendeley" : { "formattedCitation" : "&lt;sup&gt;28&lt;/sup&gt;", "plainTextFormattedCitation" : "28", "previouslyFormattedCitation" : "&lt;sup&gt;28&lt;/sup&gt;" }, "properties" : { "noteIndex" : 0 }, "schema" : "https://github.com/citation-style-language/schema/raw/master/csl-citation.json" }</w:instrText>
      </w:r>
      <w:r w:rsidR="00507961">
        <w:rPr>
          <w:rFonts w:ascii="Calibri" w:eastAsia="Calibri" w:hAnsi="Calibri" w:cs="Calibri"/>
        </w:rPr>
        <w:fldChar w:fldCharType="separate"/>
      </w:r>
      <w:r w:rsidR="00507961" w:rsidRPr="00507961">
        <w:rPr>
          <w:rFonts w:ascii="Calibri" w:eastAsia="Calibri" w:hAnsi="Calibri" w:cs="Calibri"/>
          <w:noProof/>
          <w:vertAlign w:val="superscript"/>
        </w:rPr>
        <w:t>28</w:t>
      </w:r>
      <w:r w:rsidR="00507961">
        <w:rPr>
          <w:rFonts w:ascii="Calibri" w:eastAsia="Calibri" w:hAnsi="Calibri" w:cs="Calibri"/>
        </w:rPr>
        <w:fldChar w:fldCharType="end"/>
      </w:r>
      <w:r w:rsidRPr="1C820409">
        <w:rPr>
          <w:rFonts w:ascii="Calibri" w:eastAsia="Calibri" w:hAnsi="Calibri" w:cs="Calibri"/>
        </w:rPr>
        <w:t xml:space="preserve"> Also, the residue at </w:t>
      </w:r>
      <w:r w:rsidR="00507961">
        <w:rPr>
          <w:rFonts w:ascii="Calibri" w:eastAsia="Calibri" w:hAnsi="Calibri" w:cs="Calibri"/>
        </w:rPr>
        <w:t>-</w:t>
      </w:r>
      <w:r w:rsidRPr="1C820409">
        <w:rPr>
          <w:rFonts w:ascii="Calibri" w:eastAsia="Calibri" w:hAnsi="Calibri" w:cs="Calibri"/>
        </w:rPr>
        <w:t>1 most probably points outwards from the hydrophobic pocket and does therefore not directly interact with helices 3-5 of NRs.</w:t>
      </w:r>
      <w:r w:rsidR="00507961">
        <w:rPr>
          <w:rFonts w:ascii="Calibri" w:eastAsia="Calibri" w:hAnsi="Calibri" w:cs="Calibri"/>
        </w:rPr>
        <w:fldChar w:fldCharType="begin" w:fldLock="1"/>
      </w:r>
      <w:r w:rsidR="00507961">
        <w:rPr>
          <w:rFonts w:ascii="Calibri" w:eastAsia="Calibri" w:hAnsi="Calibri" w:cs="Calibri"/>
        </w:rPr>
        <w:instrText>ADDIN CSL_CITATION { "citationItems" : [ { "id" : "ITEM-1", "itemData" : { "ISSN" : "0968-0004", "PMID" : "7482707", "author" : [ { "dropping-particle" : "", "family" : "Sayle", "given" : "R A", "non-dropping-particle" : "", "parse-names" : false, "suffix" : "" }, { "dropping-particle" : "", "family" : "Milner-White", "given" : "E J", "non-dropping-particle" : "", "parse-names" : false, "suffix" : "" } ], "container-title" : "Trends in biochemical sciences", "id" : "ITEM-1", "issue" : "9", "issued" : { "date-parts" : [ [ "1995", "9" ] ] }, "page" : "374", "title" : "RASMOL: biomolecular graphics for all.", "type" : "article-journal", "volume" : "20" }, "uris" : [ "http://www.mendeley.com/documents/?uuid=b92399ae-346e-3553-a452-114ed1515bf5" ] } ], "mendeley" : { "formattedCitation" : "&lt;sup&gt;38&lt;/sup&gt;", "plainTextFormattedCitation" : "38", "previouslyFormattedCitation" : "&lt;sup&gt;38&lt;/sup&gt;" }, "properties" : { "noteIndex" : 0 }, "schema" : "https://github.com/citation-style-language/schema/raw/master/csl-citation.json" }</w:instrText>
      </w:r>
      <w:r w:rsidR="00507961">
        <w:rPr>
          <w:rFonts w:ascii="Calibri" w:eastAsia="Calibri" w:hAnsi="Calibri" w:cs="Calibri"/>
        </w:rPr>
        <w:fldChar w:fldCharType="separate"/>
      </w:r>
      <w:r w:rsidR="00507961" w:rsidRPr="00507961">
        <w:rPr>
          <w:rFonts w:ascii="Calibri" w:eastAsia="Calibri" w:hAnsi="Calibri" w:cs="Calibri"/>
          <w:noProof/>
          <w:vertAlign w:val="superscript"/>
        </w:rPr>
        <w:t>38</w:t>
      </w:r>
      <w:r w:rsidR="00507961">
        <w:rPr>
          <w:rFonts w:ascii="Calibri" w:eastAsia="Calibri" w:hAnsi="Calibri" w:cs="Calibri"/>
        </w:rPr>
        <w:fldChar w:fldCharType="end"/>
      </w:r>
      <w:r w:rsidRPr="1C820409">
        <w:rPr>
          <w:rFonts w:ascii="Calibri" w:eastAsia="Calibri" w:hAnsi="Calibri" w:cs="Calibri"/>
        </w:rPr>
        <w:t xml:space="preserve"> </w:t>
      </w:r>
      <w:r w:rsidR="00507961">
        <w:rPr>
          <w:rFonts w:ascii="Calibri" w:eastAsia="Calibri" w:hAnsi="Calibri" w:cs="Calibri"/>
        </w:rPr>
        <w:t>It would be worth exploring if it</w:t>
      </w:r>
      <w:r w:rsidRPr="1C820409">
        <w:rPr>
          <w:rFonts w:ascii="Calibri" w:eastAsia="Calibri" w:hAnsi="Calibri" w:cs="Calibri"/>
        </w:rPr>
        <w:t xml:space="preserve"> could interact with the charge clamp of NRs.</w:t>
      </w:r>
      <w:r w:rsidR="00507961">
        <w:rPr>
          <w:rFonts w:ascii="Calibri" w:eastAsia="Calibri" w:hAnsi="Calibri" w:cs="Calibri"/>
        </w:rPr>
        <w:fldChar w:fldCharType="begin" w:fldLock="1"/>
      </w:r>
      <w:r w:rsidR="00BA4771">
        <w:rPr>
          <w:rFonts w:ascii="Calibri" w:eastAsia="Calibri" w:hAnsi="Calibri" w:cs="Calibri"/>
        </w:rPr>
        <w:instrText>ADDIN CSL_CITATION { "citationItems" : [ { "id" : "ITEM-1", "itemData" : { "DOI" : "10.1016/j.molcel.2004.11.036", "PMID" : "15610733", "abstract" : "Constitutive androstane receptor (CAR) induces xenobiotic, bilirubin, and thyroid hormone metabolism as a heterodimer with the retinoid X receptor (RXR). Unlike ligand-dependent nuclear receptors, CAR is constitutively active. Here, we report the heterodimeric structure of the CAR and RXR ligand binding domains (LBDs), which reveals an unusually large dimerization interface and a small CAR ligand binding pocket. Constitutive CAR activity appears to be mediated by the compact nature of the CAR LBD that displays several unique features including a shortened AF2 helix and helix H10, which are linked by a two-turn helix that normally adopts an extended loop in other receptors, and an extended helix H2 that stabilizes the canonical LBD fold by packing tightly against helix H3. These structural observations provide a molecular framework for understanding the atypical transcriptional activation properties of CAR.", "author" : [ { "dropping-particle" : "", "family" : "Suino", "given" : "Kelly", "non-dropping-particle" : "", "parse-names" : false, "suffix" : "" }, { "dropping-particle" : "", "family" : "Peng", "given" : "Li", "non-dropping-particle" : "", "parse-names" : false, "suffix" : "" }, { "dropping-particle" : "", "family" : "Reynolds", "given" : "Ross", "non-dropping-particle" : "", "parse-names" : false, "suffix" : "" }, { "dropping-particle" : "", "family" : "Li", "given" : "Yong", "non-dropping-particle" : "", "parse-names" : false, "suffix" : "" }, { "dropping-particle" : "", "family" : "Cha", "given" : "Ji-Young", "non-dropping-particle" : "", "parse-names" : false, "suffix" : "" }, { "dropping-particle" : "", "family" : "Repa", "given" : "Joyce J", "non-dropping-particle" : "", "parse-names" : false, "suffix" : "" }, { "dropping-particle" : "", "family" : "Kliewer", "given" : "Steven A", "non-dropping-particle" : "", "parse-names" : false, "suffix" : "" }, { "dropping-particle" : "", "family" : "Xu", "given" : "H Eric", "non-dropping-particle" : "", "parse-names" : false, "suffix" : "" } ], "container-title" : "Molecular cell", "id" : "ITEM-1", "issue" : "6", "issued" : { "date-parts" : [ [ "2004", "12", "22" ] ] }, "page" : "893-905", "title" : "PDB ID: 1XLS; The nuclear xenobiotic receptor CAR: structural determinants of constitutive activation and heterodimerization.", "type" : "article-journal", "volume" : "16" }, "uris" : [ "http://www.mendeley.com/documents/?uuid=0e734f83-25cf-3b62-b60d-8c63da890ea1" ] }, { "id" : "ITEM-2", "itemData" : { "DOI" : "10.1038/25931", "ISSN" : "00280836", "abstract" : "Coordinates for the apo-PPAR-gamma (1PRG) and the PPARgamma\u2013rosiglitazone\u2013SRC1 ternary complex (2PRG) have been deposited with the Brookhaven Protein Database. he peroxisome proliferator-activated receptor-gamma (PPAR-gamma) is a ligand-dependent transcription factor that is important in adipocyte differentiation and glucose homeostasis and which depends on interactions with co-activators, including steroid receptor co-activating factor-1 (SRC-1). Here we present the X-ray crystal structure of the human apo-PPAR-gamma ligand-binding domain (LBD), at 2.2 \u00c5 resolution; this structure reveals a large binding pocket, which may explain the diversity of ligands for PPAR-gamma. We also describe the ternary complex containing the PPAR-gamma LBD, the antidiabetic ligand rosiglitazone (BRL49653), and 88 amino acids of human SRC-1 at 2.3 \u00c5 resolution. Glutamate and lysine residues that are highly conserved in LBDs of nuclear receptors form a 'charge clamp' that contacts backbone atoms of the LXXLL helices of SRC-1. These results, together with the observation that two consecutive LXXLL motifs of SRC-1 make identical contacts with both subunits of a PPAR-gamma homodimer, suggest a general mechanism for the assembly of nuclear receptors with co-activators.", "author" : [ { "dropping-particle" : "V.", "family" : "Milburn", "given" : "Michael", "non-dropping-particle" : "", "parse-names" : false, "suffix" : "" }, { "dropping-particle" : "", "family" : "Nolte", "given" : "Robert T.", "non-dropping-particle" : "", "parse-names" : false, "suffix" : "" }, { "dropping-particle" : "", "family" : "Wisely", "given" : "G. Bruce", "non-dropping-particle" : "", "parse-names" : false, "suffix" : "" }, { "dropping-particle" : "", "family" : "Westin", "given" : "Stefan", "non-dropping-particle" : "", "parse-names" : false, "suffix" : "" }, { "dropping-particle" : "", "family" : "Cobb", "given" : "Jeffery E.", "non-dropping-particle" : "", "parse-names" : false, "suffix" : "" }, { "dropping-particle" : "", "family" : "Lambert", "given" : "Millard H.", "non-dropping-particle" : "", "parse-names" : false, "suffix" : "" }, { "dropping-particle" : "", "family" : "Kurokawa", "given" : "Riki", "non-dropping-particle" : "", "parse-names" : false, "suffix" : "" }, { "dropping-particle" : "", "family" : "Rosenfeld", "given" : "Michael G.", "non-dropping-particle" : "", "parse-names" : false, "suffix" : "" }, { "dropping-particle" : "", "family" : "Willson", "given" : "Timothy M.", "non-dropping-particle" : "", "parse-names" : false, "suffix" : "" }, { "dropping-particle" : "", "family" : "Glass", "given" : "Christopher K.", "non-dropping-particle" : "", "parse-names" : false, "suffix" : "" } ], "container-title" : "Nature", "id" : "ITEM-2", "issue" : "6698", "issued" : { "date-parts" : [ [ "1998", "9", "10" ] ] }, "note" : "Coordinates for the apo-PPAR-\ufffc(1PRG) and the PPAR\ufffc\u2013rosiglitazone\u2013SRC1 ternary complex (2PRG) have been deposited with the Brookhaven Protein Database.", "page" : "137-143", "publisher" : "Nature Publishing Group", "title" : "Ligand binding and co-activator assembly of the peroxisome proliferator-activated receptor-|[gamma]|", "type" : "article-journal", "volume" : "395" }, "uris" : [ "http://www.mendeley.com/documents/?uuid=d9e0b680-e8fd-3076-a563-3f51874832b6" ] }, { "id" : "ITEM-3", "itemData" : { "ISSN" : "0270-7306", "PMID" : "10567548", "abstract" : "Recruitment of transcriptional coactivators following ligand activation is a critical step in nuclear receptor-mediated target gene expression. Upon binding an agonist, the receptor undergoes a conformational change which facilitates the formation of a specific coactivator binding pocket within the carboxyl terminus of the receptor. This permits the alpha-helical LXXLL motif within some coactivators to interact with the nuclear receptors. Until recently, the LXXLL motif was thought to function solely as a docking module; however, it now appears that sequences flanking the core motif may play a role in determining receptor selectivity. To address this issue, we used a combinatorial phage display approach to evaluate the role of flanking sequences in influencing these interactions. We sampled more than 10(8) variations of the core LXXLL motif with estradiol-activated estrogen receptor alpha (ERalpha) as a target and found three different classes of peptides. All of these peptides interacted with ERalpha in an agonist-dependent manner and disrupted ERalpha-mediated transcriptional activity when introduced into target cells. Using a series of ERalpha-mutants, we found that these three classes of peptides showed different interaction patterns from each other, suggesting that not all LXXLL motifs are the same and that receptor binding selectivity can be achieved by altering sequences flanking the LXXLL core motif. Most notable in this regard was the discovery of a peptide which, when overexpressed in cells, selectively disrupted ERbeta- but not ERalpha-mediated reporter gene expression. This novel ERbeta-specific antagonist may be useful in identifying and characterizing the ERbeta-regulated process in estradiol-responsive cells. In conclusion, using a combinatorial approach to define cofactor-receptor interactions, we have clearly been able to demonstrate that not all LXXLL motifs are functionally equivalent, a finding which suggests that it may be possible to target receptor-LXXLL interactions to develop receptor-specific antagonists.", "author" : [ { "dropping-particle" : "", "family" : "Chang", "given" : "C y", "non-dropping-particle" : "", "parse-names" : false, "suffix" : "" }, { "dropping-particle" : "", "family" : "Norris", "given" : "J D", "non-dropping-particle" : "", "parse-names" : false, "suffix" : "" }, { "dropping-particle" : "", "family" : "Gr\u00f8n", "given" : "H", "non-dropping-particle" : "", "parse-names" : false, "suffix" : "" }, { "dropping-particle" : "", "family" : "Paige", "given" : "L A", "non-dropping-particle" : "", "parse-names" : false, "suffix" : "" }, { "dropping-particle" : "", "family" : "Hamilton", "given" : "P T", "non-dropping-particle" : "", "parse-names" : false, "suffix" : "" }, { "dropping-particle" : "", "family" : "Kenan", "given" : "D J", "non-dropping-particle" : "", "parse-names" : false, "suffix" : "" }, { "dropping-particle" : "", "family" : "Fowlkes", "given" : "D", "non-dropping-particle" : "", "parse-names" : false, "suffix" : "" }, { "dropping-particle" : "", "family" : "McDonnell", "given" : "D P", "non-dropping-particle" : "", "parse-names" : false, "suffix" : "" } ], "container-title" : "Molecular and cellular biology", "id" : "ITEM-3", "issue" : "12", "issued" : { "date-parts" : [ [ "1999", "12" ] ] }, "page" : "8226-39", "title" : "Dissection of the LXXLL nuclear receptor-coactivator interaction motif using combinatorial peptide libraries: discovery of peptide antagonists of estrogen receptors alpha and beta.", "type" : "article-journal", "volume" : "19" }, "uris" : [ "http://www.mendeley.com/documents/?uuid=f738945a-4759-4c54-9f80-9907f076a8f3" ] }, { "id" : "ITEM-4", "itemData" : { "DOI" : "10.1111/j.1399-3011.2004.00126.x", "ISSN" : "1397-002X", "PMID" : "15049832", "abstract" : "Nuclear receptors require coactivator binding in order to activate transcription of their cognate target genes. Ligands regulate nuclear receptor (NR)-mediated recruitment of coactivators by binding to the ligand-binding domain of the receptor and inducing a conformational change allowing for recognition of a specific motif contained within the coactivator protein. This motif is known as the NR box or LXXLL (where L is leucine and X is any amino acid) domain. Here, we review the discovery of the domain as well as its characterization.", "author" : [ { "dropping-particle" : "", "family" : "Savkur", "given" : "R S", "non-dropping-particle" : "", "parse-names" : false, "suffix" : "" }, { "dropping-particle" : "", "family" : "Burris", "given" : "T P", "non-dropping-particle" : "", "parse-names" : false, "suffix" : "" } ], "container-title" : "The journal of peptide research : official journal of the American Peptide Society", "id" : "ITEM-4", "issue" : "3", "issued" : { "date-parts" : [ [ "2004", "3" ] ] }, "page" : "207-12", "title" : "The coactivator LXXLL nuclear receptor recognition motif.", "type" : "article-journal", "volume" : "63" }, "uris" : [ "http://www.mendeley.com/documents/?uuid=d639121f-0ace-41d8-a8e3-c840b99370ca" ] }, { "id" : "ITEM-5", "itemData" : { "ISSN" : "0270-7306", "PMID" : "12101224", "abstract" : "Unlike classical nuclear receptors that require ligand for transcriptional activity, the constitutive androstane receptor (CAR) is active in the absence of ligand. To determine the molecular contacts that underlie this constitutive activity, we created a three-dimensional model of CAR and verified critical structural features by mutational analysis. We found that the same motifs that facilitate ligand-dependent activity in classical receptors also mediated constitutive activity in CAR. This raises a critical question: how are these motifs maintained in an active conformation in unliganded CAR? The model identified several novel interactions that account for this activity. First, CAR possesses a short loop between helix 11 and the transactivation domain (helix 12), as well as a short carboxy-terminal helix. Together, these features favor ligand-independent docking of the transactivation domain in a position that is characteristic of ligand-activated receptors. Second, this active conformation is further stabilized by a charge-charge interaction that anchors the carboxy-terminal activation domain to helix 4. Mutational analysis of these interactions provides direct experimental support for this model. We also show that ligand-mediated repression of constitutive activity reflects both a displacement of coactivator and a recruitment of corepressor. Our data demonstrate that CAR utilizes the same conserved structural motifs and coregulator proteins as originally defined for classical nuclear receptors. Despite these remarkable similarities, our model demonstrates how a few critical changes in CAR can dramatically reverse the transcriptional activity of this protein.", "author" : [ { "dropping-particle" : "", "family" : "Dussault", "given" : "Isabelle", "non-dropping-particle" : "", "parse-names" : false, "suffix" : "" }, { "dropping-particle" : "", "family" : "Lin", "given" : "Min", "non-dropping-particle" : "", "parse-names" : false, "suffix" : "" }, { "dropping-particle" : "", "family" : "Hollister", "given" : "Kevin", "non-dropping-particle" : "", "parse-names" : false, "suffix" : "" }, { "dropping-particle" : "", "family" : "Fan", "given" : "Ming", "non-dropping-particle" : "", "parse-names" : false, "suffix" : "" }, { "dropping-particle" : "", "family" : "Termini", "given" : "John", "non-dropping-particle" : "", "parse-names" : false, "suffix" : "" }, { "dropping-particle" : "", "family" : "Sherman", "given" : "Mark A", "non-dropping-particle" : "", "parse-names" : false, "suffix" : "" }, { "dropping-particle" : "", "family" : "Forman", "given" : "Barry M", "non-dropping-particle" : "", "parse-names" : false, "suffix" : "" } ], "container-title" : "Molecular and cellular biology", "id" : "ITEM-5", "issue" : "15", "issued" : { "date-parts" : [ [ "2002", "8" ] ] }, "page" : "5270-80", "title" : "A structural model of the constitutive androstane receptor defines novel interactions that mediate ligand-independent activity.", "type" : "article-journal", "volume" : "22" }, "uris" : [ "http://www.mendeley.com/documents/?uuid=93cb8868-cbd9-432d-a0ed-3604a0668469" ] } ], "mendeley" : { "formattedCitation" : "&lt;sup&gt;9,30,39\u201341&lt;/sup&gt;", "plainTextFormattedCitation" : "9,30,39\u201341", "previouslyFormattedCitation" : "&lt;sup&gt;9,30,39\u201341&lt;/sup&gt;" }, "properties" : { "noteIndex" : 0 }, "schema" : "https://github.com/citation-style-language/schema/raw/master/csl-citation.json" }</w:instrText>
      </w:r>
      <w:r w:rsidR="00507961">
        <w:rPr>
          <w:rFonts w:ascii="Calibri" w:eastAsia="Calibri" w:hAnsi="Calibri" w:cs="Calibri"/>
        </w:rPr>
        <w:fldChar w:fldCharType="separate"/>
      </w:r>
      <w:r w:rsidR="00507961" w:rsidRPr="00507961">
        <w:rPr>
          <w:rFonts w:ascii="Calibri" w:eastAsia="Calibri" w:hAnsi="Calibri" w:cs="Calibri"/>
          <w:noProof/>
          <w:vertAlign w:val="superscript"/>
        </w:rPr>
        <w:t>9,30,39–41</w:t>
      </w:r>
      <w:r w:rsidR="00507961">
        <w:rPr>
          <w:rFonts w:ascii="Calibri" w:eastAsia="Calibri" w:hAnsi="Calibri" w:cs="Calibri"/>
        </w:rPr>
        <w:fldChar w:fldCharType="end"/>
      </w:r>
    </w:p>
    <w:p w14:paraId="78DFB3C6" w14:textId="37F3675C" w:rsidR="5074CF87" w:rsidRDefault="5074CF87" w:rsidP="00FF0510">
      <w:pPr>
        <w:spacing w:line="360" w:lineRule="auto"/>
        <w:jc w:val="both"/>
      </w:pPr>
      <w:r>
        <w:t>Another interesting observatio</w:t>
      </w:r>
      <w:r w:rsidR="00303121">
        <w:t>n is the presence of a band</w:t>
      </w:r>
      <w:r>
        <w:t xml:space="preserve"> at approximately 40 kDa at the western blot with anti-V5 Ab. Previous work has shown the existance of a shorter PER2S isoform in </w:t>
      </w:r>
      <w:r w:rsidRPr="5074CF87">
        <w:rPr>
          <w:i/>
          <w:iCs/>
        </w:rPr>
        <w:t>Homo sapiens</w:t>
      </w:r>
      <w:r w:rsidRPr="5074CF87">
        <w:t xml:space="preserve"> with the size</w:t>
      </w:r>
      <w:r w:rsidR="00BA4771">
        <w:t xml:space="preserve"> of 45 kDa and co-IP at 55 kDa.</w:t>
      </w:r>
      <w:r w:rsidR="00790246">
        <w:fldChar w:fldCharType="begin" w:fldLock="1"/>
      </w:r>
      <w:r w:rsidR="00790246">
        <w:instrText>ADDIN CSL_CITATION { "citationItems" : [ { "id" : "ITEM-1", "itemData" : { "DOI" : "10.1007/s00018-013-1503-1", "ISSN" : "1420-682X", "author" : [ { "dropping-particle" : "", "family" : "Avitabile", "given" : "Daniele", "non-dropping-particle" : "", "parse-names" : false, "suffix" : "" }, { "dropping-particle" : "", "family" : "Genovese", "given" : "Licia", "non-dropping-particle" : "", "parse-names" : false, "suffix" : "" }, { "dropping-particle" : "", "family" : "Ponti", "given" : "Donatella", "non-dropping-particle" : "", "parse-names" : false, "suffix" : "" }, { "dropping-particle" : "", "family" : "Ranieri", "given" : "Danilo", "non-dropping-particle" : "", "parse-names" : false, "suffix" : "" }, { "dropping-particle" : "", "family" : "Raffa", "given" : "Salvatore", "non-dropping-particle" : "", "parse-names" : false, "suffix" : "" }, { "dropping-particle" : "", "family" : "Calogero", "given" : "Antonella", "non-dropping-particle" : "", "parse-names" : false, "suffix" : "" }, { "dropping-particle" : "", "family" : "Torrisi", "given" : "Maria Rosaria", "non-dropping-particle" : "", "parse-names" : false, "suffix" : "" } ], "container-title" : "Cellular and Molecular Life Sciences", "id" : "ITEM-1", "issue" : "13", "issued" : { "date-parts" : [ [ "2014", "7", "8" ] ] }, "page" : "2547-2559", "publisher" : "Springer Basel", "title" : "Nucleolar localization and circadian regulation of Per2S, a novel splicing variant of the Period 2 gene", "type" : "article-journal", "volume" : "71" }, "uris" : [ "http://www.mendeley.com/documents/?uuid=59ad036b-6ca6-363b-9fa9-feffa0133519" ] } ], "mendeley" : { "formattedCitation" : "&lt;sup&gt;42&lt;/sup&gt;", "plainTextFormattedCitation" : "42", "previouslyFormattedCitation" : "&lt;sup&gt;42&lt;/sup&gt;" }, "properties" : { "noteIndex" : 0 }, "schema" : "https://github.com/citation-style-language/schema/raw/master/csl-citation.json" }</w:instrText>
      </w:r>
      <w:r w:rsidR="00790246">
        <w:fldChar w:fldCharType="separate"/>
      </w:r>
      <w:r w:rsidR="00790246" w:rsidRPr="00790246">
        <w:rPr>
          <w:noProof/>
          <w:vertAlign w:val="superscript"/>
        </w:rPr>
        <w:t>42</w:t>
      </w:r>
      <w:r w:rsidR="00790246">
        <w:fldChar w:fldCharType="end"/>
      </w:r>
      <w:r w:rsidRPr="5074CF87">
        <w:t xml:space="preserve"> If we observed a similar truncated form of PER2, it could be speculated that PER2 can interact with CAR with its first LXXLL. However, this does not exclude an interaction of PER2 with CAR with its second LXXLL.</w:t>
      </w:r>
      <w:r w:rsidR="00790246">
        <w:fldChar w:fldCharType="begin" w:fldLock="1"/>
      </w:r>
      <w:r w:rsidR="00790246">
        <w:instrText>ADDIN CSL_CITATION { "citationItems" : [ { "id" : "ITEM-1", "itemData" : { "DOI" : "10.1101/gad.564110", "ISSN" : "1549-5477", "PMID" : "20159955", "abstract" : "Mammalian circadian clocks provide a temporal framework to synchronize biological functions. To obtain robust rhythms with a periodicity of about a day, these clocks use molecular oscillators consisting of two interlocked feedback loops. The core loop generates rhythms by transcriptional repression via the Period (PER) and Cryptochrome (CRY) proteins, whereas the stabilizing loop establishes roughly antiphasic rhythms via nuclear receptors. Nuclear receptors also govern many pathways that affect metabolism and physiology. Here we show that the core loop component PER2 can coordinate circadian output with the circadian oscillator. PER2 interacts with nuclear receptors including PPARalpha and REV-ERBalpha and serves as a coregulator of nuclear receptor-mediated transcription. Consequently, PER2 is rhythmically bound at the promoters of nuclear receptor target genes in vivo. In this way, the circadian oscillator can modulate the expression of nuclear receptor target genes like Bmal1, Hnf1alpha, and Glucose-6-phosphatase. The concept that PER2 may propagate clock information to metabolic pathways via nuclear receptors adds an important facet to the clock-dependent regulation of biological networks.", "author" : [ { "dropping-particle" : "", "family" : "Schmutz", "given" : "Isabelle", "non-dropping-particle" : "", "parse-names" : false, "suffix" : "" }, { "dropping-particle" : "", "family" : "Ripperger", "given" : "J\u00fcrgen A", "non-dropping-particle" : "", "parse-names" : false, "suffix" : "" }, { "dropping-particle" : "", "family" : "Baeriswyl-Aebischer", "given" : "St\u00e9phanie", "non-dropping-particle" : "", "parse-names" : false, "suffix" : "" }, { "dropping-particle" : "", "family" : "Albrecht", "given" : "Urs", "non-dropping-particle" : "", "parse-names" : false, "suffix" : "" } ], "container-title" : "Genes &amp; development", "id" : "ITEM-1", "issue" : "4", "issued" : { "date-parts" : [ [ "2010", "2", "15" ] ] }, "page" : "345-57", "title" : "The mammalian clock component PERIOD2 coordinates circadian output by interaction with nuclear receptors.", "type" : "article-journal", "volume" : "24" }, "uris" : [ "http://www.mendeley.com/documents/?uuid=4f7df27b-e214-4f35-99af-9ed969f53091" ] } ], "mendeley" : { "formattedCitation" : "&lt;sup&gt;1&lt;/sup&gt;", "plainTextFormattedCitation" : "1", "previouslyFormattedCitation" : "&lt;sup&gt;1&lt;/sup&gt;" }, "properties" : { "noteIndex" : 0 }, "schema" : "https://github.com/citation-style-language/schema/raw/master/csl-citation.json" }</w:instrText>
      </w:r>
      <w:r w:rsidR="00790246">
        <w:fldChar w:fldCharType="separate"/>
      </w:r>
      <w:r w:rsidR="00790246" w:rsidRPr="00790246">
        <w:rPr>
          <w:noProof/>
          <w:vertAlign w:val="superscript"/>
        </w:rPr>
        <w:t>1</w:t>
      </w:r>
      <w:r w:rsidR="00790246">
        <w:fldChar w:fldCharType="end"/>
      </w:r>
      <w:r w:rsidRPr="5074CF87">
        <w:t xml:space="preserve"> It might be possible that a co-activator interacts with a NR with multiple LXXLL motif</w:t>
      </w:r>
      <w:r w:rsidR="00303121">
        <w:t>s, but with different affinity.</w:t>
      </w:r>
    </w:p>
    <w:p w14:paraId="2158D5DD" w14:textId="777303FF" w:rsidR="00592D29" w:rsidRDefault="001E432F" w:rsidP="00FF0510">
      <w:pPr>
        <w:spacing w:line="360" w:lineRule="auto"/>
        <w:jc w:val="both"/>
      </w:pPr>
      <w:r>
        <w:t xml:space="preserve">It is interesting to note that </w:t>
      </w:r>
      <w:r w:rsidRPr="5074CF87">
        <w:rPr>
          <w:i/>
          <w:iCs/>
        </w:rPr>
        <w:t>Car</w:t>
      </w:r>
      <w:r>
        <w:t xml:space="preserve"> </w:t>
      </w:r>
      <w:r w:rsidR="00B04883">
        <w:t xml:space="preserve">shows both diurnal expression patterns in liver, with </w:t>
      </w:r>
      <w:r w:rsidR="00B04883" w:rsidRPr="5074CF87">
        <w:rPr>
          <w:i/>
          <w:iCs/>
        </w:rPr>
        <w:t>Car</w:t>
      </w:r>
      <w:r w:rsidR="00B04883">
        <w:t xml:space="preserve"> mRNA levels oscillating in phase with </w:t>
      </w:r>
      <w:r w:rsidR="00B04883" w:rsidRPr="5074CF87">
        <w:rPr>
          <w:i/>
          <w:iCs/>
        </w:rPr>
        <w:t>Bmal1</w:t>
      </w:r>
      <w:r w:rsidR="00B04883" w:rsidRPr="00B04883">
        <w:t>,</w:t>
      </w:r>
      <w:r w:rsidR="00B04883">
        <w:t xml:space="preserve"> and the possibility to be induced by ligands. The induction could very well be dependent on the phase or time of induction.</w:t>
      </w:r>
      <w:r w:rsidR="00B04883">
        <w:fldChar w:fldCharType="begin" w:fldLock="1"/>
      </w:r>
      <w:r w:rsidR="00790246">
        <w:instrText>ADDIN CSL_CITATION { "citationItems" : [ { "id" : "ITEM-1", "itemData" : { "DOI" : "10.1186/1478-1336-2-6", "ISSN" : "1478-1336", "PMID" : "15333129", "abstract" : "BACKGROUND: The constitutive androstane receptor (CAR, NR1I3) plays a key role in the transcriptional activation of genes that encode xenobiotic/steroid and drug metabolizing enzymes. RESULTS: The expression of CAR mRNA throughout the circadian rhythm is reported for the first time in phase with the clock gene Bmal1 and in antiphase with the clock-controlled gene Rev-erbalpha mRNAs, with a peak at Zeitgeber time (ZT) 20 and a trough at ZT8, and a peak/trough ratio of 2.0. The diurnal difference in CAR mRNA expression might underlie the 1.7-fold difference in the magnitude of the PB-dependent induction of CYP2B1/2 mRNA. CONCLUSION: The circadian oscillation of xenosensor gene CAR mRNA expression is partially responsible for chronopharmacokinetics and chronopharmacology in disease.", "author" : [ { "dropping-particle" : "", "family" : "Kanno", "given" : "Yuichiro", "non-dropping-particle" : "", "parse-names" : false, "suffix" : "" }, { "dropping-particle" : "", "family" : "Otsuka", "given" : "Satoshi", "non-dropping-particle" : "", "parse-names" : false, "suffix" : "" }, { "dropping-particle" : "", "family" : "Hiromasa", "given" : "Takuya", "non-dropping-particle" : "", "parse-names" : false, "suffix" : "" }, { "dropping-particle" : "", "family" : "Nakahama", "given" : "Takayuki", "non-dropping-particle" : "", "parse-names" : false, "suffix" : "" }, { "dropping-particle" : "", "family" : "Inouye", "given" : "Yoshio", "non-dropping-particle" : "", "parse-names" : false, "suffix" : "" } ], "container-title" : "Nuclear receptor", "id" : "ITEM-1", "issue" : "1", "issued" : { "date-parts" : [ [ "2004", "8", "28" ] ] }, "page" : "6", "title" : "Diurnal difference in CAR mRNA expression.", "type" : "article-journal", "volume" : "2" }, "uris" : [ "http://www.mendeley.com/documents/?uuid=9982d85b-8c77-4c20-880e-81a93799738a" ] }, { "id" : "ITEM-2", "itemData" : { "DOI" : "10.1016/j.cell.2006.06.050", "ISSN" : "0092-8674", "PMID" : "16923398", "abstract" : "As sensors for fat-soluble hormones and dietary lipids, oscillations in nuclear receptor (NR) expression in key metabolic tissues may contribute to circadian entrainment of nutrient and energy metabolism. Surveying the diurnal expression profiles of all 49 mouse nuclear receptors in white and brown adipose tissue, liver, and skeletal muscle revealed that of the 45 NRs expressed, 25 are in a rhythmic cycle and 3 exhibit a single transient pulse of expression 4 hr into the light cycle. While thyroid hormones are generally constant, we find that TRalpha and beta dramatically cycle, suggesting that fundamental concepts such as \"basal metabolism\" may require reexamination. The dynamic but coordinated changes in nuclear receptor expression, along with their key target genes, offers a logical explanation for known cyclic behavior of lipid and glucose metabolism and suggests novel roles for endocrine and orphan receptors in coupling the peripheral circadian clock to divergent metabolic outputs.", "author" : [ { "dropping-particle" : "", "family" : "Yang", "given" : "Xiaoyong", "non-dropping-particle" : "", "parse-names" : false, "suffix" : "" }, { "dropping-particle" : "", "family" : "Downes", "given" : "Michael", "non-dropping-particle" : "", "parse-names" : false, "suffix" : "" }, { "dropping-particle" : "", "family" : "Yu", "given" : "Ruth T", "non-dropping-particle" : "", "parse-names" : false, "suffix" : "" }, { "dropping-particle" : "", "family" : "Bookout", "given" : "Angie L", "non-dropping-particle" : "", "parse-names" : false, "suffix" : "" }, { "dropping-particle" : "", "family" : "He", "given" : "Weimin", "non-dropping-particle" : "", "parse-names" : false, "suffix" : "" }, { "dropping-particle" : "", "family" : "Straume", "given" : "Marty", "non-dropping-particle" : "", "parse-names" : false, "suffix" : "" }, { "dropping-particle" : "", "family" : "Mangelsdorf", "given" : "David J", "non-dropping-particle" : "", "parse-names" : false, "suffix" : "" }, { "dropping-particle" : "", "family" : "Evans", "given" : "Ronald M", "non-dropping-particle" : "", "parse-names" : false, "suffix" : "" } ], "container-title" : "Cell", "id" : "ITEM-2", "issue" : "4", "issued" : { "date-parts" : [ [ "2006", "8", "25" ] ] }, "page" : "801-10", "title" : "Nuclear receptor expression links the circadian clock to metabolism.", "type" : "article-journal", "volume" : "126" }, "uris" : [ "http://www.mendeley.com/documents/?uuid=fed3364e-06cb-4d08-ae10-8866c5397eed" ] } ], "mendeley" : { "formattedCitation" : "&lt;sup&gt;43,44&lt;/sup&gt;", "plainTextFormattedCitation" : "43,44", "previouslyFormattedCitation" : "&lt;sup&gt;43,44&lt;/sup&gt;" }, "properties" : { "noteIndex" : 0 }, "schema" : "https://github.com/citation-style-language/schema/raw/master/csl-citation.json" }</w:instrText>
      </w:r>
      <w:r w:rsidR="00B04883">
        <w:fldChar w:fldCharType="separate"/>
      </w:r>
      <w:r w:rsidR="00790246" w:rsidRPr="00790246">
        <w:rPr>
          <w:noProof/>
          <w:vertAlign w:val="superscript"/>
        </w:rPr>
        <w:t>43,44</w:t>
      </w:r>
      <w:r w:rsidR="00B04883">
        <w:fldChar w:fldCharType="end"/>
      </w:r>
      <w:r w:rsidR="00B04883">
        <w:t xml:space="preserve"> If this is the case, </w:t>
      </w:r>
      <w:r w:rsidR="00163FE4">
        <w:t>such findings</w:t>
      </w:r>
      <w:r w:rsidR="00497BFE">
        <w:t xml:space="preserve"> should be considered in</w:t>
      </w:r>
      <w:r w:rsidR="00B04883">
        <w:t xml:space="preserve"> </w:t>
      </w:r>
      <w:r w:rsidR="00497BFE">
        <w:t>pharmacokinetics of drug active ingredients</w:t>
      </w:r>
      <w:r w:rsidR="00592D29">
        <w:t>, especially as CAR regulates the expression of several CYPs</w:t>
      </w:r>
      <w:r w:rsidR="00B04883">
        <w:t>.</w:t>
      </w:r>
      <w:r w:rsidR="00592D29">
        <w:fldChar w:fldCharType="begin" w:fldLock="1"/>
      </w:r>
      <w:r w:rsidR="008E49DC">
        <w:instrText>ADDIN CSL_CITATION { "citationItems" : [ { "id" : "ITEM-1", "itemData" : { "ISSN" : "1875-5453", "PMID" : "21395541", "abstract" : "Cytochrome P450 (P450) monooxygenases are capable of catalyzing metabolism of various endogenous and exogenous compounds, such as bile acids, fatty acids, retinoids, steroids, drugs and other xenobiotics. The enzymes, belonging to CYP1, CYP2 and CYP3 families are primarily involved in the metabolism of drugs and xenobiotics. P450-mediated defense mechanism protects organisms from the potentially toxic effects of xenobiotics to which they are exposed. The adaptive transcriptional induction of P450s by xenobiotics is mediated by aromatic hydrocarbon receptor of Per-ARNT-Sim family, and nuclear hormone receptors, including pregnane X receptor, constitutive androstane receptor and glucocorticoid receptor. In addition to the receptor-mediated induction, endogenous factors (developmental, sex or hormonal factors) can also modulate P450 expression. Steroid hormones are biologically active compounds, controlling many physiological processes via endocrine signaling pathways and contributing to the transcriptional regulation of drug metabolizing P450s. Any change in P450 activities influences the rate of activation or inactivation of drugs. Exposure to xenobiotics (drugs, environmental pollutants) can exert changes in endocrine function both directly as hormone agonists/antagonists or indirectly altering the rates of hormone metabolism and consequently the circulating levels of hormones. Modulation of P450 expression by xenobiotics can affect the subsequent metabolism of not only foreign chemicals, but also steroid hormones. Perturbation in hormone metabolism leads to the imbalance in sexual and reproductive development, and in glucose, lipid and salt/water homeostasis. The purpose of this review is to highlight the interplay between drug-metabolizing P450s and steroid hormones as well as the interactions of xenosensor with steroid signaling pathways.", "author" : [ { "dropping-particle" : "", "family" : "Monostory", "given" : "Katalin", "non-dropping-particle" : "", "parse-names" : false, "suffix" : "" }, { "dropping-particle" : "", "family" : "Dvorak", "given" : "Zdenek", "non-dropping-particle" : "", "parse-names" : false, "suffix" : "" } ], "container-title" : "Current drug metabolism", "id" : "ITEM-1", "issue" : "2", "issued" : { "date-parts" : [ [ "2011", "2" ] ] }, "page" : "154-72", "title" : "Steroid regulation of drug-metabolizing cytochromes P450.", "type" : "article-journal", "volume" : "12" }, "uris" : [ "http://www.mendeley.com/documents/?uuid=3a0d84f2-9797-3d15-b282-99600a3dca74" ] }, { "id" : "ITEM-2", "itemData" : { "DOI" : "10.1126/science.1073502", "ISSN" : "1095-9203", "PMID" : "12376703", "abstract" : "We have identified the xenobiotic receptor CAR (constitutive androstane receptor) as a key regulator of acetaminophen metabolism and hepatotoxicity. Known CAR activators as well as high doses of acetaminophen induced expression of three acetaminophen-metabolizing enzymes in wild-type but not in CAR null mice, and the CAR null mice were resistant to acetaminophen toxicity. Inhibition of CAR activity by administration of the inverse agonist ligand androstanol 1 hour after acetaminophen treatment blocked hepatotoxicity in wild type but not in CAR null mice. These results suggest an innovative therapeutic approach for treating the adverse effects of acetaminophen and potentially other hepatotoxic agents.", "author" : [ { "dropping-particle" : "", "family" : "Zhang", "given" : "Jun", "non-dropping-particle" : "", "parse-names" : false, "suffix" : "" }, { "dropping-particle" : "", "family" : "Huang", "given" : "Wendong", "non-dropping-particle" : "", "parse-names" : false, "suffix" : "" }, { "dropping-particle" : "", "family" : "Chua", "given" : "Steven S", "non-dropping-particle" : "", "parse-names" : false, "suffix" : "" }, { "dropping-particle" : "", "family" : "Wei", "given" : "Ping", "non-dropping-particle" : "", "parse-names" : false, "suffix" : "" }, { "dropping-particle" : "", "family" : "Moore", "given" : "David D", "non-dropping-particle" : "", "parse-names" : false, "suffix" : "" } ], "container-title" : "Science (New York, N.Y.)", "id" : "ITEM-2", "issue" : "5592", "issued" : { "date-parts" : [ [ "2002", "10", "11" ] ] }, "page" : "422-4", "title" : "Modulation of acetaminophen-induced hepatotoxicity by the xenobiotic receptor CAR.", "type" : "article-journal", "volume" : "298" }, "uris" : [ "http://www.mendeley.com/documents/?uuid=ec693dca-d379-4191-bd25-27d5aba676da" ] }, { "id" : "ITEM-3", "itemData" : { "DOI" : "10.1124/mol.113.086298", "ISSN" : "1521-0111", "PMID" : "24019224", "abstract" : "Effective pharmacologic treatment of pain with opioids requires that these drugs attain efficacious concentrations in the central nervous system (CNS). A primary determinant of CNS drug permeation is P-glycoprotein (P-gp), an endogenous blood-brain barrier (BBB) efflux transporter that is involved in brain-to-blood transport of opioid analgesics (i.e., morphine). Recently, the nuclear receptor constitutive androstane receptor (CAR) has been identified as a regulator of P-gp functional expression at the BBB. This is critical to pharmacotherapy of pain/inflammation, as patients are often administered acetaminophen (APAP), a CAR-activating ligand, in conjunction with an opioid. Our objective was to investigate, in vivo, the role of CAR in regulation of P-gp at the BBB. Following APAP treatment, P-gp protein expression was increased up to 1.4-1.6-fold in a concentration-dependent manner. Additionally, APAP increased P-gp transport of BODIPY-verapamil in freshly isolated rat brain capillaries. This APAP-induced increase in P-gp expression and activity was attenuated in the presence of CAR pathway inhibitor okadaic acid or transcriptional inhibitor actinomycin D, suggesting P-gp regulation is CAR-dependent. Furthermore, morphine brain accumulation was enhanced by P-gp inhibitors in APAP-treated animals, suggesting P-gp-mediated transport. A warm-water (50\u00b0C) tail-flick assay revealed a significant decrease in morphine analgesia in animals treated with morphine 3 or 6 hours after APAP treatment, as compared with animals treated concurrently. Taken together, our data imply that inclusion of APAP in a pain treatment regimen activates CAR at the BBB and increases P-gp functional expression, a clinically significant drug-drug interaction that modulates opioid analgesic efficacy.", "author" : [ { "dropping-particle" : "", "family" : "Slosky", "given" : "Lauren M", "non-dropping-particle" : "", "parse-names" : false, "suffix" : "" }, { "dropping-particle" : "", "family" : "Thompson", "given" : "Brandon J", "non-dropping-particle" : "", "parse-names" : false, "suffix" : "" }, { "dropping-particle" : "", "family" : "Sanchez-Covarrubias", "given" : "Lucy", "non-dropping-particle" : "", "parse-names" : false, "suffix" : "" }, { "dropping-particle" : "", "family" : "Zhang", "given" : "Yifeng", "non-dropping-particle" : "", "parse-names" : false, "suffix" : "" }, { "dropping-particle" : "", "family" : "Laracuente", "given" : "Mei-Li", "non-dropping-particle" : "", "parse-names" : false, "suffix" : "" }, { "dropping-particle" : "", "family" : "Vanderah", "given" : "Todd W", "non-dropping-particle" : "", "parse-names" : false, "suffix" : "" }, { "dropping-particle" : "", "family" : "Ronaldson", "given" : "Patrick T", "non-dropping-particle" : "", "parse-names" : false, "suffix" : "" }, { "dropping-particle" : "", "family" : "Davis", "given" : "Thomas P", "non-dropping-particle" : "", "parse-names" : false, "suffix" : "" } ], "container-title" : "Molecular pharmacology", "id" : "ITEM-3", "issue" : "5", "issued" : { "date-parts" : [ [ "2013", "11" ] ] }, "page" : "774-86", "publisher" : "American Society for Pharmacology and Experimental Therapeutics", "title" : "Acetaminophen modulates P-glycoprotein functional expression at the blood-brain barrier by a constitutive androstane receptor-dependent mechanism.", "type" : "article-journal", "volume" : "84" }, "uris" : [ "http://www.mendeley.com/documents/?uuid=42579f86-eaf0-3188-8fee-29352e5b0e85" ] } ], "mendeley" : { "formattedCitation" : "&lt;sup&gt;12,20,45&lt;/sup&gt;", "plainTextFormattedCitation" : "12,20,45", "previouslyFormattedCitation" : "&lt;sup&gt;12,20,45&lt;/sup&gt;" }, "properties" : { "noteIndex" : 0 }, "schema" : "https://github.com/citation-style-language/schema/raw/master/csl-citation.json" }</w:instrText>
      </w:r>
      <w:r w:rsidR="00592D29">
        <w:fldChar w:fldCharType="separate"/>
      </w:r>
      <w:r w:rsidR="00592D29" w:rsidRPr="00592D29">
        <w:rPr>
          <w:noProof/>
          <w:vertAlign w:val="superscript"/>
        </w:rPr>
        <w:t>12,20,45</w:t>
      </w:r>
      <w:r w:rsidR="00592D29">
        <w:fldChar w:fldCharType="end"/>
      </w:r>
      <w:r w:rsidR="00497BFE">
        <w:t xml:space="preserve"> Our work therefore provides an important new link in understanding the connection between clock machinery, metabolism and pharmacokinetics.</w:t>
      </w:r>
    </w:p>
    <w:p w14:paraId="4E26414F" w14:textId="4E8C1D9A" w:rsidR="004A4381" w:rsidRDefault="0064549E" w:rsidP="00FF0510">
      <w:pPr>
        <w:spacing w:line="360" w:lineRule="auto"/>
        <w:jc w:val="both"/>
      </w:pPr>
      <w:r>
        <w:lastRenderedPageBreak/>
        <w:t>As CAR can be induced by xenobiotics, such as flavonoids, cathehins and similar poliphenols, and also active ingredients of drugs, eg barbiturates, paracetamol and some compounds with a steroid-like structure, it would also be interesting to see if such induction has any physiological effect on transcription of genes involved in circadian rhythms.</w:t>
      </w:r>
      <w:r w:rsidR="00FE26EC">
        <w:fldChar w:fldCharType="begin" w:fldLock="1"/>
      </w:r>
      <w:r w:rsidR="00790246">
        <w:instrText>ADDIN CSL_CITATION { "citationItems" : [ { "id" : "ITEM-1", "itemData" : { "DOI" : "10.1124/mol.113.086298", "ISSN" : "1521-0111", "PMID" : "24019224", "abstract" : "Effective pharmacologic treatment of pain with opioids requires that these drugs attain efficacious concentrations in the central nervous system (CNS). A primary determinant of CNS drug permeation is P-glycoprotein (P-gp), an endogenous blood-brain barrier (BBB) efflux transporter that is involved in brain-to-blood transport of opioid analgesics (i.e., morphine). Recently, the nuclear receptor constitutive androstane receptor (CAR) has been identified as a regulator of P-gp functional expression at the BBB. This is critical to pharmacotherapy of pain/inflammation, as patients are often administered acetaminophen (APAP), a CAR-activating ligand, in conjunction with an opioid. Our objective was to investigate, in vivo, the role of CAR in regulation of P-gp at the BBB. Following APAP treatment, P-gp protein expression was increased up to 1.4-1.6-fold in a concentration-dependent manner. Additionally, APAP increased P-gp transport of BODIPY-verapamil in freshly isolated rat brain capillaries. This APAP-induced increase in P-gp expression and activity was attenuated in the presence of CAR pathway inhibitor okadaic acid or transcriptional inhibitor actinomycin D, suggesting P-gp regulation is CAR-dependent. Furthermore, morphine brain accumulation was enhanced by P-gp inhibitors in APAP-treated animals, suggesting P-gp-mediated transport. A warm-water (50\u00b0C) tail-flick assay revealed a significant decrease in morphine analgesia in animals treated with morphine 3 or 6 hours after APAP treatment, as compared with animals treated concurrently. Taken together, our data imply that inclusion of APAP in a pain treatment regimen activates CAR at the BBB and increases P-gp functional expression, a clinically significant drug-drug interaction that modulates opioid analgesic efficacy.", "author" : [ { "dropping-particle" : "", "family" : "Slosky", "given" : "Lauren M", "non-dropping-particle" : "", "parse-names" : false, "suffix" : "" }, { "dropping-particle" : "", "family" : "Thompson", "given" : "Brandon J", "non-dropping-particle" : "", "parse-names" : false, "suffix" : "" }, { "dropping-particle" : "", "family" : "Sanchez-Covarrubias", "given" : "Lucy", "non-dropping-particle" : "", "parse-names" : false, "suffix" : "" }, { "dropping-particle" : "", "family" : "Zhang", "given" : "Yifeng", "non-dropping-particle" : "", "parse-names" : false, "suffix" : "" }, { "dropping-particle" : "", "family" : "Laracuente", "given" : "Mei-Li", "non-dropping-particle" : "", "parse-names" : false, "suffix" : "" }, { "dropping-particle" : "", "family" : "Vanderah", "given" : "Todd W", "non-dropping-particle" : "", "parse-names" : false, "suffix" : "" }, { "dropping-particle" : "", "family" : "Ronaldson", "given" : "Patrick T", "non-dropping-particle" : "", "parse-names" : false, "suffix" : "" }, { "dropping-particle" : "", "family" : "Davis", "given" : "Thomas P", "non-dropping-particle" : "", "parse-names" : false, "suffix" : "" } ], "container-title" : "Molecular pharmacology", "id" : "ITEM-1", "issue" : "5", "issued" : { "date-parts" : [ [ "2013", "11" ] ] }, "page" : "774-86", "publisher" : "American Society for Pharmacology and Experimental Therapeutics", "title" : "Acetaminophen modulates P-glycoprotein functional expression at the blood-brain barrier by a constitutive androstane receptor-dependent mechanism.", "type" : "article-journal", "volume" : "84" }, "uris" : [ "http://www.mendeley.com/documents/?uuid=42579f86-eaf0-3188-8fee-29352e5b0e85" ] }, { "id" : "ITEM-2", "itemData" : { "DOI" : "10.1021/jf903711q", "ISSN" : "1520-5118", "PMID" : "20099825", "abstract" : "The constitutive androstane receptor (CAR) is known as a xeno-sensor that regulates genes involved in xenobiotic excretion and energy metabolism. This study tested a variety of polyphenols for their ability to modulate CAR activity. HepG2 cells were transfected with a CAR expression plasmid and a reporter plasmid containing the human CYP2B6 regulatory region and then treated with flavonoids, catechins, and other bioactive polyphenols. Luciferase assays revealed that baicalein (5,6,7-OH flavone) was a potent activator of both human and mouse CAR. Catechin gallates also activated human and mouse CAR. Wild-type and CAR knockout mice were treated with baicalein and chrysin (5,7-OH flavone), and their liver mRNA was analyzed by real-time polymerase chain reaction (PCR). A significant increase in cyp2b10 mRNA content was observed only in wild-type mice fed chrysin. These results suggest that dietary flavonoids regulate CAR activity and thereby accelerate both detoxification and energy metabolism.", "author" : [ { "dropping-particle" : "", "family" : "Yao", "given" : "Ruiquing", "non-dropping-particle" : "", "parse-names" : false, "suffix" : "" }, { "dropping-particle" : "", "family" : "Yasuoka", "given" : "Akihito", "non-dropping-particle" : "", "parse-names" : false, "suffix" : "" }, { "dropping-particle" : "", "family" : "Kamei", "given" : "Asuka", "non-dropping-particle" : "", "parse-names" : false, "suffix" : "" }, { "dropping-particle" : "", "family" : "Kitagawa", "given" : "Yoshinori", "non-dropping-particle" : "", "parse-names" : false, "suffix" : "" }, { "dropping-particle" : "", "family" : "Tateishi", "given" : "Norifumi", "non-dropping-particle" : "", "parse-names" : false, "suffix" : "" }, { "dropping-particle" : "", "family" : "Tsuruoka", "given" : "Nobuo", "non-dropping-particle" : "", "parse-names" : false, "suffix" : "" }, { "dropping-particle" : "", "family" : "Kiso", "given" : "Yoshionobu", "non-dropping-particle" : "", "parse-names" : false, "suffix" : "" }, { "dropping-particle" : "", "family" : "Sueyoshi", "given" : "Tatsuya", "non-dropping-particle" : "", "parse-names" : false, "suffix" : "" }, { "dropping-particle" : "", "family" : "Negishi", "given" : "Masahiko", "non-dropping-particle" : "", "parse-names" : false, "suffix" : "" }, { "dropping-particle" : "", "family" : "Misaka", "given" : "Takumi", "non-dropping-particle" : "", "parse-names" : false, "suffix" : "" }, { "dropping-particle" : "", "family" : "Abe", "given" : "Keiko", "non-dropping-particle" : "", "parse-names" : false, "suffix" : "" } ], "container-title" : "Journal of agricultural and food chemistry", "id" : "ITEM-2", "issue" : "4", "issued" : { "date-parts" : [ [ "2010", "2", "24" ] ] }, "page" : "2168-73", "title" : "Dietary flavonoids activate the constitutive androstane receptor (CAR).", "type" : "article-journal", "volume" : "58" }, "uris" : [ "http://www.mendeley.com/documents/?uuid=41f6a80d-50b3-4fb8-add2-fceca7d0b2e0" ] }, { "id" : "ITEM-3", "itemData" : { "DOI" : "10.1124/mol.58.6.1441", "ISSN" : "0026-895X", "PMID" : "11093784", "abstract" : "The barbiturate phenobarbital induces the transcription of cytochromes P450 (CYPs) 2B through the constitutive androstane receptor (CAR; NR1I3). CAR is a member of the nuclear receptor family (NR1) mostly expressed in the liver, which heterodimerizes with retinoid X receptor (RXR) and was shown to transactivate both the phenobarbital responsive element module of the human CYP2B6 gene and the CYP3A4 xenobiotic response element. Because previous studies in rodent hepatocyte cultures have shown that the phenobarbital-mediated induction of CYP2B genes is potentiated by glucocorticoids, we examined the role of activated glucocorticoid receptor in this process. We show that submicromolar concentrations of dexamethasone enhance phenobarbital-mediated induction of CYP3A4, CYP2B6, and CYP2C8 mRNA in cultured human hepatocytes. In parallel, we observed that glucocorticoid agonists, such as dexamethasone, prednisolone, or hydrocortisone, specifically increase human car (hCAR) mRNA expression. Accumulation of hCAR mRNA parallels that of tyrosine aminotransferase: both mRNAs reach a maximum at a concentration of 100 nM dexamethasone and are down-regulated by concomitant treatment with the glucocorticoid antagonist RU486. Moreover, the effect of dexamethasone on hCAR mRNA accumulation appears to be of transcriptional origin because the addition of protein synthesis inhibitor cycloheximide has no effect, and dexamethasone does not affect the degradation of hCAR mRNA. Furthermore, dexamethasone increases both basal and phenobarbital-mediated nuclear translocation of CAR immunoreactive protein in human hepatocytes. The up-regulation of CAR mRNA and protein in response to dexamethasone explains the synergistic effect of this glucocorticoid on phenobarbital-mediated induction of CYP2B genes and the controversial role of the glucocorticoid receptor on phenobarbital-mediated CYP gene inductions.", "author" : [ { "dropping-particle" : "", "family" : "Pascussi", "given" : "Jean-Marc", "non-dropping-particle" : "", "parse-names" : false, "suffix" : "" }, { "dropping-particle" : "", "family" : "Gerbal-Chaloin", "given" : "Sabine", "non-dropping-particle" : "", "parse-names" : false, "suffix" : "" }, { "dropping-particle" : "", "family" : "Fabre", "given" : "Jean-Michel", "non-dropping-particle" : "", "parse-names" : false, "suffix" : "" }, { "dropping-particle" : "", "family" : "Maurel", "given" : "Patrick", "non-dropping-particle" : "", "parse-names" : false, "suffix" : "" }, { "dropping-particle" : "", "family" : "Vilarem", "given" : "Marie-Jose", "non-dropping-particle" : "", "parse-names" : false, "suffix" : "" } ], "container-title" : "Mol. Pharmacol.", "id" : "ITEM-3", "issue" : "6", "issued" : { "date-parts" : [ [ "2000" ] ] }, "page" : "1441-1450", "title" : "Dexamethasone Enhances Constitutive Androstane Receptor Expression in Human Hepatocytes: Consequences on Cytochrome P450 Gene Regulation", "type" : "article-journal", "volume" : "58" }, "uris" : [ "http://www.mendeley.com/documents/?uuid=18f4a9af-0f0c-4697-91a8-be1f53d72b97" ] }, { "id" : "ITEM-4", "itemData" : { "ISSN" : "0270-7306", "PMID" : "10454578", "abstract" : "The constitutively active receptor (CAR) transactivates a distal enhancer called the phenobarbital (PB)-responsive enhancer module (PBREM) found in PB-inducible CYP2B genes. CAR dramatically increases its binding to PBREM in livers of PB-treated mice. We have investigated the cellular mechanism of PB-induced increase of CAR binding. Western blot analyses of mouse livers revealed an extensive nuclear accumulation of CAR following PB treatment. Nuclear contents of CAR perfectly correlate with an increase of CAR binding to PBREM. PB-elicited nuclear accumulation of CAR appears to be a general step regulating the induction of CYP2B genes, since treatments with other PB-type inducers result in the same nuclear accumulation of CAR. Both immunoprecipitation and immunohistochemistry studies show cytoplasmic localization of CAR in the livers of nontreated mice, indicating that CAR translocates into nuclei following PB treatment. Nuclear translocation of CAR also occurs in mouse primary hepatocytes but not in hepatocytes treated with the protein phosphatase inhibitor okadaic acid. Thus, the CAR-mediated transactivation of PBREM in vivo becomes PB responsive through an okadaic acid-sensitive nuclear translocation process.", "author" : [ { "dropping-particle" : "", "family" : "Kawamoto", "given" : "T", "non-dropping-particle" : "", "parse-names" : false, "suffix" : "" }, { "dropping-particle" : "", "family" : "Sueyoshi", "given" : "T", "non-dropping-particle" : "", "parse-names" : false, "suffix" : "" }, { "dropping-particle" : "", "family" : "Zelko", "given" : "I", "non-dropping-particle" : "", "parse-names" : false, "suffix" : "" }, { "dropping-particle" : "", "family" : "Moore", "given" : "R", "non-dropping-particle" : "", "parse-names" : false, "suffix" : "" }, { "dropping-particle" : "", "family" : "Washburn", "given" : "K", "non-dropping-particle" : "", "parse-names" : false, "suffix" : "" }, { "dropping-particle" : "", "family" : "Negishi", "given" : "M", "non-dropping-particle" : "", "parse-names" : false, "suffix" : "" } ], "container-title" : "Molecular and cellular biology", "id" : "ITEM-4", "issue" : "9", "issued" : { "date-parts" : [ [ "1999", "9" ] ] }, "page" : "6318-22", "title" : "Phenobarbital-responsive nuclear translocation of the receptor CAR in induction of the CYP2B gene.", "type" : "article-journal", "volume" : "19" }, "uris" : [ "http://www.mendeley.com/documents/?uuid=33cb923b-0151-4661-a48f-f168bdb0de53" ] } ], "mendeley" : { "formattedCitation" : "&lt;sup&gt;13,16,18,45&lt;/sup&gt;", "plainTextFormattedCitation" : "13,16,18,45", "previouslyFormattedCitation" : "&lt;sup&gt;13,16,18,45&lt;/sup&gt;" }, "properties" : { "noteIndex" : 0 }, "schema" : "https://github.com/citation-style-language/schema/raw/master/csl-citation.json" }</w:instrText>
      </w:r>
      <w:r w:rsidR="00FE26EC">
        <w:fldChar w:fldCharType="separate"/>
      </w:r>
      <w:r w:rsidR="00790246" w:rsidRPr="00790246">
        <w:rPr>
          <w:noProof/>
          <w:vertAlign w:val="superscript"/>
        </w:rPr>
        <w:t>13,16,18,45</w:t>
      </w:r>
      <w:r w:rsidR="00FE26EC">
        <w:fldChar w:fldCharType="end"/>
      </w:r>
      <w:r w:rsidR="00FE26EC">
        <w:t xml:space="preserve"> However, such induction of CAR is unlikely to have a big impact on robust oscillatory mechanisms.</w:t>
      </w:r>
    </w:p>
    <w:p w14:paraId="5C3DF560" w14:textId="7571810E" w:rsidR="005F04BF" w:rsidRDefault="005F04BF" w:rsidP="00FF0510">
      <w:pPr>
        <w:spacing w:line="360" w:lineRule="auto"/>
        <w:jc w:val="both"/>
      </w:pPr>
      <w:r>
        <w:t xml:space="preserve">Our work also suggests that period homologues should be considered as possible </w:t>
      </w:r>
      <w:r w:rsidR="00161899">
        <w:t>NR</w:t>
      </w:r>
      <w:r>
        <w:t xml:space="preserve"> co-activators, not only of </w:t>
      </w:r>
      <w:r w:rsidR="00161899">
        <w:t>NRs</w:t>
      </w:r>
      <w:r>
        <w:t xml:space="preserve"> that have an established role in circadian rhythms.</w:t>
      </w:r>
      <w:r w:rsidR="00FE26EC">
        <w:t xml:space="preserve"> Perhaps such mechanisms of multiple co-activators being able to activate a single NR could provide a compensatory mechanism in case of co-activator deregulation. On the other hand, different co-activators</w:t>
      </w:r>
      <w:r w:rsidR="00161899">
        <w:t xml:space="preserve"> are expressed differentially in tissues with different phases of expression, which could in fact define a NR's tissue and time specific function.</w:t>
      </w:r>
    </w:p>
    <w:p w14:paraId="09012D9B" w14:textId="36A366AB" w:rsidR="00507961" w:rsidRDefault="00CC2F65" w:rsidP="00FF0510">
      <w:pPr>
        <w:spacing w:line="360" w:lineRule="auto"/>
        <w:jc w:val="both"/>
      </w:pPr>
      <w:r>
        <w:t>In conclusion, we</w:t>
      </w:r>
      <w:r w:rsidR="00507961">
        <w:t xml:space="preserve"> show</w:t>
      </w:r>
      <w:r w:rsidR="00BD4B99">
        <w:t xml:space="preserve"> that CAR and PER2 can form an</w:t>
      </w:r>
      <w:r w:rsidR="00507961">
        <w:t xml:space="preserve"> i</w:t>
      </w:r>
      <w:r>
        <w:t>n</w:t>
      </w:r>
      <w:r w:rsidR="003B6F06">
        <w:t>t</w:t>
      </w:r>
      <w:r>
        <w:t>eraction</w:t>
      </w:r>
      <w:r w:rsidR="00BD4B99">
        <w:t xml:space="preserve"> </w:t>
      </w:r>
      <w:r>
        <w:t xml:space="preserve">which has implicaitons for circadian aspects of drug metabolism. </w:t>
      </w:r>
    </w:p>
    <w:p w14:paraId="4ADA0D67" w14:textId="2AF97E59" w:rsidR="53024C8F" w:rsidRDefault="5ECC47B9" w:rsidP="00FF0510">
      <w:pPr>
        <w:pStyle w:val="Heading3"/>
        <w:spacing w:line="360" w:lineRule="auto"/>
        <w:jc w:val="both"/>
      </w:pPr>
      <w:r>
        <w:t>Authors' contributions</w:t>
      </w:r>
    </w:p>
    <w:p w14:paraId="14010BE6" w14:textId="29CEA5D1" w:rsidR="53024C8F" w:rsidRDefault="005F04BF" w:rsidP="00FF0510">
      <w:pPr>
        <w:spacing w:line="360" w:lineRule="auto"/>
        <w:jc w:val="both"/>
      </w:pPr>
      <w:r>
        <w:t xml:space="preserve">T. M. performed transfections, the luciferase assay and bioinformatical and structural analyses. The bioinformatical and structural analyses were performed under expert supervission and guidance of J. S. </w:t>
      </w:r>
      <w:r w:rsidR="5ECC47B9">
        <w:t xml:space="preserve">U. P. Z. first noticed the possibility of an interaction between CAR and PER2 during her preliminary screenings for interactions of PER2 with nuclear receptors. She also performed co-IP. </w:t>
      </w:r>
      <w:r>
        <w:t xml:space="preserve">Experiment planing and protocol preparation was performed by </w:t>
      </w:r>
      <w:r w:rsidR="003536A5">
        <w:t xml:space="preserve">U.P.Z. and </w:t>
      </w:r>
      <w:r>
        <w:t xml:space="preserve">D. R. </w:t>
      </w:r>
      <w:r w:rsidR="5ECC47B9">
        <w:t>The manuscript draft was prepared by T. M. and finalised by all authors. All authors read and approved the final manuscript.</w:t>
      </w:r>
    </w:p>
    <w:p w14:paraId="15ED8E71" w14:textId="11BD07C2" w:rsidR="53024C8F" w:rsidRDefault="5ECC47B9" w:rsidP="00FF0510">
      <w:pPr>
        <w:pStyle w:val="Heading3"/>
        <w:spacing w:line="360" w:lineRule="auto"/>
        <w:jc w:val="both"/>
      </w:pPr>
      <w:r>
        <w:t>Acknowledgements</w:t>
      </w:r>
    </w:p>
    <w:p w14:paraId="3F6F2F67" w14:textId="729A76D0" w:rsidR="53024C8F" w:rsidRDefault="5ECC47B9" w:rsidP="00FF0510">
      <w:pPr>
        <w:spacing w:line="360" w:lineRule="auto"/>
        <w:jc w:val="both"/>
      </w:pPr>
      <w:r>
        <w:t xml:space="preserve">We would kindly like to thank </w:t>
      </w:r>
      <w:r w:rsidR="00CB3FAB">
        <w:t xml:space="preserve">J. Ripperger and </w:t>
      </w:r>
      <w:r>
        <w:t xml:space="preserve">U. Albrecht for providing </w:t>
      </w:r>
      <w:r w:rsidRPr="5ECC47B9">
        <w:rPr>
          <w:i/>
          <w:iCs/>
        </w:rPr>
        <w:t>Bmal1 luc</w:t>
      </w:r>
      <w:r w:rsidR="005F04BF">
        <w:t>,</w:t>
      </w:r>
      <w:r>
        <w:t xml:space="preserve"> </w:t>
      </w:r>
      <w:r w:rsidRPr="5ECC47B9">
        <w:rPr>
          <w:i/>
          <w:iCs/>
        </w:rPr>
        <w:t>Per2</w:t>
      </w:r>
      <w:r>
        <w:t xml:space="preserve"> </w:t>
      </w:r>
      <w:r w:rsidR="005F04BF">
        <w:t xml:space="preserve">and </w:t>
      </w:r>
      <w:r w:rsidR="005F04BF" w:rsidRPr="005F04BF">
        <w:rPr>
          <w:i/>
        </w:rPr>
        <w:t>Ppar</w:t>
      </w:r>
      <w:r w:rsidR="00E637D3">
        <w:rPr>
          <w:rFonts w:ascii="Calibri" w:hAnsi="Calibri"/>
          <w:i/>
        </w:rPr>
        <w:t>α</w:t>
      </w:r>
      <w:r w:rsidR="005F04BF">
        <w:t xml:space="preserve"> </w:t>
      </w:r>
      <w:r>
        <w:t>constructs</w:t>
      </w:r>
      <w:r w:rsidR="00E637D3">
        <w:t>,</w:t>
      </w:r>
      <w:r w:rsidR="003942ED">
        <w:t xml:space="preserve"> JM.</w:t>
      </w:r>
      <w:r w:rsidR="005F04BF">
        <w:t xml:space="preserve"> Pascussi for the </w:t>
      </w:r>
      <w:r w:rsidR="005F04BF" w:rsidRPr="005F04BF">
        <w:rPr>
          <w:i/>
        </w:rPr>
        <w:t>Car</w:t>
      </w:r>
      <w:r w:rsidR="005F04BF">
        <w:t xml:space="preserve"> </w:t>
      </w:r>
      <w:r w:rsidR="00E637D3">
        <w:t xml:space="preserve">expression </w:t>
      </w:r>
      <w:r w:rsidR="005F04BF">
        <w:t>construct</w:t>
      </w:r>
      <w:r w:rsidR="003942ED">
        <w:t xml:space="preserve"> and M. Nagishi</w:t>
      </w:r>
      <w:r w:rsidR="00E637D3">
        <w:t xml:space="preserve"> for the </w:t>
      </w:r>
      <w:r w:rsidR="00E637D3" w:rsidRPr="00E637D3">
        <w:rPr>
          <w:i/>
        </w:rPr>
        <w:t>Car-</w:t>
      </w:r>
      <w:r w:rsidR="00E637D3">
        <w:rPr>
          <w:i/>
        </w:rPr>
        <w:t>F</w:t>
      </w:r>
      <w:r w:rsidR="00E637D3" w:rsidRPr="00E637D3">
        <w:rPr>
          <w:i/>
        </w:rPr>
        <w:t>lag</w:t>
      </w:r>
      <w:r>
        <w:t xml:space="preserve">. </w:t>
      </w:r>
      <w:r w:rsidR="000D6F76">
        <w:t xml:space="preserve">The view of J. Ačimovič on statistical analysis of transfection results is highly appreciated. </w:t>
      </w:r>
      <w:r>
        <w:t>A sincere thank</w:t>
      </w:r>
      <w:r w:rsidR="005F04BF">
        <w:t xml:space="preserve"> you</w:t>
      </w:r>
      <w:r>
        <w:t xml:space="preserve"> to M. Hafner, Ni. and Nu. Trošt and Ž. Urlep for their advice. We would also like to thank I. Mlinarič Raščan for a critical overview</w:t>
      </w:r>
      <w:r w:rsidR="003536A5">
        <w:t>.</w:t>
      </w:r>
      <w:r>
        <w:t>. The work described here contains part of the master thesis work of T. M.</w:t>
      </w:r>
      <w:r w:rsidR="003536A5">
        <w:t xml:space="preserve"> and was supported by the Slovenian Research Agency program grants P1-0104 and P1-0390.</w:t>
      </w:r>
    </w:p>
    <w:p w14:paraId="788F5C13" w14:textId="6BB40D37" w:rsidR="00BB3AA2" w:rsidRDefault="00FF0510" w:rsidP="00BB3AA2">
      <w:pPr>
        <w:pStyle w:val="Heading2"/>
      </w:pPr>
      <w:r>
        <w:t>References</w:t>
      </w:r>
    </w:p>
    <w:p w14:paraId="7F929AAE" w14:textId="4F635CD8" w:rsidR="00D40DAA" w:rsidRPr="00BB4B4C" w:rsidRDefault="00BB3AA2" w:rsidP="00D40DAA">
      <w:pPr>
        <w:widowControl w:val="0"/>
        <w:autoSpaceDE w:val="0"/>
        <w:autoSpaceDN w:val="0"/>
        <w:adjustRightInd w:val="0"/>
        <w:spacing w:line="240" w:lineRule="auto"/>
        <w:ind w:left="640" w:hanging="640"/>
        <w:rPr>
          <w:rFonts w:ascii="Calibri" w:hAnsi="Calibri"/>
          <w:noProof/>
          <w:szCs w:val="24"/>
        </w:rPr>
      </w:pPr>
      <w:r>
        <w:fldChar w:fldCharType="begin" w:fldLock="1"/>
      </w:r>
      <w:r>
        <w:instrText xml:space="preserve">ADDIN Mendeley Bibliography CSL_BIBLIOGRAPHY </w:instrText>
      </w:r>
      <w:r>
        <w:fldChar w:fldCharType="separate"/>
      </w:r>
      <w:r w:rsidR="00D40DAA" w:rsidRPr="00BB4B4C">
        <w:rPr>
          <w:rFonts w:ascii="Calibri" w:hAnsi="Calibri"/>
          <w:noProof/>
          <w:szCs w:val="24"/>
        </w:rPr>
        <w:t>1.</w:t>
      </w:r>
      <w:r w:rsidR="00D40DAA" w:rsidRPr="00BB4B4C">
        <w:rPr>
          <w:rFonts w:ascii="Calibri" w:hAnsi="Calibri"/>
          <w:noProof/>
          <w:szCs w:val="24"/>
        </w:rPr>
        <w:tab/>
      </w:r>
      <w:r w:rsidR="002438C7">
        <w:rPr>
          <w:rFonts w:ascii="Calibri" w:hAnsi="Calibri"/>
          <w:noProof/>
          <w:szCs w:val="24"/>
        </w:rPr>
        <w:t xml:space="preserve">I. </w:t>
      </w:r>
      <w:r w:rsidR="00D40DAA" w:rsidRPr="00BB4B4C">
        <w:rPr>
          <w:rFonts w:ascii="Calibri" w:hAnsi="Calibri"/>
          <w:noProof/>
          <w:szCs w:val="24"/>
        </w:rPr>
        <w:t xml:space="preserve">Schmutz, </w:t>
      </w:r>
      <w:r w:rsidR="002438C7">
        <w:rPr>
          <w:rFonts w:ascii="Calibri" w:hAnsi="Calibri"/>
          <w:noProof/>
          <w:szCs w:val="24"/>
        </w:rPr>
        <w:t xml:space="preserve">J. A. </w:t>
      </w:r>
      <w:r w:rsidR="00D40DAA" w:rsidRPr="00BB4B4C">
        <w:rPr>
          <w:rFonts w:ascii="Calibri" w:hAnsi="Calibri"/>
          <w:noProof/>
          <w:szCs w:val="24"/>
        </w:rPr>
        <w:t>Ripperger</w:t>
      </w:r>
      <w:r w:rsidR="00BB4B4C" w:rsidRPr="00BB4B4C">
        <w:rPr>
          <w:rFonts w:ascii="Calibri" w:hAnsi="Calibri"/>
          <w:noProof/>
          <w:szCs w:val="24"/>
        </w:rPr>
        <w:t xml:space="preserve">, </w:t>
      </w:r>
      <w:r w:rsidR="002438C7">
        <w:rPr>
          <w:rFonts w:ascii="Calibri" w:hAnsi="Calibri"/>
          <w:noProof/>
          <w:szCs w:val="24"/>
        </w:rPr>
        <w:t xml:space="preserve">S. </w:t>
      </w:r>
      <w:r w:rsidR="00BB4B4C" w:rsidRPr="00BB4B4C">
        <w:rPr>
          <w:rFonts w:ascii="Calibri" w:hAnsi="Calibri"/>
          <w:noProof/>
          <w:szCs w:val="24"/>
        </w:rPr>
        <w:t>Baeriswyl-Aebischer,</w:t>
      </w:r>
      <w:r w:rsidR="00D40DAA" w:rsidRPr="00BB4B4C">
        <w:rPr>
          <w:rFonts w:ascii="Calibri" w:hAnsi="Calibri"/>
          <w:noProof/>
          <w:szCs w:val="24"/>
        </w:rPr>
        <w:t xml:space="preserve"> </w:t>
      </w:r>
      <w:r w:rsidR="002438C7">
        <w:rPr>
          <w:rFonts w:ascii="Calibri" w:hAnsi="Calibri"/>
          <w:noProof/>
          <w:szCs w:val="24"/>
        </w:rPr>
        <w:t xml:space="preserve">U. </w:t>
      </w:r>
      <w:r w:rsidR="00D40DAA" w:rsidRPr="00BB4B4C">
        <w:rPr>
          <w:rFonts w:ascii="Calibri" w:hAnsi="Calibri"/>
          <w:noProof/>
          <w:szCs w:val="24"/>
        </w:rPr>
        <w:t>Albrecht</w:t>
      </w:r>
      <w:r w:rsidR="00915182">
        <w:rPr>
          <w:rFonts w:ascii="Calibri" w:hAnsi="Calibri"/>
          <w:noProof/>
          <w:szCs w:val="24"/>
        </w:rPr>
        <w:t xml:space="preserve">, </w:t>
      </w:r>
      <w:r w:rsidR="00D40DAA" w:rsidRPr="00BB4B4C">
        <w:rPr>
          <w:rFonts w:ascii="Calibri" w:hAnsi="Calibri"/>
          <w:i/>
          <w:iCs/>
          <w:noProof/>
          <w:szCs w:val="24"/>
        </w:rPr>
        <w:t>Genes Dev.</w:t>
      </w:r>
      <w:r w:rsidR="00D40DAA" w:rsidRPr="00BB4B4C">
        <w:rPr>
          <w:rFonts w:ascii="Calibri" w:hAnsi="Calibri"/>
          <w:noProof/>
          <w:szCs w:val="24"/>
        </w:rPr>
        <w:t xml:space="preserve"> </w:t>
      </w:r>
      <w:r w:rsidR="00915182" w:rsidRPr="00915182">
        <w:rPr>
          <w:rFonts w:ascii="Calibri" w:hAnsi="Calibri"/>
          <w:b/>
          <w:noProof/>
          <w:szCs w:val="24"/>
        </w:rPr>
        <w:t>2010</w:t>
      </w:r>
      <w:r w:rsidR="00915182">
        <w:rPr>
          <w:rFonts w:ascii="Calibri" w:hAnsi="Calibri"/>
          <w:noProof/>
          <w:szCs w:val="24"/>
        </w:rPr>
        <w:t xml:space="preserve">, </w:t>
      </w:r>
      <w:r w:rsidR="00D40DAA" w:rsidRPr="00915182">
        <w:rPr>
          <w:rFonts w:ascii="Calibri" w:hAnsi="Calibri"/>
          <w:bCs/>
          <w:i/>
          <w:noProof/>
          <w:szCs w:val="24"/>
        </w:rPr>
        <w:t>24</w:t>
      </w:r>
      <w:r w:rsidR="00D40DAA" w:rsidRPr="00BB4B4C">
        <w:rPr>
          <w:rFonts w:ascii="Calibri" w:hAnsi="Calibri"/>
          <w:bCs/>
          <w:noProof/>
          <w:szCs w:val="24"/>
        </w:rPr>
        <w:t>,</w:t>
      </w:r>
      <w:r w:rsidR="00D40DAA" w:rsidRPr="00BB4B4C">
        <w:rPr>
          <w:rFonts w:ascii="Calibri" w:hAnsi="Calibri"/>
          <w:noProof/>
          <w:szCs w:val="24"/>
        </w:rPr>
        <w:t xml:space="preserve"> 345–</w:t>
      </w:r>
      <w:r w:rsidR="00915182">
        <w:rPr>
          <w:rFonts w:ascii="Calibri" w:hAnsi="Calibri"/>
          <w:noProof/>
          <w:szCs w:val="24"/>
        </w:rPr>
        <w:t>3</w:t>
      </w:r>
      <w:r w:rsidR="00D40DAA" w:rsidRPr="00BB4B4C">
        <w:rPr>
          <w:rFonts w:ascii="Calibri" w:hAnsi="Calibri"/>
          <w:noProof/>
          <w:szCs w:val="24"/>
        </w:rPr>
        <w:t>57.</w:t>
      </w:r>
    </w:p>
    <w:p w14:paraId="36450AF5" w14:textId="4314D8D0"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w:t>
      </w:r>
      <w:r w:rsidRPr="00BB4B4C">
        <w:rPr>
          <w:rFonts w:ascii="Calibri" w:hAnsi="Calibri"/>
          <w:noProof/>
          <w:szCs w:val="24"/>
        </w:rPr>
        <w:tab/>
      </w:r>
      <w:r w:rsidR="002438C7">
        <w:rPr>
          <w:rFonts w:ascii="Calibri" w:hAnsi="Calibri"/>
          <w:noProof/>
          <w:szCs w:val="24"/>
        </w:rPr>
        <w:t xml:space="preserve">R. </w:t>
      </w:r>
      <w:r w:rsidRPr="00BB4B4C">
        <w:rPr>
          <w:rFonts w:ascii="Calibri" w:hAnsi="Calibri"/>
          <w:noProof/>
          <w:szCs w:val="24"/>
        </w:rPr>
        <w:t xml:space="preserve">Chavan </w:t>
      </w:r>
      <w:r w:rsidRPr="00915182">
        <w:rPr>
          <w:rFonts w:ascii="Calibri" w:hAnsi="Calibri"/>
          <w:iCs/>
          <w:noProof/>
          <w:szCs w:val="24"/>
        </w:rPr>
        <w:t>et al</w:t>
      </w:r>
      <w:r w:rsidR="00915182">
        <w:rPr>
          <w:rFonts w:ascii="Calibri" w:hAnsi="Calibri"/>
          <w:iCs/>
          <w:noProof/>
          <w:szCs w:val="24"/>
        </w:rPr>
        <w:t>.</w:t>
      </w:r>
      <w:r w:rsidR="00915182">
        <w:rPr>
          <w:rFonts w:ascii="Calibri" w:hAnsi="Calibri"/>
          <w:i/>
          <w:iCs/>
          <w:noProof/>
          <w:szCs w:val="24"/>
        </w:rPr>
        <w:t xml:space="preserve">, </w:t>
      </w:r>
      <w:r w:rsidRPr="00BB4B4C">
        <w:rPr>
          <w:rFonts w:ascii="Calibri" w:hAnsi="Calibri"/>
          <w:i/>
          <w:iCs/>
          <w:noProof/>
          <w:szCs w:val="24"/>
        </w:rPr>
        <w:t>Nat. Commun.</w:t>
      </w:r>
      <w:r w:rsidR="00915182">
        <w:rPr>
          <w:rFonts w:ascii="Calibri" w:hAnsi="Calibri"/>
          <w:iCs/>
          <w:noProof/>
          <w:szCs w:val="24"/>
        </w:rPr>
        <w:t xml:space="preserve"> </w:t>
      </w:r>
      <w:r w:rsidR="00915182">
        <w:rPr>
          <w:rFonts w:ascii="Calibri" w:hAnsi="Calibri"/>
          <w:b/>
          <w:iCs/>
          <w:noProof/>
          <w:szCs w:val="24"/>
        </w:rPr>
        <w:t>2017</w:t>
      </w:r>
      <w:r w:rsidR="00915182">
        <w:rPr>
          <w:rFonts w:ascii="Calibri" w:hAnsi="Calibri"/>
          <w:iCs/>
          <w:noProof/>
          <w:szCs w:val="24"/>
        </w:rPr>
        <w:t>,</w:t>
      </w:r>
      <w:r w:rsidRPr="00BB4B4C">
        <w:rPr>
          <w:rFonts w:ascii="Calibri" w:hAnsi="Calibri"/>
          <w:noProof/>
          <w:szCs w:val="24"/>
        </w:rPr>
        <w:t xml:space="preserve"> </w:t>
      </w:r>
      <w:r w:rsidRPr="00915182">
        <w:rPr>
          <w:rFonts w:ascii="Calibri" w:hAnsi="Calibri"/>
          <w:bCs/>
          <w:i/>
          <w:noProof/>
          <w:szCs w:val="24"/>
        </w:rPr>
        <w:t>7</w:t>
      </w:r>
      <w:r w:rsidR="00E92BFC">
        <w:rPr>
          <w:rFonts w:ascii="Calibri" w:hAnsi="Calibri"/>
          <w:bCs/>
          <w:i/>
          <w:noProof/>
          <w:szCs w:val="24"/>
        </w:rPr>
        <w:t>,</w:t>
      </w:r>
      <w:r w:rsidR="00EB0480">
        <w:rPr>
          <w:rFonts w:ascii="Calibri" w:hAnsi="Calibri"/>
          <w:bCs/>
          <w:i/>
          <w:noProof/>
          <w:szCs w:val="24"/>
        </w:rPr>
        <w:t xml:space="preserve"> </w:t>
      </w:r>
      <w:r w:rsidR="00E92BFC">
        <w:rPr>
          <w:rFonts w:ascii="Calibri" w:hAnsi="Calibri"/>
          <w:bCs/>
          <w:noProof/>
          <w:szCs w:val="24"/>
        </w:rPr>
        <w:t>ncomms10580</w:t>
      </w:r>
      <w:r w:rsidRPr="00BB4B4C">
        <w:rPr>
          <w:rFonts w:ascii="Calibri" w:hAnsi="Calibri"/>
          <w:noProof/>
          <w:szCs w:val="24"/>
        </w:rPr>
        <w:t>.</w:t>
      </w:r>
    </w:p>
    <w:p w14:paraId="11C23BB0" w14:textId="68DC4F6C"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w:t>
      </w:r>
      <w:r w:rsidRPr="00BB4B4C">
        <w:rPr>
          <w:rFonts w:ascii="Calibri" w:hAnsi="Calibri"/>
          <w:noProof/>
          <w:szCs w:val="24"/>
        </w:rPr>
        <w:tab/>
      </w:r>
      <w:r w:rsidR="002438C7">
        <w:rPr>
          <w:rFonts w:ascii="Calibri" w:hAnsi="Calibri"/>
          <w:noProof/>
          <w:szCs w:val="24"/>
        </w:rPr>
        <w:t xml:space="preserve">U. P. </w:t>
      </w:r>
      <w:r w:rsidRPr="00BB4B4C">
        <w:rPr>
          <w:rFonts w:ascii="Calibri" w:hAnsi="Calibri"/>
          <w:noProof/>
          <w:szCs w:val="24"/>
        </w:rPr>
        <w:t xml:space="preserve">Zmrzljak, </w:t>
      </w:r>
      <w:r w:rsidR="002438C7">
        <w:rPr>
          <w:rFonts w:ascii="Calibri" w:hAnsi="Calibri"/>
          <w:noProof/>
          <w:szCs w:val="24"/>
        </w:rPr>
        <w:t xml:space="preserve">D. </w:t>
      </w:r>
      <w:r w:rsidRPr="00BB4B4C">
        <w:rPr>
          <w:rFonts w:ascii="Calibri" w:hAnsi="Calibri"/>
          <w:noProof/>
          <w:szCs w:val="24"/>
        </w:rPr>
        <w:t>Rozman</w:t>
      </w:r>
      <w:r w:rsidR="00915182">
        <w:rPr>
          <w:rFonts w:ascii="Calibri" w:hAnsi="Calibri"/>
          <w:noProof/>
          <w:szCs w:val="24"/>
        </w:rPr>
        <w:t>,</w:t>
      </w:r>
      <w:r w:rsidRPr="00BB4B4C">
        <w:rPr>
          <w:rFonts w:ascii="Calibri" w:hAnsi="Calibri"/>
          <w:noProof/>
          <w:szCs w:val="24"/>
        </w:rPr>
        <w:t xml:space="preserve"> </w:t>
      </w:r>
      <w:r w:rsidRPr="00BB4B4C">
        <w:rPr>
          <w:rFonts w:ascii="Calibri" w:hAnsi="Calibri"/>
          <w:i/>
          <w:iCs/>
          <w:noProof/>
          <w:szCs w:val="24"/>
        </w:rPr>
        <w:t xml:space="preserve">Chem. Res. </w:t>
      </w:r>
      <w:r w:rsidRPr="00915182">
        <w:rPr>
          <w:rFonts w:ascii="Calibri" w:hAnsi="Calibri"/>
          <w:i/>
          <w:iCs/>
          <w:noProof/>
          <w:szCs w:val="24"/>
        </w:rPr>
        <w:t>Toxicol</w:t>
      </w:r>
      <w:r w:rsidRPr="00BB4B4C">
        <w:rPr>
          <w:rFonts w:ascii="Calibri" w:hAnsi="Calibri"/>
          <w:i/>
          <w:iCs/>
          <w:noProof/>
          <w:szCs w:val="24"/>
        </w:rPr>
        <w:t>.</w:t>
      </w:r>
      <w:r w:rsidR="00915182">
        <w:rPr>
          <w:rFonts w:ascii="Calibri" w:hAnsi="Calibri"/>
          <w:iCs/>
          <w:noProof/>
          <w:szCs w:val="24"/>
        </w:rPr>
        <w:t xml:space="preserve"> </w:t>
      </w:r>
      <w:r w:rsidR="00915182" w:rsidRPr="00915182">
        <w:rPr>
          <w:rFonts w:ascii="Calibri" w:hAnsi="Calibri"/>
          <w:b/>
          <w:iCs/>
          <w:noProof/>
          <w:szCs w:val="24"/>
        </w:rPr>
        <w:t>2012</w:t>
      </w:r>
      <w:r w:rsidR="00915182">
        <w:rPr>
          <w:rFonts w:ascii="Calibri" w:hAnsi="Calibri"/>
          <w:iCs/>
          <w:noProof/>
          <w:szCs w:val="24"/>
        </w:rPr>
        <w:t>,</w:t>
      </w:r>
      <w:r w:rsidRPr="00BB4B4C">
        <w:rPr>
          <w:rFonts w:ascii="Calibri" w:hAnsi="Calibri"/>
          <w:noProof/>
          <w:szCs w:val="24"/>
        </w:rPr>
        <w:t xml:space="preserve"> </w:t>
      </w:r>
      <w:r w:rsidRPr="00915182">
        <w:rPr>
          <w:rFonts w:ascii="Calibri" w:hAnsi="Calibri"/>
          <w:bCs/>
          <w:i/>
          <w:noProof/>
          <w:szCs w:val="24"/>
        </w:rPr>
        <w:t>25</w:t>
      </w:r>
      <w:r w:rsidRPr="00BB4B4C">
        <w:rPr>
          <w:rFonts w:ascii="Calibri" w:hAnsi="Calibri"/>
          <w:bCs/>
          <w:noProof/>
          <w:szCs w:val="24"/>
        </w:rPr>
        <w:t>,</w:t>
      </w:r>
      <w:r w:rsidRPr="00BB4B4C">
        <w:rPr>
          <w:rFonts w:ascii="Calibri" w:hAnsi="Calibri"/>
          <w:noProof/>
          <w:szCs w:val="24"/>
        </w:rPr>
        <w:t xml:space="preserve"> 811–</w:t>
      </w:r>
      <w:r w:rsidR="00915182">
        <w:rPr>
          <w:rFonts w:ascii="Calibri" w:hAnsi="Calibri"/>
          <w:noProof/>
          <w:szCs w:val="24"/>
        </w:rPr>
        <w:t>8</w:t>
      </w:r>
      <w:r w:rsidRPr="00BB4B4C">
        <w:rPr>
          <w:rFonts w:ascii="Calibri" w:hAnsi="Calibri"/>
          <w:noProof/>
          <w:szCs w:val="24"/>
        </w:rPr>
        <w:t>24.</w:t>
      </w:r>
    </w:p>
    <w:p w14:paraId="63788AE1" w14:textId="3060FC34"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w:t>
      </w:r>
      <w:r w:rsidRPr="00BB4B4C">
        <w:rPr>
          <w:rFonts w:ascii="Calibri" w:hAnsi="Calibri"/>
          <w:noProof/>
          <w:szCs w:val="24"/>
        </w:rPr>
        <w:tab/>
      </w:r>
      <w:r w:rsidR="002438C7">
        <w:rPr>
          <w:rFonts w:ascii="Calibri" w:hAnsi="Calibri"/>
          <w:noProof/>
          <w:szCs w:val="24"/>
        </w:rPr>
        <w:t xml:space="preserve">M. </w:t>
      </w:r>
      <w:r w:rsidRPr="00BB4B4C">
        <w:rPr>
          <w:rFonts w:ascii="Calibri" w:hAnsi="Calibri"/>
          <w:noProof/>
          <w:szCs w:val="24"/>
        </w:rPr>
        <w:t xml:space="preserve">Zeman, </w:t>
      </w:r>
      <w:r w:rsidR="002438C7">
        <w:rPr>
          <w:rFonts w:ascii="Calibri" w:hAnsi="Calibri"/>
          <w:noProof/>
          <w:szCs w:val="24"/>
        </w:rPr>
        <w:t xml:space="preserve">M. </w:t>
      </w:r>
      <w:r w:rsidRPr="00BB4B4C">
        <w:rPr>
          <w:rFonts w:ascii="Calibri" w:hAnsi="Calibri"/>
          <w:noProof/>
          <w:szCs w:val="24"/>
        </w:rPr>
        <w:t xml:space="preserve">Vician, </w:t>
      </w:r>
      <w:r w:rsidR="002438C7">
        <w:rPr>
          <w:rFonts w:ascii="Calibri" w:hAnsi="Calibri"/>
          <w:noProof/>
          <w:szCs w:val="24"/>
        </w:rPr>
        <w:t xml:space="preserve">J. </w:t>
      </w:r>
      <w:r w:rsidRPr="00BB4B4C">
        <w:rPr>
          <w:rFonts w:ascii="Calibri" w:hAnsi="Calibri"/>
          <w:noProof/>
          <w:szCs w:val="24"/>
        </w:rPr>
        <w:t xml:space="preserve">Monosikova, </w:t>
      </w:r>
      <w:r w:rsidR="002438C7">
        <w:rPr>
          <w:rFonts w:ascii="Calibri" w:hAnsi="Calibri"/>
          <w:noProof/>
          <w:szCs w:val="24"/>
        </w:rPr>
        <w:t xml:space="preserve">R. </w:t>
      </w:r>
      <w:r w:rsidRPr="00BB4B4C">
        <w:rPr>
          <w:rFonts w:ascii="Calibri" w:hAnsi="Calibri"/>
          <w:noProof/>
          <w:szCs w:val="24"/>
        </w:rPr>
        <w:t>Reis</w:t>
      </w:r>
      <w:r w:rsidR="00915182">
        <w:rPr>
          <w:rFonts w:ascii="Calibri" w:hAnsi="Calibri"/>
          <w:noProof/>
          <w:szCs w:val="24"/>
        </w:rPr>
        <w:t>,</w:t>
      </w:r>
      <w:r w:rsidRPr="00BB4B4C">
        <w:rPr>
          <w:rFonts w:ascii="Calibri" w:hAnsi="Calibri"/>
          <w:noProof/>
          <w:szCs w:val="24"/>
        </w:rPr>
        <w:t xml:space="preserve"> </w:t>
      </w:r>
      <w:r w:rsidR="002438C7">
        <w:rPr>
          <w:rFonts w:ascii="Calibri" w:hAnsi="Calibri"/>
          <w:noProof/>
          <w:szCs w:val="24"/>
        </w:rPr>
        <w:t xml:space="preserve">I. </w:t>
      </w:r>
      <w:r w:rsidRPr="00BB4B4C">
        <w:rPr>
          <w:rFonts w:ascii="Calibri" w:hAnsi="Calibri"/>
          <w:noProof/>
          <w:szCs w:val="24"/>
        </w:rPr>
        <w:t>Herichova</w:t>
      </w:r>
      <w:r w:rsidR="00915182">
        <w:rPr>
          <w:rFonts w:ascii="Calibri" w:hAnsi="Calibri"/>
          <w:noProof/>
          <w:szCs w:val="24"/>
        </w:rPr>
        <w:t>,</w:t>
      </w:r>
      <w:r w:rsidRPr="00BB4B4C">
        <w:rPr>
          <w:rFonts w:ascii="Calibri" w:hAnsi="Calibri"/>
          <w:noProof/>
          <w:szCs w:val="24"/>
        </w:rPr>
        <w:t xml:space="preserve"> </w:t>
      </w:r>
      <w:r w:rsidRPr="00BB4B4C">
        <w:rPr>
          <w:rFonts w:ascii="Calibri" w:hAnsi="Calibri"/>
          <w:i/>
          <w:iCs/>
          <w:noProof/>
          <w:szCs w:val="24"/>
        </w:rPr>
        <w:t>Mol. Med. Rep.</w:t>
      </w:r>
      <w:r w:rsidRPr="00BB4B4C">
        <w:rPr>
          <w:rFonts w:ascii="Calibri" w:hAnsi="Calibri"/>
          <w:noProof/>
          <w:szCs w:val="24"/>
        </w:rPr>
        <w:t xml:space="preserve"> </w:t>
      </w:r>
      <w:r w:rsidR="00915182" w:rsidRPr="00915182">
        <w:rPr>
          <w:rFonts w:ascii="Calibri" w:hAnsi="Calibri"/>
          <w:b/>
          <w:noProof/>
          <w:szCs w:val="24"/>
        </w:rPr>
        <w:t>2008</w:t>
      </w:r>
      <w:r w:rsidR="00915182">
        <w:rPr>
          <w:rFonts w:ascii="Calibri" w:hAnsi="Calibri"/>
          <w:noProof/>
          <w:szCs w:val="24"/>
        </w:rPr>
        <w:t xml:space="preserve">, </w:t>
      </w:r>
      <w:r w:rsidRPr="00915182">
        <w:rPr>
          <w:rFonts w:ascii="Calibri" w:hAnsi="Calibri"/>
          <w:bCs/>
          <w:i/>
          <w:noProof/>
          <w:szCs w:val="24"/>
        </w:rPr>
        <w:t>1</w:t>
      </w:r>
      <w:r w:rsidRPr="00BB4B4C">
        <w:rPr>
          <w:rFonts w:ascii="Calibri" w:hAnsi="Calibri"/>
          <w:bCs/>
          <w:noProof/>
          <w:szCs w:val="24"/>
        </w:rPr>
        <w:t>,</w:t>
      </w:r>
      <w:r w:rsidRPr="00BB4B4C">
        <w:rPr>
          <w:rFonts w:ascii="Calibri" w:hAnsi="Calibri"/>
          <w:noProof/>
          <w:szCs w:val="24"/>
        </w:rPr>
        <w:t xml:space="preserve"> 599–603.</w:t>
      </w:r>
    </w:p>
    <w:p w14:paraId="2274BF91" w14:textId="780C9443"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lastRenderedPageBreak/>
        <w:t>5.</w:t>
      </w:r>
      <w:r w:rsidRPr="00BB4B4C">
        <w:rPr>
          <w:rFonts w:ascii="Calibri" w:hAnsi="Calibri"/>
          <w:noProof/>
          <w:szCs w:val="24"/>
        </w:rPr>
        <w:tab/>
      </w:r>
      <w:r w:rsidR="002438C7">
        <w:rPr>
          <w:rFonts w:ascii="Calibri" w:hAnsi="Calibri"/>
          <w:noProof/>
          <w:szCs w:val="24"/>
        </w:rPr>
        <w:t xml:space="preserve">T. </w:t>
      </w:r>
      <w:r w:rsidRPr="00BB4B4C">
        <w:rPr>
          <w:rFonts w:ascii="Calibri" w:hAnsi="Calibri"/>
          <w:noProof/>
          <w:szCs w:val="24"/>
        </w:rPr>
        <w:t>Okabe</w:t>
      </w:r>
      <w:r w:rsidR="002438C7">
        <w:rPr>
          <w:rFonts w:ascii="Calibri" w:hAnsi="Calibri"/>
          <w:noProof/>
          <w:szCs w:val="24"/>
        </w:rPr>
        <w:t xml:space="preserve"> </w:t>
      </w:r>
      <w:r w:rsidRPr="00A250C1">
        <w:rPr>
          <w:rFonts w:ascii="Calibri" w:hAnsi="Calibri"/>
          <w:iCs/>
          <w:noProof/>
          <w:szCs w:val="24"/>
        </w:rPr>
        <w:t>et al.</w:t>
      </w:r>
      <w:r w:rsidR="00A250C1">
        <w:rPr>
          <w:rFonts w:ascii="Calibri" w:hAnsi="Calibri"/>
          <w:iCs/>
          <w:noProof/>
          <w:szCs w:val="24"/>
        </w:rPr>
        <w:t>,</w:t>
      </w:r>
      <w:r w:rsidRPr="00BB4B4C">
        <w:rPr>
          <w:rFonts w:ascii="Calibri" w:hAnsi="Calibri"/>
          <w:noProof/>
          <w:szCs w:val="24"/>
        </w:rPr>
        <w:t xml:space="preserve"> </w:t>
      </w:r>
      <w:r w:rsidRPr="00BB4B4C">
        <w:rPr>
          <w:rFonts w:ascii="Calibri" w:hAnsi="Calibri"/>
          <w:i/>
          <w:iCs/>
          <w:noProof/>
          <w:szCs w:val="24"/>
        </w:rPr>
        <w:t>PLoS One</w:t>
      </w:r>
      <w:r w:rsidRPr="00BB4B4C">
        <w:rPr>
          <w:rFonts w:ascii="Calibri" w:hAnsi="Calibri"/>
          <w:noProof/>
          <w:szCs w:val="24"/>
        </w:rPr>
        <w:t xml:space="preserve"> </w:t>
      </w:r>
      <w:r w:rsidR="00A250C1" w:rsidRPr="00A250C1">
        <w:rPr>
          <w:rFonts w:ascii="Calibri" w:hAnsi="Calibri"/>
          <w:b/>
          <w:noProof/>
          <w:szCs w:val="24"/>
        </w:rPr>
        <w:t>2014</w:t>
      </w:r>
      <w:r w:rsidR="00A250C1">
        <w:rPr>
          <w:rFonts w:ascii="Calibri" w:hAnsi="Calibri"/>
          <w:noProof/>
          <w:szCs w:val="24"/>
        </w:rPr>
        <w:t xml:space="preserve">, </w:t>
      </w:r>
      <w:r w:rsidRPr="00A250C1">
        <w:rPr>
          <w:rFonts w:ascii="Calibri" w:hAnsi="Calibri"/>
          <w:bCs/>
          <w:i/>
          <w:noProof/>
          <w:szCs w:val="24"/>
        </w:rPr>
        <w:t>9</w:t>
      </w:r>
      <w:r w:rsidR="00EB0480">
        <w:rPr>
          <w:rFonts w:ascii="Calibri" w:hAnsi="Calibri"/>
          <w:bCs/>
          <w:noProof/>
          <w:szCs w:val="24"/>
        </w:rPr>
        <w:t>, e109693</w:t>
      </w:r>
      <w:r w:rsidRPr="00BB4B4C">
        <w:rPr>
          <w:rFonts w:ascii="Calibri" w:hAnsi="Calibri"/>
          <w:noProof/>
          <w:szCs w:val="24"/>
        </w:rPr>
        <w:t>.</w:t>
      </w:r>
    </w:p>
    <w:p w14:paraId="73E5F1BE" w14:textId="785EE083"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6.</w:t>
      </w:r>
      <w:r w:rsidRPr="00BB4B4C">
        <w:rPr>
          <w:rFonts w:ascii="Calibri" w:hAnsi="Calibri"/>
          <w:noProof/>
          <w:szCs w:val="24"/>
        </w:rPr>
        <w:tab/>
      </w:r>
      <w:r w:rsidR="002438C7">
        <w:rPr>
          <w:rFonts w:ascii="Calibri" w:hAnsi="Calibri"/>
          <w:noProof/>
          <w:szCs w:val="24"/>
        </w:rPr>
        <w:t xml:space="preserve">S. T. </w:t>
      </w:r>
      <w:r w:rsidRPr="00BB4B4C">
        <w:rPr>
          <w:rFonts w:ascii="Calibri" w:hAnsi="Calibri"/>
          <w:noProof/>
          <w:szCs w:val="24"/>
        </w:rPr>
        <w:t>Chen</w:t>
      </w:r>
      <w:r w:rsidRPr="00A250C1">
        <w:rPr>
          <w:rFonts w:ascii="Calibri" w:hAnsi="Calibri"/>
          <w:noProof/>
          <w:szCs w:val="24"/>
        </w:rPr>
        <w:t xml:space="preserve"> </w:t>
      </w:r>
      <w:r w:rsidRPr="00A250C1">
        <w:rPr>
          <w:rFonts w:ascii="Calibri" w:hAnsi="Calibri"/>
          <w:iCs/>
          <w:noProof/>
          <w:szCs w:val="24"/>
        </w:rPr>
        <w:t>et al.</w:t>
      </w:r>
      <w:r w:rsidR="00A250C1">
        <w:rPr>
          <w:rFonts w:ascii="Calibri" w:hAnsi="Calibri"/>
          <w:iCs/>
          <w:noProof/>
          <w:szCs w:val="24"/>
        </w:rPr>
        <w:t xml:space="preserve">, </w:t>
      </w:r>
      <w:r w:rsidR="00A250C1" w:rsidRPr="00A250C1">
        <w:rPr>
          <w:rFonts w:ascii="Calibri" w:hAnsi="Calibri"/>
          <w:i/>
          <w:iCs/>
          <w:noProof/>
          <w:szCs w:val="24"/>
        </w:rPr>
        <w:t>Carcinogenesis</w:t>
      </w:r>
      <w:r w:rsidR="00A250C1">
        <w:rPr>
          <w:rFonts w:ascii="Calibri" w:hAnsi="Calibri"/>
          <w:iCs/>
          <w:noProof/>
          <w:szCs w:val="24"/>
        </w:rPr>
        <w:t xml:space="preserve"> </w:t>
      </w:r>
      <w:r w:rsidR="00A250C1" w:rsidRPr="00A250C1">
        <w:rPr>
          <w:rFonts w:ascii="Calibri" w:hAnsi="Calibri"/>
          <w:b/>
          <w:iCs/>
          <w:noProof/>
          <w:szCs w:val="24"/>
        </w:rPr>
        <w:t>2005</w:t>
      </w:r>
      <w:r w:rsidR="00A250C1">
        <w:rPr>
          <w:rFonts w:ascii="Calibri" w:hAnsi="Calibri"/>
          <w:iCs/>
          <w:noProof/>
          <w:szCs w:val="24"/>
        </w:rPr>
        <w:t xml:space="preserve">, </w:t>
      </w:r>
      <w:r w:rsidR="00A250C1" w:rsidRPr="00A250C1">
        <w:rPr>
          <w:rFonts w:ascii="Calibri" w:hAnsi="Calibri"/>
          <w:i/>
          <w:iCs/>
          <w:noProof/>
          <w:szCs w:val="24"/>
        </w:rPr>
        <w:t>26</w:t>
      </w:r>
      <w:r w:rsidR="00A250C1">
        <w:rPr>
          <w:rFonts w:ascii="Calibri" w:hAnsi="Calibri"/>
          <w:iCs/>
          <w:noProof/>
          <w:szCs w:val="24"/>
        </w:rPr>
        <w:t>, 1241-1246.</w:t>
      </w:r>
    </w:p>
    <w:p w14:paraId="5777FE95" w14:textId="19104772"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7.</w:t>
      </w:r>
      <w:r w:rsidRPr="00BB4B4C">
        <w:rPr>
          <w:rFonts w:ascii="Calibri" w:hAnsi="Calibri"/>
          <w:noProof/>
          <w:szCs w:val="24"/>
        </w:rPr>
        <w:tab/>
      </w:r>
      <w:r w:rsidR="002438C7">
        <w:rPr>
          <w:rFonts w:ascii="Calibri" w:hAnsi="Calibri"/>
          <w:noProof/>
          <w:szCs w:val="24"/>
        </w:rPr>
        <w:t xml:space="preserve">B. </w:t>
      </w:r>
      <w:r w:rsidRPr="00BB4B4C">
        <w:rPr>
          <w:rFonts w:ascii="Calibri" w:hAnsi="Calibri"/>
          <w:noProof/>
          <w:szCs w:val="24"/>
        </w:rPr>
        <w:t xml:space="preserve">Grimaldi </w:t>
      </w:r>
      <w:r w:rsidRPr="002438C7">
        <w:rPr>
          <w:rFonts w:ascii="Calibri" w:hAnsi="Calibri"/>
          <w:iCs/>
          <w:noProof/>
          <w:szCs w:val="24"/>
        </w:rPr>
        <w:t>et al</w:t>
      </w:r>
      <w:r w:rsidR="002438C7">
        <w:rPr>
          <w:rFonts w:ascii="Calibri" w:hAnsi="Calibri"/>
          <w:iCs/>
          <w:noProof/>
          <w:szCs w:val="24"/>
        </w:rPr>
        <w:t>.</w:t>
      </w:r>
      <w:r w:rsidR="002438C7" w:rsidRPr="002438C7">
        <w:rPr>
          <w:rFonts w:ascii="Calibri" w:hAnsi="Calibri"/>
          <w:iCs/>
          <w:noProof/>
          <w:szCs w:val="24"/>
        </w:rPr>
        <w:t>,</w:t>
      </w:r>
      <w:r w:rsidRPr="00BB4B4C">
        <w:rPr>
          <w:rFonts w:ascii="Calibri" w:hAnsi="Calibri"/>
          <w:noProof/>
          <w:szCs w:val="24"/>
        </w:rPr>
        <w:t xml:space="preserve"> </w:t>
      </w:r>
      <w:r w:rsidRPr="00BB4B4C">
        <w:rPr>
          <w:rFonts w:ascii="Calibri" w:hAnsi="Calibri"/>
          <w:i/>
          <w:iCs/>
          <w:noProof/>
          <w:szCs w:val="24"/>
        </w:rPr>
        <w:t>Cell Metab.</w:t>
      </w:r>
      <w:r w:rsidRPr="00BB4B4C">
        <w:rPr>
          <w:rFonts w:ascii="Calibri" w:hAnsi="Calibri"/>
          <w:noProof/>
          <w:szCs w:val="24"/>
        </w:rPr>
        <w:t xml:space="preserve"> </w:t>
      </w:r>
      <w:r w:rsidR="002438C7" w:rsidRPr="002438C7">
        <w:rPr>
          <w:rFonts w:ascii="Calibri" w:hAnsi="Calibri"/>
          <w:b/>
          <w:noProof/>
          <w:szCs w:val="24"/>
        </w:rPr>
        <w:t>2010</w:t>
      </w:r>
      <w:r w:rsidR="002438C7">
        <w:rPr>
          <w:rFonts w:ascii="Calibri" w:hAnsi="Calibri"/>
          <w:noProof/>
          <w:szCs w:val="24"/>
        </w:rPr>
        <w:t xml:space="preserve">, </w:t>
      </w:r>
      <w:r w:rsidRPr="002438C7">
        <w:rPr>
          <w:rFonts w:ascii="Calibri" w:hAnsi="Calibri"/>
          <w:bCs/>
          <w:i/>
          <w:noProof/>
          <w:szCs w:val="24"/>
        </w:rPr>
        <w:t>12</w:t>
      </w:r>
      <w:r w:rsidRPr="00BB4B4C">
        <w:rPr>
          <w:rFonts w:ascii="Calibri" w:hAnsi="Calibri"/>
          <w:bCs/>
          <w:noProof/>
          <w:szCs w:val="24"/>
        </w:rPr>
        <w:t>,</w:t>
      </w:r>
      <w:r w:rsidRPr="00BB4B4C">
        <w:rPr>
          <w:rFonts w:ascii="Calibri" w:hAnsi="Calibri"/>
          <w:noProof/>
          <w:szCs w:val="24"/>
        </w:rPr>
        <w:t xml:space="preserve"> 509–</w:t>
      </w:r>
      <w:r w:rsidR="002438C7">
        <w:rPr>
          <w:rFonts w:ascii="Calibri" w:hAnsi="Calibri"/>
          <w:noProof/>
          <w:szCs w:val="24"/>
        </w:rPr>
        <w:t>5</w:t>
      </w:r>
      <w:r w:rsidRPr="00BB4B4C">
        <w:rPr>
          <w:rFonts w:ascii="Calibri" w:hAnsi="Calibri"/>
          <w:noProof/>
          <w:szCs w:val="24"/>
        </w:rPr>
        <w:t>20.</w:t>
      </w:r>
    </w:p>
    <w:p w14:paraId="316E7E02" w14:textId="6227403C"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8.</w:t>
      </w:r>
      <w:r w:rsidRPr="00BB4B4C">
        <w:rPr>
          <w:rFonts w:ascii="Calibri" w:hAnsi="Calibri"/>
          <w:noProof/>
          <w:szCs w:val="24"/>
        </w:rPr>
        <w:tab/>
      </w:r>
      <w:r w:rsidR="002438C7">
        <w:rPr>
          <w:rFonts w:ascii="Calibri" w:hAnsi="Calibri"/>
          <w:noProof/>
          <w:szCs w:val="24"/>
        </w:rPr>
        <w:t xml:space="preserve">G. </w:t>
      </w:r>
      <w:r w:rsidRPr="00BB4B4C">
        <w:rPr>
          <w:rFonts w:ascii="Calibri" w:hAnsi="Calibri"/>
          <w:noProof/>
          <w:szCs w:val="24"/>
        </w:rPr>
        <w:t xml:space="preserve">Hampp </w:t>
      </w:r>
      <w:r w:rsidRPr="002438C7">
        <w:rPr>
          <w:rFonts w:ascii="Calibri" w:hAnsi="Calibri"/>
          <w:iCs/>
          <w:noProof/>
          <w:szCs w:val="24"/>
        </w:rPr>
        <w:t>et al</w:t>
      </w:r>
      <w:r w:rsidR="002438C7">
        <w:rPr>
          <w:rFonts w:ascii="Calibri" w:hAnsi="Calibri"/>
          <w:noProof/>
          <w:szCs w:val="24"/>
        </w:rPr>
        <w:t>,</w:t>
      </w:r>
      <w:r w:rsidRPr="00BB4B4C">
        <w:rPr>
          <w:rFonts w:ascii="Calibri" w:hAnsi="Calibri"/>
          <w:noProof/>
          <w:szCs w:val="24"/>
        </w:rPr>
        <w:t xml:space="preserve"> </w:t>
      </w:r>
      <w:r w:rsidRPr="00BB4B4C">
        <w:rPr>
          <w:rFonts w:ascii="Calibri" w:hAnsi="Calibri"/>
          <w:i/>
          <w:iCs/>
          <w:noProof/>
          <w:szCs w:val="24"/>
        </w:rPr>
        <w:t>Curr. Biol.</w:t>
      </w:r>
      <w:r w:rsidRPr="00BB4B4C">
        <w:rPr>
          <w:rFonts w:ascii="Calibri" w:hAnsi="Calibri"/>
          <w:noProof/>
          <w:szCs w:val="24"/>
        </w:rPr>
        <w:t xml:space="preserve"> </w:t>
      </w:r>
      <w:r w:rsidR="002438C7" w:rsidRPr="002438C7">
        <w:rPr>
          <w:rFonts w:ascii="Calibri" w:hAnsi="Calibri"/>
          <w:b/>
          <w:noProof/>
          <w:szCs w:val="24"/>
        </w:rPr>
        <w:t>2008</w:t>
      </w:r>
      <w:r w:rsidR="002438C7">
        <w:rPr>
          <w:rFonts w:ascii="Calibri" w:hAnsi="Calibri"/>
          <w:bCs/>
          <w:noProof/>
          <w:szCs w:val="24"/>
        </w:rPr>
        <w:t xml:space="preserve">, </w:t>
      </w:r>
      <w:r w:rsidRPr="002438C7">
        <w:rPr>
          <w:rFonts w:ascii="Calibri" w:hAnsi="Calibri"/>
          <w:bCs/>
          <w:i/>
          <w:noProof/>
          <w:szCs w:val="24"/>
        </w:rPr>
        <w:t>18</w:t>
      </w:r>
      <w:r w:rsidRPr="00BB4B4C">
        <w:rPr>
          <w:rFonts w:ascii="Calibri" w:hAnsi="Calibri"/>
          <w:bCs/>
          <w:noProof/>
          <w:szCs w:val="24"/>
        </w:rPr>
        <w:t>,</w:t>
      </w:r>
      <w:r w:rsidRPr="00BB4B4C">
        <w:rPr>
          <w:rFonts w:ascii="Calibri" w:hAnsi="Calibri"/>
          <w:noProof/>
          <w:szCs w:val="24"/>
        </w:rPr>
        <w:t xml:space="preserve"> 678–683.</w:t>
      </w:r>
    </w:p>
    <w:p w14:paraId="76E4F16F" w14:textId="516D08C2"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9.</w:t>
      </w:r>
      <w:r w:rsidRPr="00BB4B4C">
        <w:rPr>
          <w:rFonts w:ascii="Calibri" w:hAnsi="Calibri"/>
          <w:noProof/>
          <w:szCs w:val="24"/>
        </w:rPr>
        <w:tab/>
      </w:r>
      <w:r w:rsidR="002438C7">
        <w:rPr>
          <w:rFonts w:ascii="Calibri" w:hAnsi="Calibri"/>
          <w:noProof/>
          <w:szCs w:val="24"/>
        </w:rPr>
        <w:t xml:space="preserve">R. S. </w:t>
      </w:r>
      <w:r w:rsidRPr="00BB4B4C">
        <w:rPr>
          <w:rFonts w:ascii="Calibri" w:hAnsi="Calibri"/>
          <w:noProof/>
          <w:szCs w:val="24"/>
        </w:rPr>
        <w:t>Savkur</w:t>
      </w:r>
      <w:r w:rsidR="002438C7">
        <w:rPr>
          <w:rFonts w:ascii="Calibri" w:hAnsi="Calibri"/>
          <w:noProof/>
          <w:szCs w:val="24"/>
        </w:rPr>
        <w:t>,</w:t>
      </w:r>
      <w:r w:rsidRPr="00BB4B4C">
        <w:rPr>
          <w:rFonts w:ascii="Calibri" w:hAnsi="Calibri"/>
          <w:noProof/>
          <w:szCs w:val="24"/>
        </w:rPr>
        <w:t xml:space="preserve"> </w:t>
      </w:r>
      <w:r w:rsidR="002438C7">
        <w:rPr>
          <w:rFonts w:ascii="Calibri" w:hAnsi="Calibri"/>
          <w:noProof/>
          <w:szCs w:val="24"/>
        </w:rPr>
        <w:t xml:space="preserve">T. P. </w:t>
      </w:r>
      <w:r w:rsidRPr="00BB4B4C">
        <w:rPr>
          <w:rFonts w:ascii="Calibri" w:hAnsi="Calibri"/>
          <w:noProof/>
          <w:szCs w:val="24"/>
        </w:rPr>
        <w:t xml:space="preserve">Burris, </w:t>
      </w:r>
      <w:r w:rsidRPr="00BB4B4C">
        <w:rPr>
          <w:rFonts w:ascii="Calibri" w:hAnsi="Calibri"/>
          <w:i/>
          <w:iCs/>
          <w:noProof/>
          <w:szCs w:val="24"/>
        </w:rPr>
        <w:t>J. Pept. Res.</w:t>
      </w:r>
      <w:r w:rsidRPr="00BB4B4C">
        <w:rPr>
          <w:rFonts w:ascii="Calibri" w:hAnsi="Calibri"/>
          <w:noProof/>
          <w:szCs w:val="24"/>
        </w:rPr>
        <w:t xml:space="preserve"> </w:t>
      </w:r>
      <w:r w:rsidR="002438C7" w:rsidRPr="002438C7">
        <w:rPr>
          <w:rFonts w:ascii="Calibri" w:hAnsi="Calibri"/>
          <w:b/>
          <w:noProof/>
          <w:szCs w:val="24"/>
        </w:rPr>
        <w:t>2004</w:t>
      </w:r>
      <w:r w:rsidR="002438C7">
        <w:rPr>
          <w:rFonts w:ascii="Calibri" w:hAnsi="Calibri"/>
          <w:noProof/>
          <w:szCs w:val="24"/>
        </w:rPr>
        <w:t xml:space="preserve">, </w:t>
      </w:r>
      <w:r w:rsidRPr="002438C7">
        <w:rPr>
          <w:rFonts w:ascii="Calibri" w:hAnsi="Calibri"/>
          <w:bCs/>
          <w:i/>
          <w:noProof/>
          <w:szCs w:val="24"/>
        </w:rPr>
        <w:t>63</w:t>
      </w:r>
      <w:r w:rsidRPr="00BB4B4C">
        <w:rPr>
          <w:rFonts w:ascii="Calibri" w:hAnsi="Calibri"/>
          <w:bCs/>
          <w:noProof/>
          <w:szCs w:val="24"/>
        </w:rPr>
        <w:t>,</w:t>
      </w:r>
      <w:r w:rsidRPr="00BB4B4C">
        <w:rPr>
          <w:rFonts w:ascii="Calibri" w:hAnsi="Calibri"/>
          <w:noProof/>
          <w:szCs w:val="24"/>
        </w:rPr>
        <w:t xml:space="preserve"> 207–</w:t>
      </w:r>
      <w:r w:rsidR="002438C7">
        <w:rPr>
          <w:rFonts w:ascii="Calibri" w:hAnsi="Calibri"/>
          <w:noProof/>
          <w:szCs w:val="24"/>
        </w:rPr>
        <w:t>2</w:t>
      </w:r>
      <w:r w:rsidRPr="00BB4B4C">
        <w:rPr>
          <w:rFonts w:ascii="Calibri" w:hAnsi="Calibri"/>
          <w:noProof/>
          <w:szCs w:val="24"/>
        </w:rPr>
        <w:t>12.</w:t>
      </w:r>
    </w:p>
    <w:p w14:paraId="480F1FF1" w14:textId="45FE6FCA"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10.</w:t>
      </w:r>
      <w:r w:rsidRPr="00BB4B4C">
        <w:rPr>
          <w:rFonts w:ascii="Calibri" w:hAnsi="Calibri"/>
          <w:noProof/>
          <w:szCs w:val="24"/>
        </w:rPr>
        <w:tab/>
      </w:r>
      <w:r w:rsidR="008A0AAA">
        <w:rPr>
          <w:rFonts w:ascii="Calibri" w:hAnsi="Calibri"/>
          <w:noProof/>
          <w:szCs w:val="24"/>
        </w:rPr>
        <w:t xml:space="preserve">M. </w:t>
      </w:r>
      <w:r w:rsidRPr="00BB4B4C">
        <w:rPr>
          <w:rFonts w:ascii="Calibri" w:hAnsi="Calibri"/>
          <w:noProof/>
          <w:szCs w:val="24"/>
        </w:rPr>
        <w:t xml:space="preserve">Hafner, </w:t>
      </w:r>
      <w:r w:rsidR="008A0AAA">
        <w:rPr>
          <w:rFonts w:ascii="Calibri" w:hAnsi="Calibri"/>
          <w:noProof/>
          <w:szCs w:val="24"/>
        </w:rPr>
        <w:t xml:space="preserve">T. </w:t>
      </w:r>
      <w:r w:rsidRPr="00BB4B4C">
        <w:rPr>
          <w:rFonts w:ascii="Calibri" w:hAnsi="Calibri"/>
          <w:noProof/>
          <w:szCs w:val="24"/>
        </w:rPr>
        <w:t>Rezen</w:t>
      </w:r>
      <w:r w:rsidR="008A0AAA">
        <w:rPr>
          <w:rFonts w:ascii="Calibri" w:hAnsi="Calibri"/>
          <w:noProof/>
          <w:szCs w:val="24"/>
        </w:rPr>
        <w:t>,</w:t>
      </w:r>
      <w:r w:rsidRPr="00BB4B4C">
        <w:rPr>
          <w:rFonts w:ascii="Calibri" w:hAnsi="Calibri"/>
          <w:noProof/>
          <w:szCs w:val="24"/>
        </w:rPr>
        <w:t xml:space="preserve"> </w:t>
      </w:r>
      <w:r w:rsidR="008A0AAA">
        <w:rPr>
          <w:rFonts w:ascii="Calibri" w:hAnsi="Calibri"/>
          <w:noProof/>
          <w:szCs w:val="24"/>
        </w:rPr>
        <w:t xml:space="preserve">D. </w:t>
      </w:r>
      <w:r w:rsidRPr="00BB4B4C">
        <w:rPr>
          <w:rFonts w:ascii="Calibri" w:hAnsi="Calibri"/>
          <w:noProof/>
          <w:szCs w:val="24"/>
        </w:rPr>
        <w:t xml:space="preserve">Rozman, </w:t>
      </w:r>
      <w:r w:rsidRPr="00BB4B4C">
        <w:rPr>
          <w:rFonts w:ascii="Calibri" w:hAnsi="Calibri"/>
          <w:i/>
          <w:iCs/>
          <w:noProof/>
          <w:szCs w:val="24"/>
        </w:rPr>
        <w:t>Curr. Drug Metab.</w:t>
      </w:r>
      <w:r w:rsidRPr="00BB4B4C">
        <w:rPr>
          <w:rFonts w:ascii="Calibri" w:hAnsi="Calibri"/>
          <w:noProof/>
          <w:szCs w:val="24"/>
        </w:rPr>
        <w:t xml:space="preserve"> </w:t>
      </w:r>
      <w:r w:rsidR="008A0AAA" w:rsidRPr="008A0AAA">
        <w:rPr>
          <w:rFonts w:ascii="Calibri" w:hAnsi="Calibri"/>
          <w:b/>
          <w:noProof/>
          <w:szCs w:val="24"/>
        </w:rPr>
        <w:t>2011</w:t>
      </w:r>
      <w:r w:rsidR="008A0AAA">
        <w:rPr>
          <w:rFonts w:ascii="Calibri" w:hAnsi="Calibri"/>
          <w:noProof/>
          <w:szCs w:val="24"/>
        </w:rPr>
        <w:t xml:space="preserve">, </w:t>
      </w:r>
      <w:r w:rsidRPr="008A0AAA">
        <w:rPr>
          <w:rFonts w:ascii="Calibri" w:hAnsi="Calibri"/>
          <w:bCs/>
          <w:i/>
          <w:noProof/>
          <w:szCs w:val="24"/>
        </w:rPr>
        <w:t>12</w:t>
      </w:r>
      <w:r w:rsidRPr="00BB4B4C">
        <w:rPr>
          <w:rFonts w:ascii="Calibri" w:hAnsi="Calibri"/>
          <w:bCs/>
          <w:noProof/>
          <w:szCs w:val="24"/>
        </w:rPr>
        <w:t>,</w:t>
      </w:r>
      <w:r w:rsidRPr="00BB4B4C">
        <w:rPr>
          <w:rFonts w:ascii="Calibri" w:hAnsi="Calibri"/>
          <w:noProof/>
          <w:szCs w:val="24"/>
        </w:rPr>
        <w:t xml:space="preserve"> 173–</w:t>
      </w:r>
      <w:r w:rsidR="008A0AAA">
        <w:rPr>
          <w:rFonts w:ascii="Calibri" w:hAnsi="Calibri"/>
          <w:noProof/>
          <w:szCs w:val="24"/>
        </w:rPr>
        <w:t>1</w:t>
      </w:r>
      <w:r w:rsidRPr="00BB4B4C">
        <w:rPr>
          <w:rFonts w:ascii="Calibri" w:hAnsi="Calibri"/>
          <w:noProof/>
          <w:szCs w:val="24"/>
        </w:rPr>
        <w:t>85.</w:t>
      </w:r>
    </w:p>
    <w:p w14:paraId="07493AB1" w14:textId="6B9873BB"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11.</w:t>
      </w:r>
      <w:r w:rsidRPr="00BB4B4C">
        <w:rPr>
          <w:rFonts w:ascii="Calibri" w:hAnsi="Calibri"/>
          <w:noProof/>
          <w:szCs w:val="24"/>
        </w:rPr>
        <w:tab/>
      </w:r>
      <w:r w:rsidR="00A646CF">
        <w:rPr>
          <w:rFonts w:ascii="Calibri" w:hAnsi="Calibri"/>
          <w:noProof/>
          <w:szCs w:val="24"/>
        </w:rPr>
        <w:t xml:space="preserve">T. </w:t>
      </w:r>
      <w:r w:rsidRPr="00BB4B4C">
        <w:rPr>
          <w:rFonts w:ascii="Calibri" w:hAnsi="Calibri"/>
          <w:noProof/>
          <w:szCs w:val="24"/>
        </w:rPr>
        <w:t xml:space="preserve">Rezen, </w:t>
      </w:r>
      <w:r w:rsidRPr="00BB4B4C">
        <w:rPr>
          <w:rFonts w:ascii="Calibri" w:hAnsi="Calibri"/>
          <w:i/>
          <w:iCs/>
          <w:noProof/>
          <w:szCs w:val="24"/>
        </w:rPr>
        <w:t>Expert Opin. Drug Metab. Toxicol.</w:t>
      </w:r>
      <w:r w:rsidRPr="00BB4B4C">
        <w:rPr>
          <w:rFonts w:ascii="Calibri" w:hAnsi="Calibri"/>
          <w:noProof/>
          <w:szCs w:val="24"/>
        </w:rPr>
        <w:t xml:space="preserve"> </w:t>
      </w:r>
      <w:r w:rsidR="00A646CF" w:rsidRPr="00A646CF">
        <w:rPr>
          <w:rFonts w:ascii="Calibri" w:hAnsi="Calibri"/>
          <w:b/>
          <w:noProof/>
          <w:szCs w:val="24"/>
        </w:rPr>
        <w:t>2011</w:t>
      </w:r>
      <w:r w:rsidR="00A646CF">
        <w:rPr>
          <w:rFonts w:ascii="Calibri" w:hAnsi="Calibri"/>
          <w:noProof/>
          <w:szCs w:val="24"/>
        </w:rPr>
        <w:t xml:space="preserve">, </w:t>
      </w:r>
      <w:r w:rsidRPr="00A646CF">
        <w:rPr>
          <w:rFonts w:ascii="Calibri" w:hAnsi="Calibri"/>
          <w:bCs/>
          <w:i/>
          <w:noProof/>
          <w:szCs w:val="24"/>
        </w:rPr>
        <w:t>7</w:t>
      </w:r>
      <w:r w:rsidRPr="00BB4B4C">
        <w:rPr>
          <w:rFonts w:ascii="Calibri" w:hAnsi="Calibri"/>
          <w:bCs/>
          <w:noProof/>
          <w:szCs w:val="24"/>
        </w:rPr>
        <w:t>,</w:t>
      </w:r>
      <w:r w:rsidRPr="00BB4B4C">
        <w:rPr>
          <w:rFonts w:ascii="Calibri" w:hAnsi="Calibri"/>
          <w:noProof/>
          <w:szCs w:val="24"/>
        </w:rPr>
        <w:t xml:space="preserve"> 387–</w:t>
      </w:r>
      <w:r w:rsidR="00A646CF">
        <w:rPr>
          <w:rFonts w:ascii="Calibri" w:hAnsi="Calibri"/>
          <w:noProof/>
          <w:szCs w:val="24"/>
        </w:rPr>
        <w:t>3</w:t>
      </w:r>
      <w:r w:rsidRPr="00BB4B4C">
        <w:rPr>
          <w:rFonts w:ascii="Calibri" w:hAnsi="Calibri"/>
          <w:noProof/>
          <w:szCs w:val="24"/>
        </w:rPr>
        <w:t>98.</w:t>
      </w:r>
    </w:p>
    <w:p w14:paraId="1F5D5F7C" w14:textId="7584E7A8"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12.</w:t>
      </w:r>
      <w:r w:rsidRPr="00BB4B4C">
        <w:rPr>
          <w:rFonts w:ascii="Calibri" w:hAnsi="Calibri"/>
          <w:noProof/>
          <w:szCs w:val="24"/>
        </w:rPr>
        <w:tab/>
      </w:r>
      <w:r w:rsidR="00A646CF">
        <w:rPr>
          <w:rFonts w:ascii="Calibri" w:hAnsi="Calibri"/>
          <w:noProof/>
          <w:szCs w:val="24"/>
        </w:rPr>
        <w:t xml:space="preserve">J. </w:t>
      </w:r>
      <w:r w:rsidRPr="00BB4B4C">
        <w:rPr>
          <w:rFonts w:ascii="Calibri" w:hAnsi="Calibri"/>
          <w:noProof/>
          <w:szCs w:val="24"/>
        </w:rPr>
        <w:t xml:space="preserve">Zhang, </w:t>
      </w:r>
      <w:r w:rsidR="00A646CF">
        <w:rPr>
          <w:rFonts w:ascii="Calibri" w:hAnsi="Calibri"/>
          <w:noProof/>
          <w:szCs w:val="24"/>
        </w:rPr>
        <w:t xml:space="preserve">W. </w:t>
      </w:r>
      <w:r w:rsidRPr="00BB4B4C">
        <w:rPr>
          <w:rFonts w:ascii="Calibri" w:hAnsi="Calibri"/>
          <w:noProof/>
          <w:szCs w:val="24"/>
        </w:rPr>
        <w:t xml:space="preserve">Huang, </w:t>
      </w:r>
      <w:r w:rsidR="00A646CF">
        <w:rPr>
          <w:rFonts w:ascii="Calibri" w:hAnsi="Calibri"/>
          <w:noProof/>
          <w:szCs w:val="24"/>
        </w:rPr>
        <w:t xml:space="preserve">S. S. </w:t>
      </w:r>
      <w:r w:rsidRPr="00BB4B4C">
        <w:rPr>
          <w:rFonts w:ascii="Calibri" w:hAnsi="Calibri"/>
          <w:noProof/>
          <w:szCs w:val="24"/>
        </w:rPr>
        <w:t xml:space="preserve">Chua, </w:t>
      </w:r>
      <w:r w:rsidR="00A646CF">
        <w:rPr>
          <w:rFonts w:ascii="Calibri" w:hAnsi="Calibri"/>
          <w:noProof/>
          <w:szCs w:val="24"/>
        </w:rPr>
        <w:t xml:space="preserve">P. </w:t>
      </w:r>
      <w:r w:rsidRPr="00BB4B4C">
        <w:rPr>
          <w:rFonts w:ascii="Calibri" w:hAnsi="Calibri"/>
          <w:noProof/>
          <w:szCs w:val="24"/>
        </w:rPr>
        <w:t xml:space="preserve">Wei, </w:t>
      </w:r>
      <w:r w:rsidR="00A646CF">
        <w:rPr>
          <w:rFonts w:ascii="Calibri" w:hAnsi="Calibri"/>
          <w:noProof/>
          <w:szCs w:val="24"/>
        </w:rPr>
        <w:t xml:space="preserve">D. D. </w:t>
      </w:r>
      <w:r w:rsidRPr="00BB4B4C">
        <w:rPr>
          <w:rFonts w:ascii="Calibri" w:hAnsi="Calibri"/>
          <w:noProof/>
          <w:szCs w:val="24"/>
        </w:rPr>
        <w:t xml:space="preserve">Moore, </w:t>
      </w:r>
      <w:r w:rsidRPr="00BB4B4C">
        <w:rPr>
          <w:rFonts w:ascii="Calibri" w:hAnsi="Calibri"/>
          <w:i/>
          <w:iCs/>
          <w:noProof/>
          <w:szCs w:val="24"/>
        </w:rPr>
        <w:t>Science</w:t>
      </w:r>
      <w:r w:rsidRPr="00BB4B4C">
        <w:rPr>
          <w:rFonts w:ascii="Calibri" w:hAnsi="Calibri"/>
          <w:noProof/>
          <w:szCs w:val="24"/>
        </w:rPr>
        <w:t xml:space="preserve"> </w:t>
      </w:r>
      <w:r w:rsidR="00A646CF" w:rsidRPr="00A646CF">
        <w:rPr>
          <w:rFonts w:ascii="Calibri" w:hAnsi="Calibri"/>
          <w:b/>
          <w:noProof/>
          <w:szCs w:val="24"/>
        </w:rPr>
        <w:t>2002</w:t>
      </w:r>
      <w:r w:rsidR="00A646CF">
        <w:rPr>
          <w:rFonts w:ascii="Calibri" w:hAnsi="Calibri"/>
          <w:noProof/>
          <w:szCs w:val="24"/>
        </w:rPr>
        <w:t xml:space="preserve">, </w:t>
      </w:r>
      <w:r w:rsidRPr="00A646CF">
        <w:rPr>
          <w:rFonts w:ascii="Calibri" w:hAnsi="Calibri"/>
          <w:bCs/>
          <w:i/>
          <w:noProof/>
          <w:szCs w:val="24"/>
        </w:rPr>
        <w:t>298</w:t>
      </w:r>
      <w:r w:rsidRPr="00BB4B4C">
        <w:rPr>
          <w:rFonts w:ascii="Calibri" w:hAnsi="Calibri"/>
          <w:bCs/>
          <w:noProof/>
          <w:szCs w:val="24"/>
        </w:rPr>
        <w:t>,</w:t>
      </w:r>
      <w:r w:rsidRPr="00BB4B4C">
        <w:rPr>
          <w:rFonts w:ascii="Calibri" w:hAnsi="Calibri"/>
          <w:noProof/>
          <w:szCs w:val="24"/>
        </w:rPr>
        <w:t xml:space="preserve"> 422–</w:t>
      </w:r>
      <w:r w:rsidR="00A646CF">
        <w:rPr>
          <w:rFonts w:ascii="Calibri" w:hAnsi="Calibri"/>
          <w:noProof/>
          <w:szCs w:val="24"/>
        </w:rPr>
        <w:t>42</w:t>
      </w:r>
      <w:r w:rsidRPr="00BB4B4C">
        <w:rPr>
          <w:rFonts w:ascii="Calibri" w:hAnsi="Calibri"/>
          <w:noProof/>
          <w:szCs w:val="24"/>
        </w:rPr>
        <w:t>4.</w:t>
      </w:r>
    </w:p>
    <w:p w14:paraId="5C24E0F3" w14:textId="7332E40F"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13.</w:t>
      </w:r>
      <w:r w:rsidRPr="00BB4B4C">
        <w:rPr>
          <w:rFonts w:ascii="Calibri" w:hAnsi="Calibri"/>
          <w:noProof/>
          <w:szCs w:val="24"/>
        </w:rPr>
        <w:tab/>
      </w:r>
      <w:r w:rsidR="00A646CF">
        <w:rPr>
          <w:rFonts w:ascii="Calibri" w:hAnsi="Calibri"/>
          <w:noProof/>
          <w:szCs w:val="24"/>
        </w:rPr>
        <w:t xml:space="preserve">T. </w:t>
      </w:r>
      <w:r w:rsidRPr="00BB4B4C">
        <w:rPr>
          <w:rFonts w:ascii="Calibri" w:hAnsi="Calibri"/>
          <w:noProof/>
          <w:szCs w:val="24"/>
        </w:rPr>
        <w:t xml:space="preserve">Kawamoto </w:t>
      </w:r>
      <w:r w:rsidRPr="00A646CF">
        <w:rPr>
          <w:rFonts w:ascii="Calibri" w:hAnsi="Calibri"/>
          <w:iCs/>
          <w:noProof/>
          <w:szCs w:val="24"/>
        </w:rPr>
        <w:t>et al.</w:t>
      </w:r>
      <w:r w:rsidR="00A646CF">
        <w:rPr>
          <w:rFonts w:ascii="Calibri" w:hAnsi="Calibri"/>
          <w:iCs/>
          <w:noProof/>
          <w:szCs w:val="24"/>
        </w:rPr>
        <w:t>,</w:t>
      </w:r>
      <w:r w:rsidRPr="00BB4B4C">
        <w:rPr>
          <w:rFonts w:ascii="Calibri" w:hAnsi="Calibri"/>
          <w:noProof/>
          <w:szCs w:val="24"/>
        </w:rPr>
        <w:t xml:space="preserve"> </w:t>
      </w:r>
      <w:r w:rsidRPr="00BB4B4C">
        <w:rPr>
          <w:rFonts w:ascii="Calibri" w:hAnsi="Calibri"/>
          <w:i/>
          <w:iCs/>
          <w:noProof/>
          <w:szCs w:val="24"/>
        </w:rPr>
        <w:t>Mol. Cell. Biol.</w:t>
      </w:r>
      <w:r w:rsidRPr="00BB4B4C">
        <w:rPr>
          <w:rFonts w:ascii="Calibri" w:hAnsi="Calibri"/>
          <w:noProof/>
          <w:szCs w:val="24"/>
        </w:rPr>
        <w:t xml:space="preserve"> </w:t>
      </w:r>
      <w:r w:rsidR="00A646CF" w:rsidRPr="00A646CF">
        <w:rPr>
          <w:rFonts w:ascii="Calibri" w:hAnsi="Calibri"/>
          <w:b/>
          <w:noProof/>
          <w:szCs w:val="24"/>
        </w:rPr>
        <w:t>1999</w:t>
      </w:r>
      <w:r w:rsidR="00A646CF">
        <w:rPr>
          <w:rFonts w:ascii="Calibri" w:hAnsi="Calibri"/>
          <w:bCs/>
          <w:noProof/>
          <w:szCs w:val="24"/>
        </w:rPr>
        <w:t xml:space="preserve">, </w:t>
      </w:r>
      <w:r w:rsidRPr="00A646CF">
        <w:rPr>
          <w:rFonts w:ascii="Calibri" w:hAnsi="Calibri"/>
          <w:bCs/>
          <w:i/>
          <w:noProof/>
          <w:szCs w:val="24"/>
        </w:rPr>
        <w:t>19</w:t>
      </w:r>
      <w:r w:rsidRPr="00BB4B4C">
        <w:rPr>
          <w:rFonts w:ascii="Calibri" w:hAnsi="Calibri"/>
          <w:bCs/>
          <w:noProof/>
          <w:szCs w:val="24"/>
        </w:rPr>
        <w:t>,</w:t>
      </w:r>
      <w:r w:rsidRPr="00BB4B4C">
        <w:rPr>
          <w:rFonts w:ascii="Calibri" w:hAnsi="Calibri"/>
          <w:noProof/>
          <w:szCs w:val="24"/>
        </w:rPr>
        <w:t xml:space="preserve"> 6318–</w:t>
      </w:r>
      <w:r w:rsidR="00A646CF">
        <w:rPr>
          <w:rFonts w:ascii="Calibri" w:hAnsi="Calibri"/>
          <w:noProof/>
          <w:szCs w:val="24"/>
        </w:rPr>
        <w:t>63</w:t>
      </w:r>
      <w:r w:rsidRPr="00BB4B4C">
        <w:rPr>
          <w:rFonts w:ascii="Calibri" w:hAnsi="Calibri"/>
          <w:noProof/>
          <w:szCs w:val="24"/>
        </w:rPr>
        <w:t>22.</w:t>
      </w:r>
    </w:p>
    <w:p w14:paraId="0DD6C05E" w14:textId="3B3D958C"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14.</w:t>
      </w:r>
      <w:r w:rsidRPr="00BB4B4C">
        <w:rPr>
          <w:rFonts w:ascii="Calibri" w:hAnsi="Calibri"/>
          <w:noProof/>
          <w:szCs w:val="24"/>
        </w:rPr>
        <w:tab/>
      </w:r>
      <w:r w:rsidR="00A646CF">
        <w:rPr>
          <w:rFonts w:ascii="Calibri" w:hAnsi="Calibri"/>
          <w:noProof/>
          <w:szCs w:val="24"/>
        </w:rPr>
        <w:t xml:space="preserve">W. </w:t>
      </w:r>
      <w:r w:rsidRPr="00BB4B4C">
        <w:rPr>
          <w:rFonts w:ascii="Calibri" w:hAnsi="Calibri"/>
          <w:noProof/>
          <w:szCs w:val="24"/>
        </w:rPr>
        <w:t xml:space="preserve">Huang </w:t>
      </w:r>
      <w:r w:rsidRPr="00A646CF">
        <w:rPr>
          <w:rFonts w:ascii="Calibri" w:hAnsi="Calibri"/>
          <w:iCs/>
          <w:noProof/>
          <w:szCs w:val="24"/>
        </w:rPr>
        <w:t>et al.</w:t>
      </w:r>
      <w:r w:rsidR="00A646CF">
        <w:rPr>
          <w:rFonts w:ascii="Calibri" w:hAnsi="Calibri"/>
          <w:noProof/>
          <w:szCs w:val="24"/>
        </w:rPr>
        <w:t xml:space="preserve">, </w:t>
      </w:r>
      <w:r w:rsidRPr="00BB4B4C">
        <w:rPr>
          <w:rFonts w:ascii="Calibri" w:hAnsi="Calibri"/>
          <w:i/>
          <w:iCs/>
          <w:noProof/>
          <w:szCs w:val="24"/>
        </w:rPr>
        <w:t>Proc. Natl. Acad. Sci. U. S. A.</w:t>
      </w:r>
      <w:r w:rsidRPr="00BB4B4C">
        <w:rPr>
          <w:rFonts w:ascii="Calibri" w:hAnsi="Calibri"/>
          <w:noProof/>
          <w:szCs w:val="24"/>
        </w:rPr>
        <w:t xml:space="preserve"> </w:t>
      </w:r>
      <w:r w:rsidR="00A646CF" w:rsidRPr="00A646CF">
        <w:rPr>
          <w:rFonts w:ascii="Calibri" w:hAnsi="Calibri"/>
          <w:b/>
          <w:noProof/>
          <w:szCs w:val="24"/>
        </w:rPr>
        <w:t>2003</w:t>
      </w:r>
      <w:r w:rsidR="00A646CF">
        <w:rPr>
          <w:rFonts w:ascii="Calibri" w:hAnsi="Calibri"/>
          <w:noProof/>
          <w:szCs w:val="24"/>
        </w:rPr>
        <w:t xml:space="preserve">, </w:t>
      </w:r>
      <w:r w:rsidRPr="00A646CF">
        <w:rPr>
          <w:rFonts w:ascii="Calibri" w:hAnsi="Calibri"/>
          <w:bCs/>
          <w:i/>
          <w:noProof/>
          <w:szCs w:val="24"/>
        </w:rPr>
        <w:t>100</w:t>
      </w:r>
      <w:r w:rsidRPr="00BB4B4C">
        <w:rPr>
          <w:rFonts w:ascii="Calibri" w:hAnsi="Calibri"/>
          <w:bCs/>
          <w:noProof/>
          <w:szCs w:val="24"/>
        </w:rPr>
        <w:t>,</w:t>
      </w:r>
      <w:r w:rsidRPr="00BB4B4C">
        <w:rPr>
          <w:rFonts w:ascii="Calibri" w:hAnsi="Calibri"/>
          <w:noProof/>
          <w:szCs w:val="24"/>
        </w:rPr>
        <w:t xml:space="preserve"> 4156–</w:t>
      </w:r>
      <w:r w:rsidR="00A646CF">
        <w:rPr>
          <w:rFonts w:ascii="Calibri" w:hAnsi="Calibri"/>
          <w:noProof/>
          <w:szCs w:val="24"/>
        </w:rPr>
        <w:t>41</w:t>
      </w:r>
      <w:r w:rsidRPr="00BB4B4C">
        <w:rPr>
          <w:rFonts w:ascii="Calibri" w:hAnsi="Calibri"/>
          <w:noProof/>
          <w:szCs w:val="24"/>
        </w:rPr>
        <w:t>61.</w:t>
      </w:r>
    </w:p>
    <w:p w14:paraId="029E93D2" w14:textId="1C1E0B64"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15.</w:t>
      </w:r>
      <w:r w:rsidRPr="00BB4B4C">
        <w:rPr>
          <w:rFonts w:ascii="Calibri" w:hAnsi="Calibri"/>
          <w:noProof/>
          <w:szCs w:val="24"/>
        </w:rPr>
        <w:tab/>
      </w:r>
      <w:r w:rsidR="00A646CF">
        <w:rPr>
          <w:rFonts w:ascii="Calibri" w:hAnsi="Calibri"/>
          <w:noProof/>
          <w:szCs w:val="24"/>
        </w:rPr>
        <w:t xml:space="preserve">J. M. Maglich </w:t>
      </w:r>
      <w:r w:rsidRPr="00A646CF">
        <w:rPr>
          <w:rFonts w:ascii="Calibri" w:hAnsi="Calibri"/>
          <w:iCs/>
          <w:noProof/>
          <w:szCs w:val="24"/>
        </w:rPr>
        <w:t>et al.</w:t>
      </w:r>
      <w:r w:rsidR="00A646CF">
        <w:rPr>
          <w:rFonts w:ascii="Calibri" w:hAnsi="Calibri"/>
          <w:iCs/>
          <w:noProof/>
          <w:szCs w:val="24"/>
        </w:rPr>
        <w:t xml:space="preserve">, </w:t>
      </w:r>
      <w:r w:rsidRPr="00BB4B4C">
        <w:rPr>
          <w:rFonts w:ascii="Calibri" w:hAnsi="Calibri"/>
          <w:i/>
          <w:iCs/>
          <w:noProof/>
          <w:szCs w:val="24"/>
        </w:rPr>
        <w:t>J. Biol. Chem.</w:t>
      </w:r>
      <w:r w:rsidRPr="00BB4B4C">
        <w:rPr>
          <w:rFonts w:ascii="Calibri" w:hAnsi="Calibri"/>
          <w:noProof/>
          <w:szCs w:val="24"/>
        </w:rPr>
        <w:t xml:space="preserve"> </w:t>
      </w:r>
      <w:r w:rsidR="00A646CF" w:rsidRPr="00A646CF">
        <w:rPr>
          <w:rFonts w:ascii="Calibri" w:hAnsi="Calibri"/>
          <w:b/>
          <w:noProof/>
          <w:szCs w:val="24"/>
        </w:rPr>
        <w:t>2004</w:t>
      </w:r>
      <w:r w:rsidR="00A646CF">
        <w:rPr>
          <w:rFonts w:ascii="Calibri" w:hAnsi="Calibri"/>
          <w:noProof/>
          <w:szCs w:val="24"/>
        </w:rPr>
        <w:t xml:space="preserve">, </w:t>
      </w:r>
      <w:r w:rsidRPr="00A646CF">
        <w:rPr>
          <w:rFonts w:ascii="Calibri" w:hAnsi="Calibri"/>
          <w:bCs/>
          <w:i/>
          <w:noProof/>
          <w:szCs w:val="24"/>
        </w:rPr>
        <w:t>279</w:t>
      </w:r>
      <w:r w:rsidRPr="00BB4B4C">
        <w:rPr>
          <w:rFonts w:ascii="Calibri" w:hAnsi="Calibri"/>
          <w:bCs/>
          <w:noProof/>
          <w:szCs w:val="24"/>
        </w:rPr>
        <w:t>,</w:t>
      </w:r>
      <w:r w:rsidRPr="00BB4B4C">
        <w:rPr>
          <w:rFonts w:ascii="Calibri" w:hAnsi="Calibri"/>
          <w:noProof/>
          <w:szCs w:val="24"/>
        </w:rPr>
        <w:t xml:space="preserve"> 19832–</w:t>
      </w:r>
      <w:r w:rsidR="00A646CF">
        <w:rPr>
          <w:rFonts w:ascii="Calibri" w:hAnsi="Calibri"/>
          <w:noProof/>
          <w:szCs w:val="24"/>
        </w:rPr>
        <w:t>1983</w:t>
      </w:r>
      <w:r w:rsidRPr="00BB4B4C">
        <w:rPr>
          <w:rFonts w:ascii="Calibri" w:hAnsi="Calibri"/>
          <w:noProof/>
          <w:szCs w:val="24"/>
        </w:rPr>
        <w:t>8.</w:t>
      </w:r>
    </w:p>
    <w:p w14:paraId="18997F36" w14:textId="0791ECE0"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16.</w:t>
      </w:r>
      <w:r w:rsidRPr="00BB4B4C">
        <w:rPr>
          <w:rFonts w:ascii="Calibri" w:hAnsi="Calibri"/>
          <w:noProof/>
          <w:szCs w:val="24"/>
        </w:rPr>
        <w:tab/>
      </w:r>
      <w:r w:rsidR="00A646CF">
        <w:rPr>
          <w:rFonts w:ascii="Calibri" w:hAnsi="Calibri"/>
          <w:noProof/>
          <w:szCs w:val="24"/>
        </w:rPr>
        <w:t xml:space="preserve">J. M. </w:t>
      </w:r>
      <w:r w:rsidRPr="00BB4B4C">
        <w:rPr>
          <w:rFonts w:ascii="Calibri" w:hAnsi="Calibri"/>
          <w:noProof/>
          <w:szCs w:val="24"/>
        </w:rPr>
        <w:t xml:space="preserve">Pascussi, </w:t>
      </w:r>
      <w:r w:rsidR="00A646CF">
        <w:rPr>
          <w:rFonts w:ascii="Calibri" w:hAnsi="Calibri"/>
          <w:noProof/>
          <w:szCs w:val="24"/>
        </w:rPr>
        <w:t xml:space="preserve">S. </w:t>
      </w:r>
      <w:r w:rsidRPr="00BB4B4C">
        <w:rPr>
          <w:rFonts w:ascii="Calibri" w:hAnsi="Calibri"/>
          <w:noProof/>
          <w:szCs w:val="24"/>
        </w:rPr>
        <w:t xml:space="preserve">Gerbal-Chaloin, </w:t>
      </w:r>
      <w:r w:rsidR="00A646CF">
        <w:rPr>
          <w:rFonts w:ascii="Calibri" w:hAnsi="Calibri"/>
          <w:noProof/>
          <w:szCs w:val="24"/>
        </w:rPr>
        <w:t xml:space="preserve">J.-M. </w:t>
      </w:r>
      <w:r w:rsidRPr="00BB4B4C">
        <w:rPr>
          <w:rFonts w:ascii="Calibri" w:hAnsi="Calibri"/>
          <w:noProof/>
          <w:szCs w:val="24"/>
        </w:rPr>
        <w:t xml:space="preserve">Fabre, </w:t>
      </w:r>
      <w:r w:rsidR="00A646CF">
        <w:rPr>
          <w:rFonts w:ascii="Calibri" w:hAnsi="Calibri"/>
          <w:noProof/>
          <w:szCs w:val="24"/>
        </w:rPr>
        <w:t xml:space="preserve">P. </w:t>
      </w:r>
      <w:r w:rsidRPr="00BB4B4C">
        <w:rPr>
          <w:rFonts w:ascii="Calibri" w:hAnsi="Calibri"/>
          <w:noProof/>
          <w:szCs w:val="24"/>
        </w:rPr>
        <w:t>Maurel</w:t>
      </w:r>
      <w:r w:rsidR="00A646CF">
        <w:rPr>
          <w:rFonts w:ascii="Calibri" w:hAnsi="Calibri"/>
          <w:noProof/>
          <w:szCs w:val="24"/>
        </w:rPr>
        <w:t>, M.-J.</w:t>
      </w:r>
      <w:r w:rsidRPr="00BB4B4C">
        <w:rPr>
          <w:rFonts w:ascii="Calibri" w:hAnsi="Calibri"/>
          <w:noProof/>
          <w:szCs w:val="24"/>
        </w:rPr>
        <w:t xml:space="preserve"> Vilarem, </w:t>
      </w:r>
      <w:r w:rsidRPr="00BB4B4C">
        <w:rPr>
          <w:rFonts w:ascii="Calibri" w:hAnsi="Calibri"/>
          <w:i/>
          <w:iCs/>
          <w:noProof/>
          <w:szCs w:val="24"/>
        </w:rPr>
        <w:t>Mol. Pharmacol.</w:t>
      </w:r>
      <w:r w:rsidRPr="00BB4B4C">
        <w:rPr>
          <w:rFonts w:ascii="Calibri" w:hAnsi="Calibri"/>
          <w:noProof/>
          <w:szCs w:val="24"/>
        </w:rPr>
        <w:t xml:space="preserve"> </w:t>
      </w:r>
      <w:r w:rsidR="00A646CF" w:rsidRPr="00A646CF">
        <w:rPr>
          <w:rFonts w:ascii="Calibri" w:hAnsi="Calibri"/>
          <w:b/>
          <w:noProof/>
          <w:szCs w:val="24"/>
        </w:rPr>
        <w:t>2000</w:t>
      </w:r>
      <w:r w:rsidR="00A646CF" w:rsidRPr="00A646CF">
        <w:rPr>
          <w:rFonts w:ascii="Calibri" w:hAnsi="Calibri"/>
          <w:bCs/>
          <w:noProof/>
          <w:szCs w:val="24"/>
        </w:rPr>
        <w:t>,</w:t>
      </w:r>
      <w:r w:rsidR="00A646CF">
        <w:rPr>
          <w:rFonts w:ascii="Calibri" w:hAnsi="Calibri"/>
          <w:bCs/>
          <w:noProof/>
          <w:szCs w:val="24"/>
        </w:rPr>
        <w:t xml:space="preserve"> </w:t>
      </w:r>
      <w:r w:rsidRPr="00A646CF">
        <w:rPr>
          <w:rFonts w:ascii="Calibri" w:hAnsi="Calibri"/>
          <w:bCs/>
          <w:i/>
          <w:noProof/>
          <w:szCs w:val="24"/>
        </w:rPr>
        <w:t>58</w:t>
      </w:r>
      <w:r w:rsidRPr="00BB4B4C">
        <w:rPr>
          <w:rFonts w:ascii="Calibri" w:hAnsi="Calibri"/>
          <w:bCs/>
          <w:noProof/>
          <w:szCs w:val="24"/>
        </w:rPr>
        <w:t>,</w:t>
      </w:r>
      <w:r w:rsidRPr="00BB4B4C">
        <w:rPr>
          <w:rFonts w:ascii="Calibri" w:hAnsi="Calibri"/>
          <w:noProof/>
          <w:szCs w:val="24"/>
        </w:rPr>
        <w:t xml:space="preserve"> 1441–1450.</w:t>
      </w:r>
    </w:p>
    <w:p w14:paraId="53B1FCA1" w14:textId="6A42E8C3"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17.</w:t>
      </w:r>
      <w:r w:rsidRPr="00BB4B4C">
        <w:rPr>
          <w:rFonts w:ascii="Calibri" w:hAnsi="Calibri"/>
          <w:noProof/>
          <w:szCs w:val="24"/>
        </w:rPr>
        <w:tab/>
      </w:r>
      <w:r w:rsidR="00A646CF">
        <w:rPr>
          <w:rFonts w:ascii="Calibri" w:hAnsi="Calibri"/>
          <w:noProof/>
          <w:szCs w:val="24"/>
        </w:rPr>
        <w:t xml:space="preserve">H. R. </w:t>
      </w:r>
      <w:r w:rsidRPr="00BB4B4C">
        <w:rPr>
          <w:rFonts w:ascii="Calibri" w:hAnsi="Calibri"/>
          <w:noProof/>
          <w:szCs w:val="24"/>
        </w:rPr>
        <w:t>Kast</w:t>
      </w:r>
      <w:r w:rsidR="00A646CF">
        <w:rPr>
          <w:rFonts w:ascii="Calibri" w:hAnsi="Calibri"/>
          <w:noProof/>
          <w:szCs w:val="24"/>
        </w:rPr>
        <w:t xml:space="preserve"> </w:t>
      </w:r>
      <w:r w:rsidRPr="00A646CF">
        <w:rPr>
          <w:rFonts w:ascii="Calibri" w:hAnsi="Calibri"/>
          <w:iCs/>
          <w:noProof/>
          <w:szCs w:val="24"/>
        </w:rPr>
        <w:t>et al.</w:t>
      </w:r>
      <w:r w:rsidR="00A646CF">
        <w:rPr>
          <w:rFonts w:ascii="Calibri" w:hAnsi="Calibri"/>
          <w:iCs/>
          <w:noProof/>
          <w:szCs w:val="24"/>
        </w:rPr>
        <w:t>,</w:t>
      </w:r>
      <w:r w:rsidRPr="00BB4B4C">
        <w:rPr>
          <w:rFonts w:ascii="Calibri" w:hAnsi="Calibri"/>
          <w:noProof/>
          <w:szCs w:val="24"/>
        </w:rPr>
        <w:t xml:space="preserve"> </w:t>
      </w:r>
      <w:r w:rsidRPr="00BB4B4C">
        <w:rPr>
          <w:rFonts w:ascii="Calibri" w:hAnsi="Calibri"/>
          <w:i/>
          <w:iCs/>
          <w:noProof/>
          <w:szCs w:val="24"/>
        </w:rPr>
        <w:t>J. Biol. Chem.</w:t>
      </w:r>
      <w:r w:rsidRPr="00BB4B4C">
        <w:rPr>
          <w:rFonts w:ascii="Calibri" w:hAnsi="Calibri"/>
          <w:noProof/>
          <w:szCs w:val="24"/>
        </w:rPr>
        <w:t xml:space="preserve"> </w:t>
      </w:r>
      <w:r w:rsidR="00A646CF" w:rsidRPr="00A646CF">
        <w:rPr>
          <w:rFonts w:ascii="Calibri" w:hAnsi="Calibri"/>
          <w:b/>
          <w:noProof/>
          <w:szCs w:val="24"/>
        </w:rPr>
        <w:t>2002</w:t>
      </w:r>
      <w:r w:rsidR="00A646CF">
        <w:rPr>
          <w:rFonts w:ascii="Calibri" w:hAnsi="Calibri"/>
          <w:noProof/>
          <w:szCs w:val="24"/>
        </w:rPr>
        <w:t xml:space="preserve">, </w:t>
      </w:r>
      <w:r w:rsidRPr="00A646CF">
        <w:rPr>
          <w:rFonts w:ascii="Calibri" w:hAnsi="Calibri"/>
          <w:bCs/>
          <w:i/>
          <w:noProof/>
          <w:szCs w:val="24"/>
        </w:rPr>
        <w:t>277</w:t>
      </w:r>
      <w:r w:rsidRPr="00BB4B4C">
        <w:rPr>
          <w:rFonts w:ascii="Calibri" w:hAnsi="Calibri"/>
          <w:bCs/>
          <w:noProof/>
          <w:szCs w:val="24"/>
        </w:rPr>
        <w:t>,</w:t>
      </w:r>
      <w:r w:rsidRPr="00BB4B4C">
        <w:rPr>
          <w:rFonts w:ascii="Calibri" w:hAnsi="Calibri"/>
          <w:noProof/>
          <w:szCs w:val="24"/>
        </w:rPr>
        <w:t xml:space="preserve"> 2908–</w:t>
      </w:r>
      <w:r w:rsidR="00A646CF">
        <w:rPr>
          <w:rFonts w:ascii="Calibri" w:hAnsi="Calibri"/>
          <w:noProof/>
          <w:szCs w:val="24"/>
        </w:rPr>
        <w:t>29</w:t>
      </w:r>
      <w:r w:rsidRPr="00BB4B4C">
        <w:rPr>
          <w:rFonts w:ascii="Calibri" w:hAnsi="Calibri"/>
          <w:noProof/>
          <w:szCs w:val="24"/>
        </w:rPr>
        <w:t>15.</w:t>
      </w:r>
    </w:p>
    <w:p w14:paraId="6E359E4D" w14:textId="4E2DF657"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18.</w:t>
      </w:r>
      <w:r w:rsidRPr="00BB4B4C">
        <w:rPr>
          <w:rFonts w:ascii="Calibri" w:hAnsi="Calibri"/>
          <w:noProof/>
          <w:szCs w:val="24"/>
        </w:rPr>
        <w:tab/>
      </w:r>
      <w:r w:rsidR="00A646CF">
        <w:rPr>
          <w:rFonts w:ascii="Calibri" w:hAnsi="Calibri"/>
          <w:noProof/>
          <w:szCs w:val="24"/>
        </w:rPr>
        <w:t xml:space="preserve">R. </w:t>
      </w:r>
      <w:r w:rsidRPr="00BB4B4C">
        <w:rPr>
          <w:rFonts w:ascii="Calibri" w:hAnsi="Calibri"/>
          <w:noProof/>
          <w:szCs w:val="24"/>
        </w:rPr>
        <w:t xml:space="preserve">Yao </w:t>
      </w:r>
      <w:r w:rsidRPr="00A646CF">
        <w:rPr>
          <w:rFonts w:ascii="Calibri" w:hAnsi="Calibri"/>
          <w:iCs/>
          <w:noProof/>
          <w:szCs w:val="24"/>
        </w:rPr>
        <w:t>et al.</w:t>
      </w:r>
      <w:r w:rsidR="00A646CF">
        <w:rPr>
          <w:rFonts w:ascii="Calibri" w:hAnsi="Calibri"/>
          <w:iCs/>
          <w:noProof/>
          <w:szCs w:val="24"/>
        </w:rPr>
        <w:t>,</w:t>
      </w:r>
      <w:r w:rsidRPr="00BB4B4C">
        <w:rPr>
          <w:rFonts w:ascii="Calibri" w:hAnsi="Calibri"/>
          <w:noProof/>
          <w:szCs w:val="24"/>
        </w:rPr>
        <w:t xml:space="preserve"> </w:t>
      </w:r>
      <w:r w:rsidRPr="00BB4B4C">
        <w:rPr>
          <w:rFonts w:ascii="Calibri" w:hAnsi="Calibri"/>
          <w:i/>
          <w:iCs/>
          <w:noProof/>
          <w:szCs w:val="24"/>
        </w:rPr>
        <w:t>J. Agric. Food Chem.</w:t>
      </w:r>
      <w:r w:rsidRPr="00BB4B4C">
        <w:rPr>
          <w:rFonts w:ascii="Calibri" w:hAnsi="Calibri"/>
          <w:noProof/>
          <w:szCs w:val="24"/>
        </w:rPr>
        <w:t xml:space="preserve"> </w:t>
      </w:r>
      <w:r w:rsidR="00A646CF" w:rsidRPr="00A646CF">
        <w:rPr>
          <w:rFonts w:ascii="Calibri" w:hAnsi="Calibri"/>
          <w:b/>
          <w:noProof/>
          <w:szCs w:val="24"/>
        </w:rPr>
        <w:t>2010</w:t>
      </w:r>
      <w:r w:rsidR="00A646CF">
        <w:rPr>
          <w:rFonts w:ascii="Calibri" w:hAnsi="Calibri"/>
          <w:noProof/>
          <w:szCs w:val="24"/>
        </w:rPr>
        <w:t xml:space="preserve">, </w:t>
      </w:r>
      <w:r w:rsidRPr="00A646CF">
        <w:rPr>
          <w:rFonts w:ascii="Calibri" w:hAnsi="Calibri"/>
          <w:bCs/>
          <w:i/>
          <w:noProof/>
          <w:szCs w:val="24"/>
        </w:rPr>
        <w:t>58</w:t>
      </w:r>
      <w:r w:rsidRPr="00BB4B4C">
        <w:rPr>
          <w:rFonts w:ascii="Calibri" w:hAnsi="Calibri"/>
          <w:bCs/>
          <w:noProof/>
          <w:szCs w:val="24"/>
        </w:rPr>
        <w:t>,</w:t>
      </w:r>
      <w:r w:rsidR="00A646CF">
        <w:rPr>
          <w:rFonts w:ascii="Calibri" w:hAnsi="Calibri"/>
          <w:noProof/>
          <w:szCs w:val="24"/>
        </w:rPr>
        <w:t xml:space="preserve"> 2168–2173</w:t>
      </w:r>
      <w:r w:rsidRPr="00BB4B4C">
        <w:rPr>
          <w:rFonts w:ascii="Calibri" w:hAnsi="Calibri"/>
          <w:noProof/>
          <w:szCs w:val="24"/>
        </w:rPr>
        <w:t>.</w:t>
      </w:r>
    </w:p>
    <w:p w14:paraId="1A06ECCE" w14:textId="15C02F11"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19.</w:t>
      </w:r>
      <w:r w:rsidRPr="00BB4B4C">
        <w:rPr>
          <w:rFonts w:ascii="Calibri" w:hAnsi="Calibri"/>
          <w:noProof/>
          <w:szCs w:val="24"/>
        </w:rPr>
        <w:tab/>
      </w:r>
      <w:r w:rsidR="00A646CF">
        <w:rPr>
          <w:rFonts w:ascii="Calibri" w:hAnsi="Calibri"/>
          <w:noProof/>
          <w:szCs w:val="24"/>
        </w:rPr>
        <w:t xml:space="preserve">H. </w:t>
      </w:r>
      <w:r w:rsidRPr="00BB4B4C">
        <w:rPr>
          <w:rFonts w:ascii="Calibri" w:hAnsi="Calibri"/>
          <w:noProof/>
          <w:szCs w:val="24"/>
        </w:rPr>
        <w:t>Yang</w:t>
      </w:r>
      <w:r w:rsidR="00A646CF">
        <w:rPr>
          <w:rFonts w:ascii="Calibri" w:hAnsi="Calibri"/>
          <w:noProof/>
          <w:szCs w:val="24"/>
        </w:rPr>
        <w:t>, H.</w:t>
      </w:r>
      <w:r w:rsidRPr="00BB4B4C">
        <w:rPr>
          <w:rFonts w:ascii="Calibri" w:hAnsi="Calibri"/>
          <w:noProof/>
          <w:szCs w:val="24"/>
        </w:rPr>
        <w:t xml:space="preserve"> Wang, </w:t>
      </w:r>
      <w:r w:rsidRPr="00BB4B4C">
        <w:rPr>
          <w:rFonts w:ascii="Calibri" w:hAnsi="Calibri"/>
          <w:i/>
          <w:iCs/>
          <w:noProof/>
          <w:szCs w:val="24"/>
        </w:rPr>
        <w:t>Protein Cell</w:t>
      </w:r>
      <w:r w:rsidRPr="00BB4B4C">
        <w:rPr>
          <w:rFonts w:ascii="Calibri" w:hAnsi="Calibri"/>
          <w:noProof/>
          <w:szCs w:val="24"/>
        </w:rPr>
        <w:t xml:space="preserve"> </w:t>
      </w:r>
      <w:r w:rsidR="00A646CF" w:rsidRPr="00A646CF">
        <w:rPr>
          <w:rFonts w:ascii="Calibri" w:hAnsi="Calibri"/>
          <w:b/>
          <w:noProof/>
          <w:szCs w:val="24"/>
        </w:rPr>
        <w:t>2014</w:t>
      </w:r>
      <w:r w:rsidR="00A646CF">
        <w:rPr>
          <w:rFonts w:ascii="Calibri" w:hAnsi="Calibri"/>
          <w:noProof/>
          <w:szCs w:val="24"/>
        </w:rPr>
        <w:t xml:space="preserve">, </w:t>
      </w:r>
      <w:r w:rsidRPr="00A646CF">
        <w:rPr>
          <w:rFonts w:ascii="Calibri" w:hAnsi="Calibri"/>
          <w:bCs/>
          <w:i/>
          <w:noProof/>
          <w:szCs w:val="24"/>
        </w:rPr>
        <w:t>5</w:t>
      </w:r>
      <w:r w:rsidRPr="00BB4B4C">
        <w:rPr>
          <w:rFonts w:ascii="Calibri" w:hAnsi="Calibri"/>
          <w:bCs/>
          <w:noProof/>
          <w:szCs w:val="24"/>
        </w:rPr>
        <w:t>,</w:t>
      </w:r>
      <w:r w:rsidRPr="00BB4B4C">
        <w:rPr>
          <w:rFonts w:ascii="Calibri" w:hAnsi="Calibri"/>
          <w:noProof/>
          <w:szCs w:val="24"/>
        </w:rPr>
        <w:t xml:space="preserve"> 113–</w:t>
      </w:r>
      <w:r w:rsidR="00A646CF">
        <w:rPr>
          <w:rFonts w:ascii="Calibri" w:hAnsi="Calibri"/>
          <w:noProof/>
          <w:szCs w:val="24"/>
        </w:rPr>
        <w:t>1</w:t>
      </w:r>
      <w:r w:rsidRPr="00BB4B4C">
        <w:rPr>
          <w:rFonts w:ascii="Calibri" w:hAnsi="Calibri"/>
          <w:noProof/>
          <w:szCs w:val="24"/>
        </w:rPr>
        <w:t>23.</w:t>
      </w:r>
    </w:p>
    <w:p w14:paraId="16B765FE" w14:textId="425980D1"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20.</w:t>
      </w:r>
      <w:r w:rsidRPr="00BB4B4C">
        <w:rPr>
          <w:rFonts w:ascii="Calibri" w:hAnsi="Calibri"/>
          <w:noProof/>
          <w:szCs w:val="24"/>
        </w:rPr>
        <w:tab/>
      </w:r>
      <w:r w:rsidR="00A646CF">
        <w:rPr>
          <w:rFonts w:ascii="Calibri" w:hAnsi="Calibri"/>
          <w:noProof/>
          <w:szCs w:val="24"/>
        </w:rPr>
        <w:t xml:space="preserve">K. </w:t>
      </w:r>
      <w:r w:rsidRPr="00BB4B4C">
        <w:rPr>
          <w:rFonts w:ascii="Calibri" w:hAnsi="Calibri"/>
          <w:noProof/>
          <w:szCs w:val="24"/>
        </w:rPr>
        <w:t xml:space="preserve">Monostory, </w:t>
      </w:r>
      <w:r w:rsidR="00A646CF">
        <w:rPr>
          <w:rFonts w:ascii="Calibri" w:hAnsi="Calibri"/>
          <w:noProof/>
          <w:szCs w:val="24"/>
        </w:rPr>
        <w:t>Z.</w:t>
      </w:r>
      <w:r w:rsidRPr="00BB4B4C">
        <w:rPr>
          <w:rFonts w:ascii="Calibri" w:hAnsi="Calibri"/>
          <w:noProof/>
          <w:szCs w:val="24"/>
        </w:rPr>
        <w:t xml:space="preserve"> Dvorak, </w:t>
      </w:r>
      <w:r w:rsidRPr="00BB4B4C">
        <w:rPr>
          <w:rFonts w:ascii="Calibri" w:hAnsi="Calibri"/>
          <w:i/>
          <w:iCs/>
          <w:noProof/>
          <w:szCs w:val="24"/>
        </w:rPr>
        <w:t>Curr. Drug Metab.</w:t>
      </w:r>
      <w:r w:rsidRPr="00BB4B4C">
        <w:rPr>
          <w:rFonts w:ascii="Calibri" w:hAnsi="Calibri"/>
          <w:noProof/>
          <w:szCs w:val="24"/>
        </w:rPr>
        <w:t xml:space="preserve"> </w:t>
      </w:r>
      <w:r w:rsidR="00A646CF" w:rsidRPr="00A646CF">
        <w:rPr>
          <w:rFonts w:ascii="Calibri" w:hAnsi="Calibri"/>
          <w:b/>
          <w:noProof/>
          <w:szCs w:val="24"/>
        </w:rPr>
        <w:t>2011</w:t>
      </w:r>
      <w:r w:rsidR="00A646CF">
        <w:rPr>
          <w:rFonts w:ascii="Calibri" w:hAnsi="Calibri"/>
          <w:noProof/>
          <w:szCs w:val="24"/>
        </w:rPr>
        <w:t xml:space="preserve">, </w:t>
      </w:r>
      <w:r w:rsidRPr="00A646CF">
        <w:rPr>
          <w:rFonts w:ascii="Calibri" w:hAnsi="Calibri"/>
          <w:bCs/>
          <w:i/>
          <w:noProof/>
          <w:szCs w:val="24"/>
        </w:rPr>
        <w:t>12</w:t>
      </w:r>
      <w:r w:rsidRPr="00BB4B4C">
        <w:rPr>
          <w:rFonts w:ascii="Calibri" w:hAnsi="Calibri"/>
          <w:bCs/>
          <w:noProof/>
          <w:szCs w:val="24"/>
        </w:rPr>
        <w:t>,</w:t>
      </w:r>
      <w:r w:rsidRPr="00BB4B4C">
        <w:rPr>
          <w:rFonts w:ascii="Calibri" w:hAnsi="Calibri"/>
          <w:noProof/>
          <w:szCs w:val="24"/>
        </w:rPr>
        <w:t xml:space="preserve"> 154–</w:t>
      </w:r>
      <w:r w:rsidR="00A646CF">
        <w:rPr>
          <w:rFonts w:ascii="Calibri" w:hAnsi="Calibri"/>
          <w:noProof/>
          <w:szCs w:val="24"/>
        </w:rPr>
        <w:t>1</w:t>
      </w:r>
      <w:r w:rsidRPr="00BB4B4C">
        <w:rPr>
          <w:rFonts w:ascii="Calibri" w:hAnsi="Calibri"/>
          <w:noProof/>
          <w:szCs w:val="24"/>
        </w:rPr>
        <w:t>72.</w:t>
      </w:r>
    </w:p>
    <w:p w14:paraId="14D07BDF" w14:textId="1A62EE8D"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21.</w:t>
      </w:r>
      <w:r w:rsidRPr="00BB4B4C">
        <w:rPr>
          <w:rFonts w:ascii="Calibri" w:hAnsi="Calibri"/>
          <w:noProof/>
          <w:szCs w:val="24"/>
        </w:rPr>
        <w:tab/>
      </w:r>
      <w:r w:rsidR="00A646CF">
        <w:rPr>
          <w:rFonts w:ascii="Calibri" w:hAnsi="Calibri"/>
          <w:noProof/>
          <w:szCs w:val="24"/>
        </w:rPr>
        <w:t xml:space="preserve">A. </w:t>
      </w:r>
      <w:r w:rsidRPr="00BB4B4C">
        <w:rPr>
          <w:rFonts w:ascii="Calibri" w:hAnsi="Calibri"/>
          <w:noProof/>
          <w:szCs w:val="24"/>
        </w:rPr>
        <w:t xml:space="preserve">Brenna, </w:t>
      </w:r>
      <w:r w:rsidR="00A646CF">
        <w:rPr>
          <w:rFonts w:ascii="Calibri" w:hAnsi="Calibri"/>
          <w:noProof/>
          <w:szCs w:val="24"/>
        </w:rPr>
        <w:t>B.</w:t>
      </w:r>
      <w:r w:rsidRPr="00BB4B4C">
        <w:rPr>
          <w:rFonts w:ascii="Calibri" w:hAnsi="Calibri"/>
          <w:noProof/>
          <w:szCs w:val="24"/>
        </w:rPr>
        <w:t xml:space="preserve"> Grimaldi, </w:t>
      </w:r>
      <w:r w:rsidR="00A646CF">
        <w:rPr>
          <w:rFonts w:ascii="Calibri" w:hAnsi="Calibri"/>
          <w:noProof/>
          <w:szCs w:val="24"/>
        </w:rPr>
        <w:t>P.</w:t>
      </w:r>
      <w:r w:rsidRPr="00BB4B4C">
        <w:rPr>
          <w:rFonts w:ascii="Calibri" w:hAnsi="Calibri"/>
          <w:noProof/>
          <w:szCs w:val="24"/>
        </w:rPr>
        <w:t xml:space="preserve"> Filetici, </w:t>
      </w:r>
      <w:r w:rsidR="00A646CF">
        <w:rPr>
          <w:rFonts w:ascii="Calibri" w:hAnsi="Calibri"/>
          <w:noProof/>
          <w:szCs w:val="24"/>
        </w:rPr>
        <w:t>P.</w:t>
      </w:r>
      <w:r w:rsidRPr="00BB4B4C">
        <w:rPr>
          <w:rFonts w:ascii="Calibri" w:hAnsi="Calibri"/>
          <w:noProof/>
          <w:szCs w:val="24"/>
        </w:rPr>
        <w:t xml:space="preserve"> Ballario, </w:t>
      </w:r>
      <w:r w:rsidRPr="00BB4B4C">
        <w:rPr>
          <w:rFonts w:ascii="Calibri" w:hAnsi="Calibri"/>
          <w:i/>
          <w:iCs/>
          <w:noProof/>
          <w:szCs w:val="24"/>
        </w:rPr>
        <w:t>Mol. Biol. Cell</w:t>
      </w:r>
      <w:r w:rsidRPr="00BB4B4C">
        <w:rPr>
          <w:rFonts w:ascii="Calibri" w:hAnsi="Calibri"/>
          <w:noProof/>
          <w:szCs w:val="24"/>
        </w:rPr>
        <w:t xml:space="preserve"> </w:t>
      </w:r>
      <w:r w:rsidR="00A646CF" w:rsidRPr="00A646CF">
        <w:rPr>
          <w:rFonts w:ascii="Calibri" w:hAnsi="Calibri"/>
          <w:b/>
          <w:noProof/>
          <w:szCs w:val="24"/>
        </w:rPr>
        <w:t>2012</w:t>
      </w:r>
      <w:r w:rsidR="00A646CF">
        <w:rPr>
          <w:rFonts w:ascii="Calibri" w:hAnsi="Calibri"/>
          <w:noProof/>
          <w:szCs w:val="24"/>
        </w:rPr>
        <w:t xml:space="preserve">, </w:t>
      </w:r>
      <w:r w:rsidRPr="00A646CF">
        <w:rPr>
          <w:rFonts w:ascii="Calibri" w:hAnsi="Calibri"/>
          <w:bCs/>
          <w:i/>
          <w:noProof/>
          <w:szCs w:val="24"/>
        </w:rPr>
        <w:t>23</w:t>
      </w:r>
      <w:r w:rsidRPr="00BB4B4C">
        <w:rPr>
          <w:rFonts w:ascii="Calibri" w:hAnsi="Calibri"/>
          <w:bCs/>
          <w:noProof/>
          <w:szCs w:val="24"/>
        </w:rPr>
        <w:t>,</w:t>
      </w:r>
      <w:r w:rsidRPr="00BB4B4C">
        <w:rPr>
          <w:rFonts w:ascii="Calibri" w:hAnsi="Calibri"/>
          <w:noProof/>
          <w:szCs w:val="24"/>
        </w:rPr>
        <w:t xml:space="preserve"> 3863–</w:t>
      </w:r>
      <w:r w:rsidR="00A646CF">
        <w:rPr>
          <w:rFonts w:ascii="Calibri" w:hAnsi="Calibri"/>
          <w:noProof/>
          <w:szCs w:val="24"/>
        </w:rPr>
        <w:t>38</w:t>
      </w:r>
      <w:r w:rsidRPr="00BB4B4C">
        <w:rPr>
          <w:rFonts w:ascii="Calibri" w:hAnsi="Calibri"/>
          <w:noProof/>
          <w:szCs w:val="24"/>
        </w:rPr>
        <w:t>72.</w:t>
      </w:r>
    </w:p>
    <w:p w14:paraId="1D2CCF23" w14:textId="56B772A2"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22.</w:t>
      </w:r>
      <w:r w:rsidRPr="00BB4B4C">
        <w:rPr>
          <w:rFonts w:ascii="Calibri" w:hAnsi="Calibri"/>
          <w:noProof/>
          <w:szCs w:val="24"/>
        </w:rPr>
        <w:tab/>
      </w:r>
      <w:r w:rsidR="00A646CF">
        <w:rPr>
          <w:rFonts w:ascii="Calibri" w:hAnsi="Calibri"/>
          <w:noProof/>
          <w:szCs w:val="24"/>
        </w:rPr>
        <w:t xml:space="preserve">K. </w:t>
      </w:r>
      <w:r w:rsidRPr="00BB4B4C">
        <w:rPr>
          <w:rFonts w:ascii="Calibri" w:hAnsi="Calibri"/>
          <w:noProof/>
          <w:szCs w:val="24"/>
        </w:rPr>
        <w:t xml:space="preserve">Suino </w:t>
      </w:r>
      <w:r w:rsidRPr="00A646CF">
        <w:rPr>
          <w:rFonts w:ascii="Calibri" w:hAnsi="Calibri"/>
          <w:iCs/>
          <w:noProof/>
          <w:szCs w:val="24"/>
        </w:rPr>
        <w:t>et al.</w:t>
      </w:r>
      <w:r w:rsidR="00A646CF">
        <w:rPr>
          <w:rFonts w:ascii="Calibri" w:hAnsi="Calibri"/>
          <w:iCs/>
          <w:noProof/>
          <w:szCs w:val="24"/>
        </w:rPr>
        <w:t>,</w:t>
      </w:r>
      <w:r w:rsidRPr="00BB4B4C">
        <w:rPr>
          <w:rFonts w:ascii="Calibri" w:hAnsi="Calibri"/>
          <w:noProof/>
          <w:szCs w:val="24"/>
        </w:rPr>
        <w:t xml:space="preserve"> </w:t>
      </w:r>
      <w:r w:rsidRPr="00BB4B4C">
        <w:rPr>
          <w:rFonts w:ascii="Calibri" w:hAnsi="Calibri"/>
          <w:i/>
          <w:iCs/>
          <w:noProof/>
          <w:szCs w:val="24"/>
        </w:rPr>
        <w:t>Mol. Cell</w:t>
      </w:r>
      <w:r w:rsidRPr="00BB4B4C">
        <w:rPr>
          <w:rFonts w:ascii="Calibri" w:hAnsi="Calibri"/>
          <w:noProof/>
          <w:szCs w:val="24"/>
        </w:rPr>
        <w:t xml:space="preserve"> </w:t>
      </w:r>
      <w:r w:rsidR="00A646CF" w:rsidRPr="00A646CF">
        <w:rPr>
          <w:rFonts w:ascii="Calibri" w:hAnsi="Calibri"/>
          <w:b/>
          <w:noProof/>
          <w:szCs w:val="24"/>
        </w:rPr>
        <w:t>2004</w:t>
      </w:r>
      <w:r w:rsidR="00A646CF">
        <w:rPr>
          <w:rFonts w:ascii="Calibri" w:hAnsi="Calibri"/>
          <w:noProof/>
          <w:szCs w:val="24"/>
        </w:rPr>
        <w:t xml:space="preserve">, </w:t>
      </w:r>
      <w:r w:rsidRPr="00A646CF">
        <w:rPr>
          <w:rFonts w:ascii="Calibri" w:hAnsi="Calibri"/>
          <w:bCs/>
          <w:i/>
          <w:noProof/>
          <w:szCs w:val="24"/>
        </w:rPr>
        <w:t>16</w:t>
      </w:r>
      <w:r w:rsidRPr="00BB4B4C">
        <w:rPr>
          <w:rFonts w:ascii="Calibri" w:hAnsi="Calibri"/>
          <w:bCs/>
          <w:noProof/>
          <w:szCs w:val="24"/>
        </w:rPr>
        <w:t>,</w:t>
      </w:r>
      <w:r w:rsidRPr="00BB4B4C">
        <w:rPr>
          <w:rFonts w:ascii="Calibri" w:hAnsi="Calibri"/>
          <w:noProof/>
          <w:szCs w:val="24"/>
        </w:rPr>
        <w:t xml:space="preserve"> 893–905.</w:t>
      </w:r>
    </w:p>
    <w:p w14:paraId="5B13433C" w14:textId="160D280B"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23.</w:t>
      </w:r>
      <w:r w:rsidRPr="00BB4B4C">
        <w:rPr>
          <w:rFonts w:ascii="Calibri" w:hAnsi="Calibri"/>
          <w:noProof/>
          <w:szCs w:val="24"/>
        </w:rPr>
        <w:tab/>
      </w:r>
      <w:r w:rsidR="00A646CF">
        <w:rPr>
          <w:rFonts w:ascii="Calibri" w:hAnsi="Calibri"/>
          <w:noProof/>
          <w:szCs w:val="24"/>
        </w:rPr>
        <w:t xml:space="preserve">K. </w:t>
      </w:r>
      <w:r w:rsidRPr="00BB4B4C">
        <w:rPr>
          <w:rFonts w:ascii="Calibri" w:hAnsi="Calibri"/>
          <w:noProof/>
          <w:szCs w:val="24"/>
        </w:rPr>
        <w:t>Cartharius</w:t>
      </w:r>
      <w:r w:rsidR="00A646CF">
        <w:rPr>
          <w:rFonts w:ascii="Calibri" w:hAnsi="Calibri"/>
          <w:noProof/>
          <w:szCs w:val="24"/>
        </w:rPr>
        <w:t xml:space="preserve"> </w:t>
      </w:r>
      <w:r w:rsidRPr="00A646CF">
        <w:rPr>
          <w:rFonts w:ascii="Calibri" w:hAnsi="Calibri"/>
          <w:iCs/>
          <w:noProof/>
          <w:szCs w:val="24"/>
        </w:rPr>
        <w:t>et al.</w:t>
      </w:r>
      <w:r w:rsidR="00A646CF">
        <w:rPr>
          <w:rFonts w:ascii="Calibri" w:hAnsi="Calibri"/>
          <w:noProof/>
          <w:szCs w:val="24"/>
        </w:rPr>
        <w:t xml:space="preserve">, </w:t>
      </w:r>
      <w:r w:rsidRPr="00BB4B4C">
        <w:rPr>
          <w:rFonts w:ascii="Calibri" w:hAnsi="Calibri"/>
          <w:i/>
          <w:iCs/>
          <w:noProof/>
          <w:szCs w:val="24"/>
        </w:rPr>
        <w:t>Bioinformatics</w:t>
      </w:r>
      <w:r w:rsidRPr="00BB4B4C">
        <w:rPr>
          <w:rFonts w:ascii="Calibri" w:hAnsi="Calibri"/>
          <w:noProof/>
          <w:szCs w:val="24"/>
        </w:rPr>
        <w:t xml:space="preserve"> </w:t>
      </w:r>
      <w:r w:rsidR="00A646CF" w:rsidRPr="00A646CF">
        <w:rPr>
          <w:rFonts w:ascii="Calibri" w:hAnsi="Calibri"/>
          <w:b/>
          <w:noProof/>
          <w:szCs w:val="24"/>
        </w:rPr>
        <w:t>2005</w:t>
      </w:r>
      <w:r w:rsidR="00A646CF" w:rsidRPr="00A646CF">
        <w:rPr>
          <w:rFonts w:ascii="Calibri" w:hAnsi="Calibri"/>
          <w:bCs/>
          <w:noProof/>
          <w:szCs w:val="24"/>
        </w:rPr>
        <w:t>,</w:t>
      </w:r>
      <w:r w:rsidR="00A646CF">
        <w:rPr>
          <w:rFonts w:ascii="Calibri" w:hAnsi="Calibri"/>
          <w:bCs/>
          <w:noProof/>
          <w:szCs w:val="24"/>
        </w:rPr>
        <w:t xml:space="preserve"> </w:t>
      </w:r>
      <w:r w:rsidRPr="00A646CF">
        <w:rPr>
          <w:rFonts w:ascii="Calibri" w:hAnsi="Calibri"/>
          <w:bCs/>
          <w:i/>
          <w:noProof/>
          <w:szCs w:val="24"/>
        </w:rPr>
        <w:t>21</w:t>
      </w:r>
      <w:r w:rsidRPr="00BB4B4C">
        <w:rPr>
          <w:rFonts w:ascii="Calibri" w:hAnsi="Calibri"/>
          <w:bCs/>
          <w:noProof/>
          <w:szCs w:val="24"/>
        </w:rPr>
        <w:t>,</w:t>
      </w:r>
      <w:r w:rsidRPr="00BB4B4C">
        <w:rPr>
          <w:rFonts w:ascii="Calibri" w:hAnsi="Calibri"/>
          <w:noProof/>
          <w:szCs w:val="24"/>
        </w:rPr>
        <w:t xml:space="preserve"> 2933–2942.</w:t>
      </w:r>
    </w:p>
    <w:p w14:paraId="0D07469E" w14:textId="4B41B5A5"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24.</w:t>
      </w:r>
      <w:r w:rsidRPr="00BB4B4C">
        <w:rPr>
          <w:rFonts w:ascii="Calibri" w:hAnsi="Calibri"/>
          <w:noProof/>
          <w:szCs w:val="24"/>
        </w:rPr>
        <w:tab/>
      </w:r>
      <w:r w:rsidR="00A646CF">
        <w:rPr>
          <w:rFonts w:ascii="Calibri" w:hAnsi="Calibri"/>
          <w:noProof/>
          <w:szCs w:val="24"/>
        </w:rPr>
        <w:t xml:space="preserve">C. </w:t>
      </w:r>
      <w:r w:rsidRPr="00BB4B4C">
        <w:rPr>
          <w:rFonts w:ascii="Calibri" w:hAnsi="Calibri"/>
          <w:noProof/>
          <w:szCs w:val="24"/>
        </w:rPr>
        <w:t xml:space="preserve">Frank, </w:t>
      </w:r>
      <w:r w:rsidR="00A646CF">
        <w:rPr>
          <w:rFonts w:ascii="Calibri" w:hAnsi="Calibri"/>
          <w:noProof/>
          <w:szCs w:val="24"/>
        </w:rPr>
        <w:t>M. M.</w:t>
      </w:r>
      <w:r w:rsidRPr="00BB4B4C">
        <w:rPr>
          <w:rFonts w:ascii="Calibri" w:hAnsi="Calibri"/>
          <w:noProof/>
          <w:szCs w:val="24"/>
        </w:rPr>
        <w:t xml:space="preserve"> Gonzalez, </w:t>
      </w:r>
      <w:r w:rsidR="00A646CF">
        <w:rPr>
          <w:rFonts w:ascii="Calibri" w:hAnsi="Calibri"/>
          <w:noProof/>
          <w:szCs w:val="24"/>
        </w:rPr>
        <w:t>C.</w:t>
      </w:r>
      <w:r w:rsidRPr="00BB4B4C">
        <w:rPr>
          <w:rFonts w:ascii="Calibri" w:hAnsi="Calibri"/>
          <w:noProof/>
          <w:szCs w:val="24"/>
        </w:rPr>
        <w:t xml:space="preserve"> Oinonen, </w:t>
      </w:r>
      <w:r w:rsidR="00A646CF">
        <w:rPr>
          <w:rFonts w:ascii="Calibri" w:hAnsi="Calibri"/>
          <w:noProof/>
          <w:szCs w:val="24"/>
        </w:rPr>
        <w:t xml:space="preserve">T. W. </w:t>
      </w:r>
      <w:r w:rsidRPr="00BB4B4C">
        <w:rPr>
          <w:rFonts w:ascii="Calibri" w:hAnsi="Calibri"/>
          <w:noProof/>
          <w:szCs w:val="24"/>
        </w:rPr>
        <w:t xml:space="preserve">Dunlop, </w:t>
      </w:r>
      <w:r w:rsidR="00A646CF">
        <w:rPr>
          <w:rFonts w:ascii="Calibri" w:hAnsi="Calibri"/>
          <w:noProof/>
          <w:szCs w:val="24"/>
        </w:rPr>
        <w:t>C.</w:t>
      </w:r>
      <w:r w:rsidRPr="00BB4B4C">
        <w:rPr>
          <w:rFonts w:ascii="Calibri" w:hAnsi="Calibri"/>
          <w:noProof/>
          <w:szCs w:val="24"/>
        </w:rPr>
        <w:t xml:space="preserve"> Carlberg, </w:t>
      </w:r>
      <w:r w:rsidRPr="00BB4B4C">
        <w:rPr>
          <w:rFonts w:ascii="Calibri" w:hAnsi="Calibri"/>
          <w:i/>
          <w:iCs/>
          <w:noProof/>
          <w:szCs w:val="24"/>
        </w:rPr>
        <w:t>J. Biol. Chem.</w:t>
      </w:r>
      <w:r w:rsidRPr="00BB4B4C">
        <w:rPr>
          <w:rFonts w:ascii="Calibri" w:hAnsi="Calibri"/>
          <w:noProof/>
          <w:szCs w:val="24"/>
        </w:rPr>
        <w:t xml:space="preserve"> </w:t>
      </w:r>
      <w:r w:rsidR="007C7F67" w:rsidRPr="007C7F67">
        <w:rPr>
          <w:rFonts w:ascii="Calibri" w:hAnsi="Calibri"/>
          <w:b/>
          <w:noProof/>
          <w:szCs w:val="24"/>
        </w:rPr>
        <w:t>2003</w:t>
      </w:r>
      <w:r w:rsidR="007C7F67">
        <w:rPr>
          <w:rFonts w:ascii="Calibri" w:hAnsi="Calibri"/>
          <w:noProof/>
          <w:szCs w:val="24"/>
        </w:rPr>
        <w:t xml:space="preserve">, </w:t>
      </w:r>
      <w:r w:rsidRPr="007C7F67">
        <w:rPr>
          <w:rFonts w:ascii="Calibri" w:hAnsi="Calibri"/>
          <w:bCs/>
          <w:i/>
          <w:noProof/>
          <w:szCs w:val="24"/>
        </w:rPr>
        <w:t>278</w:t>
      </w:r>
      <w:r w:rsidRPr="00BB4B4C">
        <w:rPr>
          <w:rFonts w:ascii="Calibri" w:hAnsi="Calibri"/>
          <w:bCs/>
          <w:noProof/>
          <w:szCs w:val="24"/>
        </w:rPr>
        <w:t>,</w:t>
      </w:r>
      <w:r w:rsidRPr="00BB4B4C">
        <w:rPr>
          <w:rFonts w:ascii="Calibri" w:hAnsi="Calibri"/>
          <w:noProof/>
          <w:szCs w:val="24"/>
        </w:rPr>
        <w:t xml:space="preserve"> 43299–</w:t>
      </w:r>
      <w:r w:rsidR="007C7F67">
        <w:rPr>
          <w:rFonts w:ascii="Calibri" w:hAnsi="Calibri"/>
          <w:noProof/>
          <w:szCs w:val="24"/>
        </w:rPr>
        <w:t>43</w:t>
      </w:r>
      <w:r w:rsidRPr="00BB4B4C">
        <w:rPr>
          <w:rFonts w:ascii="Calibri" w:hAnsi="Calibri"/>
          <w:noProof/>
          <w:szCs w:val="24"/>
        </w:rPr>
        <w:t>310.</w:t>
      </w:r>
    </w:p>
    <w:p w14:paraId="6B2CCB80" w14:textId="7F8EFBDF"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25.</w:t>
      </w:r>
      <w:r w:rsidRPr="00BB4B4C">
        <w:rPr>
          <w:rFonts w:ascii="Calibri" w:hAnsi="Calibri"/>
          <w:noProof/>
          <w:szCs w:val="24"/>
        </w:rPr>
        <w:tab/>
      </w:r>
      <w:r w:rsidR="007C7F67">
        <w:rPr>
          <w:rFonts w:ascii="Calibri" w:hAnsi="Calibri"/>
          <w:noProof/>
          <w:szCs w:val="24"/>
        </w:rPr>
        <w:t xml:space="preserve">K. A. </w:t>
      </w:r>
      <w:r w:rsidRPr="00BB4B4C">
        <w:rPr>
          <w:rFonts w:ascii="Calibri" w:hAnsi="Calibri"/>
          <w:noProof/>
          <w:szCs w:val="24"/>
        </w:rPr>
        <w:t xml:space="preserve">Arnold, </w:t>
      </w:r>
      <w:r w:rsidR="007C7F67">
        <w:rPr>
          <w:rFonts w:ascii="Calibri" w:hAnsi="Calibri"/>
          <w:noProof/>
          <w:szCs w:val="24"/>
        </w:rPr>
        <w:t>M.</w:t>
      </w:r>
      <w:r w:rsidRPr="00BB4B4C">
        <w:rPr>
          <w:rFonts w:ascii="Calibri" w:hAnsi="Calibri"/>
          <w:noProof/>
          <w:szCs w:val="24"/>
        </w:rPr>
        <w:t xml:space="preserve"> Eichelbaum, </w:t>
      </w:r>
      <w:r w:rsidR="007C7F67">
        <w:rPr>
          <w:rFonts w:ascii="Calibri" w:hAnsi="Calibri"/>
          <w:noProof/>
          <w:szCs w:val="24"/>
        </w:rPr>
        <w:t>O.</w:t>
      </w:r>
      <w:r w:rsidRPr="00BB4B4C">
        <w:rPr>
          <w:rFonts w:ascii="Calibri" w:hAnsi="Calibri"/>
          <w:noProof/>
          <w:szCs w:val="24"/>
        </w:rPr>
        <w:t xml:space="preserve"> Burk, </w:t>
      </w:r>
      <w:r w:rsidRPr="00BB4B4C">
        <w:rPr>
          <w:rFonts w:ascii="Calibri" w:hAnsi="Calibri"/>
          <w:i/>
          <w:iCs/>
          <w:noProof/>
          <w:szCs w:val="24"/>
        </w:rPr>
        <w:t>Nucl. Recept.</w:t>
      </w:r>
      <w:r w:rsidRPr="00BB4B4C">
        <w:rPr>
          <w:rFonts w:ascii="Calibri" w:hAnsi="Calibri"/>
          <w:noProof/>
          <w:szCs w:val="24"/>
        </w:rPr>
        <w:t xml:space="preserve"> </w:t>
      </w:r>
      <w:r w:rsidR="007C7F67" w:rsidRPr="007C7F67">
        <w:rPr>
          <w:rFonts w:ascii="Calibri" w:hAnsi="Calibri"/>
          <w:b/>
          <w:noProof/>
          <w:szCs w:val="24"/>
        </w:rPr>
        <w:t>2004</w:t>
      </w:r>
      <w:r w:rsidR="007C7F67">
        <w:rPr>
          <w:rFonts w:ascii="Calibri" w:hAnsi="Calibri"/>
          <w:noProof/>
          <w:szCs w:val="24"/>
        </w:rPr>
        <w:t xml:space="preserve">, </w:t>
      </w:r>
      <w:r w:rsidRPr="007C7F67">
        <w:rPr>
          <w:rFonts w:ascii="Calibri" w:hAnsi="Calibri"/>
          <w:bCs/>
          <w:i/>
          <w:noProof/>
          <w:szCs w:val="24"/>
        </w:rPr>
        <w:t>2</w:t>
      </w:r>
      <w:r w:rsidRPr="00BB4B4C">
        <w:rPr>
          <w:rFonts w:ascii="Calibri" w:hAnsi="Calibri"/>
          <w:noProof/>
          <w:szCs w:val="24"/>
        </w:rPr>
        <w:t>.</w:t>
      </w:r>
    </w:p>
    <w:p w14:paraId="3087DEDE" w14:textId="42F32FBC"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26.</w:t>
      </w:r>
      <w:r w:rsidRPr="00BB4B4C">
        <w:rPr>
          <w:rFonts w:ascii="Calibri" w:hAnsi="Calibri"/>
          <w:noProof/>
          <w:szCs w:val="24"/>
        </w:rPr>
        <w:tab/>
      </w:r>
      <w:r w:rsidR="007C7F67">
        <w:rPr>
          <w:rFonts w:ascii="Calibri" w:hAnsi="Calibri"/>
          <w:noProof/>
          <w:szCs w:val="24"/>
        </w:rPr>
        <w:t xml:space="preserve">G. B. </w:t>
      </w:r>
      <w:r w:rsidRPr="00BB4B4C">
        <w:rPr>
          <w:rFonts w:ascii="Calibri" w:hAnsi="Calibri"/>
          <w:noProof/>
          <w:szCs w:val="24"/>
        </w:rPr>
        <w:t xml:space="preserve">Rha, </w:t>
      </w:r>
      <w:r w:rsidR="007C7F67">
        <w:rPr>
          <w:rFonts w:ascii="Calibri" w:hAnsi="Calibri"/>
          <w:noProof/>
          <w:szCs w:val="24"/>
        </w:rPr>
        <w:t>G.</w:t>
      </w:r>
      <w:r w:rsidRPr="00BB4B4C">
        <w:rPr>
          <w:rFonts w:ascii="Calibri" w:hAnsi="Calibri"/>
          <w:noProof/>
          <w:szCs w:val="24"/>
        </w:rPr>
        <w:t xml:space="preserve"> Wu, </w:t>
      </w:r>
      <w:r w:rsidR="007C7F67">
        <w:rPr>
          <w:rFonts w:ascii="Calibri" w:hAnsi="Calibri"/>
          <w:noProof/>
          <w:szCs w:val="24"/>
        </w:rPr>
        <w:t>S. E.</w:t>
      </w:r>
      <w:r w:rsidRPr="00BB4B4C">
        <w:rPr>
          <w:rFonts w:ascii="Calibri" w:hAnsi="Calibri"/>
          <w:noProof/>
          <w:szCs w:val="24"/>
        </w:rPr>
        <w:t xml:space="preserve"> Shoelson</w:t>
      </w:r>
      <w:r w:rsidR="007C7F67">
        <w:rPr>
          <w:rFonts w:ascii="Calibri" w:hAnsi="Calibri"/>
          <w:noProof/>
          <w:szCs w:val="24"/>
        </w:rPr>
        <w:t>, Y.</w:t>
      </w:r>
      <w:r w:rsidRPr="00BB4B4C">
        <w:rPr>
          <w:rFonts w:ascii="Calibri" w:hAnsi="Calibri"/>
          <w:noProof/>
          <w:szCs w:val="24"/>
        </w:rPr>
        <w:t xml:space="preserve"> </w:t>
      </w:r>
      <w:r w:rsidR="007C7F67">
        <w:rPr>
          <w:rFonts w:ascii="Calibri" w:hAnsi="Calibri"/>
          <w:noProof/>
          <w:szCs w:val="24"/>
        </w:rPr>
        <w:t xml:space="preserve">C. </w:t>
      </w:r>
      <w:r w:rsidRPr="00BB4B4C">
        <w:rPr>
          <w:rFonts w:ascii="Calibri" w:hAnsi="Calibri"/>
          <w:noProof/>
          <w:szCs w:val="24"/>
        </w:rPr>
        <w:t xml:space="preserve">Chi, </w:t>
      </w:r>
      <w:r w:rsidRPr="00BB4B4C">
        <w:rPr>
          <w:rFonts w:ascii="Calibri" w:hAnsi="Calibri"/>
          <w:i/>
          <w:iCs/>
          <w:noProof/>
          <w:szCs w:val="24"/>
        </w:rPr>
        <w:t>J. Biol. Chem.</w:t>
      </w:r>
      <w:r w:rsidRPr="00BB4B4C">
        <w:rPr>
          <w:rFonts w:ascii="Calibri" w:hAnsi="Calibri"/>
          <w:noProof/>
          <w:szCs w:val="24"/>
        </w:rPr>
        <w:t xml:space="preserve"> </w:t>
      </w:r>
      <w:r w:rsidR="007C7F67" w:rsidRPr="007C7F67">
        <w:rPr>
          <w:rFonts w:ascii="Calibri" w:hAnsi="Calibri"/>
          <w:b/>
          <w:noProof/>
          <w:szCs w:val="24"/>
        </w:rPr>
        <w:t>2009</w:t>
      </w:r>
      <w:r w:rsidR="007C7F67">
        <w:rPr>
          <w:rFonts w:ascii="Calibri" w:hAnsi="Calibri"/>
          <w:noProof/>
          <w:szCs w:val="24"/>
        </w:rPr>
        <w:t xml:space="preserve">, </w:t>
      </w:r>
      <w:r w:rsidRPr="007C7F67">
        <w:rPr>
          <w:rFonts w:ascii="Calibri" w:hAnsi="Calibri"/>
          <w:bCs/>
          <w:i/>
          <w:noProof/>
          <w:szCs w:val="24"/>
        </w:rPr>
        <w:t>284</w:t>
      </w:r>
      <w:r w:rsidRPr="00BB4B4C">
        <w:rPr>
          <w:rFonts w:ascii="Calibri" w:hAnsi="Calibri"/>
          <w:bCs/>
          <w:noProof/>
          <w:szCs w:val="24"/>
        </w:rPr>
        <w:t>,</w:t>
      </w:r>
      <w:r w:rsidRPr="00BB4B4C">
        <w:rPr>
          <w:rFonts w:ascii="Calibri" w:hAnsi="Calibri"/>
          <w:noProof/>
          <w:szCs w:val="24"/>
        </w:rPr>
        <w:t xml:space="preserve"> 35165–35176.</w:t>
      </w:r>
    </w:p>
    <w:p w14:paraId="677DBDBE" w14:textId="4AD0C1C4"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27.</w:t>
      </w:r>
      <w:r w:rsidRPr="00BB4B4C">
        <w:rPr>
          <w:rFonts w:ascii="Calibri" w:hAnsi="Calibri"/>
          <w:noProof/>
          <w:szCs w:val="24"/>
        </w:rPr>
        <w:tab/>
      </w:r>
      <w:r w:rsidR="007C7F67">
        <w:rPr>
          <w:rFonts w:ascii="Calibri" w:hAnsi="Calibri"/>
          <w:noProof/>
          <w:szCs w:val="24"/>
        </w:rPr>
        <w:t xml:space="preserve">T. </w:t>
      </w:r>
      <w:r w:rsidRPr="00BB4B4C">
        <w:rPr>
          <w:rFonts w:ascii="Calibri" w:hAnsi="Calibri"/>
          <w:noProof/>
          <w:szCs w:val="24"/>
        </w:rPr>
        <w:t xml:space="preserve">Shiraki, </w:t>
      </w:r>
      <w:r w:rsidR="007C7F67">
        <w:rPr>
          <w:rFonts w:ascii="Calibri" w:hAnsi="Calibri"/>
          <w:noProof/>
          <w:szCs w:val="24"/>
        </w:rPr>
        <w:t>N.</w:t>
      </w:r>
      <w:r w:rsidRPr="00BB4B4C">
        <w:rPr>
          <w:rFonts w:ascii="Calibri" w:hAnsi="Calibri"/>
          <w:noProof/>
          <w:szCs w:val="24"/>
        </w:rPr>
        <w:t xml:space="preserve"> Sakai, </w:t>
      </w:r>
      <w:r w:rsidR="007C7F67">
        <w:rPr>
          <w:rFonts w:ascii="Calibri" w:hAnsi="Calibri"/>
          <w:noProof/>
          <w:szCs w:val="24"/>
        </w:rPr>
        <w:t>E.</w:t>
      </w:r>
      <w:r w:rsidRPr="00BB4B4C">
        <w:rPr>
          <w:rFonts w:ascii="Calibri" w:hAnsi="Calibri"/>
          <w:noProof/>
          <w:szCs w:val="24"/>
        </w:rPr>
        <w:t xml:space="preserve"> Kanaya</w:t>
      </w:r>
      <w:r w:rsidR="007C7F67">
        <w:rPr>
          <w:rFonts w:ascii="Calibri" w:hAnsi="Calibri"/>
          <w:noProof/>
          <w:szCs w:val="24"/>
        </w:rPr>
        <w:t>, H.</w:t>
      </w:r>
      <w:r w:rsidRPr="00BB4B4C">
        <w:rPr>
          <w:rFonts w:ascii="Calibri" w:hAnsi="Calibri"/>
          <w:noProof/>
          <w:szCs w:val="24"/>
        </w:rPr>
        <w:t xml:space="preserve"> Jingami, </w:t>
      </w:r>
      <w:r w:rsidRPr="00BB4B4C">
        <w:rPr>
          <w:rFonts w:ascii="Calibri" w:hAnsi="Calibri"/>
          <w:i/>
          <w:iCs/>
          <w:noProof/>
          <w:szCs w:val="24"/>
        </w:rPr>
        <w:t>J. Biol. Chem.</w:t>
      </w:r>
      <w:r w:rsidRPr="00BB4B4C">
        <w:rPr>
          <w:rFonts w:ascii="Calibri" w:hAnsi="Calibri"/>
          <w:noProof/>
          <w:szCs w:val="24"/>
        </w:rPr>
        <w:t xml:space="preserve"> </w:t>
      </w:r>
      <w:r w:rsidR="007C7F67">
        <w:rPr>
          <w:rFonts w:ascii="Calibri" w:hAnsi="Calibri"/>
          <w:b/>
          <w:noProof/>
          <w:szCs w:val="24"/>
        </w:rPr>
        <w:t>2003</w:t>
      </w:r>
      <w:r w:rsidR="007C7F67" w:rsidRPr="007C7F67">
        <w:rPr>
          <w:rFonts w:ascii="Calibri" w:hAnsi="Calibri"/>
          <w:noProof/>
          <w:szCs w:val="24"/>
        </w:rPr>
        <w:t xml:space="preserve">, </w:t>
      </w:r>
      <w:r w:rsidRPr="007C7F67">
        <w:rPr>
          <w:rFonts w:ascii="Calibri" w:hAnsi="Calibri"/>
          <w:bCs/>
          <w:i/>
          <w:noProof/>
          <w:szCs w:val="24"/>
        </w:rPr>
        <w:t>278</w:t>
      </w:r>
      <w:r w:rsidRPr="00BB4B4C">
        <w:rPr>
          <w:rFonts w:ascii="Calibri" w:hAnsi="Calibri"/>
          <w:bCs/>
          <w:noProof/>
          <w:szCs w:val="24"/>
        </w:rPr>
        <w:t>,</w:t>
      </w:r>
      <w:r w:rsidRPr="00BB4B4C">
        <w:rPr>
          <w:rFonts w:ascii="Calibri" w:hAnsi="Calibri"/>
          <w:noProof/>
          <w:szCs w:val="24"/>
        </w:rPr>
        <w:t xml:space="preserve"> 11344–</w:t>
      </w:r>
      <w:r w:rsidR="007C7F67">
        <w:rPr>
          <w:rFonts w:ascii="Calibri" w:hAnsi="Calibri"/>
          <w:noProof/>
          <w:szCs w:val="24"/>
        </w:rPr>
        <w:t>113</w:t>
      </w:r>
      <w:r w:rsidRPr="00BB4B4C">
        <w:rPr>
          <w:rFonts w:ascii="Calibri" w:hAnsi="Calibri"/>
          <w:noProof/>
          <w:szCs w:val="24"/>
        </w:rPr>
        <w:t>50.</w:t>
      </w:r>
    </w:p>
    <w:p w14:paraId="5DE50CB8" w14:textId="5CCA1CD4"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28.</w:t>
      </w:r>
      <w:r w:rsidRPr="00BB4B4C">
        <w:rPr>
          <w:rFonts w:ascii="Calibri" w:hAnsi="Calibri"/>
          <w:noProof/>
          <w:szCs w:val="24"/>
        </w:rPr>
        <w:tab/>
      </w:r>
      <w:r w:rsidR="007C7F67">
        <w:rPr>
          <w:rFonts w:ascii="Calibri" w:hAnsi="Calibri"/>
          <w:noProof/>
          <w:szCs w:val="24"/>
        </w:rPr>
        <w:t xml:space="preserve">A. </w:t>
      </w:r>
      <w:r w:rsidRPr="00BB4B4C">
        <w:rPr>
          <w:rFonts w:ascii="Calibri" w:hAnsi="Calibri"/>
          <w:noProof/>
          <w:szCs w:val="24"/>
        </w:rPr>
        <w:t xml:space="preserve">Bateman </w:t>
      </w:r>
      <w:r w:rsidRPr="007C7F67">
        <w:rPr>
          <w:rFonts w:ascii="Calibri" w:hAnsi="Calibri"/>
          <w:iCs/>
          <w:noProof/>
          <w:szCs w:val="24"/>
        </w:rPr>
        <w:t>et al</w:t>
      </w:r>
      <w:r w:rsidRPr="00BB4B4C">
        <w:rPr>
          <w:rFonts w:ascii="Calibri" w:hAnsi="Calibri"/>
          <w:i/>
          <w:iCs/>
          <w:noProof/>
          <w:szCs w:val="24"/>
        </w:rPr>
        <w:t>.</w:t>
      </w:r>
      <w:r w:rsidR="007C7F67">
        <w:rPr>
          <w:rFonts w:ascii="Calibri" w:hAnsi="Calibri"/>
          <w:i/>
          <w:iCs/>
          <w:noProof/>
          <w:szCs w:val="24"/>
        </w:rPr>
        <w:t>,</w:t>
      </w:r>
      <w:r w:rsidRPr="00BB4B4C">
        <w:rPr>
          <w:rFonts w:ascii="Calibri" w:hAnsi="Calibri"/>
          <w:noProof/>
          <w:szCs w:val="24"/>
        </w:rPr>
        <w:t xml:space="preserve"> </w:t>
      </w:r>
      <w:r w:rsidRPr="00BB4B4C">
        <w:rPr>
          <w:rFonts w:ascii="Calibri" w:hAnsi="Calibri"/>
          <w:i/>
          <w:iCs/>
          <w:noProof/>
          <w:szCs w:val="24"/>
        </w:rPr>
        <w:t>Nucleic Acids Res.</w:t>
      </w:r>
      <w:r w:rsidRPr="00BB4B4C">
        <w:rPr>
          <w:rFonts w:ascii="Calibri" w:hAnsi="Calibri"/>
          <w:noProof/>
          <w:szCs w:val="24"/>
        </w:rPr>
        <w:t xml:space="preserve"> </w:t>
      </w:r>
      <w:r w:rsidR="007C7F67" w:rsidRPr="007C7F67">
        <w:rPr>
          <w:rFonts w:ascii="Calibri" w:hAnsi="Calibri"/>
          <w:b/>
          <w:noProof/>
          <w:szCs w:val="24"/>
        </w:rPr>
        <w:t>2015</w:t>
      </w:r>
      <w:r w:rsidR="007C7F67">
        <w:rPr>
          <w:rFonts w:ascii="Calibri" w:hAnsi="Calibri"/>
          <w:noProof/>
          <w:szCs w:val="24"/>
        </w:rPr>
        <w:t xml:space="preserve">, </w:t>
      </w:r>
      <w:r w:rsidRPr="007C7F67">
        <w:rPr>
          <w:rFonts w:ascii="Calibri" w:hAnsi="Calibri"/>
          <w:bCs/>
          <w:i/>
          <w:noProof/>
          <w:szCs w:val="24"/>
        </w:rPr>
        <w:t>43</w:t>
      </w:r>
      <w:r w:rsidRPr="00BB4B4C">
        <w:rPr>
          <w:rFonts w:ascii="Calibri" w:hAnsi="Calibri"/>
          <w:bCs/>
          <w:noProof/>
          <w:szCs w:val="24"/>
        </w:rPr>
        <w:t>,</w:t>
      </w:r>
      <w:r w:rsidRPr="00BB4B4C">
        <w:rPr>
          <w:rFonts w:ascii="Calibri" w:hAnsi="Calibri"/>
          <w:noProof/>
          <w:szCs w:val="24"/>
        </w:rPr>
        <w:t xml:space="preserve"> D204–D212.</w:t>
      </w:r>
    </w:p>
    <w:p w14:paraId="3725E1DC" w14:textId="30C6BC72"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29.</w:t>
      </w:r>
      <w:r w:rsidRPr="00BB4B4C">
        <w:rPr>
          <w:rFonts w:ascii="Calibri" w:hAnsi="Calibri"/>
          <w:noProof/>
          <w:szCs w:val="24"/>
        </w:rPr>
        <w:tab/>
      </w:r>
      <w:r w:rsidR="007C7F67">
        <w:rPr>
          <w:rFonts w:ascii="Calibri" w:hAnsi="Calibri"/>
          <w:noProof/>
          <w:szCs w:val="24"/>
        </w:rPr>
        <w:t xml:space="preserve">S. </w:t>
      </w:r>
      <w:r w:rsidRPr="00BB4B4C">
        <w:rPr>
          <w:rFonts w:ascii="Calibri" w:hAnsi="Calibri"/>
          <w:noProof/>
          <w:szCs w:val="24"/>
        </w:rPr>
        <w:t xml:space="preserve">Surapureddi, </w:t>
      </w:r>
      <w:r w:rsidR="007C7F67">
        <w:rPr>
          <w:rFonts w:ascii="Calibri" w:hAnsi="Calibri"/>
          <w:noProof/>
          <w:szCs w:val="24"/>
        </w:rPr>
        <w:t>R.</w:t>
      </w:r>
      <w:r w:rsidRPr="00BB4B4C">
        <w:rPr>
          <w:rFonts w:ascii="Calibri" w:hAnsi="Calibri"/>
          <w:noProof/>
          <w:szCs w:val="24"/>
        </w:rPr>
        <w:t xml:space="preserve"> Rana, </w:t>
      </w:r>
      <w:r w:rsidR="007C7F67">
        <w:rPr>
          <w:rFonts w:ascii="Calibri" w:hAnsi="Calibri"/>
          <w:noProof/>
          <w:szCs w:val="24"/>
        </w:rPr>
        <w:t>J. K.</w:t>
      </w:r>
      <w:r w:rsidRPr="00BB4B4C">
        <w:rPr>
          <w:rFonts w:ascii="Calibri" w:hAnsi="Calibri"/>
          <w:noProof/>
          <w:szCs w:val="24"/>
        </w:rPr>
        <w:t xml:space="preserve"> Reddy, </w:t>
      </w:r>
      <w:r w:rsidR="007C7F67">
        <w:rPr>
          <w:rFonts w:ascii="Calibri" w:hAnsi="Calibri"/>
          <w:noProof/>
          <w:szCs w:val="24"/>
        </w:rPr>
        <w:t>J. A.</w:t>
      </w:r>
      <w:r w:rsidRPr="00BB4B4C">
        <w:rPr>
          <w:rFonts w:ascii="Calibri" w:hAnsi="Calibri"/>
          <w:noProof/>
          <w:szCs w:val="24"/>
        </w:rPr>
        <w:t xml:space="preserve"> Goldstein, </w:t>
      </w:r>
      <w:r w:rsidRPr="00BB4B4C">
        <w:rPr>
          <w:rFonts w:ascii="Calibri" w:hAnsi="Calibri"/>
          <w:i/>
          <w:iCs/>
          <w:noProof/>
          <w:szCs w:val="24"/>
        </w:rPr>
        <w:t>Mol. Pharmacol.</w:t>
      </w:r>
      <w:r w:rsidRPr="00BB4B4C">
        <w:rPr>
          <w:rFonts w:ascii="Calibri" w:hAnsi="Calibri"/>
          <w:noProof/>
          <w:szCs w:val="24"/>
        </w:rPr>
        <w:t xml:space="preserve"> </w:t>
      </w:r>
      <w:r w:rsidR="007C7F67" w:rsidRPr="007C7F67">
        <w:rPr>
          <w:rFonts w:ascii="Calibri" w:hAnsi="Calibri"/>
          <w:b/>
          <w:noProof/>
          <w:szCs w:val="24"/>
        </w:rPr>
        <w:t>2008</w:t>
      </w:r>
      <w:r w:rsidR="007C7F67">
        <w:rPr>
          <w:rFonts w:ascii="Calibri" w:hAnsi="Calibri"/>
          <w:noProof/>
          <w:szCs w:val="24"/>
        </w:rPr>
        <w:t xml:space="preserve">, </w:t>
      </w:r>
      <w:r w:rsidRPr="007C7F67">
        <w:rPr>
          <w:rFonts w:ascii="Calibri" w:hAnsi="Calibri"/>
          <w:bCs/>
          <w:i/>
          <w:noProof/>
          <w:szCs w:val="24"/>
        </w:rPr>
        <w:t>74</w:t>
      </w:r>
      <w:r w:rsidRPr="00BB4B4C">
        <w:rPr>
          <w:rFonts w:ascii="Calibri" w:hAnsi="Calibri"/>
          <w:bCs/>
          <w:noProof/>
          <w:szCs w:val="24"/>
        </w:rPr>
        <w:t>,</w:t>
      </w:r>
      <w:r w:rsidRPr="00BB4B4C">
        <w:rPr>
          <w:rFonts w:ascii="Calibri" w:hAnsi="Calibri"/>
          <w:noProof/>
          <w:szCs w:val="24"/>
        </w:rPr>
        <w:t xml:space="preserve"> 913–</w:t>
      </w:r>
      <w:r w:rsidR="007C7F67">
        <w:rPr>
          <w:rFonts w:ascii="Calibri" w:hAnsi="Calibri"/>
          <w:noProof/>
          <w:szCs w:val="24"/>
        </w:rPr>
        <w:t>9</w:t>
      </w:r>
      <w:r w:rsidRPr="00BB4B4C">
        <w:rPr>
          <w:rFonts w:ascii="Calibri" w:hAnsi="Calibri"/>
          <w:noProof/>
          <w:szCs w:val="24"/>
        </w:rPr>
        <w:t>23.</w:t>
      </w:r>
    </w:p>
    <w:p w14:paraId="435687CB" w14:textId="09C40BB6"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30.</w:t>
      </w:r>
      <w:r w:rsidRPr="00BB4B4C">
        <w:rPr>
          <w:rFonts w:ascii="Calibri" w:hAnsi="Calibri"/>
          <w:noProof/>
          <w:szCs w:val="24"/>
        </w:rPr>
        <w:tab/>
      </w:r>
      <w:r w:rsidR="007C7F67">
        <w:rPr>
          <w:rFonts w:ascii="Calibri" w:hAnsi="Calibri"/>
          <w:noProof/>
          <w:szCs w:val="24"/>
        </w:rPr>
        <w:t xml:space="preserve">K. </w:t>
      </w:r>
      <w:r w:rsidRPr="00BB4B4C">
        <w:rPr>
          <w:rFonts w:ascii="Calibri" w:hAnsi="Calibri"/>
          <w:noProof/>
          <w:szCs w:val="24"/>
        </w:rPr>
        <w:t xml:space="preserve">Suino </w:t>
      </w:r>
      <w:r w:rsidRPr="007C7F67">
        <w:rPr>
          <w:rFonts w:ascii="Calibri" w:hAnsi="Calibri"/>
          <w:iCs/>
          <w:noProof/>
          <w:szCs w:val="24"/>
        </w:rPr>
        <w:t>et al.</w:t>
      </w:r>
      <w:r w:rsidR="007C7F67">
        <w:rPr>
          <w:rFonts w:ascii="Calibri" w:hAnsi="Calibri"/>
          <w:iCs/>
          <w:noProof/>
          <w:szCs w:val="24"/>
        </w:rPr>
        <w:t xml:space="preserve">, </w:t>
      </w:r>
      <w:r w:rsidR="00AB1ACC">
        <w:rPr>
          <w:rFonts w:ascii="Calibri" w:hAnsi="Calibri"/>
          <w:iCs/>
          <w:noProof/>
          <w:szCs w:val="24"/>
        </w:rPr>
        <w:t xml:space="preserve">PDB ID: 1XLS, </w:t>
      </w:r>
      <w:r w:rsidRPr="00BB4B4C">
        <w:rPr>
          <w:rFonts w:ascii="Calibri" w:hAnsi="Calibri"/>
          <w:i/>
          <w:iCs/>
          <w:noProof/>
          <w:szCs w:val="24"/>
        </w:rPr>
        <w:t>Mol. Cell</w:t>
      </w:r>
      <w:r w:rsidRPr="00BB4B4C">
        <w:rPr>
          <w:rFonts w:ascii="Calibri" w:hAnsi="Calibri"/>
          <w:noProof/>
          <w:szCs w:val="24"/>
        </w:rPr>
        <w:t xml:space="preserve"> </w:t>
      </w:r>
      <w:r w:rsidR="007C7F67" w:rsidRPr="007C7F67">
        <w:rPr>
          <w:rFonts w:ascii="Calibri" w:hAnsi="Calibri"/>
          <w:b/>
          <w:noProof/>
          <w:szCs w:val="24"/>
        </w:rPr>
        <w:t>2004</w:t>
      </w:r>
      <w:r w:rsidR="007C7F67">
        <w:rPr>
          <w:rFonts w:ascii="Calibri" w:hAnsi="Calibri"/>
          <w:noProof/>
          <w:szCs w:val="24"/>
        </w:rPr>
        <w:t xml:space="preserve">, </w:t>
      </w:r>
      <w:r w:rsidRPr="007C7F67">
        <w:rPr>
          <w:rFonts w:ascii="Calibri" w:hAnsi="Calibri"/>
          <w:bCs/>
          <w:i/>
          <w:noProof/>
          <w:szCs w:val="24"/>
        </w:rPr>
        <w:t>16</w:t>
      </w:r>
      <w:r w:rsidRPr="00BB4B4C">
        <w:rPr>
          <w:rFonts w:ascii="Calibri" w:hAnsi="Calibri"/>
          <w:bCs/>
          <w:noProof/>
          <w:szCs w:val="24"/>
        </w:rPr>
        <w:t>,</w:t>
      </w:r>
      <w:r w:rsidRPr="00BB4B4C">
        <w:rPr>
          <w:rFonts w:ascii="Calibri" w:hAnsi="Calibri"/>
          <w:noProof/>
          <w:szCs w:val="24"/>
        </w:rPr>
        <w:t xml:space="preserve"> 893–905.</w:t>
      </w:r>
    </w:p>
    <w:p w14:paraId="69A44C89" w14:textId="67AC3D83"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31.</w:t>
      </w:r>
      <w:r w:rsidRPr="00BB4B4C">
        <w:rPr>
          <w:rFonts w:ascii="Calibri" w:hAnsi="Calibri"/>
          <w:noProof/>
          <w:szCs w:val="24"/>
        </w:rPr>
        <w:tab/>
      </w:r>
      <w:r w:rsidR="007C7F67">
        <w:rPr>
          <w:rFonts w:ascii="Calibri" w:hAnsi="Calibri"/>
          <w:noProof/>
          <w:szCs w:val="24"/>
        </w:rPr>
        <w:t xml:space="preserve">K. </w:t>
      </w:r>
      <w:r w:rsidRPr="00BB4B4C">
        <w:rPr>
          <w:rFonts w:ascii="Calibri" w:hAnsi="Calibri"/>
          <w:noProof/>
          <w:szCs w:val="24"/>
        </w:rPr>
        <w:t xml:space="preserve">Wakabayashi </w:t>
      </w:r>
      <w:r w:rsidRPr="007C7F67">
        <w:rPr>
          <w:rFonts w:ascii="Calibri" w:hAnsi="Calibri"/>
          <w:iCs/>
          <w:noProof/>
          <w:szCs w:val="24"/>
        </w:rPr>
        <w:t>et al.</w:t>
      </w:r>
      <w:r w:rsidR="007C7F67">
        <w:rPr>
          <w:rFonts w:ascii="Calibri" w:hAnsi="Calibri"/>
          <w:noProof/>
          <w:szCs w:val="24"/>
        </w:rPr>
        <w:t xml:space="preserve">, </w:t>
      </w:r>
      <w:r w:rsidR="00AB1ACC">
        <w:rPr>
          <w:rFonts w:ascii="Calibri" w:hAnsi="Calibri"/>
          <w:noProof/>
          <w:szCs w:val="24"/>
        </w:rPr>
        <w:t xml:space="preserve">PDB ID: 3B1M, </w:t>
      </w:r>
      <w:r w:rsidRPr="00BB4B4C">
        <w:rPr>
          <w:rFonts w:ascii="Calibri" w:hAnsi="Calibri"/>
          <w:i/>
          <w:iCs/>
          <w:noProof/>
          <w:szCs w:val="24"/>
        </w:rPr>
        <w:t>Biol. Pharm. Bull.</w:t>
      </w:r>
      <w:r w:rsidRPr="00BB4B4C">
        <w:rPr>
          <w:rFonts w:ascii="Calibri" w:hAnsi="Calibri"/>
          <w:noProof/>
          <w:szCs w:val="24"/>
        </w:rPr>
        <w:t xml:space="preserve"> </w:t>
      </w:r>
      <w:r w:rsidR="007C7F67" w:rsidRPr="007C7F67">
        <w:rPr>
          <w:rFonts w:ascii="Calibri" w:hAnsi="Calibri"/>
          <w:b/>
          <w:noProof/>
          <w:szCs w:val="24"/>
        </w:rPr>
        <w:t>2011</w:t>
      </w:r>
      <w:r w:rsidR="007C7F67">
        <w:rPr>
          <w:rFonts w:ascii="Calibri" w:hAnsi="Calibri"/>
          <w:noProof/>
          <w:szCs w:val="24"/>
        </w:rPr>
        <w:t xml:space="preserve">, </w:t>
      </w:r>
      <w:r w:rsidRPr="007C7F67">
        <w:rPr>
          <w:rFonts w:ascii="Calibri" w:hAnsi="Calibri"/>
          <w:bCs/>
          <w:i/>
          <w:noProof/>
          <w:szCs w:val="24"/>
        </w:rPr>
        <w:t>34</w:t>
      </w:r>
      <w:r w:rsidRPr="00BB4B4C">
        <w:rPr>
          <w:rFonts w:ascii="Calibri" w:hAnsi="Calibri"/>
          <w:bCs/>
          <w:noProof/>
          <w:szCs w:val="24"/>
        </w:rPr>
        <w:t>,</w:t>
      </w:r>
      <w:r w:rsidRPr="00BB4B4C">
        <w:rPr>
          <w:rFonts w:ascii="Calibri" w:hAnsi="Calibri"/>
          <w:noProof/>
          <w:szCs w:val="24"/>
        </w:rPr>
        <w:t xml:space="preserve"> 1094–</w:t>
      </w:r>
      <w:r w:rsidR="007C7F67">
        <w:rPr>
          <w:rFonts w:ascii="Calibri" w:hAnsi="Calibri"/>
          <w:noProof/>
          <w:szCs w:val="24"/>
        </w:rPr>
        <w:t>1</w:t>
      </w:r>
      <w:r w:rsidRPr="00BB4B4C">
        <w:rPr>
          <w:rFonts w:ascii="Calibri" w:hAnsi="Calibri"/>
          <w:noProof/>
          <w:szCs w:val="24"/>
        </w:rPr>
        <w:t>104.</w:t>
      </w:r>
    </w:p>
    <w:p w14:paraId="5F192325" w14:textId="6D1F53DE"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32.</w:t>
      </w:r>
      <w:r w:rsidRPr="00BB4B4C">
        <w:rPr>
          <w:rFonts w:ascii="Calibri" w:hAnsi="Calibri"/>
          <w:noProof/>
          <w:szCs w:val="24"/>
        </w:rPr>
        <w:tab/>
      </w:r>
      <w:r w:rsidR="007C7F67">
        <w:rPr>
          <w:rFonts w:ascii="Calibri" w:hAnsi="Calibri"/>
          <w:noProof/>
          <w:szCs w:val="24"/>
        </w:rPr>
        <w:t xml:space="preserve">Y. </w:t>
      </w:r>
      <w:r w:rsidRPr="00BB4B4C">
        <w:rPr>
          <w:rFonts w:ascii="Calibri" w:hAnsi="Calibri"/>
          <w:noProof/>
          <w:szCs w:val="24"/>
        </w:rPr>
        <w:t xml:space="preserve">Li, </w:t>
      </w:r>
      <w:r w:rsidR="007C7F67">
        <w:rPr>
          <w:rFonts w:ascii="Calibri" w:hAnsi="Calibri"/>
          <w:noProof/>
          <w:szCs w:val="24"/>
        </w:rPr>
        <w:t>A.</w:t>
      </w:r>
      <w:r w:rsidRPr="00BB4B4C">
        <w:rPr>
          <w:rFonts w:ascii="Calibri" w:hAnsi="Calibri"/>
          <w:noProof/>
          <w:szCs w:val="24"/>
        </w:rPr>
        <w:t xml:space="preserve"> Kovach, </w:t>
      </w:r>
      <w:r w:rsidR="007C7F67">
        <w:rPr>
          <w:rFonts w:ascii="Calibri" w:hAnsi="Calibri"/>
          <w:noProof/>
          <w:szCs w:val="24"/>
        </w:rPr>
        <w:t>K.</w:t>
      </w:r>
      <w:r w:rsidRPr="00BB4B4C">
        <w:rPr>
          <w:rFonts w:ascii="Calibri" w:hAnsi="Calibri"/>
          <w:noProof/>
          <w:szCs w:val="24"/>
        </w:rPr>
        <w:t xml:space="preserve"> Suino-Powell, </w:t>
      </w:r>
      <w:r w:rsidR="007C7F67">
        <w:rPr>
          <w:rFonts w:ascii="Calibri" w:hAnsi="Calibri"/>
          <w:noProof/>
          <w:szCs w:val="24"/>
        </w:rPr>
        <w:t>D.</w:t>
      </w:r>
      <w:r w:rsidRPr="00BB4B4C">
        <w:rPr>
          <w:rFonts w:ascii="Calibri" w:hAnsi="Calibri"/>
          <w:noProof/>
          <w:szCs w:val="24"/>
        </w:rPr>
        <w:t xml:space="preserve"> Martynowski, </w:t>
      </w:r>
      <w:r w:rsidR="007C7F67">
        <w:rPr>
          <w:rFonts w:ascii="Calibri" w:hAnsi="Calibri"/>
          <w:noProof/>
          <w:szCs w:val="24"/>
        </w:rPr>
        <w:t>H. E.</w:t>
      </w:r>
      <w:r w:rsidRPr="00BB4B4C">
        <w:rPr>
          <w:rFonts w:ascii="Calibri" w:hAnsi="Calibri"/>
          <w:noProof/>
          <w:szCs w:val="24"/>
        </w:rPr>
        <w:t xml:space="preserve"> Xu, </w:t>
      </w:r>
      <w:r w:rsidR="00AB1ACC">
        <w:rPr>
          <w:rFonts w:ascii="Calibri" w:hAnsi="Calibri"/>
          <w:noProof/>
          <w:szCs w:val="24"/>
        </w:rPr>
        <w:t xml:space="preserve">PDB ID: 3CS8, </w:t>
      </w:r>
      <w:r w:rsidRPr="00BB4B4C">
        <w:rPr>
          <w:rFonts w:ascii="Calibri" w:hAnsi="Calibri"/>
          <w:i/>
          <w:iCs/>
          <w:noProof/>
          <w:szCs w:val="24"/>
        </w:rPr>
        <w:t>J. Biol. Chem.</w:t>
      </w:r>
      <w:r w:rsidRPr="00BB4B4C">
        <w:rPr>
          <w:rFonts w:ascii="Calibri" w:hAnsi="Calibri"/>
          <w:noProof/>
          <w:szCs w:val="24"/>
        </w:rPr>
        <w:t xml:space="preserve"> </w:t>
      </w:r>
      <w:r w:rsidR="007C7F67" w:rsidRPr="007C7F67">
        <w:rPr>
          <w:rFonts w:ascii="Calibri" w:hAnsi="Calibri"/>
          <w:b/>
          <w:noProof/>
          <w:szCs w:val="24"/>
        </w:rPr>
        <w:t>2008</w:t>
      </w:r>
      <w:r w:rsidR="007C7F67">
        <w:rPr>
          <w:rFonts w:ascii="Calibri" w:hAnsi="Calibri"/>
          <w:noProof/>
          <w:szCs w:val="24"/>
        </w:rPr>
        <w:t xml:space="preserve">, </w:t>
      </w:r>
      <w:r w:rsidRPr="007C7F67">
        <w:rPr>
          <w:rFonts w:ascii="Calibri" w:hAnsi="Calibri"/>
          <w:bCs/>
          <w:i/>
          <w:noProof/>
          <w:szCs w:val="24"/>
        </w:rPr>
        <w:t>283</w:t>
      </w:r>
      <w:r w:rsidRPr="00BB4B4C">
        <w:rPr>
          <w:rFonts w:ascii="Calibri" w:hAnsi="Calibri"/>
          <w:bCs/>
          <w:noProof/>
          <w:szCs w:val="24"/>
        </w:rPr>
        <w:t>,</w:t>
      </w:r>
      <w:r w:rsidRPr="00BB4B4C">
        <w:rPr>
          <w:rFonts w:ascii="Calibri" w:hAnsi="Calibri"/>
          <w:noProof/>
          <w:szCs w:val="24"/>
        </w:rPr>
        <w:t xml:space="preserve"> 19132–</w:t>
      </w:r>
      <w:r w:rsidR="007C7F67">
        <w:rPr>
          <w:rFonts w:ascii="Calibri" w:hAnsi="Calibri"/>
          <w:noProof/>
          <w:szCs w:val="24"/>
        </w:rPr>
        <w:t>1913</w:t>
      </w:r>
      <w:r w:rsidRPr="00BB4B4C">
        <w:rPr>
          <w:rFonts w:ascii="Calibri" w:hAnsi="Calibri"/>
          <w:noProof/>
          <w:szCs w:val="24"/>
        </w:rPr>
        <w:t>9.</w:t>
      </w:r>
    </w:p>
    <w:p w14:paraId="62663A8D" w14:textId="66655DFA"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33.</w:t>
      </w:r>
      <w:r w:rsidRPr="00BB4B4C">
        <w:rPr>
          <w:rFonts w:ascii="Calibri" w:hAnsi="Calibri"/>
          <w:noProof/>
          <w:szCs w:val="24"/>
        </w:rPr>
        <w:tab/>
      </w:r>
      <w:r w:rsidR="007C7F67">
        <w:rPr>
          <w:rFonts w:ascii="Calibri" w:hAnsi="Calibri"/>
          <w:noProof/>
          <w:szCs w:val="24"/>
        </w:rPr>
        <w:t xml:space="preserve">L. </w:t>
      </w:r>
      <w:r w:rsidRPr="00BB4B4C">
        <w:rPr>
          <w:rFonts w:ascii="Calibri" w:hAnsi="Calibri"/>
          <w:noProof/>
          <w:szCs w:val="24"/>
        </w:rPr>
        <w:t xml:space="preserve">Shan </w:t>
      </w:r>
      <w:r w:rsidRPr="007C7F67">
        <w:rPr>
          <w:rFonts w:ascii="Calibri" w:hAnsi="Calibri"/>
          <w:iCs/>
          <w:noProof/>
          <w:szCs w:val="24"/>
        </w:rPr>
        <w:t>et al.</w:t>
      </w:r>
      <w:r w:rsidR="007C7F67">
        <w:rPr>
          <w:rFonts w:ascii="Calibri" w:hAnsi="Calibri"/>
          <w:noProof/>
          <w:szCs w:val="24"/>
        </w:rPr>
        <w:t>,</w:t>
      </w:r>
      <w:r w:rsidRPr="00BB4B4C">
        <w:rPr>
          <w:rFonts w:ascii="Calibri" w:hAnsi="Calibri"/>
          <w:noProof/>
          <w:szCs w:val="24"/>
        </w:rPr>
        <w:t xml:space="preserve"> </w:t>
      </w:r>
      <w:r w:rsidR="00040FC1">
        <w:rPr>
          <w:rFonts w:ascii="Calibri" w:hAnsi="Calibri"/>
          <w:noProof/>
          <w:szCs w:val="24"/>
        </w:rPr>
        <w:t xml:space="preserve">PDB ID: 1XNX, </w:t>
      </w:r>
      <w:r w:rsidRPr="00BB4B4C">
        <w:rPr>
          <w:rFonts w:ascii="Calibri" w:hAnsi="Calibri"/>
          <w:i/>
          <w:iCs/>
          <w:noProof/>
          <w:szCs w:val="24"/>
        </w:rPr>
        <w:t>Mol. Cell</w:t>
      </w:r>
      <w:r w:rsidRPr="00BB4B4C">
        <w:rPr>
          <w:rFonts w:ascii="Calibri" w:hAnsi="Calibri"/>
          <w:noProof/>
          <w:szCs w:val="24"/>
        </w:rPr>
        <w:t xml:space="preserve"> </w:t>
      </w:r>
      <w:r w:rsidR="007C7F67" w:rsidRPr="007C7F67">
        <w:rPr>
          <w:rFonts w:ascii="Calibri" w:hAnsi="Calibri"/>
          <w:b/>
          <w:noProof/>
          <w:szCs w:val="24"/>
        </w:rPr>
        <w:t>2004</w:t>
      </w:r>
      <w:r w:rsidR="007C7F67">
        <w:rPr>
          <w:rFonts w:ascii="Calibri" w:hAnsi="Calibri"/>
          <w:noProof/>
          <w:szCs w:val="24"/>
        </w:rPr>
        <w:t>,</w:t>
      </w:r>
      <w:r w:rsidR="007C7F67">
        <w:rPr>
          <w:rFonts w:ascii="Calibri" w:hAnsi="Calibri"/>
          <w:b/>
          <w:noProof/>
          <w:szCs w:val="24"/>
        </w:rPr>
        <w:t xml:space="preserve"> </w:t>
      </w:r>
      <w:r w:rsidRPr="007C7F67">
        <w:rPr>
          <w:rFonts w:ascii="Calibri" w:hAnsi="Calibri"/>
          <w:bCs/>
          <w:i/>
          <w:noProof/>
          <w:szCs w:val="24"/>
        </w:rPr>
        <w:t>16</w:t>
      </w:r>
      <w:r w:rsidRPr="00BB4B4C">
        <w:rPr>
          <w:rFonts w:ascii="Calibri" w:hAnsi="Calibri"/>
          <w:bCs/>
          <w:noProof/>
          <w:szCs w:val="24"/>
        </w:rPr>
        <w:t>,</w:t>
      </w:r>
      <w:r w:rsidRPr="00BB4B4C">
        <w:rPr>
          <w:rFonts w:ascii="Calibri" w:hAnsi="Calibri"/>
          <w:noProof/>
          <w:szCs w:val="24"/>
        </w:rPr>
        <w:t xml:space="preserve"> 907–</w:t>
      </w:r>
      <w:r w:rsidR="007C7F67">
        <w:rPr>
          <w:rFonts w:ascii="Calibri" w:hAnsi="Calibri"/>
          <w:noProof/>
          <w:szCs w:val="24"/>
        </w:rPr>
        <w:t>9</w:t>
      </w:r>
      <w:r w:rsidRPr="00BB4B4C">
        <w:rPr>
          <w:rFonts w:ascii="Calibri" w:hAnsi="Calibri"/>
          <w:noProof/>
          <w:szCs w:val="24"/>
        </w:rPr>
        <w:t>17.</w:t>
      </w:r>
    </w:p>
    <w:p w14:paraId="06E11396" w14:textId="59BED068"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34.</w:t>
      </w:r>
      <w:r w:rsidRPr="00BB4B4C">
        <w:rPr>
          <w:rFonts w:ascii="Calibri" w:hAnsi="Calibri"/>
          <w:noProof/>
          <w:szCs w:val="24"/>
        </w:rPr>
        <w:tab/>
      </w:r>
      <w:r w:rsidR="007C7F67">
        <w:rPr>
          <w:rFonts w:ascii="Calibri" w:hAnsi="Calibri"/>
          <w:noProof/>
          <w:szCs w:val="24"/>
        </w:rPr>
        <w:t xml:space="preserve">S. </w:t>
      </w:r>
      <w:r w:rsidRPr="00BB4B4C">
        <w:rPr>
          <w:rFonts w:ascii="Calibri" w:hAnsi="Calibri"/>
          <w:noProof/>
          <w:szCs w:val="24"/>
        </w:rPr>
        <w:t xml:space="preserve">Hennig </w:t>
      </w:r>
      <w:r w:rsidRPr="007C7F67">
        <w:rPr>
          <w:rFonts w:ascii="Calibri" w:hAnsi="Calibri"/>
          <w:iCs/>
          <w:noProof/>
          <w:szCs w:val="24"/>
        </w:rPr>
        <w:t>et al.</w:t>
      </w:r>
      <w:r w:rsidR="007C7F67">
        <w:rPr>
          <w:rFonts w:ascii="Calibri" w:hAnsi="Calibri"/>
          <w:noProof/>
          <w:szCs w:val="24"/>
        </w:rPr>
        <w:t>,</w:t>
      </w:r>
      <w:r w:rsidRPr="00BB4B4C">
        <w:rPr>
          <w:rFonts w:ascii="Calibri" w:hAnsi="Calibri"/>
          <w:noProof/>
          <w:szCs w:val="24"/>
        </w:rPr>
        <w:t xml:space="preserve"> </w:t>
      </w:r>
      <w:r w:rsidR="00040FC1">
        <w:rPr>
          <w:rFonts w:ascii="Calibri" w:hAnsi="Calibri"/>
          <w:noProof/>
          <w:szCs w:val="24"/>
        </w:rPr>
        <w:t xml:space="preserve">PDB ID: 3GDI, </w:t>
      </w:r>
      <w:r w:rsidRPr="00BB4B4C">
        <w:rPr>
          <w:rFonts w:ascii="Calibri" w:hAnsi="Calibri"/>
          <w:i/>
          <w:iCs/>
          <w:noProof/>
          <w:szCs w:val="24"/>
        </w:rPr>
        <w:t>PLoS Biol.</w:t>
      </w:r>
      <w:r w:rsidRPr="00BB4B4C">
        <w:rPr>
          <w:rFonts w:ascii="Calibri" w:hAnsi="Calibri"/>
          <w:noProof/>
          <w:szCs w:val="24"/>
        </w:rPr>
        <w:t xml:space="preserve"> </w:t>
      </w:r>
      <w:r w:rsidR="007C7F67" w:rsidRPr="007C7F67">
        <w:rPr>
          <w:rFonts w:ascii="Calibri" w:hAnsi="Calibri"/>
          <w:b/>
          <w:noProof/>
          <w:szCs w:val="24"/>
        </w:rPr>
        <w:t>2009</w:t>
      </w:r>
      <w:r w:rsidR="007C7F67">
        <w:rPr>
          <w:rFonts w:ascii="Calibri" w:hAnsi="Calibri"/>
          <w:noProof/>
          <w:szCs w:val="24"/>
        </w:rPr>
        <w:t xml:space="preserve">, </w:t>
      </w:r>
      <w:r w:rsidRPr="007C7F67">
        <w:rPr>
          <w:rFonts w:ascii="Calibri" w:hAnsi="Calibri"/>
          <w:bCs/>
          <w:i/>
          <w:noProof/>
          <w:szCs w:val="24"/>
        </w:rPr>
        <w:t>7</w:t>
      </w:r>
      <w:r w:rsidRPr="00BB4B4C">
        <w:rPr>
          <w:rFonts w:ascii="Calibri" w:hAnsi="Calibri"/>
          <w:bCs/>
          <w:noProof/>
          <w:szCs w:val="24"/>
        </w:rPr>
        <w:t>,</w:t>
      </w:r>
      <w:r w:rsidRPr="00BB4B4C">
        <w:rPr>
          <w:rFonts w:ascii="Calibri" w:hAnsi="Calibri"/>
          <w:noProof/>
          <w:szCs w:val="24"/>
        </w:rPr>
        <w:t xml:space="preserve"> e94.</w:t>
      </w:r>
    </w:p>
    <w:p w14:paraId="03B9053D" w14:textId="6A96103F"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35.</w:t>
      </w:r>
      <w:r w:rsidRPr="00BB4B4C">
        <w:rPr>
          <w:rFonts w:ascii="Calibri" w:hAnsi="Calibri"/>
          <w:noProof/>
          <w:szCs w:val="24"/>
        </w:rPr>
        <w:tab/>
      </w:r>
      <w:r w:rsidR="007C7F67">
        <w:rPr>
          <w:rFonts w:ascii="Calibri" w:hAnsi="Calibri"/>
          <w:noProof/>
          <w:szCs w:val="24"/>
        </w:rPr>
        <w:t xml:space="preserve">H. M. </w:t>
      </w:r>
      <w:r w:rsidRPr="00BB4B4C">
        <w:rPr>
          <w:rFonts w:ascii="Calibri" w:hAnsi="Calibri"/>
          <w:noProof/>
          <w:szCs w:val="24"/>
        </w:rPr>
        <w:t xml:space="preserve">Berman </w:t>
      </w:r>
      <w:r w:rsidRPr="007C7F67">
        <w:rPr>
          <w:rFonts w:ascii="Calibri" w:hAnsi="Calibri"/>
          <w:iCs/>
          <w:noProof/>
          <w:szCs w:val="24"/>
        </w:rPr>
        <w:t>et al.</w:t>
      </w:r>
      <w:r w:rsidR="007C7F67">
        <w:rPr>
          <w:rFonts w:ascii="Calibri" w:hAnsi="Calibri"/>
          <w:iCs/>
          <w:noProof/>
          <w:szCs w:val="24"/>
        </w:rPr>
        <w:t xml:space="preserve">, </w:t>
      </w:r>
      <w:r w:rsidRPr="00BB4B4C">
        <w:rPr>
          <w:rFonts w:ascii="Calibri" w:hAnsi="Calibri"/>
          <w:i/>
          <w:iCs/>
          <w:noProof/>
          <w:szCs w:val="24"/>
        </w:rPr>
        <w:t>Nucleic Acids Res.</w:t>
      </w:r>
      <w:r w:rsidRPr="00BB4B4C">
        <w:rPr>
          <w:rFonts w:ascii="Calibri" w:hAnsi="Calibri"/>
          <w:noProof/>
          <w:szCs w:val="24"/>
        </w:rPr>
        <w:t xml:space="preserve"> </w:t>
      </w:r>
      <w:r w:rsidR="007C7F67" w:rsidRPr="007C7F67">
        <w:rPr>
          <w:rFonts w:ascii="Calibri" w:hAnsi="Calibri"/>
          <w:b/>
          <w:noProof/>
          <w:szCs w:val="24"/>
        </w:rPr>
        <w:t>2000</w:t>
      </w:r>
      <w:r w:rsidR="007C7F67">
        <w:rPr>
          <w:rFonts w:ascii="Calibri" w:hAnsi="Calibri"/>
          <w:noProof/>
          <w:szCs w:val="24"/>
        </w:rPr>
        <w:t xml:space="preserve">, </w:t>
      </w:r>
      <w:r w:rsidRPr="007C7F67">
        <w:rPr>
          <w:rFonts w:ascii="Calibri" w:hAnsi="Calibri"/>
          <w:bCs/>
          <w:i/>
          <w:noProof/>
          <w:szCs w:val="24"/>
        </w:rPr>
        <w:t>28</w:t>
      </w:r>
      <w:r w:rsidRPr="00BB4B4C">
        <w:rPr>
          <w:rFonts w:ascii="Calibri" w:hAnsi="Calibri"/>
          <w:bCs/>
          <w:noProof/>
          <w:szCs w:val="24"/>
        </w:rPr>
        <w:t>,</w:t>
      </w:r>
      <w:r w:rsidRPr="00BB4B4C">
        <w:rPr>
          <w:rFonts w:ascii="Calibri" w:hAnsi="Calibri"/>
          <w:noProof/>
          <w:szCs w:val="24"/>
        </w:rPr>
        <w:t xml:space="preserve"> 235–</w:t>
      </w:r>
      <w:r w:rsidR="007C7F67">
        <w:rPr>
          <w:rFonts w:ascii="Calibri" w:hAnsi="Calibri"/>
          <w:noProof/>
          <w:szCs w:val="24"/>
        </w:rPr>
        <w:t>2</w:t>
      </w:r>
      <w:r w:rsidRPr="00BB4B4C">
        <w:rPr>
          <w:rFonts w:ascii="Calibri" w:hAnsi="Calibri"/>
          <w:noProof/>
          <w:szCs w:val="24"/>
        </w:rPr>
        <w:t>42.</w:t>
      </w:r>
    </w:p>
    <w:p w14:paraId="6C0A9AEC" w14:textId="133DEC3F"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lastRenderedPageBreak/>
        <w:t>36.</w:t>
      </w:r>
      <w:r w:rsidRPr="00BB4B4C">
        <w:rPr>
          <w:rFonts w:ascii="Calibri" w:hAnsi="Calibri"/>
          <w:noProof/>
          <w:szCs w:val="24"/>
        </w:rPr>
        <w:tab/>
      </w:r>
      <w:r w:rsidR="00296B85">
        <w:rPr>
          <w:rFonts w:ascii="Calibri" w:hAnsi="Calibri"/>
          <w:noProof/>
          <w:szCs w:val="24"/>
        </w:rPr>
        <w:t xml:space="preserve">P. </w:t>
      </w:r>
      <w:r w:rsidRPr="00BB4B4C">
        <w:rPr>
          <w:rFonts w:ascii="Calibri" w:hAnsi="Calibri"/>
          <w:noProof/>
          <w:szCs w:val="24"/>
        </w:rPr>
        <w:t xml:space="preserve">Honkakoski, </w:t>
      </w:r>
      <w:r w:rsidR="00296B85">
        <w:rPr>
          <w:rFonts w:ascii="Calibri" w:hAnsi="Calibri"/>
          <w:noProof/>
          <w:szCs w:val="24"/>
        </w:rPr>
        <w:t>I.</w:t>
      </w:r>
      <w:r w:rsidRPr="00BB4B4C">
        <w:rPr>
          <w:rFonts w:ascii="Calibri" w:hAnsi="Calibri"/>
          <w:noProof/>
          <w:szCs w:val="24"/>
        </w:rPr>
        <w:t xml:space="preserve"> Zelko, </w:t>
      </w:r>
      <w:r w:rsidR="00296B85">
        <w:rPr>
          <w:rFonts w:ascii="Calibri" w:hAnsi="Calibri"/>
          <w:noProof/>
          <w:szCs w:val="24"/>
        </w:rPr>
        <w:t>T.</w:t>
      </w:r>
      <w:r w:rsidRPr="00BB4B4C">
        <w:rPr>
          <w:rFonts w:ascii="Calibri" w:hAnsi="Calibri"/>
          <w:noProof/>
          <w:szCs w:val="24"/>
        </w:rPr>
        <w:t xml:space="preserve"> Sueyoshi, </w:t>
      </w:r>
      <w:r w:rsidR="00296B85">
        <w:rPr>
          <w:rFonts w:ascii="Calibri" w:hAnsi="Calibri"/>
          <w:noProof/>
          <w:szCs w:val="24"/>
        </w:rPr>
        <w:t>M.</w:t>
      </w:r>
      <w:r w:rsidRPr="00BB4B4C">
        <w:rPr>
          <w:rFonts w:ascii="Calibri" w:hAnsi="Calibri"/>
          <w:noProof/>
          <w:szCs w:val="24"/>
        </w:rPr>
        <w:t xml:space="preserve"> Negishi, </w:t>
      </w:r>
      <w:r w:rsidRPr="00BB4B4C">
        <w:rPr>
          <w:rFonts w:ascii="Calibri" w:hAnsi="Calibri"/>
          <w:i/>
          <w:iCs/>
          <w:noProof/>
          <w:szCs w:val="24"/>
        </w:rPr>
        <w:t>Mol. Cell. Biol.</w:t>
      </w:r>
      <w:r w:rsidRPr="00BB4B4C">
        <w:rPr>
          <w:rFonts w:ascii="Calibri" w:hAnsi="Calibri"/>
          <w:noProof/>
          <w:szCs w:val="24"/>
        </w:rPr>
        <w:t xml:space="preserve"> </w:t>
      </w:r>
      <w:r w:rsidR="00296B85" w:rsidRPr="00296B85">
        <w:rPr>
          <w:rFonts w:ascii="Calibri" w:hAnsi="Calibri"/>
          <w:b/>
          <w:noProof/>
          <w:szCs w:val="24"/>
        </w:rPr>
        <w:t>1998</w:t>
      </w:r>
      <w:r w:rsidR="00296B85">
        <w:rPr>
          <w:rFonts w:ascii="Calibri" w:hAnsi="Calibri"/>
          <w:noProof/>
          <w:szCs w:val="24"/>
        </w:rPr>
        <w:t xml:space="preserve">, </w:t>
      </w:r>
      <w:r w:rsidRPr="00296B85">
        <w:rPr>
          <w:rFonts w:ascii="Calibri" w:hAnsi="Calibri"/>
          <w:bCs/>
          <w:i/>
          <w:noProof/>
          <w:szCs w:val="24"/>
        </w:rPr>
        <w:t>18</w:t>
      </w:r>
      <w:r w:rsidRPr="00BB4B4C">
        <w:rPr>
          <w:rFonts w:ascii="Calibri" w:hAnsi="Calibri"/>
          <w:bCs/>
          <w:noProof/>
          <w:szCs w:val="24"/>
        </w:rPr>
        <w:t>,</w:t>
      </w:r>
      <w:r w:rsidRPr="00BB4B4C">
        <w:rPr>
          <w:rFonts w:ascii="Calibri" w:hAnsi="Calibri"/>
          <w:noProof/>
          <w:szCs w:val="24"/>
        </w:rPr>
        <w:t xml:space="preserve"> 5652–</w:t>
      </w:r>
      <w:r w:rsidR="00296B85">
        <w:rPr>
          <w:rFonts w:ascii="Calibri" w:hAnsi="Calibri"/>
          <w:noProof/>
          <w:szCs w:val="24"/>
        </w:rPr>
        <w:t>565</w:t>
      </w:r>
      <w:r w:rsidRPr="00BB4B4C">
        <w:rPr>
          <w:rFonts w:ascii="Calibri" w:hAnsi="Calibri"/>
          <w:noProof/>
          <w:szCs w:val="24"/>
        </w:rPr>
        <w:t>8.</w:t>
      </w:r>
    </w:p>
    <w:p w14:paraId="6DE63E8D" w14:textId="27328057"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37.</w:t>
      </w:r>
      <w:r w:rsidRPr="00BB4B4C">
        <w:rPr>
          <w:rFonts w:ascii="Calibri" w:hAnsi="Calibri"/>
          <w:noProof/>
          <w:szCs w:val="24"/>
        </w:rPr>
        <w:tab/>
      </w:r>
      <w:r w:rsidR="00296B85">
        <w:rPr>
          <w:rFonts w:ascii="Calibri" w:hAnsi="Calibri"/>
          <w:noProof/>
          <w:szCs w:val="24"/>
        </w:rPr>
        <w:t xml:space="preserve">Y. E. </w:t>
      </w:r>
      <w:r w:rsidRPr="00BB4B4C">
        <w:rPr>
          <w:rFonts w:ascii="Calibri" w:hAnsi="Calibri"/>
          <w:noProof/>
          <w:szCs w:val="24"/>
        </w:rPr>
        <w:t xml:space="preserve">Timsit, </w:t>
      </w:r>
      <w:r w:rsidR="00296B85">
        <w:rPr>
          <w:rFonts w:ascii="Calibri" w:hAnsi="Calibri"/>
          <w:noProof/>
          <w:szCs w:val="24"/>
        </w:rPr>
        <w:t>M.</w:t>
      </w:r>
      <w:r w:rsidRPr="00BB4B4C">
        <w:rPr>
          <w:rFonts w:ascii="Calibri" w:hAnsi="Calibri"/>
          <w:noProof/>
          <w:szCs w:val="24"/>
        </w:rPr>
        <w:t xml:space="preserve"> Negishi, </w:t>
      </w:r>
      <w:r w:rsidRPr="00BB4B4C">
        <w:rPr>
          <w:rFonts w:ascii="Calibri" w:hAnsi="Calibri"/>
          <w:i/>
          <w:iCs/>
          <w:noProof/>
          <w:szCs w:val="24"/>
        </w:rPr>
        <w:t>PLoS One</w:t>
      </w:r>
      <w:r w:rsidRPr="00BB4B4C">
        <w:rPr>
          <w:rFonts w:ascii="Calibri" w:hAnsi="Calibri"/>
          <w:noProof/>
          <w:szCs w:val="24"/>
        </w:rPr>
        <w:t xml:space="preserve"> </w:t>
      </w:r>
      <w:r w:rsidR="00296B85" w:rsidRPr="00296B85">
        <w:rPr>
          <w:rFonts w:ascii="Calibri" w:hAnsi="Calibri"/>
          <w:b/>
          <w:noProof/>
          <w:szCs w:val="24"/>
        </w:rPr>
        <w:t>2014</w:t>
      </w:r>
      <w:r w:rsidR="00296B85">
        <w:rPr>
          <w:rFonts w:ascii="Calibri" w:hAnsi="Calibri"/>
          <w:noProof/>
          <w:szCs w:val="24"/>
        </w:rPr>
        <w:t xml:space="preserve">, </w:t>
      </w:r>
      <w:r w:rsidRPr="00296B85">
        <w:rPr>
          <w:rFonts w:ascii="Calibri" w:hAnsi="Calibri"/>
          <w:bCs/>
          <w:i/>
          <w:noProof/>
          <w:szCs w:val="24"/>
        </w:rPr>
        <w:t>9</w:t>
      </w:r>
      <w:r w:rsidR="00EB0480">
        <w:rPr>
          <w:rFonts w:ascii="Calibri" w:hAnsi="Calibri"/>
          <w:bCs/>
          <w:noProof/>
          <w:szCs w:val="24"/>
        </w:rPr>
        <w:t>, e96092</w:t>
      </w:r>
      <w:r w:rsidRPr="00BB4B4C">
        <w:rPr>
          <w:rFonts w:ascii="Calibri" w:hAnsi="Calibri"/>
          <w:noProof/>
          <w:szCs w:val="24"/>
        </w:rPr>
        <w:t>.</w:t>
      </w:r>
    </w:p>
    <w:p w14:paraId="34FA99F0" w14:textId="18C72DB1"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38.</w:t>
      </w:r>
      <w:r w:rsidRPr="00BB4B4C">
        <w:rPr>
          <w:rFonts w:ascii="Calibri" w:hAnsi="Calibri"/>
          <w:noProof/>
          <w:szCs w:val="24"/>
        </w:rPr>
        <w:tab/>
      </w:r>
      <w:r w:rsidR="00296B85">
        <w:rPr>
          <w:rFonts w:ascii="Calibri" w:hAnsi="Calibri"/>
          <w:noProof/>
          <w:szCs w:val="24"/>
        </w:rPr>
        <w:t xml:space="preserve">R. A. </w:t>
      </w:r>
      <w:r w:rsidRPr="00BB4B4C">
        <w:rPr>
          <w:rFonts w:ascii="Calibri" w:hAnsi="Calibri"/>
          <w:noProof/>
          <w:szCs w:val="24"/>
        </w:rPr>
        <w:t xml:space="preserve">Sayle, </w:t>
      </w:r>
      <w:r w:rsidR="00296B85">
        <w:rPr>
          <w:rFonts w:ascii="Calibri" w:hAnsi="Calibri"/>
          <w:noProof/>
          <w:szCs w:val="24"/>
        </w:rPr>
        <w:t xml:space="preserve">E. J. </w:t>
      </w:r>
      <w:r w:rsidRPr="00BB4B4C">
        <w:rPr>
          <w:rFonts w:ascii="Calibri" w:hAnsi="Calibri"/>
          <w:noProof/>
          <w:szCs w:val="24"/>
        </w:rPr>
        <w:t xml:space="preserve">Milner-White, </w:t>
      </w:r>
      <w:r w:rsidRPr="00BB4B4C">
        <w:rPr>
          <w:rFonts w:ascii="Calibri" w:hAnsi="Calibri"/>
          <w:i/>
          <w:iCs/>
          <w:noProof/>
          <w:szCs w:val="24"/>
        </w:rPr>
        <w:t>Trends Biochem. Sci.</w:t>
      </w:r>
      <w:r w:rsidR="00296B85">
        <w:rPr>
          <w:rFonts w:ascii="Calibri" w:hAnsi="Calibri"/>
          <w:i/>
          <w:iCs/>
          <w:noProof/>
          <w:szCs w:val="24"/>
        </w:rPr>
        <w:t xml:space="preserve"> </w:t>
      </w:r>
      <w:r w:rsidR="00296B85" w:rsidRPr="00296B85">
        <w:rPr>
          <w:rFonts w:ascii="Calibri" w:hAnsi="Calibri"/>
          <w:b/>
          <w:iCs/>
          <w:noProof/>
          <w:szCs w:val="24"/>
        </w:rPr>
        <w:t>1995</w:t>
      </w:r>
      <w:r w:rsidR="00296B85">
        <w:rPr>
          <w:rFonts w:ascii="Calibri" w:hAnsi="Calibri"/>
          <w:noProof/>
          <w:szCs w:val="24"/>
        </w:rPr>
        <w:t>,</w:t>
      </w:r>
      <w:r w:rsidRPr="00BB4B4C">
        <w:rPr>
          <w:rFonts w:ascii="Calibri" w:hAnsi="Calibri"/>
          <w:noProof/>
          <w:szCs w:val="24"/>
        </w:rPr>
        <w:t xml:space="preserve"> </w:t>
      </w:r>
      <w:r w:rsidRPr="00296B85">
        <w:rPr>
          <w:rFonts w:ascii="Calibri" w:hAnsi="Calibri"/>
          <w:bCs/>
          <w:i/>
          <w:noProof/>
          <w:szCs w:val="24"/>
        </w:rPr>
        <w:t>20</w:t>
      </w:r>
      <w:r w:rsidRPr="00BB4B4C">
        <w:rPr>
          <w:rFonts w:ascii="Calibri" w:hAnsi="Calibri"/>
          <w:bCs/>
          <w:noProof/>
          <w:szCs w:val="24"/>
        </w:rPr>
        <w:t>,</w:t>
      </w:r>
      <w:r w:rsidRPr="00BB4B4C">
        <w:rPr>
          <w:rFonts w:ascii="Calibri" w:hAnsi="Calibri"/>
          <w:noProof/>
          <w:szCs w:val="24"/>
        </w:rPr>
        <w:t xml:space="preserve"> 374.</w:t>
      </w:r>
    </w:p>
    <w:p w14:paraId="0CF069A0" w14:textId="39766AC9"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39.</w:t>
      </w:r>
      <w:r w:rsidRPr="00BB4B4C">
        <w:rPr>
          <w:rFonts w:ascii="Calibri" w:hAnsi="Calibri"/>
          <w:noProof/>
          <w:szCs w:val="24"/>
        </w:rPr>
        <w:tab/>
      </w:r>
      <w:r w:rsidR="00296B85">
        <w:rPr>
          <w:rFonts w:ascii="Calibri" w:hAnsi="Calibri"/>
          <w:noProof/>
          <w:szCs w:val="24"/>
        </w:rPr>
        <w:t xml:space="preserve">M. V. </w:t>
      </w:r>
      <w:r w:rsidRPr="00BB4B4C">
        <w:rPr>
          <w:rFonts w:ascii="Calibri" w:hAnsi="Calibri"/>
          <w:noProof/>
          <w:szCs w:val="24"/>
        </w:rPr>
        <w:t xml:space="preserve">Milburn </w:t>
      </w:r>
      <w:r w:rsidRPr="00296B85">
        <w:rPr>
          <w:rFonts w:ascii="Calibri" w:hAnsi="Calibri"/>
          <w:iCs/>
          <w:noProof/>
          <w:szCs w:val="24"/>
        </w:rPr>
        <w:t>et al.</w:t>
      </w:r>
      <w:r w:rsidR="00296B85">
        <w:rPr>
          <w:rFonts w:ascii="Calibri" w:hAnsi="Calibri"/>
          <w:noProof/>
          <w:szCs w:val="24"/>
        </w:rPr>
        <w:t xml:space="preserve">, </w:t>
      </w:r>
      <w:r w:rsidRPr="00BB4B4C">
        <w:rPr>
          <w:rFonts w:ascii="Calibri" w:hAnsi="Calibri"/>
          <w:i/>
          <w:iCs/>
          <w:noProof/>
          <w:szCs w:val="24"/>
        </w:rPr>
        <w:t>Nature</w:t>
      </w:r>
      <w:r w:rsidRPr="00BB4B4C">
        <w:rPr>
          <w:rFonts w:ascii="Calibri" w:hAnsi="Calibri"/>
          <w:noProof/>
          <w:szCs w:val="24"/>
        </w:rPr>
        <w:t xml:space="preserve"> </w:t>
      </w:r>
      <w:r w:rsidR="00296B85" w:rsidRPr="00296B85">
        <w:rPr>
          <w:rFonts w:ascii="Calibri" w:hAnsi="Calibri"/>
          <w:b/>
          <w:noProof/>
          <w:szCs w:val="24"/>
        </w:rPr>
        <w:t>1998</w:t>
      </w:r>
      <w:r w:rsidR="00296B85">
        <w:rPr>
          <w:rFonts w:ascii="Calibri" w:hAnsi="Calibri"/>
          <w:noProof/>
          <w:szCs w:val="24"/>
        </w:rPr>
        <w:t xml:space="preserve">, </w:t>
      </w:r>
      <w:r w:rsidRPr="00296B85">
        <w:rPr>
          <w:rFonts w:ascii="Calibri" w:hAnsi="Calibri"/>
          <w:bCs/>
          <w:i/>
          <w:noProof/>
          <w:szCs w:val="24"/>
        </w:rPr>
        <w:t>395</w:t>
      </w:r>
      <w:r w:rsidRPr="00BB4B4C">
        <w:rPr>
          <w:rFonts w:ascii="Calibri" w:hAnsi="Calibri"/>
          <w:bCs/>
          <w:noProof/>
          <w:szCs w:val="24"/>
        </w:rPr>
        <w:t>,</w:t>
      </w:r>
      <w:r w:rsidRPr="00BB4B4C">
        <w:rPr>
          <w:rFonts w:ascii="Calibri" w:hAnsi="Calibri"/>
          <w:noProof/>
          <w:szCs w:val="24"/>
        </w:rPr>
        <w:t xml:space="preserve"> 137–143.</w:t>
      </w:r>
    </w:p>
    <w:p w14:paraId="7E10E601" w14:textId="1162E998"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40.</w:t>
      </w:r>
      <w:r w:rsidRPr="00BB4B4C">
        <w:rPr>
          <w:rFonts w:ascii="Calibri" w:hAnsi="Calibri"/>
          <w:noProof/>
          <w:szCs w:val="24"/>
        </w:rPr>
        <w:tab/>
      </w:r>
      <w:r w:rsidR="00296B85">
        <w:rPr>
          <w:rFonts w:ascii="Calibri" w:hAnsi="Calibri"/>
          <w:noProof/>
          <w:szCs w:val="24"/>
        </w:rPr>
        <w:t xml:space="preserve">C. </w:t>
      </w:r>
      <w:r w:rsidRPr="00BB4B4C">
        <w:rPr>
          <w:rFonts w:ascii="Calibri" w:hAnsi="Calibri"/>
          <w:noProof/>
          <w:szCs w:val="24"/>
        </w:rPr>
        <w:t xml:space="preserve">Chang </w:t>
      </w:r>
      <w:r w:rsidRPr="00296B85">
        <w:rPr>
          <w:rFonts w:ascii="Calibri" w:hAnsi="Calibri"/>
          <w:iCs/>
          <w:noProof/>
          <w:szCs w:val="24"/>
        </w:rPr>
        <w:t>et al.</w:t>
      </w:r>
      <w:r w:rsidR="00296B85">
        <w:rPr>
          <w:rFonts w:ascii="Calibri" w:hAnsi="Calibri"/>
          <w:noProof/>
          <w:szCs w:val="24"/>
        </w:rPr>
        <w:t xml:space="preserve">, </w:t>
      </w:r>
      <w:r w:rsidRPr="00BB4B4C">
        <w:rPr>
          <w:rFonts w:ascii="Calibri" w:hAnsi="Calibri"/>
          <w:i/>
          <w:iCs/>
          <w:noProof/>
          <w:szCs w:val="24"/>
        </w:rPr>
        <w:t>Mol. Cell. Biol.</w:t>
      </w:r>
      <w:r w:rsidRPr="00BB4B4C">
        <w:rPr>
          <w:rFonts w:ascii="Calibri" w:hAnsi="Calibri"/>
          <w:noProof/>
          <w:szCs w:val="24"/>
        </w:rPr>
        <w:t xml:space="preserve"> </w:t>
      </w:r>
      <w:r w:rsidR="00296B85" w:rsidRPr="00296B85">
        <w:rPr>
          <w:rFonts w:ascii="Calibri" w:hAnsi="Calibri"/>
          <w:b/>
          <w:noProof/>
          <w:szCs w:val="24"/>
        </w:rPr>
        <w:t>1999</w:t>
      </w:r>
      <w:r w:rsidR="00296B85">
        <w:rPr>
          <w:rFonts w:ascii="Calibri" w:hAnsi="Calibri"/>
          <w:noProof/>
          <w:szCs w:val="24"/>
        </w:rPr>
        <w:t xml:space="preserve">, </w:t>
      </w:r>
      <w:r w:rsidRPr="00296B85">
        <w:rPr>
          <w:rFonts w:ascii="Calibri" w:hAnsi="Calibri"/>
          <w:bCs/>
          <w:i/>
          <w:noProof/>
          <w:szCs w:val="24"/>
        </w:rPr>
        <w:t>19</w:t>
      </w:r>
      <w:r w:rsidRPr="00BB4B4C">
        <w:rPr>
          <w:rFonts w:ascii="Calibri" w:hAnsi="Calibri"/>
          <w:bCs/>
          <w:noProof/>
          <w:szCs w:val="24"/>
        </w:rPr>
        <w:t>,</w:t>
      </w:r>
      <w:r w:rsidRPr="00BB4B4C">
        <w:rPr>
          <w:rFonts w:ascii="Calibri" w:hAnsi="Calibri"/>
          <w:noProof/>
          <w:szCs w:val="24"/>
        </w:rPr>
        <w:t xml:space="preserve"> 8226–</w:t>
      </w:r>
      <w:r w:rsidR="00296B85">
        <w:rPr>
          <w:rFonts w:ascii="Calibri" w:hAnsi="Calibri"/>
          <w:noProof/>
          <w:szCs w:val="24"/>
        </w:rPr>
        <w:t>82</w:t>
      </w:r>
      <w:r w:rsidRPr="00BB4B4C">
        <w:rPr>
          <w:rFonts w:ascii="Calibri" w:hAnsi="Calibri"/>
          <w:noProof/>
          <w:szCs w:val="24"/>
        </w:rPr>
        <w:t>39.</w:t>
      </w:r>
    </w:p>
    <w:p w14:paraId="6954AE1F" w14:textId="1BE0483F"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41.</w:t>
      </w:r>
      <w:r w:rsidRPr="00BB4B4C">
        <w:rPr>
          <w:rFonts w:ascii="Calibri" w:hAnsi="Calibri"/>
          <w:noProof/>
          <w:szCs w:val="24"/>
        </w:rPr>
        <w:tab/>
      </w:r>
      <w:r w:rsidR="00296B85">
        <w:rPr>
          <w:rFonts w:ascii="Calibri" w:hAnsi="Calibri"/>
          <w:noProof/>
          <w:szCs w:val="24"/>
        </w:rPr>
        <w:t xml:space="preserve">I. </w:t>
      </w:r>
      <w:r w:rsidRPr="00BB4B4C">
        <w:rPr>
          <w:rFonts w:ascii="Calibri" w:hAnsi="Calibri"/>
          <w:noProof/>
          <w:szCs w:val="24"/>
        </w:rPr>
        <w:t xml:space="preserve">Dussault, </w:t>
      </w:r>
      <w:r w:rsidRPr="00296B85">
        <w:rPr>
          <w:rFonts w:ascii="Calibri" w:hAnsi="Calibri"/>
          <w:iCs/>
          <w:noProof/>
          <w:szCs w:val="24"/>
        </w:rPr>
        <w:t>et al.</w:t>
      </w:r>
      <w:r w:rsidR="00296B85">
        <w:rPr>
          <w:rFonts w:ascii="Calibri" w:hAnsi="Calibri"/>
          <w:noProof/>
          <w:szCs w:val="24"/>
        </w:rPr>
        <w:t>,</w:t>
      </w:r>
      <w:r w:rsidRPr="00BB4B4C">
        <w:rPr>
          <w:rFonts w:ascii="Calibri" w:hAnsi="Calibri"/>
          <w:noProof/>
          <w:szCs w:val="24"/>
        </w:rPr>
        <w:t xml:space="preserve"> </w:t>
      </w:r>
      <w:r w:rsidRPr="00BB4B4C">
        <w:rPr>
          <w:rFonts w:ascii="Calibri" w:hAnsi="Calibri"/>
          <w:i/>
          <w:iCs/>
          <w:noProof/>
          <w:szCs w:val="24"/>
        </w:rPr>
        <w:t>Mol. Cell. Biol.</w:t>
      </w:r>
      <w:r w:rsidRPr="00BB4B4C">
        <w:rPr>
          <w:rFonts w:ascii="Calibri" w:hAnsi="Calibri"/>
          <w:noProof/>
          <w:szCs w:val="24"/>
        </w:rPr>
        <w:t xml:space="preserve"> </w:t>
      </w:r>
      <w:r w:rsidR="00296B85" w:rsidRPr="00296B85">
        <w:rPr>
          <w:rFonts w:ascii="Calibri" w:hAnsi="Calibri"/>
          <w:b/>
          <w:noProof/>
          <w:szCs w:val="24"/>
        </w:rPr>
        <w:t>2002</w:t>
      </w:r>
      <w:r w:rsidR="00296B85">
        <w:rPr>
          <w:rFonts w:ascii="Calibri" w:hAnsi="Calibri"/>
          <w:noProof/>
          <w:szCs w:val="24"/>
        </w:rPr>
        <w:t xml:space="preserve">, </w:t>
      </w:r>
      <w:r w:rsidRPr="00296B85">
        <w:rPr>
          <w:rFonts w:ascii="Calibri" w:hAnsi="Calibri"/>
          <w:bCs/>
          <w:i/>
          <w:noProof/>
          <w:szCs w:val="24"/>
        </w:rPr>
        <w:t>22</w:t>
      </w:r>
      <w:r w:rsidRPr="00BB4B4C">
        <w:rPr>
          <w:rFonts w:ascii="Calibri" w:hAnsi="Calibri"/>
          <w:bCs/>
          <w:noProof/>
          <w:szCs w:val="24"/>
        </w:rPr>
        <w:t>,</w:t>
      </w:r>
      <w:r w:rsidRPr="00BB4B4C">
        <w:rPr>
          <w:rFonts w:ascii="Calibri" w:hAnsi="Calibri"/>
          <w:noProof/>
          <w:szCs w:val="24"/>
        </w:rPr>
        <w:t xml:space="preserve"> 5270–</w:t>
      </w:r>
      <w:r w:rsidR="00296B85">
        <w:rPr>
          <w:rFonts w:ascii="Calibri" w:hAnsi="Calibri"/>
          <w:noProof/>
          <w:szCs w:val="24"/>
        </w:rPr>
        <w:t>52</w:t>
      </w:r>
      <w:r w:rsidRPr="00BB4B4C">
        <w:rPr>
          <w:rFonts w:ascii="Calibri" w:hAnsi="Calibri"/>
          <w:noProof/>
          <w:szCs w:val="24"/>
        </w:rPr>
        <w:t>80.</w:t>
      </w:r>
    </w:p>
    <w:p w14:paraId="70A8BB8B" w14:textId="0EDDA5C8"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42.</w:t>
      </w:r>
      <w:r w:rsidRPr="00BB4B4C">
        <w:rPr>
          <w:rFonts w:ascii="Calibri" w:hAnsi="Calibri"/>
          <w:noProof/>
          <w:szCs w:val="24"/>
        </w:rPr>
        <w:tab/>
      </w:r>
      <w:r w:rsidR="00296B85">
        <w:rPr>
          <w:rFonts w:ascii="Calibri" w:hAnsi="Calibri"/>
          <w:noProof/>
          <w:szCs w:val="24"/>
        </w:rPr>
        <w:t xml:space="preserve">D. </w:t>
      </w:r>
      <w:r w:rsidRPr="00BB4B4C">
        <w:rPr>
          <w:rFonts w:ascii="Calibri" w:hAnsi="Calibri"/>
          <w:noProof/>
          <w:szCs w:val="24"/>
        </w:rPr>
        <w:t xml:space="preserve">Avitabile </w:t>
      </w:r>
      <w:r w:rsidRPr="00296B85">
        <w:rPr>
          <w:rFonts w:ascii="Calibri" w:hAnsi="Calibri"/>
          <w:iCs/>
          <w:noProof/>
          <w:szCs w:val="24"/>
        </w:rPr>
        <w:t>et al.</w:t>
      </w:r>
      <w:r w:rsidR="00296B85">
        <w:rPr>
          <w:rFonts w:ascii="Calibri" w:hAnsi="Calibri"/>
          <w:noProof/>
          <w:szCs w:val="24"/>
        </w:rPr>
        <w:t xml:space="preserve">, </w:t>
      </w:r>
      <w:r w:rsidRPr="00BB4B4C">
        <w:rPr>
          <w:rFonts w:ascii="Calibri" w:hAnsi="Calibri"/>
          <w:i/>
          <w:iCs/>
          <w:noProof/>
          <w:szCs w:val="24"/>
        </w:rPr>
        <w:t>Cell. Mol. Life Sci.</w:t>
      </w:r>
      <w:r w:rsidRPr="00BB4B4C">
        <w:rPr>
          <w:rFonts w:ascii="Calibri" w:hAnsi="Calibri"/>
          <w:noProof/>
          <w:szCs w:val="24"/>
        </w:rPr>
        <w:t xml:space="preserve"> </w:t>
      </w:r>
      <w:r w:rsidR="00296B85" w:rsidRPr="00296B85">
        <w:rPr>
          <w:rFonts w:ascii="Calibri" w:hAnsi="Calibri"/>
          <w:b/>
          <w:noProof/>
          <w:szCs w:val="24"/>
        </w:rPr>
        <w:t>2014</w:t>
      </w:r>
      <w:r w:rsidR="00296B85">
        <w:rPr>
          <w:rFonts w:ascii="Calibri" w:hAnsi="Calibri"/>
          <w:noProof/>
          <w:szCs w:val="24"/>
        </w:rPr>
        <w:t xml:space="preserve">, </w:t>
      </w:r>
      <w:r w:rsidRPr="00296B85">
        <w:rPr>
          <w:rFonts w:ascii="Calibri" w:hAnsi="Calibri"/>
          <w:bCs/>
          <w:i/>
          <w:noProof/>
          <w:szCs w:val="24"/>
        </w:rPr>
        <w:t>71</w:t>
      </w:r>
      <w:r w:rsidRPr="00BB4B4C">
        <w:rPr>
          <w:rFonts w:ascii="Calibri" w:hAnsi="Calibri"/>
          <w:bCs/>
          <w:noProof/>
          <w:szCs w:val="24"/>
        </w:rPr>
        <w:t>,</w:t>
      </w:r>
      <w:r w:rsidRPr="00BB4B4C">
        <w:rPr>
          <w:rFonts w:ascii="Calibri" w:hAnsi="Calibri"/>
          <w:noProof/>
          <w:szCs w:val="24"/>
        </w:rPr>
        <w:t xml:space="preserve"> 2547–2559.</w:t>
      </w:r>
    </w:p>
    <w:p w14:paraId="142FAD00" w14:textId="692F9FAC"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43.</w:t>
      </w:r>
      <w:r w:rsidRPr="00BB4B4C">
        <w:rPr>
          <w:rFonts w:ascii="Calibri" w:hAnsi="Calibri"/>
          <w:noProof/>
          <w:szCs w:val="24"/>
        </w:rPr>
        <w:tab/>
      </w:r>
      <w:r w:rsidR="00296B85">
        <w:rPr>
          <w:rFonts w:ascii="Calibri" w:hAnsi="Calibri"/>
          <w:noProof/>
          <w:szCs w:val="24"/>
        </w:rPr>
        <w:t xml:space="preserve">Y. </w:t>
      </w:r>
      <w:r w:rsidRPr="00BB4B4C">
        <w:rPr>
          <w:rFonts w:ascii="Calibri" w:hAnsi="Calibri"/>
          <w:noProof/>
          <w:szCs w:val="24"/>
        </w:rPr>
        <w:t xml:space="preserve">Kanno, </w:t>
      </w:r>
      <w:r w:rsidR="00296B85">
        <w:rPr>
          <w:rFonts w:ascii="Calibri" w:hAnsi="Calibri"/>
          <w:noProof/>
          <w:szCs w:val="24"/>
        </w:rPr>
        <w:t>S.</w:t>
      </w:r>
      <w:r w:rsidRPr="00BB4B4C">
        <w:rPr>
          <w:rFonts w:ascii="Calibri" w:hAnsi="Calibri"/>
          <w:noProof/>
          <w:szCs w:val="24"/>
        </w:rPr>
        <w:t xml:space="preserve"> Otsuka, </w:t>
      </w:r>
      <w:r w:rsidR="00296B85">
        <w:rPr>
          <w:rFonts w:ascii="Calibri" w:hAnsi="Calibri"/>
          <w:noProof/>
          <w:szCs w:val="24"/>
        </w:rPr>
        <w:t>T.</w:t>
      </w:r>
      <w:r w:rsidRPr="00BB4B4C">
        <w:rPr>
          <w:rFonts w:ascii="Calibri" w:hAnsi="Calibri"/>
          <w:noProof/>
          <w:szCs w:val="24"/>
        </w:rPr>
        <w:t xml:space="preserve"> Hiromasa, </w:t>
      </w:r>
      <w:r w:rsidR="00296B85">
        <w:rPr>
          <w:rFonts w:ascii="Calibri" w:hAnsi="Calibri"/>
          <w:noProof/>
          <w:szCs w:val="24"/>
        </w:rPr>
        <w:t>T.</w:t>
      </w:r>
      <w:r w:rsidRPr="00BB4B4C">
        <w:rPr>
          <w:rFonts w:ascii="Calibri" w:hAnsi="Calibri"/>
          <w:noProof/>
          <w:szCs w:val="24"/>
        </w:rPr>
        <w:t xml:space="preserve"> Nakahama, </w:t>
      </w:r>
      <w:r w:rsidR="00296B85">
        <w:rPr>
          <w:rFonts w:ascii="Calibri" w:hAnsi="Calibri"/>
          <w:noProof/>
          <w:szCs w:val="24"/>
        </w:rPr>
        <w:t>Y</w:t>
      </w:r>
      <w:r w:rsidRPr="00BB4B4C">
        <w:rPr>
          <w:rFonts w:ascii="Calibri" w:hAnsi="Calibri"/>
          <w:noProof/>
          <w:szCs w:val="24"/>
        </w:rPr>
        <w:t xml:space="preserve"> Inouye,</w:t>
      </w:r>
      <w:r w:rsidR="00296B85">
        <w:rPr>
          <w:rFonts w:ascii="Calibri" w:hAnsi="Calibri"/>
          <w:noProof/>
          <w:szCs w:val="24"/>
        </w:rPr>
        <w:t xml:space="preserve"> </w:t>
      </w:r>
      <w:r w:rsidRPr="00BB4B4C">
        <w:rPr>
          <w:rFonts w:ascii="Calibri" w:hAnsi="Calibri"/>
          <w:i/>
          <w:iCs/>
          <w:noProof/>
          <w:szCs w:val="24"/>
        </w:rPr>
        <w:t>Nucl. Recept.</w:t>
      </w:r>
      <w:r w:rsidRPr="00BB4B4C">
        <w:rPr>
          <w:rFonts w:ascii="Calibri" w:hAnsi="Calibri"/>
          <w:noProof/>
          <w:szCs w:val="24"/>
        </w:rPr>
        <w:t xml:space="preserve"> </w:t>
      </w:r>
      <w:r w:rsidR="00296B85" w:rsidRPr="00296B85">
        <w:rPr>
          <w:rFonts w:ascii="Calibri" w:hAnsi="Calibri"/>
          <w:b/>
          <w:noProof/>
          <w:szCs w:val="24"/>
        </w:rPr>
        <w:t>2004</w:t>
      </w:r>
      <w:r w:rsidR="00296B85">
        <w:rPr>
          <w:rFonts w:ascii="Calibri" w:hAnsi="Calibri"/>
          <w:noProof/>
          <w:szCs w:val="24"/>
        </w:rPr>
        <w:t xml:space="preserve">, </w:t>
      </w:r>
      <w:r w:rsidRPr="00296B85">
        <w:rPr>
          <w:rFonts w:ascii="Calibri" w:hAnsi="Calibri"/>
          <w:bCs/>
          <w:i/>
          <w:noProof/>
          <w:szCs w:val="24"/>
        </w:rPr>
        <w:t>2</w:t>
      </w:r>
      <w:r w:rsidRPr="00BB4B4C">
        <w:rPr>
          <w:rFonts w:ascii="Calibri" w:hAnsi="Calibri"/>
          <w:bCs/>
          <w:noProof/>
          <w:szCs w:val="24"/>
        </w:rPr>
        <w:t>,</w:t>
      </w:r>
      <w:r w:rsidRPr="00BB4B4C">
        <w:rPr>
          <w:rFonts w:ascii="Calibri" w:hAnsi="Calibri"/>
          <w:noProof/>
          <w:szCs w:val="24"/>
        </w:rPr>
        <w:t xml:space="preserve"> 6.</w:t>
      </w:r>
    </w:p>
    <w:p w14:paraId="040C82E4" w14:textId="1C841A3B"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44.</w:t>
      </w:r>
      <w:r w:rsidRPr="00BB4B4C">
        <w:rPr>
          <w:rFonts w:ascii="Calibri" w:hAnsi="Calibri"/>
          <w:noProof/>
          <w:szCs w:val="24"/>
        </w:rPr>
        <w:tab/>
      </w:r>
      <w:r w:rsidR="00296B85">
        <w:rPr>
          <w:rFonts w:ascii="Calibri" w:hAnsi="Calibri"/>
          <w:noProof/>
          <w:szCs w:val="24"/>
        </w:rPr>
        <w:t xml:space="preserve">X. </w:t>
      </w:r>
      <w:r w:rsidRPr="00BB4B4C">
        <w:rPr>
          <w:rFonts w:ascii="Calibri" w:hAnsi="Calibri"/>
          <w:noProof/>
          <w:szCs w:val="24"/>
        </w:rPr>
        <w:t xml:space="preserve">Yang </w:t>
      </w:r>
      <w:r w:rsidRPr="00296B85">
        <w:rPr>
          <w:rFonts w:ascii="Calibri" w:hAnsi="Calibri"/>
          <w:iCs/>
          <w:noProof/>
          <w:szCs w:val="24"/>
        </w:rPr>
        <w:t>et al.</w:t>
      </w:r>
      <w:r w:rsidR="00296B85">
        <w:rPr>
          <w:rFonts w:ascii="Calibri" w:hAnsi="Calibri"/>
          <w:noProof/>
          <w:szCs w:val="24"/>
        </w:rPr>
        <w:t>,</w:t>
      </w:r>
      <w:r w:rsidRPr="00BB4B4C">
        <w:rPr>
          <w:rFonts w:ascii="Calibri" w:hAnsi="Calibri"/>
          <w:noProof/>
          <w:szCs w:val="24"/>
        </w:rPr>
        <w:t xml:space="preserve"> </w:t>
      </w:r>
      <w:r w:rsidRPr="00BB4B4C">
        <w:rPr>
          <w:rFonts w:ascii="Calibri" w:hAnsi="Calibri"/>
          <w:i/>
          <w:iCs/>
          <w:noProof/>
          <w:szCs w:val="24"/>
        </w:rPr>
        <w:t>Cell</w:t>
      </w:r>
      <w:r w:rsidRPr="00BB4B4C">
        <w:rPr>
          <w:rFonts w:ascii="Calibri" w:hAnsi="Calibri"/>
          <w:noProof/>
          <w:szCs w:val="24"/>
        </w:rPr>
        <w:t xml:space="preserve"> </w:t>
      </w:r>
      <w:r w:rsidR="00296B85" w:rsidRPr="00296B85">
        <w:rPr>
          <w:rFonts w:ascii="Calibri" w:hAnsi="Calibri"/>
          <w:b/>
          <w:noProof/>
          <w:szCs w:val="24"/>
        </w:rPr>
        <w:t>2006</w:t>
      </w:r>
      <w:r w:rsidR="00296B85">
        <w:rPr>
          <w:rFonts w:ascii="Calibri" w:hAnsi="Calibri"/>
          <w:noProof/>
          <w:szCs w:val="24"/>
        </w:rPr>
        <w:t xml:space="preserve">, </w:t>
      </w:r>
      <w:r w:rsidRPr="00296B85">
        <w:rPr>
          <w:rFonts w:ascii="Calibri" w:hAnsi="Calibri"/>
          <w:bCs/>
          <w:i/>
          <w:noProof/>
          <w:szCs w:val="24"/>
        </w:rPr>
        <w:t>126</w:t>
      </w:r>
      <w:r w:rsidRPr="00BB4B4C">
        <w:rPr>
          <w:rFonts w:ascii="Calibri" w:hAnsi="Calibri"/>
          <w:bCs/>
          <w:noProof/>
          <w:szCs w:val="24"/>
        </w:rPr>
        <w:t>,</w:t>
      </w:r>
      <w:r w:rsidRPr="00BB4B4C">
        <w:rPr>
          <w:rFonts w:ascii="Calibri" w:hAnsi="Calibri"/>
          <w:noProof/>
          <w:szCs w:val="24"/>
        </w:rPr>
        <w:t xml:space="preserve"> 801–</w:t>
      </w:r>
      <w:r w:rsidR="00296B85">
        <w:rPr>
          <w:rFonts w:ascii="Calibri" w:hAnsi="Calibri"/>
          <w:noProof/>
          <w:szCs w:val="24"/>
        </w:rPr>
        <w:t>8</w:t>
      </w:r>
      <w:r w:rsidRPr="00BB4B4C">
        <w:rPr>
          <w:rFonts w:ascii="Calibri" w:hAnsi="Calibri"/>
          <w:noProof/>
          <w:szCs w:val="24"/>
        </w:rPr>
        <w:t>10.</w:t>
      </w:r>
    </w:p>
    <w:p w14:paraId="6F06068B" w14:textId="65645715"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45.</w:t>
      </w:r>
      <w:r w:rsidRPr="00BB4B4C">
        <w:rPr>
          <w:rFonts w:ascii="Calibri" w:hAnsi="Calibri"/>
          <w:noProof/>
          <w:szCs w:val="24"/>
        </w:rPr>
        <w:tab/>
      </w:r>
      <w:r w:rsidR="00296B85">
        <w:rPr>
          <w:rFonts w:ascii="Calibri" w:hAnsi="Calibri"/>
          <w:noProof/>
          <w:szCs w:val="24"/>
        </w:rPr>
        <w:t xml:space="preserve">L. M. </w:t>
      </w:r>
      <w:r w:rsidRPr="00BB4B4C">
        <w:rPr>
          <w:rFonts w:ascii="Calibri" w:hAnsi="Calibri"/>
          <w:noProof/>
          <w:szCs w:val="24"/>
        </w:rPr>
        <w:t xml:space="preserve">Slosky </w:t>
      </w:r>
      <w:r w:rsidRPr="00296B85">
        <w:rPr>
          <w:rFonts w:ascii="Calibri" w:hAnsi="Calibri"/>
          <w:iCs/>
          <w:noProof/>
          <w:szCs w:val="24"/>
        </w:rPr>
        <w:t>et al.</w:t>
      </w:r>
      <w:r w:rsidR="00F64140">
        <w:rPr>
          <w:rFonts w:ascii="Calibri" w:hAnsi="Calibri"/>
          <w:noProof/>
          <w:szCs w:val="24"/>
        </w:rPr>
        <w:t>,</w:t>
      </w:r>
      <w:r w:rsidRPr="00BB4B4C">
        <w:rPr>
          <w:rFonts w:ascii="Calibri" w:hAnsi="Calibri"/>
          <w:noProof/>
          <w:szCs w:val="24"/>
        </w:rPr>
        <w:t xml:space="preserve"> </w:t>
      </w:r>
      <w:r w:rsidRPr="00BB4B4C">
        <w:rPr>
          <w:rFonts w:ascii="Calibri" w:hAnsi="Calibri"/>
          <w:i/>
          <w:iCs/>
          <w:noProof/>
          <w:szCs w:val="24"/>
        </w:rPr>
        <w:t>Mol. Pharmacol.</w:t>
      </w:r>
      <w:r w:rsidRPr="00BB4B4C">
        <w:rPr>
          <w:rFonts w:ascii="Calibri" w:hAnsi="Calibri"/>
          <w:noProof/>
          <w:szCs w:val="24"/>
        </w:rPr>
        <w:t xml:space="preserve"> </w:t>
      </w:r>
      <w:r w:rsidR="00F64140" w:rsidRPr="00F64140">
        <w:rPr>
          <w:rFonts w:ascii="Calibri" w:hAnsi="Calibri"/>
          <w:b/>
          <w:noProof/>
          <w:szCs w:val="24"/>
        </w:rPr>
        <w:t>2013</w:t>
      </w:r>
      <w:r w:rsidR="00F64140">
        <w:rPr>
          <w:rFonts w:ascii="Calibri" w:hAnsi="Calibri"/>
          <w:bCs/>
          <w:noProof/>
          <w:szCs w:val="24"/>
        </w:rPr>
        <w:t xml:space="preserve">, </w:t>
      </w:r>
      <w:r w:rsidRPr="00F64140">
        <w:rPr>
          <w:rFonts w:ascii="Calibri" w:hAnsi="Calibri"/>
          <w:bCs/>
          <w:i/>
          <w:noProof/>
          <w:szCs w:val="24"/>
        </w:rPr>
        <w:t>84</w:t>
      </w:r>
      <w:r w:rsidRPr="00BB4B4C">
        <w:rPr>
          <w:rFonts w:ascii="Calibri" w:hAnsi="Calibri"/>
          <w:bCs/>
          <w:noProof/>
          <w:szCs w:val="24"/>
        </w:rPr>
        <w:t>,</w:t>
      </w:r>
      <w:r w:rsidR="00F64140">
        <w:rPr>
          <w:rFonts w:ascii="Calibri" w:hAnsi="Calibri"/>
          <w:noProof/>
          <w:szCs w:val="24"/>
        </w:rPr>
        <w:t xml:space="preserve"> 774–86</w:t>
      </w:r>
      <w:r w:rsidRPr="00BB4B4C">
        <w:rPr>
          <w:rFonts w:ascii="Calibri" w:hAnsi="Calibri"/>
          <w:noProof/>
          <w:szCs w:val="24"/>
        </w:rPr>
        <w:t>.</w:t>
      </w:r>
    </w:p>
    <w:p w14:paraId="5535F8A8" w14:textId="7D26E998"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46.</w:t>
      </w:r>
      <w:r w:rsidRPr="00BB4B4C">
        <w:rPr>
          <w:rFonts w:ascii="Calibri" w:hAnsi="Calibri"/>
          <w:noProof/>
          <w:szCs w:val="24"/>
        </w:rPr>
        <w:tab/>
      </w:r>
      <w:r w:rsidR="00F64140">
        <w:rPr>
          <w:rFonts w:ascii="Calibri" w:hAnsi="Calibri"/>
          <w:noProof/>
          <w:szCs w:val="24"/>
        </w:rPr>
        <w:t xml:space="preserve">R. A. </w:t>
      </w:r>
      <w:r w:rsidRPr="00BB4B4C">
        <w:rPr>
          <w:rFonts w:ascii="Calibri" w:hAnsi="Calibri"/>
          <w:noProof/>
          <w:szCs w:val="24"/>
        </w:rPr>
        <w:t xml:space="preserve">Sayle, </w:t>
      </w:r>
      <w:r w:rsidR="00F64140">
        <w:rPr>
          <w:rFonts w:ascii="Calibri" w:hAnsi="Calibri"/>
          <w:noProof/>
          <w:szCs w:val="24"/>
        </w:rPr>
        <w:t>E. J.</w:t>
      </w:r>
      <w:r w:rsidRPr="00BB4B4C">
        <w:rPr>
          <w:rFonts w:ascii="Calibri" w:hAnsi="Calibri"/>
          <w:noProof/>
          <w:szCs w:val="24"/>
        </w:rPr>
        <w:t xml:space="preserve"> Milner-White, </w:t>
      </w:r>
      <w:r w:rsidRPr="00BB4B4C">
        <w:rPr>
          <w:rFonts w:ascii="Calibri" w:hAnsi="Calibri"/>
          <w:i/>
          <w:iCs/>
          <w:noProof/>
          <w:szCs w:val="24"/>
        </w:rPr>
        <w:t>Trends Biochem. Sci.</w:t>
      </w:r>
      <w:r w:rsidRPr="00BB4B4C">
        <w:rPr>
          <w:rFonts w:ascii="Calibri" w:hAnsi="Calibri"/>
          <w:noProof/>
          <w:szCs w:val="24"/>
        </w:rPr>
        <w:t xml:space="preserve"> </w:t>
      </w:r>
      <w:r w:rsidR="00F64140" w:rsidRPr="00F64140">
        <w:rPr>
          <w:rFonts w:ascii="Calibri" w:hAnsi="Calibri"/>
          <w:b/>
          <w:noProof/>
          <w:szCs w:val="24"/>
        </w:rPr>
        <w:t>1995</w:t>
      </w:r>
      <w:r w:rsidR="00F64140">
        <w:rPr>
          <w:rFonts w:ascii="Calibri" w:hAnsi="Calibri"/>
          <w:noProof/>
          <w:szCs w:val="24"/>
        </w:rPr>
        <w:t xml:space="preserve">, </w:t>
      </w:r>
      <w:r w:rsidRPr="00F64140">
        <w:rPr>
          <w:rFonts w:ascii="Calibri" w:hAnsi="Calibri"/>
          <w:bCs/>
          <w:i/>
          <w:noProof/>
          <w:szCs w:val="24"/>
        </w:rPr>
        <w:t>20</w:t>
      </w:r>
      <w:r w:rsidRPr="00BB4B4C">
        <w:rPr>
          <w:rFonts w:ascii="Calibri" w:hAnsi="Calibri"/>
          <w:bCs/>
          <w:noProof/>
          <w:szCs w:val="24"/>
        </w:rPr>
        <w:t>,</w:t>
      </w:r>
      <w:r w:rsidRPr="00BB4B4C">
        <w:rPr>
          <w:rFonts w:ascii="Calibri" w:hAnsi="Calibri"/>
          <w:noProof/>
          <w:szCs w:val="24"/>
        </w:rPr>
        <w:t xml:space="preserve"> 374.</w:t>
      </w:r>
      <w:bookmarkStart w:id="0" w:name="_GoBack"/>
      <w:bookmarkEnd w:id="0"/>
    </w:p>
    <w:p w14:paraId="1291301B" w14:textId="4AF23C00"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47.</w:t>
      </w:r>
      <w:r w:rsidRPr="00BB4B4C">
        <w:rPr>
          <w:rFonts w:ascii="Calibri" w:hAnsi="Calibri"/>
          <w:noProof/>
          <w:szCs w:val="24"/>
        </w:rPr>
        <w:tab/>
      </w:r>
      <w:r w:rsidR="00F64140">
        <w:rPr>
          <w:rFonts w:ascii="Calibri" w:hAnsi="Calibri"/>
          <w:noProof/>
          <w:szCs w:val="24"/>
        </w:rPr>
        <w:t xml:space="preserve">D. W. </w:t>
      </w:r>
      <w:r w:rsidRPr="00BB4B4C">
        <w:rPr>
          <w:rFonts w:ascii="Calibri" w:hAnsi="Calibri"/>
          <w:noProof/>
          <w:szCs w:val="24"/>
        </w:rPr>
        <w:t xml:space="preserve">Ritchie, </w:t>
      </w:r>
      <w:r w:rsidR="00F64140">
        <w:rPr>
          <w:rFonts w:ascii="Calibri" w:hAnsi="Calibri"/>
          <w:noProof/>
          <w:szCs w:val="24"/>
        </w:rPr>
        <w:t>V</w:t>
      </w:r>
      <w:r w:rsidRPr="00BB4B4C">
        <w:rPr>
          <w:rFonts w:ascii="Calibri" w:hAnsi="Calibri"/>
          <w:noProof/>
          <w:szCs w:val="24"/>
        </w:rPr>
        <w:t xml:space="preserve"> Venkatraman, V.</w:t>
      </w:r>
      <w:r w:rsidR="00F64140">
        <w:rPr>
          <w:rFonts w:ascii="Calibri" w:hAnsi="Calibri"/>
          <w:noProof/>
          <w:szCs w:val="24"/>
        </w:rPr>
        <w:t xml:space="preserve">, </w:t>
      </w:r>
      <w:r w:rsidR="00F64140" w:rsidRPr="00F64140">
        <w:rPr>
          <w:rFonts w:ascii="Calibri" w:hAnsi="Calibri"/>
          <w:i/>
          <w:noProof/>
          <w:szCs w:val="24"/>
        </w:rPr>
        <w:t>Bioinformatics</w:t>
      </w:r>
      <w:r w:rsidRPr="00BB4B4C">
        <w:rPr>
          <w:rFonts w:ascii="Calibri" w:hAnsi="Calibri"/>
          <w:noProof/>
          <w:szCs w:val="24"/>
        </w:rPr>
        <w:t xml:space="preserve"> </w:t>
      </w:r>
      <w:r w:rsidR="00F64140" w:rsidRPr="00F64140">
        <w:rPr>
          <w:rFonts w:ascii="Calibri" w:hAnsi="Calibri"/>
          <w:b/>
          <w:noProof/>
          <w:szCs w:val="24"/>
        </w:rPr>
        <w:t>2010</w:t>
      </w:r>
      <w:r w:rsidR="00F64140">
        <w:rPr>
          <w:rFonts w:ascii="Calibri" w:hAnsi="Calibri"/>
          <w:noProof/>
          <w:szCs w:val="24"/>
        </w:rPr>
        <w:t xml:space="preserve">, </w:t>
      </w:r>
      <w:r w:rsidR="00F64140" w:rsidRPr="00F64140">
        <w:rPr>
          <w:rFonts w:ascii="Calibri" w:hAnsi="Calibri"/>
          <w:i/>
          <w:noProof/>
          <w:szCs w:val="24"/>
        </w:rPr>
        <w:t>26</w:t>
      </w:r>
      <w:r w:rsidR="00F64140">
        <w:rPr>
          <w:rFonts w:ascii="Calibri" w:hAnsi="Calibri"/>
          <w:noProof/>
          <w:szCs w:val="24"/>
        </w:rPr>
        <w:t>, 2398-2405</w:t>
      </w:r>
      <w:r w:rsidRPr="00BB4B4C">
        <w:rPr>
          <w:rFonts w:ascii="Calibri" w:hAnsi="Calibri"/>
          <w:noProof/>
          <w:szCs w:val="24"/>
        </w:rPr>
        <w:t>.</w:t>
      </w:r>
    </w:p>
    <w:p w14:paraId="66EF44F0" w14:textId="0A8E4D75" w:rsidR="00D40DAA" w:rsidRPr="00BB4B4C" w:rsidRDefault="00D40DAA" w:rsidP="00D40DAA">
      <w:pPr>
        <w:widowControl w:val="0"/>
        <w:autoSpaceDE w:val="0"/>
        <w:autoSpaceDN w:val="0"/>
        <w:adjustRightInd w:val="0"/>
        <w:spacing w:line="240" w:lineRule="auto"/>
        <w:ind w:left="640" w:hanging="640"/>
        <w:rPr>
          <w:rFonts w:ascii="Calibri" w:hAnsi="Calibri"/>
          <w:noProof/>
          <w:szCs w:val="24"/>
        </w:rPr>
      </w:pPr>
      <w:r w:rsidRPr="00BB4B4C">
        <w:rPr>
          <w:rFonts w:ascii="Calibri" w:hAnsi="Calibri"/>
          <w:noProof/>
          <w:szCs w:val="24"/>
        </w:rPr>
        <w:t>48.</w:t>
      </w:r>
      <w:r w:rsidRPr="00BB4B4C">
        <w:rPr>
          <w:rFonts w:ascii="Calibri" w:hAnsi="Calibri"/>
          <w:noProof/>
          <w:szCs w:val="24"/>
        </w:rPr>
        <w:tab/>
      </w:r>
      <w:r w:rsidR="00F64140">
        <w:rPr>
          <w:rFonts w:ascii="Calibri" w:hAnsi="Calibri"/>
          <w:noProof/>
          <w:szCs w:val="24"/>
        </w:rPr>
        <w:t xml:space="preserve">N. </w:t>
      </w:r>
      <w:r w:rsidRPr="00BB4B4C">
        <w:rPr>
          <w:rFonts w:ascii="Calibri" w:hAnsi="Calibri"/>
          <w:noProof/>
          <w:szCs w:val="24"/>
        </w:rPr>
        <w:t xml:space="preserve">Guex, </w:t>
      </w:r>
      <w:r w:rsidRPr="00BB4B4C">
        <w:rPr>
          <w:rFonts w:ascii="Calibri" w:hAnsi="Calibri"/>
          <w:i/>
          <w:iCs/>
          <w:noProof/>
          <w:szCs w:val="24"/>
        </w:rPr>
        <w:t>Electrophoresis</w:t>
      </w:r>
      <w:r w:rsidRPr="00BB4B4C">
        <w:rPr>
          <w:rFonts w:ascii="Calibri" w:hAnsi="Calibri"/>
          <w:noProof/>
          <w:szCs w:val="24"/>
        </w:rPr>
        <w:t xml:space="preserve"> </w:t>
      </w:r>
      <w:r w:rsidR="00F64140" w:rsidRPr="00F64140">
        <w:rPr>
          <w:rFonts w:ascii="Calibri" w:hAnsi="Calibri"/>
          <w:b/>
          <w:noProof/>
          <w:szCs w:val="24"/>
        </w:rPr>
        <w:t>1997</w:t>
      </w:r>
      <w:r w:rsidR="00F64140">
        <w:rPr>
          <w:rFonts w:ascii="Calibri" w:hAnsi="Calibri"/>
          <w:noProof/>
          <w:szCs w:val="24"/>
        </w:rPr>
        <w:t xml:space="preserve">, </w:t>
      </w:r>
      <w:r w:rsidRPr="00F64140">
        <w:rPr>
          <w:rFonts w:ascii="Calibri" w:hAnsi="Calibri"/>
          <w:bCs/>
          <w:i/>
          <w:noProof/>
          <w:szCs w:val="24"/>
        </w:rPr>
        <w:t>18</w:t>
      </w:r>
      <w:r w:rsidRPr="00BB4B4C">
        <w:rPr>
          <w:rFonts w:ascii="Calibri" w:hAnsi="Calibri"/>
          <w:bCs/>
          <w:noProof/>
          <w:szCs w:val="24"/>
        </w:rPr>
        <w:t>,</w:t>
      </w:r>
      <w:r w:rsidRPr="00BB4B4C">
        <w:rPr>
          <w:rFonts w:ascii="Calibri" w:hAnsi="Calibri"/>
          <w:noProof/>
          <w:szCs w:val="24"/>
        </w:rPr>
        <w:t xml:space="preserve"> 2714–2723.</w:t>
      </w:r>
    </w:p>
    <w:p w14:paraId="763B1F6F" w14:textId="452E837F" w:rsidR="008E49DC" w:rsidRPr="00A34507" w:rsidRDefault="00D40DAA" w:rsidP="00D40DAA">
      <w:pPr>
        <w:widowControl w:val="0"/>
        <w:autoSpaceDE w:val="0"/>
        <w:autoSpaceDN w:val="0"/>
        <w:adjustRightInd w:val="0"/>
        <w:spacing w:line="240" w:lineRule="auto"/>
        <w:ind w:left="640" w:hanging="640"/>
      </w:pPr>
      <w:r w:rsidRPr="00BB4B4C">
        <w:rPr>
          <w:rFonts w:ascii="Calibri" w:hAnsi="Calibri"/>
          <w:noProof/>
          <w:szCs w:val="24"/>
        </w:rPr>
        <w:t>49.</w:t>
      </w:r>
      <w:r w:rsidRPr="00BB4B4C">
        <w:rPr>
          <w:rFonts w:ascii="Calibri" w:hAnsi="Calibri"/>
          <w:noProof/>
          <w:szCs w:val="24"/>
        </w:rPr>
        <w:tab/>
      </w:r>
      <w:r w:rsidR="00F64140">
        <w:rPr>
          <w:rFonts w:ascii="Calibri" w:hAnsi="Calibri"/>
          <w:noProof/>
          <w:szCs w:val="24"/>
        </w:rPr>
        <w:t xml:space="preserve">M. </w:t>
      </w:r>
      <w:r w:rsidRPr="00BB4B4C">
        <w:rPr>
          <w:rFonts w:ascii="Calibri" w:hAnsi="Calibri"/>
          <w:noProof/>
          <w:szCs w:val="24"/>
        </w:rPr>
        <w:t xml:space="preserve">Tarini, </w:t>
      </w:r>
      <w:r w:rsidR="00F64140">
        <w:rPr>
          <w:rFonts w:ascii="Calibri" w:hAnsi="Calibri"/>
          <w:noProof/>
          <w:szCs w:val="24"/>
        </w:rPr>
        <w:t xml:space="preserve">P. </w:t>
      </w:r>
      <w:r w:rsidRPr="00BB4B4C">
        <w:rPr>
          <w:rFonts w:ascii="Calibri" w:hAnsi="Calibri"/>
          <w:noProof/>
          <w:szCs w:val="24"/>
        </w:rPr>
        <w:t xml:space="preserve">Cignoni, </w:t>
      </w:r>
      <w:r w:rsidR="00F64140">
        <w:rPr>
          <w:rFonts w:ascii="Calibri" w:hAnsi="Calibri"/>
          <w:noProof/>
          <w:szCs w:val="24"/>
        </w:rPr>
        <w:t>C.</w:t>
      </w:r>
      <w:r w:rsidRPr="00BB4B4C">
        <w:rPr>
          <w:rFonts w:ascii="Calibri" w:hAnsi="Calibri"/>
          <w:noProof/>
          <w:szCs w:val="24"/>
        </w:rPr>
        <w:t xml:space="preserve"> Montani, </w:t>
      </w:r>
      <w:r w:rsidRPr="00BB4B4C">
        <w:rPr>
          <w:rFonts w:ascii="Calibri" w:hAnsi="Calibri"/>
          <w:i/>
          <w:iCs/>
          <w:noProof/>
          <w:szCs w:val="24"/>
        </w:rPr>
        <w:t>IEEE Trans. Vis. Comput. Graph.</w:t>
      </w:r>
      <w:r w:rsidRPr="00BB4B4C">
        <w:rPr>
          <w:rFonts w:ascii="Calibri" w:hAnsi="Calibri"/>
          <w:noProof/>
          <w:szCs w:val="24"/>
        </w:rPr>
        <w:t xml:space="preserve"> </w:t>
      </w:r>
      <w:r w:rsidR="00F64140" w:rsidRPr="00F64140">
        <w:rPr>
          <w:rFonts w:ascii="Calibri" w:hAnsi="Calibri"/>
          <w:b/>
          <w:noProof/>
          <w:szCs w:val="24"/>
        </w:rPr>
        <w:t>2006</w:t>
      </w:r>
      <w:r w:rsidR="00F64140">
        <w:rPr>
          <w:rFonts w:ascii="Calibri" w:hAnsi="Calibri"/>
          <w:noProof/>
          <w:szCs w:val="24"/>
        </w:rPr>
        <w:t xml:space="preserve">, </w:t>
      </w:r>
      <w:r w:rsidRPr="00F64140">
        <w:rPr>
          <w:rFonts w:ascii="Calibri" w:hAnsi="Calibri"/>
          <w:bCs/>
          <w:i/>
          <w:noProof/>
          <w:szCs w:val="24"/>
        </w:rPr>
        <w:t>12</w:t>
      </w:r>
      <w:r w:rsidR="00EB0480">
        <w:rPr>
          <w:rFonts w:ascii="Calibri" w:hAnsi="Calibri"/>
          <w:bCs/>
          <w:noProof/>
          <w:szCs w:val="24"/>
        </w:rPr>
        <w:t>, 1237-1244</w:t>
      </w:r>
      <w:r w:rsidRPr="00BB4B4C">
        <w:rPr>
          <w:rFonts w:ascii="Calibri" w:hAnsi="Calibri"/>
          <w:noProof/>
          <w:szCs w:val="24"/>
        </w:rPr>
        <w:t>.</w:t>
      </w:r>
      <w:r w:rsidR="00BB3AA2">
        <w:fldChar w:fldCharType="end"/>
      </w:r>
      <w:r w:rsidR="008E49DC" w:rsidRPr="00DB1871">
        <w:rPr>
          <w:color w:val="FFFFFF" w:themeColor="background1"/>
        </w:rPr>
        <w:t>.</w:t>
      </w:r>
      <w:r w:rsidR="008E49DC" w:rsidRPr="00DB1871">
        <w:rPr>
          <w:color w:val="FFFFFF" w:themeColor="background1"/>
        </w:rPr>
        <w:fldChar w:fldCharType="begin" w:fldLock="1"/>
      </w:r>
      <w:r>
        <w:rPr>
          <w:color w:val="FFFFFF" w:themeColor="background1"/>
        </w:rPr>
        <w:instrText>ADDIN CSL_CITATION { "citationItems" : [ { "id" : "ITEM-1", "itemData" : { "ISSN" : "0968-0004", "PMID" : "7482707", "author" : [ { "dropping-particle" : "", "family" : "Sayle", "given" : "R A", "non-dropping-particle" : "", "parse-names" : false, "suffix" : "" }, { "dropping-particle" : "", "family" : "Milner-White", "given" : "E J", "non-dropping-particle" : "", "parse-names" : false, "suffix" : "" } ], "container-title" : "Trends in biochemical sciences", "id" : "ITEM-1", "issue" : "9", "issued" : { "date-parts" : [ [ "1995", "9" ] ] }, "page" : "374", "title" : "RASMOL: biomolecular graphics for all.", "type" : "article-journal", "volume" : "20" }, "uris" : [ "http://www.mendeley.com/documents/?uuid=3be4a96a-02d4-42ba-9d7c-8bd40e92005e" ] }, { "id" : "ITEM-2", "itemData" : { "author" : [ { "dropping-particle" : "", "family" : "Ritchie, D. W., Venkatraman", "given" : "V.", "non-dropping-particle" : "", "parse-names" : false, "suffix" : "" } ], "id" : "ITEM-2", "issued" : { "date-parts" : [ [ "2010" ] ] }, "title" : "Fast FFT Protein-Protein Docking on Graphics Processors", "type" : "article-journal" }, "uris" : [ "http://www.mendeley.com/documents/?uuid=bdedc51e-6187-410f-8f2d-121079f73532" ] }, { "id" : "ITEM-3", "itemData" : { "author" : [ { "dropping-particle" : "", "family" : "Guex, N.", "given" : "Peitsch M. C.", "non-dropping-particle" : "", "parse-names" : false, "suffix" : "" } ], "container-title" : "Electrophoresis", "id" : "ITEM-3", "issued" : { "date-parts" : [ [ "1997" ] ] }, "page" : "2714-2723", "title" : "SWISS-MODEL and the Swiss-PdbViewer: An environment for comparative protein modeling", "type" : "article-journal", "volume" : "18" }, "uris" : [ "http://www.mendeley.com/documents/?uuid=f848cdb9-6dc3-4d97-8b16-e6c0b43afbfc" ] }, { "id" : "ITEM-4", "itemData" : { "abstract" : "\u2014 The paper presents a set of combined techniques to enhance the real-time visualization of simple or complex molecules (up to order of 10 6 atoms) space fill mode. The proposed approach includes an innovative technique for efficient computation and storage of ambient occlusion terms, a small set of GPU accelerated procedural impostors for space-fill and ball-and-stick rendering, and novel edge-cueing techniques. As a result, the user's understanding of the three-dimensional structure under inspection is strongly increased (even for still images), while the rendering still occurs in real time.", "author" : [ { "dropping-particle" : "", "family" : "Tarini", "given" : "Marco", "non-dropping-particle" : "", "parse-names" : false, "suffix" : "" }, { "dropping-particle" : "", "family" : "Cignoni", "given" : "Paolo", "non-dropping-particle" : "", "parse-names" : false, "suffix" : "" }, { "dropping-particle" : "", "family" : "Montani", "given" : "Claudio", "non-dropping-particle" : "", "parse-names" : false, "suffix" : "" } ], "container-title" : "IEEE TRANSACTIONS ON VISUALIZATION AND COMPUTER GRAPHICS", "id" : "ITEM-4", "issue" : "5", "issued" : { "date-parts" : [ [ "2006" ] ] }, "title" : "Ambient Occlusion and Edge Cueing to Enhance Real Time Molecular Visualization", "type" : "article-journal", "volume" : "12" }, "uris" : [ "http://www.mendeley.com/documents/?uuid=abdaf62d-616b-3375-8cc7-bf5ec01b1d6e" ] } ], "mendeley" : { "formattedCitation" : "&lt;sup&gt;46\u201349&lt;/sup&gt;", "plainTextFormattedCitation" : "46\u201349", "previouslyFormattedCitation" : "&lt;sup&gt;46\u201349&lt;/sup&gt;" }, "properties" : { "noteIndex" : 0 }, "schema" : "https://github.com/citation-style-language/schema/raw/master/csl-citation.json" }</w:instrText>
      </w:r>
      <w:r w:rsidR="008E49DC" w:rsidRPr="00DB1871">
        <w:rPr>
          <w:color w:val="FFFFFF" w:themeColor="background1"/>
        </w:rPr>
        <w:fldChar w:fldCharType="separate"/>
      </w:r>
      <w:r w:rsidR="008E49DC" w:rsidRPr="00DB1871">
        <w:rPr>
          <w:noProof/>
          <w:color w:val="FFFFFF" w:themeColor="background1"/>
          <w:vertAlign w:val="superscript"/>
        </w:rPr>
        <w:t>46–49</w:t>
      </w:r>
      <w:r w:rsidR="008E49DC" w:rsidRPr="00DB1871">
        <w:rPr>
          <w:color w:val="FFFFFF" w:themeColor="background1"/>
        </w:rPr>
        <w:fldChar w:fldCharType="end"/>
      </w:r>
    </w:p>
    <w:sectPr w:rsidR="008E49DC" w:rsidRPr="00A34507" w:rsidSect="00D40DAA">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altName w:val="Tahoma"/>
    <w:panose1 w:val="020F03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51BD7"/>
    <w:multiLevelType w:val="hybridMultilevel"/>
    <w:tmpl w:val="878223DA"/>
    <w:lvl w:ilvl="0" w:tplc="C81C6672">
      <w:start w:val="1"/>
      <w:numFmt w:val="upperLetter"/>
      <w:lvlText w:val="%1."/>
      <w:lvlJc w:val="left"/>
      <w:pPr>
        <w:ind w:left="720" w:hanging="360"/>
      </w:pPr>
    </w:lvl>
    <w:lvl w:ilvl="1" w:tplc="A302F1EC">
      <w:start w:val="1"/>
      <w:numFmt w:val="lowerLetter"/>
      <w:lvlText w:val="%2."/>
      <w:lvlJc w:val="left"/>
      <w:pPr>
        <w:ind w:left="1440" w:hanging="360"/>
      </w:pPr>
    </w:lvl>
    <w:lvl w:ilvl="2" w:tplc="7076024E">
      <w:start w:val="1"/>
      <w:numFmt w:val="lowerRoman"/>
      <w:lvlText w:val="%3."/>
      <w:lvlJc w:val="right"/>
      <w:pPr>
        <w:ind w:left="2160" w:hanging="180"/>
      </w:pPr>
    </w:lvl>
    <w:lvl w:ilvl="3" w:tplc="D4E854EC">
      <w:start w:val="1"/>
      <w:numFmt w:val="decimal"/>
      <w:lvlText w:val="%4."/>
      <w:lvlJc w:val="left"/>
      <w:pPr>
        <w:ind w:left="2880" w:hanging="360"/>
      </w:pPr>
    </w:lvl>
    <w:lvl w:ilvl="4" w:tplc="3EB29D2E">
      <w:start w:val="1"/>
      <w:numFmt w:val="lowerLetter"/>
      <w:lvlText w:val="%5."/>
      <w:lvlJc w:val="left"/>
      <w:pPr>
        <w:ind w:left="3600" w:hanging="360"/>
      </w:pPr>
    </w:lvl>
    <w:lvl w:ilvl="5" w:tplc="9D40272A">
      <w:start w:val="1"/>
      <w:numFmt w:val="lowerRoman"/>
      <w:lvlText w:val="%6."/>
      <w:lvlJc w:val="right"/>
      <w:pPr>
        <w:ind w:left="4320" w:hanging="180"/>
      </w:pPr>
    </w:lvl>
    <w:lvl w:ilvl="6" w:tplc="F3362A30">
      <w:start w:val="1"/>
      <w:numFmt w:val="decimal"/>
      <w:lvlText w:val="%7."/>
      <w:lvlJc w:val="left"/>
      <w:pPr>
        <w:ind w:left="5040" w:hanging="360"/>
      </w:pPr>
    </w:lvl>
    <w:lvl w:ilvl="7" w:tplc="F25431FA">
      <w:start w:val="1"/>
      <w:numFmt w:val="lowerLetter"/>
      <w:lvlText w:val="%8."/>
      <w:lvlJc w:val="left"/>
      <w:pPr>
        <w:ind w:left="5760" w:hanging="360"/>
      </w:pPr>
    </w:lvl>
    <w:lvl w:ilvl="8" w:tplc="8C4A6AE4">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205A44"/>
    <w:rsid w:val="00010D39"/>
    <w:rsid w:val="00040FC1"/>
    <w:rsid w:val="000501E0"/>
    <w:rsid w:val="00050B5B"/>
    <w:rsid w:val="000554F8"/>
    <w:rsid w:val="000C1EEC"/>
    <w:rsid w:val="000D6F76"/>
    <w:rsid w:val="000E3498"/>
    <w:rsid w:val="0011119A"/>
    <w:rsid w:val="00133CF9"/>
    <w:rsid w:val="00146957"/>
    <w:rsid w:val="00153EA2"/>
    <w:rsid w:val="00161899"/>
    <w:rsid w:val="001634D2"/>
    <w:rsid w:val="00163FE4"/>
    <w:rsid w:val="00180563"/>
    <w:rsid w:val="001962D1"/>
    <w:rsid w:val="00196CA0"/>
    <w:rsid w:val="001A3CD7"/>
    <w:rsid w:val="001D0A69"/>
    <w:rsid w:val="001E432F"/>
    <w:rsid w:val="001F0AE1"/>
    <w:rsid w:val="002438C7"/>
    <w:rsid w:val="00252A2B"/>
    <w:rsid w:val="00267715"/>
    <w:rsid w:val="00281271"/>
    <w:rsid w:val="00284C8C"/>
    <w:rsid w:val="002904B7"/>
    <w:rsid w:val="00296B85"/>
    <w:rsid w:val="002A3CEA"/>
    <w:rsid w:val="002F40A8"/>
    <w:rsid w:val="00303121"/>
    <w:rsid w:val="003536A5"/>
    <w:rsid w:val="00366BF4"/>
    <w:rsid w:val="003942ED"/>
    <w:rsid w:val="003B6F06"/>
    <w:rsid w:val="003C2CB9"/>
    <w:rsid w:val="003D4A41"/>
    <w:rsid w:val="003E30DB"/>
    <w:rsid w:val="00413B30"/>
    <w:rsid w:val="004341AC"/>
    <w:rsid w:val="00435042"/>
    <w:rsid w:val="004439CD"/>
    <w:rsid w:val="004513A2"/>
    <w:rsid w:val="00482308"/>
    <w:rsid w:val="00487FF9"/>
    <w:rsid w:val="00497BFE"/>
    <w:rsid w:val="004A4381"/>
    <w:rsid w:val="004C0513"/>
    <w:rsid w:val="004C6D3A"/>
    <w:rsid w:val="004E63F6"/>
    <w:rsid w:val="004F3454"/>
    <w:rsid w:val="00503242"/>
    <w:rsid w:val="00507961"/>
    <w:rsid w:val="005101B0"/>
    <w:rsid w:val="00592D29"/>
    <w:rsid w:val="005B2FD1"/>
    <w:rsid w:val="005C1F54"/>
    <w:rsid w:val="005F04BF"/>
    <w:rsid w:val="0064549E"/>
    <w:rsid w:val="00685C63"/>
    <w:rsid w:val="006B235F"/>
    <w:rsid w:val="00725C38"/>
    <w:rsid w:val="007325B9"/>
    <w:rsid w:val="00736813"/>
    <w:rsid w:val="007532C3"/>
    <w:rsid w:val="00790246"/>
    <w:rsid w:val="00791C7E"/>
    <w:rsid w:val="007A2A10"/>
    <w:rsid w:val="007C7F67"/>
    <w:rsid w:val="007D471A"/>
    <w:rsid w:val="00853C5E"/>
    <w:rsid w:val="00884274"/>
    <w:rsid w:val="00886313"/>
    <w:rsid w:val="0089016A"/>
    <w:rsid w:val="008A0AAA"/>
    <w:rsid w:val="008A5F7F"/>
    <w:rsid w:val="008C6653"/>
    <w:rsid w:val="008E49DC"/>
    <w:rsid w:val="009074BD"/>
    <w:rsid w:val="00915182"/>
    <w:rsid w:val="009336F2"/>
    <w:rsid w:val="00935DCB"/>
    <w:rsid w:val="00940BC8"/>
    <w:rsid w:val="00943882"/>
    <w:rsid w:val="00962583"/>
    <w:rsid w:val="009B55BD"/>
    <w:rsid w:val="009C1E99"/>
    <w:rsid w:val="00A03C85"/>
    <w:rsid w:val="00A250C1"/>
    <w:rsid w:val="00A34507"/>
    <w:rsid w:val="00A646CF"/>
    <w:rsid w:val="00AA3514"/>
    <w:rsid w:val="00AB1ACC"/>
    <w:rsid w:val="00AE5DCD"/>
    <w:rsid w:val="00B00E5E"/>
    <w:rsid w:val="00B0343B"/>
    <w:rsid w:val="00B04883"/>
    <w:rsid w:val="00B202F7"/>
    <w:rsid w:val="00B33E42"/>
    <w:rsid w:val="00B37B3B"/>
    <w:rsid w:val="00B37CBA"/>
    <w:rsid w:val="00B6475E"/>
    <w:rsid w:val="00BA4771"/>
    <w:rsid w:val="00BB3AA2"/>
    <w:rsid w:val="00BB4B4C"/>
    <w:rsid w:val="00BD4B99"/>
    <w:rsid w:val="00C14D76"/>
    <w:rsid w:val="00C25746"/>
    <w:rsid w:val="00C33E85"/>
    <w:rsid w:val="00C86D6B"/>
    <w:rsid w:val="00C978C0"/>
    <w:rsid w:val="00CA0CC7"/>
    <w:rsid w:val="00CA3FB4"/>
    <w:rsid w:val="00CB3FAB"/>
    <w:rsid w:val="00CC2F65"/>
    <w:rsid w:val="00CC5FDA"/>
    <w:rsid w:val="00CE4453"/>
    <w:rsid w:val="00D17658"/>
    <w:rsid w:val="00D40DAA"/>
    <w:rsid w:val="00D469E1"/>
    <w:rsid w:val="00D63FDB"/>
    <w:rsid w:val="00D64793"/>
    <w:rsid w:val="00DA7A9E"/>
    <w:rsid w:val="00DB0537"/>
    <w:rsid w:val="00DB1871"/>
    <w:rsid w:val="00DD2895"/>
    <w:rsid w:val="00DE2E7A"/>
    <w:rsid w:val="00E00BAB"/>
    <w:rsid w:val="00E637D3"/>
    <w:rsid w:val="00E9039F"/>
    <w:rsid w:val="00E92BFC"/>
    <w:rsid w:val="00EA4DA7"/>
    <w:rsid w:val="00EA7525"/>
    <w:rsid w:val="00EB0480"/>
    <w:rsid w:val="00EB1732"/>
    <w:rsid w:val="00EF213C"/>
    <w:rsid w:val="00EF7E84"/>
    <w:rsid w:val="00F43444"/>
    <w:rsid w:val="00F46934"/>
    <w:rsid w:val="00F64140"/>
    <w:rsid w:val="00F71168"/>
    <w:rsid w:val="00F76F57"/>
    <w:rsid w:val="00FC3518"/>
    <w:rsid w:val="00FE26EC"/>
    <w:rsid w:val="00FE2859"/>
    <w:rsid w:val="00FF0510"/>
    <w:rsid w:val="1A087B70"/>
    <w:rsid w:val="1C820409"/>
    <w:rsid w:val="1E1A65AB"/>
    <w:rsid w:val="50205A44"/>
    <w:rsid w:val="5074CF87"/>
    <w:rsid w:val="53024C8F"/>
    <w:rsid w:val="5ECC47B9"/>
    <w:rsid w:val="61EFD50B"/>
    <w:rsid w:val="7B4AD3E9"/>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FD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711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1168"/>
    <w:rPr>
      <w:rFonts w:ascii="Lucida Grande" w:hAnsi="Lucida Grande" w:cs="Lucida Grande"/>
      <w:sz w:val="18"/>
      <w:szCs w:val="18"/>
    </w:rPr>
  </w:style>
  <w:style w:type="character" w:styleId="Hyperlink">
    <w:name w:val="Hyperlink"/>
    <w:basedOn w:val="DefaultParagraphFont"/>
    <w:uiPriority w:val="99"/>
    <w:unhideWhenUsed/>
    <w:rsid w:val="004513A2"/>
    <w:rPr>
      <w:color w:val="0563C1" w:themeColor="hyperlink"/>
      <w:u w:val="single"/>
    </w:rPr>
  </w:style>
  <w:style w:type="character" w:styleId="CommentReference">
    <w:name w:val="annotation reference"/>
    <w:basedOn w:val="DefaultParagraphFont"/>
    <w:uiPriority w:val="99"/>
    <w:semiHidden/>
    <w:unhideWhenUsed/>
    <w:rsid w:val="00F43444"/>
    <w:rPr>
      <w:sz w:val="18"/>
      <w:szCs w:val="18"/>
    </w:rPr>
  </w:style>
  <w:style w:type="paragraph" w:styleId="CommentText">
    <w:name w:val="annotation text"/>
    <w:basedOn w:val="Normal"/>
    <w:link w:val="CommentTextChar"/>
    <w:uiPriority w:val="99"/>
    <w:semiHidden/>
    <w:unhideWhenUsed/>
    <w:rsid w:val="00F43444"/>
    <w:pPr>
      <w:spacing w:line="240" w:lineRule="auto"/>
    </w:pPr>
    <w:rPr>
      <w:sz w:val="24"/>
      <w:szCs w:val="24"/>
    </w:rPr>
  </w:style>
  <w:style w:type="character" w:customStyle="1" w:styleId="CommentTextChar">
    <w:name w:val="Comment Text Char"/>
    <w:basedOn w:val="DefaultParagraphFont"/>
    <w:link w:val="CommentText"/>
    <w:uiPriority w:val="99"/>
    <w:semiHidden/>
    <w:rsid w:val="00F43444"/>
    <w:rPr>
      <w:sz w:val="24"/>
      <w:szCs w:val="24"/>
    </w:rPr>
  </w:style>
  <w:style w:type="paragraph" w:styleId="CommentSubject">
    <w:name w:val="annotation subject"/>
    <w:basedOn w:val="CommentText"/>
    <w:next w:val="CommentText"/>
    <w:link w:val="CommentSubjectChar"/>
    <w:uiPriority w:val="99"/>
    <w:semiHidden/>
    <w:unhideWhenUsed/>
    <w:rsid w:val="00F43444"/>
    <w:rPr>
      <w:b/>
      <w:bCs/>
      <w:sz w:val="20"/>
      <w:szCs w:val="20"/>
    </w:rPr>
  </w:style>
  <w:style w:type="character" w:customStyle="1" w:styleId="CommentSubjectChar">
    <w:name w:val="Comment Subject Char"/>
    <w:basedOn w:val="CommentTextChar"/>
    <w:link w:val="CommentSubject"/>
    <w:uiPriority w:val="99"/>
    <w:semiHidden/>
    <w:rsid w:val="00F43444"/>
    <w:rPr>
      <w:b/>
      <w:bCs/>
      <w:sz w:val="20"/>
      <w:szCs w:val="20"/>
    </w:rPr>
  </w:style>
  <w:style w:type="paragraph" w:styleId="NoSpacing">
    <w:name w:val="No Spacing"/>
    <w:uiPriority w:val="1"/>
    <w:qFormat/>
    <w:rsid w:val="00B33E42"/>
    <w:pPr>
      <w:spacing w:after="0" w:line="240" w:lineRule="auto"/>
    </w:pPr>
  </w:style>
  <w:style w:type="character" w:styleId="LineNumber">
    <w:name w:val="line number"/>
    <w:basedOn w:val="DefaultParagraphFont"/>
    <w:uiPriority w:val="99"/>
    <w:semiHidden/>
    <w:unhideWhenUsed/>
    <w:rsid w:val="00D40D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711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1168"/>
    <w:rPr>
      <w:rFonts w:ascii="Lucida Grande" w:hAnsi="Lucida Grande" w:cs="Lucida Grande"/>
      <w:sz w:val="18"/>
      <w:szCs w:val="18"/>
    </w:rPr>
  </w:style>
  <w:style w:type="character" w:styleId="Hyperlink">
    <w:name w:val="Hyperlink"/>
    <w:basedOn w:val="DefaultParagraphFont"/>
    <w:uiPriority w:val="99"/>
    <w:unhideWhenUsed/>
    <w:rsid w:val="004513A2"/>
    <w:rPr>
      <w:color w:val="0563C1" w:themeColor="hyperlink"/>
      <w:u w:val="single"/>
    </w:rPr>
  </w:style>
  <w:style w:type="character" w:styleId="CommentReference">
    <w:name w:val="annotation reference"/>
    <w:basedOn w:val="DefaultParagraphFont"/>
    <w:uiPriority w:val="99"/>
    <w:semiHidden/>
    <w:unhideWhenUsed/>
    <w:rsid w:val="00F43444"/>
    <w:rPr>
      <w:sz w:val="18"/>
      <w:szCs w:val="18"/>
    </w:rPr>
  </w:style>
  <w:style w:type="paragraph" w:styleId="CommentText">
    <w:name w:val="annotation text"/>
    <w:basedOn w:val="Normal"/>
    <w:link w:val="CommentTextChar"/>
    <w:uiPriority w:val="99"/>
    <w:semiHidden/>
    <w:unhideWhenUsed/>
    <w:rsid w:val="00F43444"/>
    <w:pPr>
      <w:spacing w:line="240" w:lineRule="auto"/>
    </w:pPr>
    <w:rPr>
      <w:sz w:val="24"/>
      <w:szCs w:val="24"/>
    </w:rPr>
  </w:style>
  <w:style w:type="character" w:customStyle="1" w:styleId="CommentTextChar">
    <w:name w:val="Comment Text Char"/>
    <w:basedOn w:val="DefaultParagraphFont"/>
    <w:link w:val="CommentText"/>
    <w:uiPriority w:val="99"/>
    <w:semiHidden/>
    <w:rsid w:val="00F43444"/>
    <w:rPr>
      <w:sz w:val="24"/>
      <w:szCs w:val="24"/>
    </w:rPr>
  </w:style>
  <w:style w:type="paragraph" w:styleId="CommentSubject">
    <w:name w:val="annotation subject"/>
    <w:basedOn w:val="CommentText"/>
    <w:next w:val="CommentText"/>
    <w:link w:val="CommentSubjectChar"/>
    <w:uiPriority w:val="99"/>
    <w:semiHidden/>
    <w:unhideWhenUsed/>
    <w:rsid w:val="00F43444"/>
    <w:rPr>
      <w:b/>
      <w:bCs/>
      <w:sz w:val="20"/>
      <w:szCs w:val="20"/>
    </w:rPr>
  </w:style>
  <w:style w:type="character" w:customStyle="1" w:styleId="CommentSubjectChar">
    <w:name w:val="Comment Subject Char"/>
    <w:basedOn w:val="CommentTextChar"/>
    <w:link w:val="CommentSubject"/>
    <w:uiPriority w:val="99"/>
    <w:semiHidden/>
    <w:rsid w:val="00F43444"/>
    <w:rPr>
      <w:b/>
      <w:bCs/>
      <w:sz w:val="20"/>
      <w:szCs w:val="20"/>
    </w:rPr>
  </w:style>
  <w:style w:type="paragraph" w:styleId="NoSpacing">
    <w:name w:val="No Spacing"/>
    <w:uiPriority w:val="1"/>
    <w:qFormat/>
    <w:rsid w:val="00B33E42"/>
    <w:pPr>
      <w:spacing w:after="0" w:line="240" w:lineRule="auto"/>
    </w:pPr>
  </w:style>
  <w:style w:type="character" w:styleId="LineNumber">
    <w:name w:val="line number"/>
    <w:basedOn w:val="DefaultParagraphFont"/>
    <w:uiPriority w:val="99"/>
    <w:semiHidden/>
    <w:unhideWhenUsed/>
    <w:rsid w:val="00D40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1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4E73B-78DA-41BF-9122-15621ADC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51276</Words>
  <Characters>292274</Characters>
  <Application>Microsoft Office Word</Application>
  <DocSecurity>0</DocSecurity>
  <Lines>2435</Lines>
  <Paragraphs>685</Paragraphs>
  <ScaleCrop>false</ScaleCrop>
  <HeadingPairs>
    <vt:vector size="2" baseType="variant">
      <vt:variant>
        <vt:lpstr>Title</vt:lpstr>
      </vt:variant>
      <vt:variant>
        <vt:i4>1</vt:i4>
      </vt:variant>
    </vt:vector>
  </HeadingPairs>
  <TitlesOfParts>
    <vt:vector size="1" baseType="lpstr">
      <vt:lpstr/>
    </vt:vector>
  </TitlesOfParts>
  <Company>Planina</Company>
  <LinksUpToDate>false</LinksUpToDate>
  <CharactersWithSpaces>342865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Tomaž M</dc:creator>
  <cp:lastModifiedBy>Ursa Prosenc</cp:lastModifiedBy>
  <cp:revision>2</cp:revision>
  <cp:lastPrinted>2016-10-27T08:50:00Z</cp:lastPrinted>
  <dcterms:created xsi:type="dcterms:W3CDTF">2016-11-06T19:37:00Z</dcterms:created>
  <dcterms:modified xsi:type="dcterms:W3CDTF">2016-11-06T19:37:00Z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526912c2-1d27-320e-831a-8a082b0d338b</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