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61" w:rsidRDefault="00C03C61" w:rsidP="00C03C6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249A3">
        <w:rPr>
          <w:rFonts w:asciiTheme="majorBidi" w:hAnsiTheme="majorBidi" w:cstheme="majorBidi"/>
          <w:b/>
          <w:bCs/>
          <w:sz w:val="32"/>
          <w:szCs w:val="32"/>
        </w:rPr>
        <w:t>Statement of Novelty</w:t>
      </w:r>
    </w:p>
    <w:p w:rsidR="00C03C61" w:rsidRDefault="00C03C61" w:rsidP="00C03C6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C03C61" w:rsidRPr="00C03C61" w:rsidRDefault="00C03C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249A3" w:rsidRDefault="00E249A3"/>
    <w:p w:rsidR="00E249A3" w:rsidRDefault="00E249A3" w:rsidP="00CD4388">
      <w:pPr>
        <w:autoSpaceDE w:val="0"/>
        <w:autoSpaceDN w:val="0"/>
        <w:adjustRightInd w:val="0"/>
        <w:spacing w:line="360" w:lineRule="auto"/>
        <w:jc w:val="both"/>
        <w:rPr>
          <w:rFonts w:asciiTheme="majorBidi" w:eastAsia="AdvOT863180fb" w:hAnsiTheme="majorBidi" w:cstheme="majorBidi"/>
          <w:color w:val="000000"/>
          <w:sz w:val="24"/>
          <w:szCs w:val="24"/>
        </w:rPr>
      </w:pPr>
      <w:r>
        <w:rPr>
          <w:rFonts w:asciiTheme="majorBidi" w:eastAsia="AdvOT863180fb" w:hAnsiTheme="majorBidi" w:cstheme="majorBidi"/>
          <w:color w:val="000000"/>
          <w:sz w:val="24"/>
          <w:szCs w:val="24"/>
        </w:rPr>
        <w:t>T</w:t>
      </w:r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he </w:t>
      </w:r>
      <w:proofErr w:type="spellStart"/>
      <w:proofErr w:type="gramStart"/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>thieno</w:t>
      </w:r>
      <w:proofErr w:type="spellEnd"/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>[</w:t>
      </w:r>
      <w:proofErr w:type="gramEnd"/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>2,3-</w:t>
      </w:r>
      <w:r w:rsidRPr="00936501">
        <w:rPr>
          <w:rFonts w:asciiTheme="majorBidi" w:eastAsia="AdvOT863180fb" w:hAnsiTheme="majorBidi" w:cstheme="majorBidi"/>
          <w:i/>
          <w:iCs/>
          <w:color w:val="000000"/>
          <w:sz w:val="24"/>
          <w:szCs w:val="24"/>
        </w:rPr>
        <w:t>d</w:t>
      </w:r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>]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 w:rsidRPr="00FA4C09">
        <w:rPr>
          <w:rFonts w:asciiTheme="majorBidi" w:eastAsia="AdvOT863180fb" w:hAnsiTheme="majorBidi" w:cstheme="majorBidi"/>
          <w:color w:val="000000"/>
          <w:sz w:val="24"/>
          <w:szCs w:val="24"/>
        </w:rPr>
        <w:t>pyrimidine ring system constitutes an attractive target for the design of new anticancer drugs through wide structure variations.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Although </w:t>
      </w:r>
      <w:proofErr w:type="spellStart"/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>triazolo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>thienopyrimidine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>s</w:t>
      </w:r>
      <w:proofErr w:type="spellEnd"/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have been widely reported in literature but, to the best of our knowledge, this particular chemical assembly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in the synthesized compounds</w:t>
      </w:r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 w:rsidR="00CD4388">
        <w:rPr>
          <w:rFonts w:asciiTheme="majorBidi" w:eastAsia="AdvOT863180fb" w:hAnsiTheme="majorBidi" w:cstheme="majorBidi"/>
          <w:color w:val="000000"/>
          <w:sz w:val="24"/>
          <w:szCs w:val="24"/>
        </w:rPr>
        <w:t>especially the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 w:rsidR="001C4E3D" w:rsidRPr="001C4E3D">
        <w:rPr>
          <w:rFonts w:asciiTheme="majorBidi" w:eastAsia="AdvOT863180fb" w:hAnsiTheme="majorBidi" w:cstheme="majorBidi"/>
          <w:i/>
          <w:iCs/>
          <w:color w:val="000000"/>
          <w:sz w:val="24"/>
          <w:szCs w:val="24"/>
        </w:rPr>
        <w:t>S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>-alkylated derivatives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with </w:t>
      </w:r>
      <w:r w:rsidR="00CD4388">
        <w:rPr>
          <w:rFonts w:asciiTheme="majorBidi" w:eastAsia="AdvOT863180fb" w:hAnsiTheme="majorBidi" w:cstheme="majorBidi"/>
          <w:color w:val="000000"/>
          <w:sz w:val="24"/>
          <w:szCs w:val="24"/>
        </w:rPr>
        <w:t>varying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linker </w:t>
      </w:r>
      <w:proofErr w:type="gramStart"/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>size,</w:t>
      </w:r>
      <w:proofErr w:type="gramEnd"/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>ha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>ve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not been widely investigated in literature as anticancer agents against colorectal and prostate cancer. Some of the tested compounds</w:t>
      </w:r>
      <w:r w:rsidR="001C4E3D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were equipotent to DOX, many displayed significant activity where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 w:rsidR="00A713DF" w:rsidRPr="001C4E3D">
        <w:rPr>
          <w:rFonts w:asciiTheme="majorBidi" w:eastAsia="AdvOT863180fb" w:hAnsiTheme="majorBidi" w:cstheme="majorBidi"/>
          <w:b/>
          <w:bCs/>
          <w:color w:val="000000"/>
          <w:sz w:val="24"/>
          <w:szCs w:val="24"/>
        </w:rPr>
        <w:t>16c</w:t>
      </w:r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displayed </w:t>
      </w:r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1.4 fold higher </w:t>
      </w:r>
      <w:proofErr w:type="gramStart"/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>activity</w:t>
      </w:r>
      <w:proofErr w:type="gramEnd"/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while </w:t>
      </w:r>
      <w:r w:rsidR="00A713DF" w:rsidRPr="001C4E3D">
        <w:rPr>
          <w:rFonts w:asciiTheme="majorBidi" w:eastAsia="AdvOT863180fb" w:hAnsiTheme="majorBidi" w:cstheme="majorBidi"/>
          <w:b/>
          <w:bCs/>
          <w:color w:val="000000"/>
          <w:sz w:val="24"/>
          <w:szCs w:val="24"/>
        </w:rPr>
        <w:t>18c</w:t>
      </w:r>
      <w:r w:rsidR="00A713DF">
        <w:rPr>
          <w:rFonts w:asciiTheme="majorBidi" w:eastAsia="AdvOT863180fb" w:hAnsiTheme="majorBidi" w:cstheme="majorBidi"/>
          <w:color w:val="000000"/>
          <w:sz w:val="24"/>
          <w:szCs w:val="24"/>
        </w:rPr>
        <w:t xml:space="preserve"> showed 2.5 fold more potency than the standard anticancer agent Doxorubicin.</w:t>
      </w:r>
    </w:p>
    <w:p w:rsidR="00E249A3" w:rsidRDefault="00E249A3">
      <w:bookmarkStart w:id="0" w:name="_GoBack"/>
      <w:bookmarkEnd w:id="0"/>
    </w:p>
    <w:sectPr w:rsidR="00E249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A9" w:rsidRDefault="007D31A9" w:rsidP="00C03C61">
      <w:pPr>
        <w:spacing w:after="0" w:line="240" w:lineRule="auto"/>
      </w:pPr>
      <w:r>
        <w:separator/>
      </w:r>
    </w:p>
  </w:endnote>
  <w:endnote w:type="continuationSeparator" w:id="0">
    <w:p w:rsidR="007D31A9" w:rsidRDefault="007D31A9" w:rsidP="00C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63180fb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61" w:rsidRDefault="00C03C61" w:rsidP="00C03C61">
    <w:pPr>
      <w:autoSpaceDE w:val="0"/>
      <w:autoSpaceDN w:val="0"/>
      <w:adjustRightInd w:val="0"/>
      <w:spacing w:after="0"/>
      <w:rPr>
        <w:rFonts w:asciiTheme="majorBidi" w:hAnsiTheme="majorBidi" w:cstheme="majorBidi"/>
        <w:b/>
        <w:bCs/>
        <w:sz w:val="24"/>
        <w:szCs w:val="24"/>
      </w:rPr>
    </w:pPr>
    <w:r w:rsidRPr="00C03C61">
      <w:rPr>
        <w:rFonts w:asciiTheme="majorBidi" w:hAnsiTheme="majorBidi" w:cstheme="majorBidi"/>
        <w:b/>
        <w:bCs/>
        <w:sz w:val="24"/>
        <w:szCs w:val="24"/>
      </w:rPr>
      <w:t>Manuscript entitled:</w:t>
    </w:r>
    <w:r w:rsidRPr="00C03C61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C03C61">
      <w:rPr>
        <w:rFonts w:asciiTheme="majorBidi" w:hAnsiTheme="majorBidi" w:cstheme="majorBidi"/>
        <w:sz w:val="24"/>
        <w:szCs w:val="24"/>
      </w:rPr>
      <w:t>Synthesis, Characterization and Cytotoxicity of substituted[1]</w:t>
    </w:r>
    <w:proofErr w:type="spellStart"/>
    <w:r w:rsidRPr="00C03C61">
      <w:rPr>
        <w:rFonts w:asciiTheme="majorBidi" w:hAnsiTheme="majorBidi" w:cstheme="majorBidi"/>
        <w:sz w:val="24"/>
        <w:szCs w:val="24"/>
      </w:rPr>
      <w:t>benzo</w:t>
    </w:r>
    <w:proofErr w:type="spellEnd"/>
    <w:r w:rsidRPr="00C03C61">
      <w:rPr>
        <w:rFonts w:asciiTheme="majorBidi" w:hAnsiTheme="majorBidi" w:cstheme="majorBidi"/>
        <w:sz w:val="24"/>
        <w:szCs w:val="24"/>
      </w:rPr>
      <w:t xml:space="preserve"> </w:t>
    </w:r>
    <w:proofErr w:type="spellStart"/>
    <w:r w:rsidRPr="00C03C61">
      <w:rPr>
        <w:rFonts w:asciiTheme="majorBidi" w:hAnsiTheme="majorBidi" w:cstheme="majorBidi"/>
        <w:sz w:val="24"/>
        <w:szCs w:val="24"/>
      </w:rPr>
      <w:t>thieno</w:t>
    </w:r>
    <w:proofErr w:type="spellEnd"/>
    <w:r w:rsidRPr="00C03C61">
      <w:rPr>
        <w:rFonts w:asciiTheme="majorBidi" w:hAnsiTheme="majorBidi" w:cstheme="majorBidi"/>
        <w:sz w:val="24"/>
        <w:szCs w:val="24"/>
      </w:rPr>
      <w:t>[3,2-</w:t>
    </w:r>
    <w:r w:rsidRPr="00C03C61">
      <w:rPr>
        <w:rFonts w:asciiTheme="majorBidi" w:hAnsiTheme="majorBidi" w:cstheme="majorBidi"/>
        <w:i/>
        <w:iCs/>
        <w:sz w:val="24"/>
        <w:szCs w:val="24"/>
      </w:rPr>
      <w:t>e</w:t>
    </w:r>
    <w:r w:rsidRPr="00C03C61">
      <w:rPr>
        <w:rFonts w:asciiTheme="majorBidi" w:hAnsiTheme="majorBidi" w:cstheme="majorBidi"/>
        <w:sz w:val="24"/>
        <w:szCs w:val="24"/>
      </w:rPr>
      <w:t>][1,2,4]</w:t>
    </w:r>
    <w:proofErr w:type="spellStart"/>
    <w:r w:rsidRPr="00C03C61">
      <w:rPr>
        <w:rFonts w:asciiTheme="majorBidi" w:hAnsiTheme="majorBidi" w:cstheme="majorBidi"/>
        <w:sz w:val="24"/>
        <w:szCs w:val="24"/>
      </w:rPr>
      <w:t>triazolo</w:t>
    </w:r>
    <w:proofErr w:type="spellEnd"/>
    <w:r w:rsidRPr="00C03C61">
      <w:rPr>
        <w:rFonts w:asciiTheme="majorBidi" w:hAnsiTheme="majorBidi" w:cstheme="majorBidi"/>
        <w:sz w:val="24"/>
        <w:szCs w:val="24"/>
      </w:rPr>
      <w:t>[4,3-</w:t>
    </w:r>
    <w:r w:rsidRPr="00C03C61">
      <w:rPr>
        <w:rFonts w:asciiTheme="majorBidi" w:hAnsiTheme="majorBidi" w:cstheme="majorBidi"/>
        <w:i/>
        <w:iCs/>
        <w:sz w:val="24"/>
        <w:szCs w:val="24"/>
      </w:rPr>
      <w:t>a</w:t>
    </w:r>
    <w:r w:rsidRPr="00C03C61">
      <w:rPr>
        <w:rFonts w:asciiTheme="majorBidi" w:hAnsiTheme="majorBidi" w:cstheme="majorBidi"/>
        <w:sz w:val="24"/>
        <w:szCs w:val="24"/>
      </w:rPr>
      <w:t>]</w:t>
    </w:r>
    <w:proofErr w:type="spellStart"/>
    <w:r w:rsidRPr="00C03C61">
      <w:rPr>
        <w:rFonts w:asciiTheme="majorBidi" w:hAnsiTheme="majorBidi" w:cstheme="majorBidi"/>
        <w:sz w:val="24"/>
        <w:szCs w:val="24"/>
      </w:rPr>
      <w:t>pyrimidines</w:t>
    </w:r>
    <w:proofErr w:type="spellEnd"/>
  </w:p>
  <w:p w:rsidR="00C03C61" w:rsidRDefault="00C03C61" w:rsidP="00C03C61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Authors:</w:t>
    </w:r>
    <w:r w:rsidRPr="00C03C61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C03C61">
      <w:rPr>
        <w:rFonts w:ascii="Times New Roman" w:hAnsi="Times New Roman" w:cs="Times New Roman"/>
        <w:sz w:val="24"/>
        <w:szCs w:val="24"/>
      </w:rPr>
      <w:t xml:space="preserve">Samir </w:t>
    </w:r>
    <w:proofErr w:type="spellStart"/>
    <w:r w:rsidRPr="00C03C61">
      <w:rPr>
        <w:rFonts w:ascii="Times New Roman" w:hAnsi="Times New Roman" w:cs="Times New Roman"/>
        <w:sz w:val="24"/>
        <w:szCs w:val="24"/>
      </w:rPr>
      <w:t>Botros</w:t>
    </w:r>
    <w:proofErr w:type="spellEnd"/>
    <w:r w:rsidRPr="00C03C61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C03C61">
      <w:rPr>
        <w:rFonts w:ascii="Times New Roman" w:hAnsi="Times New Roman" w:cs="Times New Roman"/>
        <w:sz w:val="24"/>
        <w:szCs w:val="24"/>
      </w:rPr>
      <w:t>Omneya</w:t>
    </w:r>
    <w:proofErr w:type="spellEnd"/>
    <w:r w:rsidRPr="00C03C61">
      <w:rPr>
        <w:rFonts w:ascii="Times New Roman" w:hAnsi="Times New Roman" w:cs="Times New Roman"/>
        <w:sz w:val="24"/>
        <w:szCs w:val="24"/>
      </w:rPr>
      <w:t xml:space="preserve"> M. Khalil, Mona M. </w:t>
    </w:r>
    <w:proofErr w:type="spellStart"/>
    <w:r w:rsidRPr="00C03C61">
      <w:rPr>
        <w:rFonts w:ascii="Times New Roman" w:hAnsi="Times New Roman" w:cs="Times New Roman"/>
        <w:sz w:val="24"/>
        <w:szCs w:val="24"/>
      </w:rPr>
      <w:t>Kamel</w:t>
    </w:r>
    <w:proofErr w:type="spellEnd"/>
    <w:r w:rsidRPr="00C03C61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C03C61">
      <w:rPr>
        <w:rFonts w:ascii="Times New Roman" w:hAnsi="Times New Roman" w:cs="Times New Roman"/>
        <w:sz w:val="24"/>
        <w:szCs w:val="24"/>
      </w:rPr>
      <w:t>Yara</w:t>
    </w:r>
    <w:proofErr w:type="spellEnd"/>
    <w:r w:rsidRPr="00C03C61">
      <w:rPr>
        <w:rFonts w:ascii="Times New Roman" w:hAnsi="Times New Roman" w:cs="Times New Roman"/>
        <w:sz w:val="24"/>
        <w:szCs w:val="24"/>
      </w:rPr>
      <w:t xml:space="preserve"> S. El-Dash</w:t>
    </w:r>
    <w:r>
      <w:rPr>
        <w:rFonts w:ascii="Times New Roman" w:hAnsi="Times New Roman" w:cs="Times New Roman"/>
        <w:sz w:val="24"/>
        <w:szCs w:val="24"/>
      </w:rPr>
      <w:t>*</w:t>
    </w:r>
  </w:p>
  <w:p w:rsidR="00C03C61" w:rsidRPr="00C03C61" w:rsidRDefault="00C03C61" w:rsidP="00C03C61">
    <w:pPr>
      <w:autoSpaceDE w:val="0"/>
      <w:autoSpaceDN w:val="0"/>
      <w:adjustRightInd w:val="0"/>
      <w:spacing w:after="0" w:line="240" w:lineRule="auto"/>
      <w:rPr>
        <w:rFonts w:asciiTheme="majorBidi" w:hAnsiTheme="majorBidi" w:cstheme="majorBidi"/>
        <w:sz w:val="24"/>
        <w:szCs w:val="24"/>
      </w:rPr>
    </w:pPr>
    <w:r w:rsidRPr="00C03C61">
      <w:rPr>
        <w:rFonts w:asciiTheme="majorBidi" w:hAnsiTheme="majorBidi" w:cstheme="majorBidi"/>
        <w:b/>
        <w:bCs/>
        <w:sz w:val="24"/>
        <w:szCs w:val="24"/>
      </w:rPr>
      <w:t>Affiliation: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C03C61">
      <w:rPr>
        <w:rFonts w:asciiTheme="majorBidi" w:hAnsiTheme="majorBidi" w:cstheme="majorBidi"/>
        <w:sz w:val="24"/>
        <w:szCs w:val="24"/>
      </w:rPr>
      <w:t>Pharmaceutical Organic Chemistry Department, Faculty of Pharmacy, Cairo University, P.O. Box 11562, Cairo, Egypt</w:t>
    </w:r>
    <w:r w:rsidRPr="00AE7D6E">
      <w:rPr>
        <w:rFonts w:asciiTheme="majorBidi" w:hAnsiTheme="majorBidi" w:cstheme="majorBidi"/>
        <w:i/>
        <w:iCs/>
        <w:sz w:val="24"/>
        <w:szCs w:val="24"/>
      </w:rPr>
      <w:t>.</w:t>
    </w:r>
  </w:p>
  <w:p w:rsidR="00C03C61" w:rsidRDefault="00C03C61" w:rsidP="00C03C61">
    <w:pPr>
      <w:pStyle w:val="Footer"/>
    </w:pPr>
  </w:p>
  <w:p w:rsidR="00C03C61" w:rsidRDefault="00C03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A9" w:rsidRDefault="007D31A9" w:rsidP="00C03C61">
      <w:pPr>
        <w:spacing w:after="0" w:line="240" w:lineRule="auto"/>
      </w:pPr>
      <w:r>
        <w:separator/>
      </w:r>
    </w:p>
  </w:footnote>
  <w:footnote w:type="continuationSeparator" w:id="0">
    <w:p w:rsidR="007D31A9" w:rsidRDefault="007D31A9" w:rsidP="00C0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A3"/>
    <w:rsid w:val="000802B4"/>
    <w:rsid w:val="001C4E3D"/>
    <w:rsid w:val="007D31A9"/>
    <w:rsid w:val="008532F0"/>
    <w:rsid w:val="00A713DF"/>
    <w:rsid w:val="00C03C61"/>
    <w:rsid w:val="00CD4388"/>
    <w:rsid w:val="00E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61"/>
  </w:style>
  <w:style w:type="paragraph" w:styleId="Footer">
    <w:name w:val="footer"/>
    <w:basedOn w:val="Normal"/>
    <w:link w:val="FooterChar"/>
    <w:uiPriority w:val="99"/>
    <w:unhideWhenUsed/>
    <w:rsid w:val="00C0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61"/>
  </w:style>
  <w:style w:type="paragraph" w:styleId="BalloonText">
    <w:name w:val="Balloon Text"/>
    <w:basedOn w:val="Normal"/>
    <w:link w:val="BalloonTextChar"/>
    <w:uiPriority w:val="99"/>
    <w:semiHidden/>
    <w:unhideWhenUsed/>
    <w:rsid w:val="00C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61"/>
  </w:style>
  <w:style w:type="paragraph" w:styleId="Footer">
    <w:name w:val="footer"/>
    <w:basedOn w:val="Normal"/>
    <w:link w:val="FooterChar"/>
    <w:uiPriority w:val="99"/>
    <w:unhideWhenUsed/>
    <w:rsid w:val="00C0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61"/>
  </w:style>
  <w:style w:type="paragraph" w:styleId="BalloonText">
    <w:name w:val="Balloon Text"/>
    <w:basedOn w:val="Normal"/>
    <w:link w:val="BalloonTextChar"/>
    <w:uiPriority w:val="99"/>
    <w:semiHidden/>
    <w:unhideWhenUsed/>
    <w:rsid w:val="00C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2016-09-10T10:41:00Z</dcterms:created>
  <dcterms:modified xsi:type="dcterms:W3CDTF">2016-09-10T10:41:00Z</dcterms:modified>
</cp:coreProperties>
</file>