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6AD" w:rsidRDefault="00EF2AA7" w:rsidP="0070353F">
      <w:pPr>
        <w:pStyle w:val="BATitle"/>
        <w:spacing w:line="360" w:lineRule="auto"/>
        <w:jc w:val="left"/>
      </w:pPr>
      <w:r>
        <w:t>Theoretical purge factor determination as a c</w:t>
      </w:r>
      <w:r w:rsidR="00C97D54">
        <w:t>ontrol</w:t>
      </w:r>
      <w:r>
        <w:t xml:space="preserve"> strategy for</w:t>
      </w:r>
      <w:r w:rsidR="00BE2F91">
        <w:t xml:space="preserve"> potential </w:t>
      </w:r>
      <w:r w:rsidR="00102A12">
        <w:t>mutagenic</w:t>
      </w:r>
      <w:r w:rsidR="00BE2F91">
        <w:t xml:space="preserve"> impurities in </w:t>
      </w:r>
      <w:r w:rsidR="000E5FE1">
        <w:t xml:space="preserve">the synthesis of </w:t>
      </w:r>
      <w:r w:rsidR="00BE2F91">
        <w:t>drug substance</w:t>
      </w:r>
      <w:r w:rsidR="00D44CBF">
        <w:t>s</w:t>
      </w:r>
    </w:p>
    <w:p w:rsidR="009246AD" w:rsidRPr="00774AD6" w:rsidRDefault="00175541" w:rsidP="00175541">
      <w:pPr>
        <w:pStyle w:val="BBAuthorName"/>
        <w:spacing w:line="360" w:lineRule="auto"/>
        <w:jc w:val="left"/>
      </w:pPr>
      <w:r w:rsidRPr="00774AD6">
        <w:t xml:space="preserve">Nevenka </w:t>
      </w:r>
      <w:r w:rsidR="000A26CE" w:rsidRPr="00774AD6">
        <w:t xml:space="preserve">Kragelj </w:t>
      </w:r>
      <w:r w:rsidRPr="00774AD6">
        <w:t xml:space="preserve">Lapanja, </w:t>
      </w:r>
      <w:r w:rsidRPr="00774AD6">
        <w:rPr>
          <w:vertAlign w:val="superscript"/>
        </w:rPr>
        <w:t>1,*</w:t>
      </w:r>
      <w:r w:rsidR="0064264C" w:rsidRPr="00774AD6">
        <w:rPr>
          <w:vertAlign w:val="superscript"/>
        </w:rPr>
        <w:t xml:space="preserve"> </w:t>
      </w:r>
      <w:r w:rsidR="004A143A" w:rsidRPr="00774AD6">
        <w:t xml:space="preserve">Renata </w:t>
      </w:r>
      <w:proofErr w:type="spellStart"/>
      <w:r w:rsidR="004A143A" w:rsidRPr="00774AD6">
        <w:t>Toplak</w:t>
      </w:r>
      <w:proofErr w:type="spellEnd"/>
      <w:r w:rsidR="004A143A" w:rsidRPr="00774AD6">
        <w:t xml:space="preserve"> Časar</w:t>
      </w:r>
      <w:proofErr w:type="gramStart"/>
      <w:r w:rsidR="004A143A" w:rsidRPr="00774AD6">
        <w:t>,</w:t>
      </w:r>
      <w:r w:rsidRPr="00774AD6">
        <w:rPr>
          <w:vertAlign w:val="superscript"/>
        </w:rPr>
        <w:t>1</w:t>
      </w:r>
      <w:proofErr w:type="gramEnd"/>
      <w:r w:rsidR="004A143A" w:rsidRPr="00774AD6">
        <w:rPr>
          <w:vertAlign w:val="superscript"/>
        </w:rPr>
        <w:t xml:space="preserve"> </w:t>
      </w:r>
      <w:r w:rsidR="000A3D2F" w:rsidRPr="00774AD6">
        <w:t>Sabina Jurca</w:t>
      </w:r>
      <w:r w:rsidRPr="00774AD6">
        <w:rPr>
          <w:vertAlign w:val="superscript"/>
        </w:rPr>
        <w:t>1</w:t>
      </w:r>
      <w:r w:rsidR="00771311" w:rsidRPr="00774AD6">
        <w:t xml:space="preserve"> </w:t>
      </w:r>
      <w:r w:rsidR="00C2697F" w:rsidRPr="00774AD6">
        <w:t xml:space="preserve">and Bojan </w:t>
      </w:r>
      <w:proofErr w:type="spellStart"/>
      <w:r w:rsidR="00C2697F" w:rsidRPr="00774AD6">
        <w:t>Doljak</w:t>
      </w:r>
      <w:proofErr w:type="spellEnd"/>
      <w:r w:rsidR="00C2697F" w:rsidRPr="00774AD6">
        <w:t xml:space="preserve"> </w:t>
      </w:r>
      <w:r w:rsidRPr="00774AD6">
        <w:rPr>
          <w:vertAlign w:val="superscript"/>
        </w:rPr>
        <w:t>2</w:t>
      </w:r>
    </w:p>
    <w:p w:rsidR="002F3339" w:rsidRPr="00774AD6" w:rsidRDefault="00175541" w:rsidP="00175541">
      <w:pPr>
        <w:pStyle w:val="BCAuthorAddress"/>
        <w:spacing w:after="0" w:line="360" w:lineRule="auto"/>
        <w:jc w:val="left"/>
      </w:pPr>
      <w:r w:rsidRPr="00774AD6">
        <w:rPr>
          <w:vertAlign w:val="superscript"/>
        </w:rPr>
        <w:t>1</w:t>
      </w:r>
      <w:r w:rsidR="002F3339" w:rsidRPr="00774AD6">
        <w:t xml:space="preserve">Lek Pharmaceuticals </w:t>
      </w:r>
      <w:proofErr w:type="spellStart"/>
      <w:proofErr w:type="gramStart"/>
      <w:r w:rsidR="002F3339" w:rsidRPr="00774AD6">
        <w:t>d.d</w:t>
      </w:r>
      <w:proofErr w:type="spellEnd"/>
      <w:proofErr w:type="gramEnd"/>
      <w:r w:rsidR="002F3339" w:rsidRPr="00774AD6">
        <w:t xml:space="preserve">., </w:t>
      </w:r>
      <w:proofErr w:type="spellStart"/>
      <w:r w:rsidR="002F3339" w:rsidRPr="00774AD6">
        <w:t>Verovškova</w:t>
      </w:r>
      <w:proofErr w:type="spellEnd"/>
      <w:r w:rsidR="002F3339" w:rsidRPr="00774AD6">
        <w:t xml:space="preserve"> 57, 1526 Ljubljana, Slovenia </w:t>
      </w:r>
    </w:p>
    <w:p w:rsidR="009246AD" w:rsidRDefault="00175541" w:rsidP="00175541">
      <w:pPr>
        <w:pStyle w:val="BCAuthorAddress"/>
        <w:spacing w:line="360" w:lineRule="auto"/>
        <w:jc w:val="left"/>
      </w:pPr>
      <w:r>
        <w:rPr>
          <w:vertAlign w:val="superscript"/>
        </w:rPr>
        <w:t>2</w:t>
      </w:r>
      <w:r w:rsidR="00E404B3">
        <w:rPr>
          <w:vertAlign w:val="superscript"/>
        </w:rPr>
        <w:t xml:space="preserve"> </w:t>
      </w:r>
      <w:r w:rsidR="002F3339">
        <w:t xml:space="preserve">Faculty of Pharmacy, </w:t>
      </w:r>
      <w:proofErr w:type="spellStart"/>
      <w:r w:rsidR="002F3339">
        <w:t>Aškerčeva</w:t>
      </w:r>
      <w:proofErr w:type="spellEnd"/>
      <w:r w:rsidR="002F3339">
        <w:t xml:space="preserve"> 7, 1000 Ljubljana, Slovenia </w:t>
      </w:r>
    </w:p>
    <w:p w:rsidR="00353685" w:rsidRPr="00D40F6A" w:rsidRDefault="00353685" w:rsidP="00353685">
      <w:pPr>
        <w:pStyle w:val="FAAuthorInfoSubtitle"/>
        <w:spacing w:line="360" w:lineRule="auto"/>
      </w:pPr>
      <w:r w:rsidRPr="00D40F6A">
        <w:t>*</w:t>
      </w:r>
      <w:r w:rsidRPr="00353685">
        <w:t xml:space="preserve"> </w:t>
      </w:r>
      <w:r w:rsidRPr="00353685">
        <w:rPr>
          <w:b w:val="0"/>
          <w:i/>
        </w:rPr>
        <w:t>Corresponding Author: E-mail</w:t>
      </w:r>
      <w:r w:rsidRPr="00D40F6A">
        <w:t xml:space="preserve">: </w:t>
      </w:r>
      <w:hyperlink r:id="rId9" w:history="1">
        <w:r w:rsidRPr="00353685">
          <w:rPr>
            <w:rStyle w:val="Hyperlink"/>
            <w:b w:val="0"/>
            <w:i/>
          </w:rPr>
          <w:t>nevenka.lapanja@sandoz.com</w:t>
        </w:r>
      </w:hyperlink>
    </w:p>
    <w:p w:rsidR="00353685" w:rsidRPr="00353685" w:rsidRDefault="00353685" w:rsidP="00353685">
      <w:pPr>
        <w:pStyle w:val="FACorrespondingAuthorFootnote"/>
        <w:spacing w:line="360" w:lineRule="auto"/>
        <w:rPr>
          <w:i/>
        </w:rPr>
      </w:pPr>
      <w:r w:rsidRPr="00353685">
        <w:rPr>
          <w:i/>
        </w:rPr>
        <w:t>Tel: +386 1 5803443</w:t>
      </w:r>
    </w:p>
    <w:p w:rsidR="00353685" w:rsidRDefault="00353685" w:rsidP="00175541">
      <w:pPr>
        <w:pStyle w:val="FACorrespondingAuthorFootnote"/>
        <w:spacing w:after="0" w:line="360" w:lineRule="auto"/>
        <w:jc w:val="left"/>
      </w:pPr>
    </w:p>
    <w:p w:rsidR="0041244A" w:rsidRPr="00A764EF" w:rsidRDefault="00AB34C5" w:rsidP="00175541">
      <w:pPr>
        <w:pStyle w:val="FACorrespondingAuthorFootnote"/>
        <w:spacing w:after="0" w:line="360" w:lineRule="auto"/>
        <w:jc w:val="left"/>
      </w:pPr>
      <w:r w:rsidRPr="00FC40E3">
        <w:rPr>
          <w:b/>
        </w:rPr>
        <w:t>K</w:t>
      </w:r>
      <w:r w:rsidR="00FC40E3" w:rsidRPr="00FC40E3">
        <w:rPr>
          <w:b/>
        </w:rPr>
        <w:t>eywords</w:t>
      </w:r>
      <w:r w:rsidR="003A603F">
        <w:t xml:space="preserve">: </w:t>
      </w:r>
      <w:r w:rsidR="00662181">
        <w:t xml:space="preserve">drug substance, </w:t>
      </w:r>
      <w:r w:rsidR="00EF2AA7">
        <w:t xml:space="preserve">mutagenic </w:t>
      </w:r>
      <w:r w:rsidR="00662181">
        <w:t>impu</w:t>
      </w:r>
      <w:r w:rsidR="00EF2AA7">
        <w:t>rity</w:t>
      </w:r>
      <w:r w:rsidR="00662181">
        <w:t>, purge factors</w:t>
      </w:r>
    </w:p>
    <w:p w:rsidR="00FC40E3" w:rsidRDefault="00FC40E3" w:rsidP="00FC40E3">
      <w:pPr>
        <w:pStyle w:val="TAMainText"/>
        <w:spacing w:line="360" w:lineRule="auto"/>
        <w:ind w:firstLine="0"/>
        <w:jc w:val="left"/>
        <w:rPr>
          <w:b/>
        </w:rPr>
      </w:pPr>
    </w:p>
    <w:p w:rsidR="00FC40E3" w:rsidRDefault="00AB34C5" w:rsidP="00FC40E3">
      <w:pPr>
        <w:pStyle w:val="TAMainText"/>
        <w:spacing w:line="360" w:lineRule="auto"/>
        <w:ind w:firstLine="0"/>
        <w:jc w:val="left"/>
        <w:rPr>
          <w:b/>
        </w:rPr>
      </w:pPr>
      <w:r w:rsidRPr="00FC40E3">
        <w:rPr>
          <w:b/>
        </w:rPr>
        <w:t>A</w:t>
      </w:r>
      <w:r w:rsidR="00FC40E3">
        <w:rPr>
          <w:b/>
        </w:rPr>
        <w:t>bstract</w:t>
      </w:r>
    </w:p>
    <w:p w:rsidR="00A24C2B" w:rsidRDefault="00EF2AA7" w:rsidP="00FC40E3">
      <w:pPr>
        <w:pStyle w:val="TAMainText"/>
        <w:spacing w:line="360" w:lineRule="auto"/>
        <w:ind w:firstLine="0"/>
        <w:jc w:val="left"/>
      </w:pPr>
      <w:r>
        <w:t>Mutagenic impurities</w:t>
      </w:r>
      <w:r w:rsidR="000A26CE">
        <w:t xml:space="preserve"> (MIs)</w:t>
      </w:r>
      <w:r>
        <w:t xml:space="preserve"> are of serious </w:t>
      </w:r>
      <w:r w:rsidR="00A24C2B">
        <w:t>conc</w:t>
      </w:r>
      <w:r>
        <w:t>ern for pharmaceutical industry, regulatory agencies and public health. T</w:t>
      </w:r>
      <w:r w:rsidR="00A24C2B">
        <w:t>he first guideline addressing the control of genotoxic impurities</w:t>
      </w:r>
      <w:r>
        <w:t xml:space="preserve"> (GTIs)</w:t>
      </w:r>
      <w:r w:rsidR="00A24C2B">
        <w:t xml:space="preserve"> </w:t>
      </w:r>
      <w:r>
        <w:t>dates back to 2006. Since then</w:t>
      </w:r>
      <w:r w:rsidR="00A24C2B">
        <w:t xml:space="preserve"> there have been several updates and refinements, which eventually resulted in the</w:t>
      </w:r>
      <w:r>
        <w:t xml:space="preserve"> guideline, published by the International Conference on </w:t>
      </w:r>
      <w:proofErr w:type="spellStart"/>
      <w:r>
        <w:t>Harmonisation</w:t>
      </w:r>
      <w:proofErr w:type="spellEnd"/>
      <w:r>
        <w:t xml:space="preserve"> (</w:t>
      </w:r>
      <w:r w:rsidR="00A24C2B">
        <w:t>ICH</w:t>
      </w:r>
      <w:r>
        <w:t>) in June 2014.</w:t>
      </w:r>
      <w:r w:rsidR="00A24C2B">
        <w:t xml:space="preserve"> </w:t>
      </w:r>
      <w:r>
        <w:t xml:space="preserve">The </w:t>
      </w:r>
      <w:r w:rsidR="00A24C2B">
        <w:t>ICH M7</w:t>
      </w:r>
      <w:r>
        <w:t xml:space="preserve"> guideline,</w:t>
      </w:r>
      <w:r w:rsidR="00A24C2B">
        <w:t xml:space="preserve"> </w:t>
      </w:r>
      <w:r>
        <w:t>compared to previous ones,</w:t>
      </w:r>
      <w:r w:rsidR="00A24C2B">
        <w:t xml:space="preserve"> offers greater flexibility in terms of </w:t>
      </w:r>
      <w:r>
        <w:t>control strategies for GTIs</w:t>
      </w:r>
      <w:r w:rsidR="00AC5140">
        <w:t xml:space="preserve"> in drug substances</w:t>
      </w:r>
      <w:r>
        <w:t xml:space="preserve">. </w:t>
      </w:r>
      <w:r w:rsidR="00A24C2B">
        <w:t xml:space="preserve">More specifically, it describes a control strategy that relies on process controls </w:t>
      </w:r>
      <w:r w:rsidR="00A24C2B" w:rsidRPr="00121A33">
        <w:rPr>
          <w:i/>
        </w:rPr>
        <w:t>in lieu</w:t>
      </w:r>
      <w:r w:rsidR="00A24C2B">
        <w:t xml:space="preserve"> of analytical testing which is based on understanding</w:t>
      </w:r>
      <w:r w:rsidR="00FD45BC">
        <w:t xml:space="preserve"> the</w:t>
      </w:r>
      <w:r w:rsidR="00A24C2B">
        <w:t xml:space="preserve"> process chemistry and process parameters that impact</w:t>
      </w:r>
      <w:r w:rsidR="00FD45BC">
        <w:t xml:space="preserve"> the</w:t>
      </w:r>
      <w:r w:rsidR="00A24C2B">
        <w:t xml:space="preserve"> levels of </w:t>
      </w:r>
      <w:r w:rsidR="00AC5140">
        <w:t>GTIs</w:t>
      </w:r>
      <w:r w:rsidR="00A24C2B">
        <w:t>. This principle is adopted in</w:t>
      </w:r>
      <w:r w:rsidR="00FD45BC">
        <w:t xml:space="preserve"> the</w:t>
      </w:r>
      <w:r w:rsidR="00A24C2B">
        <w:t xml:space="preserve"> theoretical purge factor determination tool proposed by Teasdale et al. </w:t>
      </w:r>
      <w:r w:rsidR="00121A33">
        <w:t xml:space="preserve">Several case studies applying the proposed theoretical purge factor determination tool were published in recent years. </w:t>
      </w:r>
      <w:r w:rsidR="00A173B7">
        <w:t>T</w:t>
      </w:r>
      <w:r w:rsidR="00121A33" w:rsidRPr="00A173B7">
        <w:t xml:space="preserve">he results confirm </w:t>
      </w:r>
      <w:r w:rsidR="00A173B7" w:rsidRPr="00A173B7">
        <w:t xml:space="preserve">the tool’s </w:t>
      </w:r>
      <w:r w:rsidR="00121A33" w:rsidRPr="00A173B7">
        <w:t xml:space="preserve">good predictability </w:t>
      </w:r>
      <w:r w:rsidR="00A173B7" w:rsidRPr="00A173B7">
        <w:t xml:space="preserve">of the extent to </w:t>
      </w:r>
      <w:r w:rsidR="00A173B7" w:rsidRPr="00A173B7">
        <w:lastRenderedPageBreak/>
        <w:t>which the impurity is removed</w:t>
      </w:r>
      <w:r w:rsidR="00FB0FC3">
        <w:t xml:space="preserve"> by the process</w:t>
      </w:r>
      <w:r w:rsidR="00C87500">
        <w:t>.</w:t>
      </w:r>
      <w:r w:rsidR="00FB0FC3">
        <w:t xml:space="preserve"> Hopefully, this approach will</w:t>
      </w:r>
      <w:r w:rsidR="006A09E6">
        <w:t xml:space="preserve"> soon be released as an </w:t>
      </w:r>
      <w:r w:rsidR="006A09E6" w:rsidRPr="006A09E6">
        <w:rPr>
          <w:i/>
        </w:rPr>
        <w:t>in-silico</w:t>
      </w:r>
      <w:r w:rsidR="006A09E6">
        <w:t xml:space="preserve"> tool, generally accepted by the regulatory agencies.</w:t>
      </w:r>
    </w:p>
    <w:p w:rsidR="00A6441D" w:rsidRDefault="00A6441D" w:rsidP="00FC40E3">
      <w:pPr>
        <w:pStyle w:val="TAMainText"/>
        <w:spacing w:line="360" w:lineRule="auto"/>
        <w:ind w:firstLine="0"/>
        <w:jc w:val="left"/>
      </w:pPr>
    </w:p>
    <w:p w:rsidR="00A6441D" w:rsidRDefault="00A6441D" w:rsidP="00A6441D">
      <w:pPr>
        <w:pStyle w:val="TAMainText"/>
        <w:spacing w:line="360" w:lineRule="auto"/>
        <w:ind w:firstLine="0"/>
        <w:jc w:val="left"/>
        <w:rPr>
          <w:b/>
        </w:rPr>
      </w:pPr>
      <w:proofErr w:type="spellStart"/>
      <w:r>
        <w:rPr>
          <w:b/>
        </w:rPr>
        <w:t>Povzetek</w:t>
      </w:r>
      <w:proofErr w:type="spellEnd"/>
    </w:p>
    <w:p w:rsidR="00A6441D" w:rsidRPr="00782829" w:rsidRDefault="00A6441D" w:rsidP="00FC40E3">
      <w:pPr>
        <w:pStyle w:val="TAMainText"/>
        <w:spacing w:line="360" w:lineRule="auto"/>
        <w:ind w:firstLine="0"/>
        <w:jc w:val="left"/>
        <w:rPr>
          <w:lang w:val="sl-SI"/>
        </w:rPr>
      </w:pPr>
      <w:proofErr w:type="spellStart"/>
      <w:proofErr w:type="gramStart"/>
      <w:r>
        <w:t>Mutagene</w:t>
      </w:r>
      <w:proofErr w:type="spellEnd"/>
      <w:r>
        <w:t xml:space="preserve"> </w:t>
      </w:r>
      <w:proofErr w:type="spellStart"/>
      <w:r>
        <w:t>nečistote</w:t>
      </w:r>
      <w:proofErr w:type="spellEnd"/>
      <w:r>
        <w:t xml:space="preserve"> </w:t>
      </w:r>
      <w:proofErr w:type="spellStart"/>
      <w:r>
        <w:t>predstavljajo</w:t>
      </w:r>
      <w:proofErr w:type="spellEnd"/>
      <w:r>
        <w:t xml:space="preserve"> </w:t>
      </w:r>
      <w:proofErr w:type="spellStart"/>
      <w:r>
        <w:t>velik</w:t>
      </w:r>
      <w:proofErr w:type="spellEnd"/>
      <w:r>
        <w:t xml:space="preserve"> problem </w:t>
      </w:r>
      <w:proofErr w:type="spellStart"/>
      <w:r>
        <w:t>za</w:t>
      </w:r>
      <w:proofErr w:type="spellEnd"/>
      <w:r>
        <w:t xml:space="preserve"> </w:t>
      </w:r>
      <w:proofErr w:type="spellStart"/>
      <w:r>
        <w:t>farmacevtsko</w:t>
      </w:r>
      <w:proofErr w:type="spellEnd"/>
      <w:r>
        <w:t xml:space="preserve"> </w:t>
      </w:r>
      <w:proofErr w:type="spellStart"/>
      <w:r>
        <w:t>industrijo</w:t>
      </w:r>
      <w:proofErr w:type="spellEnd"/>
      <w:r>
        <w:t xml:space="preserve">, </w:t>
      </w:r>
      <w:proofErr w:type="spellStart"/>
      <w:r>
        <w:t>regulatorne</w:t>
      </w:r>
      <w:proofErr w:type="spellEnd"/>
      <w:r>
        <w:t xml:space="preserve"> </w:t>
      </w:r>
      <w:proofErr w:type="spellStart"/>
      <w:r>
        <w:t>oblasti</w:t>
      </w:r>
      <w:proofErr w:type="spellEnd"/>
      <w:r>
        <w:t xml:space="preserve"> in </w:t>
      </w:r>
      <w:proofErr w:type="spellStart"/>
      <w:r>
        <w:t>javno</w:t>
      </w:r>
      <w:proofErr w:type="spellEnd"/>
      <w:r>
        <w:t xml:space="preserve"> </w:t>
      </w:r>
      <w:proofErr w:type="spellStart"/>
      <w:r>
        <w:t>zdravje</w:t>
      </w:r>
      <w:proofErr w:type="spellEnd"/>
      <w:r>
        <w:t>.</w:t>
      </w:r>
      <w:proofErr w:type="gramEnd"/>
      <w:r>
        <w:t xml:space="preserve"> </w:t>
      </w:r>
      <w:proofErr w:type="gramStart"/>
      <w:r>
        <w:t xml:space="preserve">Prva </w:t>
      </w:r>
      <w:proofErr w:type="spellStart"/>
      <w:r>
        <w:t>regulatorna</w:t>
      </w:r>
      <w:proofErr w:type="spellEnd"/>
      <w:r>
        <w:t xml:space="preserve"> </w:t>
      </w:r>
      <w:proofErr w:type="spellStart"/>
      <w:r>
        <w:t>smernica</w:t>
      </w:r>
      <w:proofErr w:type="spellEnd"/>
      <w:r>
        <w:t xml:space="preserve">, </w:t>
      </w:r>
      <w:proofErr w:type="spellStart"/>
      <w:r>
        <w:t>ki</w:t>
      </w:r>
      <w:proofErr w:type="spellEnd"/>
      <w:r>
        <w:t xml:space="preserve"> je </w:t>
      </w:r>
      <w:proofErr w:type="spellStart"/>
      <w:r>
        <w:t>obravnavala</w:t>
      </w:r>
      <w:proofErr w:type="spellEnd"/>
      <w:r>
        <w:t xml:space="preserve"> </w:t>
      </w:r>
      <w:proofErr w:type="spellStart"/>
      <w:r>
        <w:t>nadzor</w:t>
      </w:r>
      <w:proofErr w:type="spellEnd"/>
      <w:r>
        <w:t xml:space="preserve"> </w:t>
      </w:r>
      <w:proofErr w:type="spellStart"/>
      <w:r>
        <w:t>genotoksičnih</w:t>
      </w:r>
      <w:proofErr w:type="spellEnd"/>
      <w:r>
        <w:t xml:space="preserve"> </w:t>
      </w:r>
      <w:proofErr w:type="spellStart"/>
      <w:r>
        <w:t>nečistot</w:t>
      </w:r>
      <w:proofErr w:type="spellEnd"/>
      <w:r>
        <w:t xml:space="preserve"> je </w:t>
      </w:r>
      <w:proofErr w:type="spellStart"/>
      <w:r>
        <w:t>bila</w:t>
      </w:r>
      <w:proofErr w:type="spellEnd"/>
      <w:r>
        <w:t xml:space="preserve"> </w:t>
      </w:r>
      <w:proofErr w:type="spellStart"/>
      <w:r>
        <w:t>izdana</w:t>
      </w:r>
      <w:proofErr w:type="spellEnd"/>
      <w:r>
        <w:t xml:space="preserve"> </w:t>
      </w:r>
      <w:proofErr w:type="spellStart"/>
      <w:r>
        <w:t>leta</w:t>
      </w:r>
      <w:proofErr w:type="spellEnd"/>
      <w:r>
        <w:t xml:space="preserve"> 2006, </w:t>
      </w:r>
      <w:proofErr w:type="spellStart"/>
      <w:r>
        <w:t>sledile</w:t>
      </w:r>
      <w:proofErr w:type="spellEnd"/>
      <w:r>
        <w:t xml:space="preserve"> pa so </w:t>
      </w:r>
      <w:proofErr w:type="spellStart"/>
      <w:r>
        <w:t>številne</w:t>
      </w:r>
      <w:proofErr w:type="spellEnd"/>
      <w:r>
        <w:t xml:space="preserve"> </w:t>
      </w:r>
      <w:proofErr w:type="spellStart"/>
      <w:r>
        <w:t>dopolnitve</w:t>
      </w:r>
      <w:proofErr w:type="spellEnd"/>
      <w:r>
        <w:t xml:space="preserve"> in </w:t>
      </w:r>
      <w:proofErr w:type="spellStart"/>
      <w:r>
        <w:t>izboljšave</w:t>
      </w:r>
      <w:proofErr w:type="spellEnd"/>
      <w:r>
        <w:t>.</w:t>
      </w:r>
      <w:proofErr w:type="gramEnd"/>
      <w:r>
        <w:t xml:space="preserve"> </w:t>
      </w:r>
      <w:proofErr w:type="spellStart"/>
      <w:proofErr w:type="gramStart"/>
      <w:r>
        <w:t>Junija</w:t>
      </w:r>
      <w:proofErr w:type="spellEnd"/>
      <w:r>
        <w:t xml:space="preserve"> 2014 je </w:t>
      </w:r>
      <w:proofErr w:type="spellStart"/>
      <w:r>
        <w:t>bila</w:t>
      </w:r>
      <w:proofErr w:type="spellEnd"/>
      <w:r>
        <w:t xml:space="preserve"> s </w:t>
      </w:r>
      <w:proofErr w:type="spellStart"/>
      <w:r>
        <w:t>strani</w:t>
      </w:r>
      <w:proofErr w:type="spellEnd"/>
      <w:r>
        <w:t xml:space="preserve"> </w:t>
      </w:r>
      <w:proofErr w:type="spellStart"/>
      <w:r>
        <w:t>mednarodne</w:t>
      </w:r>
      <w:proofErr w:type="spellEnd"/>
      <w:r>
        <w:t xml:space="preserve"> </w:t>
      </w:r>
      <w:proofErr w:type="spellStart"/>
      <w:r w:rsidR="00804298">
        <w:t>konference</w:t>
      </w:r>
      <w:proofErr w:type="spellEnd"/>
      <w:r>
        <w:t xml:space="preserve"> </w:t>
      </w:r>
      <w:r w:rsidR="00804298">
        <w:t xml:space="preserve">o </w:t>
      </w:r>
      <w:proofErr w:type="spellStart"/>
      <w:r w:rsidR="00804298">
        <w:t>harmonizaciji</w:t>
      </w:r>
      <w:proofErr w:type="spellEnd"/>
      <w:r>
        <w:t xml:space="preserve"> </w:t>
      </w:r>
      <w:proofErr w:type="spellStart"/>
      <w:r>
        <w:t>zahtev</w:t>
      </w:r>
      <w:proofErr w:type="spellEnd"/>
      <w:r>
        <w:t xml:space="preserve"> </w:t>
      </w:r>
      <w:proofErr w:type="spellStart"/>
      <w:r>
        <w:t>izdana</w:t>
      </w:r>
      <w:proofErr w:type="spellEnd"/>
      <w:r>
        <w:t xml:space="preserve"> </w:t>
      </w:r>
      <w:proofErr w:type="spellStart"/>
      <w:r>
        <w:t>smernica</w:t>
      </w:r>
      <w:proofErr w:type="spellEnd"/>
      <w:r>
        <w:t xml:space="preserve"> ICH M7, </w:t>
      </w:r>
      <w:proofErr w:type="spellStart"/>
      <w:r>
        <w:t>ki</w:t>
      </w:r>
      <w:proofErr w:type="spellEnd"/>
      <w:r>
        <w:t xml:space="preserve"> v </w:t>
      </w:r>
      <w:proofErr w:type="spellStart"/>
      <w:r>
        <w:t>primerjavi</w:t>
      </w:r>
      <w:proofErr w:type="spellEnd"/>
      <w:r>
        <w:t xml:space="preserve"> s </w:t>
      </w:r>
      <w:proofErr w:type="spellStart"/>
      <w:r>
        <w:t>prvotnimi</w:t>
      </w:r>
      <w:proofErr w:type="spellEnd"/>
      <w:r>
        <w:t xml:space="preserve"> </w:t>
      </w:r>
      <w:proofErr w:type="spellStart"/>
      <w:r>
        <w:t>smernicami</w:t>
      </w:r>
      <w:proofErr w:type="spellEnd"/>
      <w:r w:rsidR="00804298">
        <w:t xml:space="preserve"> </w:t>
      </w:r>
      <w:proofErr w:type="spellStart"/>
      <w:r w:rsidR="00804298">
        <w:t>ponuja</w:t>
      </w:r>
      <w:proofErr w:type="spellEnd"/>
      <w:r w:rsidR="00804298">
        <w:t xml:space="preserve"> </w:t>
      </w:r>
      <w:proofErr w:type="spellStart"/>
      <w:r w:rsidR="00804298">
        <w:t>bolj</w:t>
      </w:r>
      <w:proofErr w:type="spellEnd"/>
      <w:r w:rsidR="00804298">
        <w:t xml:space="preserve"> </w:t>
      </w:r>
      <w:proofErr w:type="spellStart"/>
      <w:r w:rsidR="00804298">
        <w:t>pragmatične</w:t>
      </w:r>
      <w:proofErr w:type="spellEnd"/>
      <w:r w:rsidR="00804298">
        <w:t xml:space="preserve"> </w:t>
      </w:r>
      <w:proofErr w:type="spellStart"/>
      <w:r w:rsidR="00804298">
        <w:t>možnosti</w:t>
      </w:r>
      <w:proofErr w:type="spellEnd"/>
      <w:r w:rsidR="00804298">
        <w:t xml:space="preserve"> </w:t>
      </w:r>
      <w:proofErr w:type="spellStart"/>
      <w:r w:rsidR="00804298">
        <w:t>za</w:t>
      </w:r>
      <w:proofErr w:type="spellEnd"/>
      <w:r w:rsidR="00804298">
        <w:t xml:space="preserve"> </w:t>
      </w:r>
      <w:proofErr w:type="spellStart"/>
      <w:r w:rsidR="00804298">
        <w:t>nadzor</w:t>
      </w:r>
      <w:proofErr w:type="spellEnd"/>
      <w:r w:rsidR="00804298">
        <w:t xml:space="preserve"> </w:t>
      </w:r>
      <w:proofErr w:type="spellStart"/>
      <w:r w:rsidR="00804298">
        <w:t>genotoksičnih</w:t>
      </w:r>
      <w:proofErr w:type="spellEnd"/>
      <w:r w:rsidR="00804298">
        <w:t xml:space="preserve"> </w:t>
      </w:r>
      <w:proofErr w:type="spellStart"/>
      <w:r w:rsidR="00804298">
        <w:t>nečistot</w:t>
      </w:r>
      <w:proofErr w:type="spellEnd"/>
      <w:r w:rsidR="00804298">
        <w:t xml:space="preserve"> v </w:t>
      </w:r>
      <w:proofErr w:type="spellStart"/>
      <w:r w:rsidR="00804298">
        <w:t>zdravilnih</w:t>
      </w:r>
      <w:proofErr w:type="spellEnd"/>
      <w:r w:rsidR="00804298">
        <w:t xml:space="preserve"> </w:t>
      </w:r>
      <w:proofErr w:type="spellStart"/>
      <w:r w:rsidR="00804298">
        <w:t>učinkovinah</w:t>
      </w:r>
      <w:proofErr w:type="spellEnd"/>
      <w:r w:rsidR="00804298">
        <w:t>.</w:t>
      </w:r>
      <w:proofErr w:type="gramEnd"/>
      <w:r>
        <w:t xml:space="preserve"> </w:t>
      </w:r>
      <w:r w:rsidR="00BD157F">
        <w:t xml:space="preserve">Poleg </w:t>
      </w:r>
      <w:proofErr w:type="spellStart"/>
      <w:r w:rsidR="00BD157F">
        <w:t>analitskega</w:t>
      </w:r>
      <w:proofErr w:type="spellEnd"/>
      <w:r w:rsidR="00BD157F">
        <w:t xml:space="preserve"> </w:t>
      </w:r>
      <w:proofErr w:type="spellStart"/>
      <w:r w:rsidR="00BD157F">
        <w:t>spremljanja</w:t>
      </w:r>
      <w:proofErr w:type="spellEnd"/>
      <w:r w:rsidR="00BD157F">
        <w:t xml:space="preserve"> </w:t>
      </w:r>
      <w:proofErr w:type="spellStart"/>
      <w:r w:rsidR="00BD157F">
        <w:t>genotoksičnih</w:t>
      </w:r>
      <w:proofErr w:type="spellEnd"/>
      <w:r w:rsidR="00BD157F">
        <w:t xml:space="preserve"> </w:t>
      </w:r>
      <w:proofErr w:type="spellStart"/>
      <w:r w:rsidR="00BD157F">
        <w:t>nečistot</w:t>
      </w:r>
      <w:proofErr w:type="spellEnd"/>
      <w:r w:rsidR="00BD157F">
        <w:t xml:space="preserve"> </w:t>
      </w:r>
      <w:proofErr w:type="spellStart"/>
      <w:r w:rsidR="00BD157F">
        <w:t>ima</w:t>
      </w:r>
      <w:proofErr w:type="spellEnd"/>
      <w:r w:rsidR="00BD157F">
        <w:t xml:space="preserve"> </w:t>
      </w:r>
      <w:proofErr w:type="spellStart"/>
      <w:r w:rsidR="00BD157F">
        <w:t>sedaj</w:t>
      </w:r>
      <w:proofErr w:type="spellEnd"/>
      <w:r w:rsidR="00BD157F">
        <w:t xml:space="preserve"> </w:t>
      </w:r>
      <w:proofErr w:type="spellStart"/>
      <w:r w:rsidR="00BD157F" w:rsidRPr="00804298">
        <w:t>farmacevtska</w:t>
      </w:r>
      <w:proofErr w:type="spellEnd"/>
      <w:r w:rsidR="00BD157F" w:rsidRPr="00804298">
        <w:t xml:space="preserve"> </w:t>
      </w:r>
      <w:proofErr w:type="spellStart"/>
      <w:r w:rsidR="00BD157F" w:rsidRPr="00804298">
        <w:t>industrija</w:t>
      </w:r>
      <w:proofErr w:type="spellEnd"/>
      <w:r w:rsidR="00BD157F">
        <w:t xml:space="preserve"> </w:t>
      </w:r>
      <w:proofErr w:type="spellStart"/>
      <w:r w:rsidR="00BD157F">
        <w:t>preko</w:t>
      </w:r>
      <w:proofErr w:type="spellEnd"/>
      <w:r w:rsidR="00BD157F">
        <w:t xml:space="preserve"> </w:t>
      </w:r>
      <w:proofErr w:type="spellStart"/>
      <w:r w:rsidR="00BD157F">
        <w:t>smernice</w:t>
      </w:r>
      <w:proofErr w:type="spellEnd"/>
      <w:r w:rsidR="00804298">
        <w:t xml:space="preserve"> ICH M7 </w:t>
      </w:r>
      <w:proofErr w:type="spellStart"/>
      <w:r w:rsidR="00BD157F">
        <w:t>možnost</w:t>
      </w:r>
      <w:proofErr w:type="spellEnd"/>
      <w:r w:rsidR="00BD157F">
        <w:t xml:space="preserve"> </w:t>
      </w:r>
      <w:proofErr w:type="spellStart"/>
      <w:r w:rsidR="00BD157F">
        <w:t>kontrolne</w:t>
      </w:r>
      <w:proofErr w:type="spellEnd"/>
      <w:r w:rsidR="00BD157F">
        <w:t xml:space="preserve"> </w:t>
      </w:r>
      <w:proofErr w:type="spellStart"/>
      <w:r w:rsidR="00BD157F">
        <w:t>strategije</w:t>
      </w:r>
      <w:proofErr w:type="spellEnd"/>
      <w:r w:rsidR="00804298">
        <w:t xml:space="preserve">, </w:t>
      </w:r>
      <w:proofErr w:type="spellStart"/>
      <w:r w:rsidR="00804298">
        <w:t>ki</w:t>
      </w:r>
      <w:proofErr w:type="spellEnd"/>
      <w:r w:rsidR="00804298">
        <w:t xml:space="preserve"> </w:t>
      </w:r>
      <w:proofErr w:type="spellStart"/>
      <w:r w:rsidR="00804298">
        <w:t>sloni</w:t>
      </w:r>
      <w:proofErr w:type="spellEnd"/>
      <w:r w:rsidR="00804298">
        <w:t xml:space="preserve"> </w:t>
      </w:r>
      <w:proofErr w:type="spellStart"/>
      <w:proofErr w:type="gramStart"/>
      <w:r w:rsidR="00804298">
        <w:t>na</w:t>
      </w:r>
      <w:proofErr w:type="spellEnd"/>
      <w:proofErr w:type="gramEnd"/>
      <w:r w:rsidR="00BD157F" w:rsidRPr="00BD157F">
        <w:t xml:space="preserve"> </w:t>
      </w:r>
      <w:proofErr w:type="spellStart"/>
      <w:r w:rsidR="00BD157F" w:rsidRPr="00804298">
        <w:t>razumevanju</w:t>
      </w:r>
      <w:proofErr w:type="spellEnd"/>
      <w:r w:rsidR="00BD157F" w:rsidRPr="00804298">
        <w:t xml:space="preserve"> </w:t>
      </w:r>
      <w:proofErr w:type="spellStart"/>
      <w:r w:rsidR="00BD157F" w:rsidRPr="00804298">
        <w:t>procesa</w:t>
      </w:r>
      <w:proofErr w:type="spellEnd"/>
      <w:r w:rsidR="00BD157F" w:rsidRPr="00804298">
        <w:t xml:space="preserve"> </w:t>
      </w:r>
      <w:proofErr w:type="spellStart"/>
      <w:r w:rsidR="00BD157F" w:rsidRPr="00804298">
        <w:t>sinteze</w:t>
      </w:r>
      <w:proofErr w:type="spellEnd"/>
      <w:r w:rsidR="00BD157F" w:rsidRPr="00804298">
        <w:t xml:space="preserve"> in </w:t>
      </w:r>
      <w:proofErr w:type="spellStart"/>
      <w:r w:rsidR="00BD157F" w:rsidRPr="00804298">
        <w:t>na</w:t>
      </w:r>
      <w:proofErr w:type="spellEnd"/>
      <w:r w:rsidR="00BD157F" w:rsidRPr="00804298">
        <w:t xml:space="preserve"> </w:t>
      </w:r>
      <w:proofErr w:type="spellStart"/>
      <w:r w:rsidR="00BD157F" w:rsidRPr="00804298">
        <w:t>oceni</w:t>
      </w:r>
      <w:proofErr w:type="spellEnd"/>
      <w:r w:rsidR="00BD157F" w:rsidRPr="00804298">
        <w:t xml:space="preserve"> </w:t>
      </w:r>
      <w:proofErr w:type="spellStart"/>
      <w:r w:rsidR="00BD157F" w:rsidRPr="00804298">
        <w:t>vpliva</w:t>
      </w:r>
      <w:proofErr w:type="spellEnd"/>
      <w:r w:rsidR="00BD157F" w:rsidRPr="00804298">
        <w:t xml:space="preserve"> </w:t>
      </w:r>
      <w:proofErr w:type="spellStart"/>
      <w:r w:rsidR="00BD157F" w:rsidRPr="00804298">
        <w:t>procesnih</w:t>
      </w:r>
      <w:proofErr w:type="spellEnd"/>
      <w:r w:rsidR="00BD157F" w:rsidRPr="00804298">
        <w:t xml:space="preserve"> </w:t>
      </w:r>
      <w:proofErr w:type="spellStart"/>
      <w:r w:rsidR="00BD157F" w:rsidRPr="00804298">
        <w:t>parametrov</w:t>
      </w:r>
      <w:proofErr w:type="spellEnd"/>
      <w:r w:rsidR="00BD157F" w:rsidRPr="00804298">
        <w:t xml:space="preserve"> </w:t>
      </w:r>
      <w:proofErr w:type="spellStart"/>
      <w:r w:rsidR="00BD157F" w:rsidRPr="00804298">
        <w:t>na</w:t>
      </w:r>
      <w:proofErr w:type="spellEnd"/>
      <w:r w:rsidR="00BD157F" w:rsidRPr="00804298">
        <w:t xml:space="preserve"> </w:t>
      </w:r>
      <w:proofErr w:type="spellStart"/>
      <w:r w:rsidR="00BD157F" w:rsidRPr="00804298">
        <w:t>nivo</w:t>
      </w:r>
      <w:proofErr w:type="spellEnd"/>
      <w:r w:rsidR="00BD157F" w:rsidRPr="00804298">
        <w:t xml:space="preserve"> </w:t>
      </w:r>
      <w:proofErr w:type="spellStart"/>
      <w:r w:rsidR="00BD157F" w:rsidRPr="00804298">
        <w:t>pridobljenih</w:t>
      </w:r>
      <w:proofErr w:type="spellEnd"/>
      <w:r w:rsidR="00BD157F" w:rsidRPr="00804298">
        <w:t xml:space="preserve"> in </w:t>
      </w:r>
      <w:proofErr w:type="spellStart"/>
      <w:r w:rsidR="00BD157F" w:rsidRPr="00804298">
        <w:t>nastalih</w:t>
      </w:r>
      <w:proofErr w:type="spellEnd"/>
      <w:r w:rsidR="00BD157F" w:rsidRPr="00804298">
        <w:t xml:space="preserve"> </w:t>
      </w:r>
      <w:proofErr w:type="spellStart"/>
      <w:r w:rsidR="00BD157F" w:rsidRPr="00804298">
        <w:t>nečistot</w:t>
      </w:r>
      <w:proofErr w:type="spellEnd"/>
      <w:r w:rsidR="00BD157F" w:rsidRPr="00804298">
        <w:t>.</w:t>
      </w:r>
      <w:r w:rsidR="00BD157F">
        <w:t xml:space="preserve"> </w:t>
      </w:r>
      <w:r w:rsidR="00BD157F" w:rsidRPr="00BD157F">
        <w:t xml:space="preserve">Ta </w:t>
      </w:r>
      <w:proofErr w:type="spellStart"/>
      <w:r w:rsidR="00BD157F" w:rsidRPr="00BD157F">
        <w:t>pristop</w:t>
      </w:r>
      <w:proofErr w:type="spellEnd"/>
      <w:r w:rsidR="00BD157F" w:rsidRPr="00BD157F">
        <w:t xml:space="preserve"> je </w:t>
      </w:r>
      <w:proofErr w:type="spellStart"/>
      <w:r w:rsidR="00BD157F" w:rsidRPr="00BD157F">
        <w:t>predlagal</w:t>
      </w:r>
      <w:proofErr w:type="spellEnd"/>
      <w:r w:rsidR="00BD157F" w:rsidRPr="00BD157F">
        <w:t xml:space="preserve"> in </w:t>
      </w:r>
      <w:proofErr w:type="spellStart"/>
      <w:r w:rsidR="00BD157F" w:rsidRPr="00BD157F">
        <w:t>prvi</w:t>
      </w:r>
      <w:proofErr w:type="spellEnd"/>
      <w:r w:rsidR="00BD157F" w:rsidRPr="00BD157F">
        <w:t xml:space="preserve"> </w:t>
      </w:r>
      <w:proofErr w:type="spellStart"/>
      <w:r w:rsidR="00BD157F" w:rsidRPr="00BD157F">
        <w:t>opisal</w:t>
      </w:r>
      <w:proofErr w:type="spellEnd"/>
      <w:r w:rsidR="00BD157F" w:rsidRPr="00BD157F">
        <w:t xml:space="preserve"> A. Teasdale s </w:t>
      </w:r>
      <w:proofErr w:type="spellStart"/>
      <w:r w:rsidR="00BD157F" w:rsidRPr="00BD157F">
        <w:t>sodelavci</w:t>
      </w:r>
      <w:proofErr w:type="spellEnd"/>
      <w:r w:rsidR="00BD157F">
        <w:t xml:space="preserve">. </w:t>
      </w:r>
      <w:proofErr w:type="spellStart"/>
      <w:r w:rsidR="00BD157F">
        <w:t>Predlagan</w:t>
      </w:r>
      <w:r w:rsidR="00782829">
        <w:t>i</w:t>
      </w:r>
      <w:proofErr w:type="spellEnd"/>
      <w:r w:rsidR="00BD157F">
        <w:t xml:space="preserve"> </w:t>
      </w:r>
      <w:proofErr w:type="spellStart"/>
      <w:r w:rsidR="00BD157F">
        <w:t>pristop</w:t>
      </w:r>
      <w:proofErr w:type="spellEnd"/>
      <w:r w:rsidR="00BD157F">
        <w:t xml:space="preserve"> </w:t>
      </w:r>
      <w:proofErr w:type="spellStart"/>
      <w:r w:rsidR="00BD157F">
        <w:t>izračuna</w:t>
      </w:r>
      <w:proofErr w:type="spellEnd"/>
      <w:r w:rsidR="00BD157F">
        <w:t xml:space="preserve"> </w:t>
      </w:r>
      <w:proofErr w:type="spellStart"/>
      <w:r w:rsidR="00BD157F">
        <w:t>teoretičnih</w:t>
      </w:r>
      <w:proofErr w:type="spellEnd"/>
      <w:r w:rsidR="00BD157F">
        <w:t xml:space="preserve"> </w:t>
      </w:r>
      <w:proofErr w:type="spellStart"/>
      <w:r w:rsidR="00BD157F">
        <w:t>faktorjev</w:t>
      </w:r>
      <w:proofErr w:type="spellEnd"/>
      <w:r w:rsidR="00BD157F">
        <w:t xml:space="preserve"> </w:t>
      </w:r>
      <w:proofErr w:type="spellStart"/>
      <w:r w:rsidR="00BD157F">
        <w:t>očiščenja</w:t>
      </w:r>
      <w:proofErr w:type="spellEnd"/>
      <w:r w:rsidR="00BD157F">
        <w:t xml:space="preserve"> je </w:t>
      </w:r>
      <w:proofErr w:type="spellStart"/>
      <w:r w:rsidR="00BD157F">
        <w:t>bil</w:t>
      </w:r>
      <w:proofErr w:type="spellEnd"/>
      <w:r w:rsidR="00BD157F">
        <w:t xml:space="preserve"> v </w:t>
      </w:r>
      <w:proofErr w:type="spellStart"/>
      <w:r w:rsidR="00BD157F">
        <w:t>zadnjih</w:t>
      </w:r>
      <w:proofErr w:type="spellEnd"/>
      <w:r w:rsidR="00BD157F">
        <w:t xml:space="preserve"> </w:t>
      </w:r>
      <w:proofErr w:type="spellStart"/>
      <w:r w:rsidR="00BD157F">
        <w:t>letih</w:t>
      </w:r>
      <w:proofErr w:type="spellEnd"/>
      <w:r w:rsidR="00BD157F">
        <w:t xml:space="preserve"> </w:t>
      </w:r>
      <w:proofErr w:type="spellStart"/>
      <w:r w:rsidR="00BD157F">
        <w:t>uporabljen</w:t>
      </w:r>
      <w:proofErr w:type="spellEnd"/>
      <w:r w:rsidR="00BD157F">
        <w:t xml:space="preserve"> </w:t>
      </w:r>
      <w:proofErr w:type="spellStart"/>
      <w:proofErr w:type="gramStart"/>
      <w:r w:rsidR="00BD157F">
        <w:t>na</w:t>
      </w:r>
      <w:proofErr w:type="spellEnd"/>
      <w:proofErr w:type="gramEnd"/>
      <w:r w:rsidR="00BD157F">
        <w:t xml:space="preserve"> </w:t>
      </w:r>
      <w:proofErr w:type="spellStart"/>
      <w:r w:rsidR="00BD157F">
        <w:t>številnih</w:t>
      </w:r>
      <w:proofErr w:type="spellEnd"/>
      <w:r w:rsidR="00BD157F">
        <w:t xml:space="preserve"> </w:t>
      </w:r>
      <w:proofErr w:type="spellStart"/>
      <w:r w:rsidR="00BD157F">
        <w:t>praktičnih</w:t>
      </w:r>
      <w:proofErr w:type="spellEnd"/>
      <w:r w:rsidR="00BD157F">
        <w:t xml:space="preserve"> </w:t>
      </w:r>
      <w:proofErr w:type="spellStart"/>
      <w:r w:rsidR="00BD157F">
        <w:t>primerih</w:t>
      </w:r>
      <w:proofErr w:type="spellEnd"/>
      <w:r w:rsidR="00BD157F">
        <w:t xml:space="preserve">. </w:t>
      </w:r>
      <w:proofErr w:type="spellStart"/>
      <w:r w:rsidR="00BD157F">
        <w:t>Objavljeni</w:t>
      </w:r>
      <w:proofErr w:type="spellEnd"/>
      <w:r w:rsidR="00BD157F">
        <w:t xml:space="preserve"> </w:t>
      </w:r>
      <w:proofErr w:type="spellStart"/>
      <w:r w:rsidR="00BD157F">
        <w:t>rezultati</w:t>
      </w:r>
      <w:proofErr w:type="spellEnd"/>
      <w:r w:rsidR="00782829">
        <w:t xml:space="preserve"> </w:t>
      </w:r>
      <w:proofErr w:type="spellStart"/>
      <w:r w:rsidR="00782829">
        <w:t>kažejo</w:t>
      </w:r>
      <w:proofErr w:type="spellEnd"/>
      <w:r w:rsidR="00782829">
        <w:t xml:space="preserve"> </w:t>
      </w:r>
      <w:proofErr w:type="spellStart"/>
      <w:proofErr w:type="gramStart"/>
      <w:r w:rsidR="00782829">
        <w:t>na</w:t>
      </w:r>
      <w:proofErr w:type="spellEnd"/>
      <w:proofErr w:type="gramEnd"/>
      <w:r w:rsidR="00782829">
        <w:t xml:space="preserve"> to, </w:t>
      </w:r>
      <w:r w:rsidR="00782829">
        <w:rPr>
          <w:rFonts w:ascii="Times New Roman" w:hAnsi="Times New Roman"/>
          <w:color w:val="000000" w:themeColor="text1"/>
          <w:szCs w:val="24"/>
          <w:lang w:val="sl-SI"/>
        </w:rPr>
        <w:t xml:space="preserve">da lahko s tem pristopom precej dobro napovemo sposobnost očiščenja nečistot skozi proces. Upati velja, da bo omenjeni pristop kmalu na voljo v obliki računalniškega orodja, ki bo splošno sprejemljiv s strani </w:t>
      </w:r>
      <w:proofErr w:type="spellStart"/>
      <w:r w:rsidR="00782829">
        <w:rPr>
          <w:rFonts w:ascii="Times New Roman" w:hAnsi="Times New Roman"/>
          <w:color w:val="000000" w:themeColor="text1"/>
          <w:szCs w:val="24"/>
          <w:lang w:val="sl-SI"/>
        </w:rPr>
        <w:t>regulatornih</w:t>
      </w:r>
      <w:proofErr w:type="spellEnd"/>
      <w:r w:rsidR="00782829">
        <w:rPr>
          <w:rFonts w:ascii="Times New Roman" w:hAnsi="Times New Roman"/>
          <w:color w:val="000000" w:themeColor="text1"/>
          <w:szCs w:val="24"/>
          <w:lang w:val="sl-SI"/>
        </w:rPr>
        <w:t xml:space="preserve"> oblasti.</w:t>
      </w:r>
    </w:p>
    <w:p w:rsidR="00FC40E3" w:rsidRPr="00782829" w:rsidRDefault="00FC40E3" w:rsidP="00175541">
      <w:pPr>
        <w:pStyle w:val="TAMainText"/>
        <w:spacing w:line="360" w:lineRule="auto"/>
        <w:ind w:firstLine="0"/>
        <w:jc w:val="left"/>
        <w:rPr>
          <w:lang w:val="sl-SI"/>
        </w:rPr>
      </w:pPr>
    </w:p>
    <w:p w:rsidR="00ED1A8C" w:rsidRPr="00FC40E3" w:rsidRDefault="00ED1A8C" w:rsidP="00175541">
      <w:pPr>
        <w:pStyle w:val="TAMainText"/>
        <w:spacing w:line="360" w:lineRule="auto"/>
        <w:ind w:firstLine="0"/>
        <w:jc w:val="left"/>
        <w:rPr>
          <w:b/>
        </w:rPr>
      </w:pPr>
      <w:r w:rsidRPr="00FC40E3">
        <w:rPr>
          <w:b/>
        </w:rPr>
        <w:t>1. I</w:t>
      </w:r>
      <w:r w:rsidR="00FC40E3">
        <w:rPr>
          <w:b/>
        </w:rPr>
        <w:t>ntroduction</w:t>
      </w:r>
    </w:p>
    <w:p w:rsidR="00F536D8" w:rsidRDefault="00F536D8" w:rsidP="00175541">
      <w:pPr>
        <w:pStyle w:val="TAMainText"/>
        <w:spacing w:line="360" w:lineRule="auto"/>
        <w:ind w:firstLine="0"/>
        <w:jc w:val="left"/>
      </w:pPr>
      <w:r>
        <w:t xml:space="preserve">The need to investigate the potential genotoxicity of drugs resulted from several incidents in the past </w:t>
      </w:r>
      <w:r w:rsidR="007E3436">
        <w:t xml:space="preserve">and is nowadays a serious matter of concern for pharmaceutical industry. </w:t>
      </w:r>
      <w:r w:rsidR="00C91717">
        <w:t xml:space="preserve">According to the definition given in </w:t>
      </w:r>
      <w:r w:rsidR="007B761D">
        <w:t xml:space="preserve">the International Conference on </w:t>
      </w:r>
      <w:proofErr w:type="spellStart"/>
      <w:r w:rsidR="007B761D">
        <w:t>Harmonisation</w:t>
      </w:r>
      <w:proofErr w:type="spellEnd"/>
      <w:r w:rsidR="007B761D">
        <w:t xml:space="preserve"> (</w:t>
      </w:r>
      <w:r w:rsidR="00C91717">
        <w:t>ICH</w:t>
      </w:r>
      <w:r w:rsidR="007B761D">
        <w:t>)</w:t>
      </w:r>
      <w:r w:rsidR="00C91717">
        <w:t xml:space="preserve"> M7</w:t>
      </w:r>
      <w:r w:rsidR="00FC40E3">
        <w:t xml:space="preserve"> guideline</w:t>
      </w:r>
      <w:proofErr w:type="gramStart"/>
      <w:r w:rsidR="00D64401">
        <w:t>,</w:t>
      </w:r>
      <w:r w:rsidR="00DE3682">
        <w:rPr>
          <w:vertAlign w:val="superscript"/>
        </w:rPr>
        <w:t>1</w:t>
      </w:r>
      <w:proofErr w:type="gramEnd"/>
      <w:r w:rsidR="00D64401">
        <w:t xml:space="preserve"> </w:t>
      </w:r>
      <w:r w:rsidR="00C91717" w:rsidRPr="009D7DDE">
        <w:rPr>
          <w:i/>
        </w:rPr>
        <w:t>genotoxicity</w:t>
      </w:r>
      <w:r w:rsidR="00C91717">
        <w:t xml:space="preserve"> </w:t>
      </w:r>
      <w:r w:rsidR="00A3436E">
        <w:t xml:space="preserve">refers to any deleterious change in </w:t>
      </w:r>
      <w:r w:rsidR="00C91717">
        <w:t xml:space="preserve">the </w:t>
      </w:r>
      <w:r w:rsidR="00A3436E">
        <w:t>genetic material regardless of the mechanism by which the change</w:t>
      </w:r>
      <w:r w:rsidR="007E3436">
        <w:t xml:space="preserve"> is induced, whereas the term </w:t>
      </w:r>
      <w:r w:rsidR="007E3436">
        <w:rPr>
          <w:i/>
        </w:rPr>
        <w:t xml:space="preserve">mutagen </w:t>
      </w:r>
      <w:r w:rsidR="007E3436">
        <w:t>refers to a substance that induces mutation</w:t>
      </w:r>
      <w:r w:rsidR="0096598E">
        <w:t xml:space="preserve"> which is </w:t>
      </w:r>
      <w:r w:rsidR="006027FB">
        <w:t>a heritable change in cells or organisms</w:t>
      </w:r>
      <w:r w:rsidR="007E3436">
        <w:t>.</w:t>
      </w:r>
      <w:r w:rsidR="00420E9E">
        <w:rPr>
          <w:vertAlign w:val="superscript"/>
        </w:rPr>
        <w:t>2</w:t>
      </w:r>
      <w:r w:rsidR="0096598E">
        <w:rPr>
          <w:vertAlign w:val="superscript"/>
        </w:rPr>
        <w:t xml:space="preserve"> </w:t>
      </w:r>
      <w:r w:rsidR="00FC40E3">
        <w:t>I</w:t>
      </w:r>
      <w:r w:rsidR="007E3436">
        <w:t>t should be stressed that not all DNA damage results in mutation.</w:t>
      </w:r>
      <w:r w:rsidR="00F87735">
        <w:t xml:space="preserve"> </w:t>
      </w:r>
      <w:r w:rsidR="00FC40E3">
        <w:t>However</w:t>
      </w:r>
      <w:r w:rsidR="009D7DDE">
        <w:t>,</w:t>
      </w:r>
      <w:r w:rsidR="002B34E8">
        <w:t xml:space="preserve"> many mutagens have the </w:t>
      </w:r>
      <w:r w:rsidR="002B34E8" w:rsidRPr="00C26DD1">
        <w:t>ability to induce cancer</w:t>
      </w:r>
      <w:r w:rsidR="002B34E8">
        <w:t xml:space="preserve"> since the</w:t>
      </w:r>
      <w:r w:rsidR="00953974">
        <w:t>re is a strong correlation</w:t>
      </w:r>
      <w:r w:rsidR="009D7DDE">
        <w:t xml:space="preserve"> between</w:t>
      </w:r>
      <w:r w:rsidR="00953974">
        <w:t xml:space="preserve"> </w:t>
      </w:r>
      <w:r w:rsidR="002B34E8">
        <w:t>mutagenicity and carcinogenicity.</w:t>
      </w:r>
      <w:r w:rsidR="002B34E8">
        <w:rPr>
          <w:vertAlign w:val="superscript"/>
        </w:rPr>
        <w:t xml:space="preserve">2 </w:t>
      </w:r>
      <w:proofErr w:type="gramStart"/>
      <w:r w:rsidR="0096598E">
        <w:t>Without</w:t>
      </w:r>
      <w:proofErr w:type="gramEnd"/>
      <w:r w:rsidR="0096598E">
        <w:t xml:space="preserve"> a doubt, mutagenicity and consequently potential carcinogenicity are strongly undesirable in relation to the use of medicines. </w:t>
      </w:r>
      <w:r w:rsidR="00DA026C">
        <w:t>However, in some cases, e.g.</w:t>
      </w:r>
      <w:r w:rsidR="00087CBD">
        <w:t>,</w:t>
      </w:r>
      <w:r w:rsidR="00DA026C">
        <w:t xml:space="preserve"> for treating life-threatening conditions, the use of drugs with higher risk may be acceptable. </w:t>
      </w:r>
      <w:r w:rsidR="00B60076">
        <w:t xml:space="preserve">While </w:t>
      </w:r>
      <w:r w:rsidR="00FD3220">
        <w:t xml:space="preserve">a safe medicinal product is one with acceptable risk/benefit ratio, the same is not true for impurities found in drug substances and </w:t>
      </w:r>
      <w:r w:rsidR="00FD3220">
        <w:lastRenderedPageBreak/>
        <w:t>drug products; as impurities convey only risk with no associated benefit.</w:t>
      </w:r>
      <w:r w:rsidR="00001A79">
        <w:t xml:space="preserve"> </w:t>
      </w:r>
      <w:r w:rsidR="00FD45BC">
        <w:t>Genotoxic impurities (</w:t>
      </w:r>
      <w:r w:rsidR="008A32DC">
        <w:t>GTIs</w:t>
      </w:r>
      <w:r w:rsidR="00583B04">
        <w:t>)</w:t>
      </w:r>
      <w:r w:rsidR="008A32DC">
        <w:t xml:space="preserve"> in drug substances </w:t>
      </w:r>
      <w:r w:rsidR="00FD45BC">
        <w:t xml:space="preserve">are </w:t>
      </w:r>
      <w:r w:rsidR="008A32DC">
        <w:t xml:space="preserve">mainly </w:t>
      </w:r>
      <w:r w:rsidR="00FD45BC">
        <w:t>the consequence</w:t>
      </w:r>
      <w:r w:rsidR="008A32DC">
        <w:t xml:space="preserve"> </w:t>
      </w:r>
      <w:r w:rsidR="00FD45BC">
        <w:t xml:space="preserve">of </w:t>
      </w:r>
      <w:r w:rsidR="008A32DC">
        <w:t>us</w:t>
      </w:r>
      <w:r w:rsidR="00FD45BC">
        <w:t>ing</w:t>
      </w:r>
      <w:r w:rsidR="008A32DC">
        <w:t xml:space="preserve"> electrophilic reagents </w:t>
      </w:r>
      <w:r w:rsidR="00FD45BC">
        <w:t>for</w:t>
      </w:r>
      <w:r w:rsidR="005A31B8">
        <w:t xml:space="preserve"> build</w:t>
      </w:r>
      <w:r w:rsidR="00FD45BC">
        <w:t>ing</w:t>
      </w:r>
      <w:r w:rsidR="005A31B8">
        <w:t xml:space="preserve"> up the molecular structure. I</w:t>
      </w:r>
      <w:r w:rsidR="008A32DC">
        <w:t xml:space="preserve">f </w:t>
      </w:r>
      <w:r w:rsidR="005A31B8">
        <w:t xml:space="preserve">they don’t react </w:t>
      </w:r>
      <w:r w:rsidR="008A32DC">
        <w:t xml:space="preserve">completely, </w:t>
      </w:r>
      <w:r w:rsidR="005A31B8">
        <w:t xml:space="preserve">they </w:t>
      </w:r>
      <w:r w:rsidR="008A32DC">
        <w:t>can persist in the reaction mixture and may be carried</w:t>
      </w:r>
      <w:r w:rsidR="002B5F93">
        <w:t xml:space="preserve"> </w:t>
      </w:r>
      <w:r w:rsidR="00FD45BC">
        <w:t>on</w:t>
      </w:r>
      <w:r w:rsidR="002B5F93">
        <w:t>ward in the synthesis. Due to their high reactivity they can also react with the DNA and potentially</w:t>
      </w:r>
      <w:r w:rsidR="002B5F93" w:rsidRPr="002B5F93">
        <w:t xml:space="preserve"> induce genetic mutations</w:t>
      </w:r>
      <w:r w:rsidR="002B5F93">
        <w:t>.</w:t>
      </w:r>
      <w:r w:rsidR="008A32DC">
        <w:t xml:space="preserve"> </w:t>
      </w:r>
      <w:r w:rsidR="00001A79">
        <w:t xml:space="preserve">For this reason regulatory agencies established standards </w:t>
      </w:r>
      <w:r w:rsidR="00C7163B">
        <w:t>which</w:t>
      </w:r>
      <w:r w:rsidR="00001A79">
        <w:t xml:space="preserve"> assure that unavoidable impurities are limited to have no or acceptable levels of risk.</w:t>
      </w:r>
      <w:r w:rsidR="00C7163B">
        <w:rPr>
          <w:vertAlign w:val="superscript"/>
        </w:rPr>
        <w:t xml:space="preserve">3 </w:t>
      </w:r>
      <w:r w:rsidR="00A043F2">
        <w:t>Identification and control of potential mutagenic/genotoxic impurities in drug substances or drug products is still a challenging task for pharmaceutical companies. Hence, an overview of</w:t>
      </w:r>
      <w:r w:rsidR="00A16ABF">
        <w:t xml:space="preserve"> regulatory guidelines will be presented</w:t>
      </w:r>
      <w:r w:rsidR="00A043F2">
        <w:t xml:space="preserve"> </w:t>
      </w:r>
      <w:r w:rsidR="00A16ABF">
        <w:t xml:space="preserve">in this review article, together with </w:t>
      </w:r>
      <w:r w:rsidR="00A043F2">
        <w:t>identification and control strategies</w:t>
      </w:r>
      <w:r w:rsidR="00A16ABF">
        <w:t xml:space="preserve">, especially </w:t>
      </w:r>
      <w:r w:rsidR="000D3100">
        <w:t>the theoretical purge factor determination</w:t>
      </w:r>
      <w:r w:rsidR="007B194E">
        <w:t xml:space="preserve"> approach</w:t>
      </w:r>
      <w:r w:rsidR="00941BA3" w:rsidRPr="00941BA3">
        <w:t xml:space="preserve"> </w:t>
      </w:r>
      <w:r w:rsidR="00941BA3">
        <w:t>and its practical application</w:t>
      </w:r>
      <w:r w:rsidR="000D3100">
        <w:t>.</w:t>
      </w:r>
    </w:p>
    <w:p w:rsidR="00DD238A" w:rsidRDefault="00DD238A" w:rsidP="00175541">
      <w:pPr>
        <w:pStyle w:val="TAMainText"/>
        <w:spacing w:line="360" w:lineRule="auto"/>
        <w:ind w:firstLine="0"/>
        <w:jc w:val="left"/>
        <w:rPr>
          <w:b/>
        </w:rPr>
      </w:pPr>
    </w:p>
    <w:p w:rsidR="00DD238A" w:rsidRDefault="00DD238A" w:rsidP="00175541">
      <w:pPr>
        <w:pStyle w:val="TAMainText"/>
        <w:spacing w:line="360" w:lineRule="auto"/>
        <w:ind w:firstLine="0"/>
        <w:jc w:val="left"/>
        <w:rPr>
          <w:b/>
        </w:rPr>
      </w:pPr>
      <w:r>
        <w:rPr>
          <w:b/>
        </w:rPr>
        <w:t>2. Historical background</w:t>
      </w:r>
    </w:p>
    <w:p w:rsidR="007F543C" w:rsidRPr="007F543C" w:rsidRDefault="00C7163B" w:rsidP="00175541">
      <w:pPr>
        <w:pStyle w:val="TAMainText"/>
        <w:spacing w:line="360" w:lineRule="auto"/>
        <w:ind w:firstLine="0"/>
        <w:jc w:val="left"/>
        <w:rPr>
          <w:vertAlign w:val="superscript"/>
        </w:rPr>
      </w:pPr>
      <w:r>
        <w:t>As already mentioned in the introduction, the risk related to the potential presence of GTIs emerged</w:t>
      </w:r>
      <w:r w:rsidR="0070353F">
        <w:t xml:space="preserve"> from various events in the past.</w:t>
      </w:r>
      <w:r w:rsidR="00A77389">
        <w:t xml:space="preserve"> In 2000 a first article regarding GTI</w:t>
      </w:r>
      <w:r w:rsidR="00372F9A">
        <w:t>s</w:t>
      </w:r>
      <w:r w:rsidR="00583B04">
        <w:t>’</w:t>
      </w:r>
      <w:r w:rsidR="00372F9A">
        <w:t xml:space="preserve"> related concern was published, i.e. </w:t>
      </w:r>
      <w:r w:rsidR="00A77389">
        <w:t>an enquiry by</w:t>
      </w:r>
      <w:r w:rsidR="00583B04">
        <w:t xml:space="preserve"> the</w:t>
      </w:r>
      <w:r w:rsidR="00A77389">
        <w:t xml:space="preserve"> </w:t>
      </w:r>
      <w:r w:rsidR="00A95F5E">
        <w:rPr>
          <w:rFonts w:cs="Times"/>
          <w:noProof/>
        </w:rPr>
        <w:t>European Directorate for the Quality of Medicines and Healthcare (EDQM)</w:t>
      </w:r>
      <w:r w:rsidR="00A77389">
        <w:t xml:space="preserve"> on </w:t>
      </w:r>
      <w:r w:rsidR="00A95F5E">
        <w:t xml:space="preserve">alkyl </w:t>
      </w:r>
      <w:proofErr w:type="spellStart"/>
      <w:r w:rsidR="00A95F5E">
        <w:t>mes</w:t>
      </w:r>
      <w:r w:rsidR="009A4075">
        <w:t>y</w:t>
      </w:r>
      <w:r w:rsidR="00A95F5E">
        <w:t>la</w:t>
      </w:r>
      <w:r w:rsidR="00852E4D">
        <w:t>te</w:t>
      </w:r>
      <w:proofErr w:type="spellEnd"/>
      <w:r w:rsidR="00852E4D">
        <w:t xml:space="preserve"> impurities in </w:t>
      </w:r>
      <w:proofErr w:type="spellStart"/>
      <w:r w:rsidR="00852E4D">
        <w:t>mes</w:t>
      </w:r>
      <w:r w:rsidR="009A4075">
        <w:t>y</w:t>
      </w:r>
      <w:r w:rsidR="00852E4D">
        <w:t>late</w:t>
      </w:r>
      <w:proofErr w:type="spellEnd"/>
      <w:r w:rsidR="00852E4D">
        <w:t xml:space="preserve"> salts.</w:t>
      </w:r>
      <w:r w:rsidR="00852E4D">
        <w:rPr>
          <w:vertAlign w:val="superscript"/>
        </w:rPr>
        <w:t>4</w:t>
      </w:r>
      <w:r w:rsidR="00372F9A">
        <w:t xml:space="preserve"> </w:t>
      </w:r>
      <w:r w:rsidR="00355418">
        <w:t xml:space="preserve">This publication </w:t>
      </w:r>
      <w:r w:rsidR="00F27A02">
        <w:t>was</w:t>
      </w:r>
      <w:r w:rsidR="00783587">
        <w:t xml:space="preserve"> the</w:t>
      </w:r>
      <w:r w:rsidR="00F27A02">
        <w:t xml:space="preserve"> first that </w:t>
      </w:r>
      <w:r w:rsidR="00355418">
        <w:t>revealed the potential risk of formation of sulfonate esters during a salt formation process with sulfonic acids in alcoholic solutions</w:t>
      </w:r>
      <w:r w:rsidR="00847AAE">
        <w:t xml:space="preserve"> and it is now considered as a milestone indicating a beginning of genotoxicity risk</w:t>
      </w:r>
      <w:r w:rsidR="00583B04">
        <w:t xml:space="preserve"> awareness</w:t>
      </w:r>
      <w:r w:rsidR="00847AAE">
        <w:t>.</w:t>
      </w:r>
      <w:r w:rsidR="00355418">
        <w:rPr>
          <w:vertAlign w:val="superscript"/>
        </w:rPr>
        <w:t>4</w:t>
      </w:r>
      <w:r w:rsidR="00852E4D">
        <w:rPr>
          <w:vertAlign w:val="superscript"/>
        </w:rPr>
        <w:t>, 5</w:t>
      </w:r>
      <w:r w:rsidR="00355418">
        <w:t xml:space="preserve"> Two years later, in December 2002, </w:t>
      </w:r>
      <w:r w:rsidR="00294E6C">
        <w:t>the Committee for Proprietary Medicinal Products (CPMP) which was later renamed to Committee for Human Medicinal Products (CHMP), published a position paper on th</w:t>
      </w:r>
      <w:r w:rsidR="00FB4432">
        <w:t>e limits of GTIs</w:t>
      </w:r>
      <w:r w:rsidR="00294E6C">
        <w:t>.</w:t>
      </w:r>
      <w:r w:rsidR="00294E6C">
        <w:rPr>
          <w:vertAlign w:val="superscript"/>
        </w:rPr>
        <w:t>6</w:t>
      </w:r>
      <w:r w:rsidR="00FB4432">
        <w:t xml:space="preserve"> The position paper was, after being significantly revised, </w:t>
      </w:r>
      <w:r w:rsidR="004F0D64">
        <w:t xml:space="preserve">released as a </w:t>
      </w:r>
      <w:r w:rsidR="00F27A02">
        <w:t>draft guideline in June 200</w:t>
      </w:r>
      <w:r w:rsidR="004F0D64">
        <w:t>4.</w:t>
      </w:r>
      <w:r w:rsidR="004F0D64" w:rsidRPr="004F0D64">
        <w:rPr>
          <w:vertAlign w:val="superscript"/>
        </w:rPr>
        <w:t>7</w:t>
      </w:r>
      <w:r w:rsidR="00F27A02">
        <w:rPr>
          <w:vertAlign w:val="superscript"/>
        </w:rPr>
        <w:t xml:space="preserve"> </w:t>
      </w:r>
      <w:r w:rsidR="006A3199">
        <w:t xml:space="preserve">The awareness of genotoxic risk was </w:t>
      </w:r>
      <w:r w:rsidR="00783587">
        <w:t xml:space="preserve">significantly </w:t>
      </w:r>
      <w:r w:rsidR="006A3199">
        <w:t xml:space="preserve">increased by the prominent incident of </w:t>
      </w:r>
      <w:proofErr w:type="spellStart"/>
      <w:r w:rsidR="006A3199">
        <w:t>Viracept</w:t>
      </w:r>
      <w:proofErr w:type="spellEnd"/>
      <w:r w:rsidR="006A3199">
        <w:rPr>
          <w:rFonts w:ascii="Calibri" w:hAnsi="Calibri" w:cs="Calibri"/>
        </w:rPr>
        <w:t>®</w:t>
      </w:r>
      <w:r w:rsidR="006A3199">
        <w:t xml:space="preserve"> in</w:t>
      </w:r>
      <w:r w:rsidR="002C2FC9">
        <w:t xml:space="preserve"> 2007</w:t>
      </w:r>
      <w:r w:rsidR="006A3199">
        <w:t xml:space="preserve">. In June </w:t>
      </w:r>
      <w:r w:rsidR="00583B04">
        <w:t xml:space="preserve">of </w:t>
      </w:r>
      <w:r w:rsidR="006A3199">
        <w:t>that year</w:t>
      </w:r>
      <w:r w:rsidR="002C2FC9">
        <w:t xml:space="preserve"> excess levels of </w:t>
      </w:r>
      <w:r w:rsidR="006A3199">
        <w:t>ethyl methane sulfonate (</w:t>
      </w:r>
      <w:r w:rsidR="002C2FC9">
        <w:t>EMS</w:t>
      </w:r>
      <w:r w:rsidR="006A3199">
        <w:t>)</w:t>
      </w:r>
      <w:r w:rsidR="002C2FC9">
        <w:t xml:space="preserve"> were detected</w:t>
      </w:r>
      <w:r w:rsidR="006A3199">
        <w:t xml:space="preserve"> in the nelfinavir </w:t>
      </w:r>
      <w:proofErr w:type="spellStart"/>
      <w:r w:rsidR="006A3199">
        <w:t>mesylate</w:t>
      </w:r>
      <w:proofErr w:type="spellEnd"/>
      <w:r w:rsidR="006A3199">
        <w:t xml:space="preserve"> active substance, manufactured by Roche Registration Ltd. </w:t>
      </w:r>
      <w:r w:rsidR="002C2FC9">
        <w:t xml:space="preserve">EMS </w:t>
      </w:r>
      <w:r w:rsidR="00783587">
        <w:t>is</w:t>
      </w:r>
      <w:r w:rsidR="002C2FC9">
        <w:t xml:space="preserve"> a process-related impurity </w:t>
      </w:r>
      <w:r w:rsidR="00783587">
        <w:t xml:space="preserve">that was </w:t>
      </w:r>
      <w:r w:rsidR="002C2FC9">
        <w:t>formed</w:t>
      </w:r>
      <w:r w:rsidR="007F543C">
        <w:t xml:space="preserve"> during manufacture of </w:t>
      </w:r>
      <w:proofErr w:type="spellStart"/>
      <w:r w:rsidR="007F543C">
        <w:t>Viracept</w:t>
      </w:r>
      <w:proofErr w:type="spellEnd"/>
      <w:r w:rsidR="007F543C">
        <w:t xml:space="preserve"> due to </w:t>
      </w:r>
      <w:r w:rsidR="00583B04">
        <w:t xml:space="preserve">an </w:t>
      </w:r>
      <w:r w:rsidR="007F543C">
        <w:t>inadvertent reaction between methane sulfonic acid</w:t>
      </w:r>
      <w:r w:rsidR="002C2FC9">
        <w:t xml:space="preserve"> </w:t>
      </w:r>
      <w:r w:rsidR="007F543C">
        <w:t xml:space="preserve">used in the </w:t>
      </w:r>
      <w:r w:rsidR="00FB428C">
        <w:t>active pharmaceutical ingredient (</w:t>
      </w:r>
      <w:r w:rsidR="007F543C">
        <w:t>API</w:t>
      </w:r>
      <w:r w:rsidR="00FB428C">
        <w:t>)</w:t>
      </w:r>
      <w:r w:rsidR="007F543C">
        <w:t xml:space="preserve"> salt formation and the solvent ethanol which was used to clean the </w:t>
      </w:r>
      <w:r w:rsidR="00583B04">
        <w:t>acid</w:t>
      </w:r>
      <w:r w:rsidR="007F543C">
        <w:t xml:space="preserve"> storage </w:t>
      </w:r>
      <w:r w:rsidR="00583B04">
        <w:t>tank</w:t>
      </w:r>
      <w:r w:rsidR="007F543C">
        <w:t xml:space="preserve">. Since EMS is a potential human carcinogen, </w:t>
      </w:r>
      <w:r w:rsidR="002C2FC9">
        <w:t>Roche</w:t>
      </w:r>
      <w:r w:rsidR="007F543C">
        <w:t xml:space="preserve"> had to recall</w:t>
      </w:r>
      <w:r w:rsidR="002C2FC9">
        <w:t xml:space="preserve"> the product from the European Union</w:t>
      </w:r>
      <w:r w:rsidR="007F543C">
        <w:t xml:space="preserve"> markets immediate</w:t>
      </w:r>
      <w:r w:rsidR="00583B04">
        <w:t>ly</w:t>
      </w:r>
      <w:r w:rsidR="007F543C">
        <w:t>.</w:t>
      </w:r>
      <w:r w:rsidR="007F543C">
        <w:rPr>
          <w:vertAlign w:val="superscript"/>
        </w:rPr>
        <w:t>8</w:t>
      </w:r>
    </w:p>
    <w:p w:rsidR="00FB428C" w:rsidRDefault="00FB428C" w:rsidP="00175541">
      <w:pPr>
        <w:pStyle w:val="TAMainText"/>
        <w:spacing w:line="360" w:lineRule="auto"/>
        <w:ind w:firstLine="0"/>
        <w:jc w:val="left"/>
      </w:pPr>
    </w:p>
    <w:p w:rsidR="00FB428C" w:rsidRPr="00FB428C" w:rsidRDefault="00FB428C" w:rsidP="00175541">
      <w:pPr>
        <w:pStyle w:val="TAMainText"/>
        <w:spacing w:line="360" w:lineRule="auto"/>
        <w:ind w:firstLine="0"/>
        <w:jc w:val="left"/>
        <w:rPr>
          <w:b/>
        </w:rPr>
      </w:pPr>
      <w:r>
        <w:rPr>
          <w:b/>
        </w:rPr>
        <w:t>3. Regulatory guidelines</w:t>
      </w:r>
      <w:r w:rsidR="000D3100" w:rsidRPr="00FB428C">
        <w:rPr>
          <w:b/>
        </w:rPr>
        <w:t xml:space="preserve"> </w:t>
      </w:r>
    </w:p>
    <w:p w:rsidR="00AD155E" w:rsidRPr="00FB428C" w:rsidRDefault="00FB428C" w:rsidP="00175541">
      <w:pPr>
        <w:pStyle w:val="TAMainText"/>
        <w:spacing w:line="360" w:lineRule="auto"/>
        <w:ind w:firstLine="0"/>
        <w:jc w:val="left"/>
        <w:rPr>
          <w:b/>
        </w:rPr>
      </w:pPr>
      <w:r w:rsidRPr="00FB428C">
        <w:rPr>
          <w:b/>
        </w:rPr>
        <w:t xml:space="preserve">3.1 </w:t>
      </w:r>
      <w:r w:rsidR="002B5F93">
        <w:rPr>
          <w:b/>
        </w:rPr>
        <w:t>EM</w:t>
      </w:r>
      <w:r w:rsidR="00AD155E" w:rsidRPr="00FB428C">
        <w:rPr>
          <w:b/>
        </w:rPr>
        <w:t xml:space="preserve">A </w:t>
      </w:r>
      <w:r w:rsidRPr="00FB428C">
        <w:rPr>
          <w:b/>
        </w:rPr>
        <w:t>guideline on the limits of genotoxic impurities</w:t>
      </w:r>
    </w:p>
    <w:p w:rsidR="004D4C7E" w:rsidRDefault="00372F9A" w:rsidP="004D4C7E">
      <w:pPr>
        <w:pStyle w:val="TAMainText"/>
        <w:spacing w:line="360" w:lineRule="auto"/>
        <w:ind w:firstLine="0"/>
        <w:jc w:val="left"/>
      </w:pPr>
      <w:r>
        <w:t>T</w:t>
      </w:r>
      <w:r w:rsidR="00DE7D56">
        <w:t>he first</w:t>
      </w:r>
      <w:r>
        <w:t xml:space="preserve"> guideline</w:t>
      </w:r>
      <w:r w:rsidR="00DE7D56">
        <w:t xml:space="preserve"> that </w:t>
      </w:r>
      <w:r w:rsidR="00AD155E">
        <w:t xml:space="preserve">addressed </w:t>
      </w:r>
      <w:r w:rsidR="00E44E5C">
        <w:t>the control of</w:t>
      </w:r>
      <w:r w:rsidR="00AD155E">
        <w:t xml:space="preserve"> GTIs in</w:t>
      </w:r>
      <w:r w:rsidR="000613E7">
        <w:t xml:space="preserve"> </w:t>
      </w:r>
      <w:r w:rsidR="00AD155E">
        <w:t>marketing applications for pharmaceuticals</w:t>
      </w:r>
      <w:r w:rsidR="00957C37">
        <w:t xml:space="preserve"> was the European Medicines Agency (EMA, formerly EMEA) guideline</w:t>
      </w:r>
      <w:r w:rsidR="00F50E78">
        <w:t>,</w:t>
      </w:r>
      <w:r w:rsidR="00957C37">
        <w:rPr>
          <w:vertAlign w:val="superscript"/>
        </w:rPr>
        <w:t xml:space="preserve">9 </w:t>
      </w:r>
      <w:r w:rsidR="00957C37">
        <w:t xml:space="preserve">finalized in 2006 (draft published in June 2004). </w:t>
      </w:r>
      <w:r w:rsidR="00E44E5C">
        <w:t>Before its implementation</w:t>
      </w:r>
      <w:r w:rsidR="00023511">
        <w:t>,</w:t>
      </w:r>
      <w:r w:rsidR="00957C37">
        <w:t xml:space="preserve"> the issue of impurities with</w:t>
      </w:r>
      <w:r w:rsidR="00E44E5C">
        <w:t xml:space="preserve"> genotoxic potential was not specifically covered by the existing guidelines for quali</w:t>
      </w:r>
      <w:r w:rsidR="001516F2">
        <w:t xml:space="preserve">fication of impurities (ICH Q3A </w:t>
      </w:r>
      <w:r w:rsidR="00E44E5C">
        <w:t>(R2)</w:t>
      </w:r>
      <w:r w:rsidR="001516F2">
        <w:rPr>
          <w:vertAlign w:val="superscript"/>
        </w:rPr>
        <w:t>10</w:t>
      </w:r>
      <w:r w:rsidR="00E44E5C">
        <w:t>/</w:t>
      </w:r>
      <w:proofErr w:type="gramStart"/>
      <w:r w:rsidR="00E44E5C">
        <w:t>Q3B(</w:t>
      </w:r>
      <w:proofErr w:type="gramEnd"/>
      <w:r w:rsidR="00E44E5C">
        <w:t>R2)</w:t>
      </w:r>
      <w:r w:rsidR="001516F2">
        <w:rPr>
          <w:vertAlign w:val="superscript"/>
        </w:rPr>
        <w:t>11</w:t>
      </w:r>
      <w:r w:rsidR="00273BAE">
        <w:t>/Q3C (R5</w:t>
      </w:r>
      <w:r w:rsidR="00E44E5C">
        <w:t>)</w:t>
      </w:r>
      <w:r w:rsidR="001516F2">
        <w:rPr>
          <w:vertAlign w:val="superscript"/>
        </w:rPr>
        <w:t>12</w:t>
      </w:r>
      <w:r w:rsidR="00273BAE">
        <w:t>/Q3D</w:t>
      </w:r>
      <w:r w:rsidR="00273BAE">
        <w:rPr>
          <w:vertAlign w:val="superscript"/>
        </w:rPr>
        <w:t>13</w:t>
      </w:r>
      <w:r w:rsidR="00023511">
        <w:t>).</w:t>
      </w:r>
      <w:r w:rsidR="00363C57">
        <w:t xml:space="preserve"> In the context of the </w:t>
      </w:r>
      <w:r w:rsidR="00957C37">
        <w:t xml:space="preserve">EMA </w:t>
      </w:r>
      <w:r w:rsidR="00363C57">
        <w:t>guideline</w:t>
      </w:r>
      <w:proofErr w:type="gramStart"/>
      <w:r w:rsidR="00F50E78">
        <w:t>,</w:t>
      </w:r>
      <w:r w:rsidR="007145D6">
        <w:rPr>
          <w:vertAlign w:val="superscript"/>
        </w:rPr>
        <w:t>9</w:t>
      </w:r>
      <w:proofErr w:type="gramEnd"/>
      <w:r w:rsidR="00363C57">
        <w:t xml:space="preserve"> the term </w:t>
      </w:r>
      <w:r w:rsidR="00363C57" w:rsidRPr="00A62826">
        <w:rPr>
          <w:i/>
        </w:rPr>
        <w:t>genotoxic impurity</w:t>
      </w:r>
      <w:r w:rsidR="00363C57">
        <w:t xml:space="preserve"> refers to positive findings in established </w:t>
      </w:r>
      <w:r w:rsidR="00363C57" w:rsidRPr="00363C57">
        <w:rPr>
          <w:i/>
        </w:rPr>
        <w:t>in vitro</w:t>
      </w:r>
      <w:r w:rsidR="00363C57">
        <w:t xml:space="preserve"> or </w:t>
      </w:r>
      <w:r w:rsidR="00363C57" w:rsidRPr="00363C57">
        <w:rPr>
          <w:i/>
        </w:rPr>
        <w:t>in vivo</w:t>
      </w:r>
      <w:r w:rsidR="00363C57">
        <w:t xml:space="preserve"> genotoxicity tests with the main focus on DNA reactive substances</w:t>
      </w:r>
      <w:r w:rsidR="009D0EDC">
        <w:t>.</w:t>
      </w:r>
      <w:r w:rsidR="00D227EF">
        <w:t xml:space="preserve"> </w:t>
      </w:r>
      <w:r w:rsidR="00A210DE">
        <w:t>GTIs</w:t>
      </w:r>
      <w:r w:rsidR="00D227EF">
        <w:t xml:space="preserve"> may be classified as those with sufficient or those without sufficient (experimental) evidence for a threshold-related mechanism of genotoxicity. For compounds wit</w:t>
      </w:r>
      <w:r w:rsidR="00A210DE">
        <w:t>h clear evidence for threshold</w:t>
      </w:r>
      <w:r w:rsidR="00D227EF">
        <w:t xml:space="preserve"> genotoxicity, exposure levels that are without </w:t>
      </w:r>
      <w:r w:rsidR="00583B04">
        <w:t xml:space="preserve">considerable </w:t>
      </w:r>
      <w:r w:rsidR="00D227EF">
        <w:t>risk of genotoxicity can be establi</w:t>
      </w:r>
      <w:r w:rsidR="00A210DE">
        <w:t>shed based on calculation of a permitted daily e</w:t>
      </w:r>
      <w:r w:rsidR="00D227EF">
        <w:t>xposu</w:t>
      </w:r>
      <w:r w:rsidR="007145D6">
        <w:t>re</w:t>
      </w:r>
      <w:r w:rsidR="00D227EF">
        <w:t xml:space="preserve"> (PDE), which is derived from the no-observed-effect level</w:t>
      </w:r>
      <w:r w:rsidR="00B43349">
        <w:t xml:space="preserve"> (NOEL), or the lowest-observed-</w:t>
      </w:r>
      <w:r w:rsidR="00D227EF">
        <w:t>effect level (LOEL</w:t>
      </w:r>
      <w:r w:rsidR="00A6734B">
        <w:t>) in the most relevant animal study using uncertainty factors. For compounds without sufficient evidence for threshold-related mechanism</w:t>
      </w:r>
      <w:r w:rsidR="00AA7A69">
        <w:t xml:space="preserve"> </w:t>
      </w:r>
      <w:r w:rsidR="00B43349">
        <w:t>the</w:t>
      </w:r>
      <w:r w:rsidR="00A6734B">
        <w:t xml:space="preserve"> ‘as low as reasonably practicable’ (ALARP) principle should be followed, where avoiding is not possible.</w:t>
      </w:r>
      <w:r w:rsidR="00AA7A69">
        <w:t xml:space="preserve"> However, it is often impossible to define a safe exposure level for genotoxic carcinogens without a </w:t>
      </w:r>
      <w:r w:rsidR="00341AA0">
        <w:t>threshold</w:t>
      </w:r>
      <w:r w:rsidR="00AA7A69">
        <w:t xml:space="preserve"> or completely eliminate</w:t>
      </w:r>
      <w:r w:rsidR="00A6734B">
        <w:t xml:space="preserve"> </w:t>
      </w:r>
      <w:r w:rsidR="00B43349">
        <w:t>GTIs</w:t>
      </w:r>
      <w:r w:rsidR="00AA7A69">
        <w:t xml:space="preserve"> from </w:t>
      </w:r>
      <w:r w:rsidR="00B43349">
        <w:t xml:space="preserve">the </w:t>
      </w:r>
      <w:r w:rsidR="00AA7A69">
        <w:t xml:space="preserve">drug substance. This has led to the need </w:t>
      </w:r>
      <w:r w:rsidR="00911207">
        <w:t xml:space="preserve">of a pragmatic approach that would recognize </w:t>
      </w:r>
      <w:r w:rsidR="003C66F8">
        <w:t xml:space="preserve">an acceptable risk exposure level. For this purpose a threshold of toxicological concern (TTC) has been developed. </w:t>
      </w:r>
      <w:r w:rsidR="00AD23B1">
        <w:t xml:space="preserve">A </w:t>
      </w:r>
      <w:r w:rsidR="003C66F8">
        <w:t xml:space="preserve">TTC value of 1.5 </w:t>
      </w:r>
      <w:r w:rsidR="003C66F8">
        <w:rPr>
          <w:rFonts w:cs="Times"/>
        </w:rPr>
        <w:t>µ</w:t>
      </w:r>
      <w:r w:rsidR="003C66F8">
        <w:t>g/person/day</w:t>
      </w:r>
      <w:r w:rsidR="003B3E9A">
        <w:t>, corresponding to a 10</w:t>
      </w:r>
      <w:r w:rsidR="003B3E9A">
        <w:rPr>
          <w:vertAlign w:val="superscript"/>
        </w:rPr>
        <w:t>-5</w:t>
      </w:r>
      <w:r w:rsidR="003B3E9A">
        <w:t xml:space="preserve"> lifetime risk of cancer,</w:t>
      </w:r>
      <w:r w:rsidR="003C66F8">
        <w:t xml:space="preserve"> defines a common exposure level for any unstudied chemical that will not pose a risk of significant carcinogenicity</w:t>
      </w:r>
      <w:r w:rsidR="00341AA0">
        <w:t xml:space="preserve"> or other toxic effects.</w:t>
      </w:r>
      <w:r w:rsidR="008B5E8C">
        <w:rPr>
          <w:vertAlign w:val="superscript"/>
        </w:rPr>
        <w:t>14,</w:t>
      </w:r>
      <w:r w:rsidR="008B5E8C" w:rsidRPr="008B5E8C">
        <w:rPr>
          <w:vertAlign w:val="superscript"/>
        </w:rPr>
        <w:t>15</w:t>
      </w:r>
      <w:r w:rsidR="008B5E8C">
        <w:t xml:space="preserve"> </w:t>
      </w:r>
      <w:r w:rsidR="00BC41FF">
        <w:t>The limit was set based on the analysis of 343 carcinogens</w:t>
      </w:r>
      <w:r w:rsidR="00F50E78">
        <w:t>,</w:t>
      </w:r>
      <w:r w:rsidR="004E7D84">
        <w:rPr>
          <w:vertAlign w:val="superscript"/>
        </w:rPr>
        <w:t>16</w:t>
      </w:r>
      <w:r w:rsidR="00F50E78">
        <w:t xml:space="preserve"> </w:t>
      </w:r>
      <w:r w:rsidR="00A45213">
        <w:t>expanded</w:t>
      </w:r>
      <w:r w:rsidR="00634D32">
        <w:t xml:space="preserve"> to more than 700 carcinogens </w:t>
      </w:r>
      <w:r w:rsidR="00BC41FF">
        <w:t>from a carcinogenic potency database</w:t>
      </w:r>
      <w:r w:rsidR="004E7D84">
        <w:t>.</w:t>
      </w:r>
      <w:r w:rsidR="004E7D84">
        <w:rPr>
          <w:vertAlign w:val="superscript"/>
        </w:rPr>
        <w:t>17-19</w:t>
      </w:r>
      <w:r w:rsidR="00341AA0">
        <w:t xml:space="preserve"> A </w:t>
      </w:r>
      <w:r w:rsidR="00A17498">
        <w:t xml:space="preserve">simple linear extrapolation from 50 % </w:t>
      </w:r>
      <w:r w:rsidR="0097251E">
        <w:t>tumor</w:t>
      </w:r>
      <w:r w:rsidR="00A17498">
        <w:t xml:space="preserve"> incidence (</w:t>
      </w:r>
      <w:r w:rsidR="00341AA0">
        <w:t>TD50</w:t>
      </w:r>
      <w:r w:rsidR="00A17498">
        <w:t>)</w:t>
      </w:r>
      <w:r w:rsidR="00341AA0">
        <w:t xml:space="preserve"> data for the most sensitive species and most sensitive site </w:t>
      </w:r>
      <w:r w:rsidR="00A17498">
        <w:t>to a 1 in 10</w:t>
      </w:r>
      <w:r w:rsidR="00A17498">
        <w:rPr>
          <w:vertAlign w:val="superscript"/>
        </w:rPr>
        <w:t>6</w:t>
      </w:r>
      <w:r w:rsidR="00A17498">
        <w:t xml:space="preserve"> incidence was used, which makes the principle </w:t>
      </w:r>
      <w:r w:rsidR="00746B19">
        <w:t>very conservative.</w:t>
      </w:r>
      <w:r w:rsidR="004E7D84" w:rsidRPr="004E7D84">
        <w:rPr>
          <w:vertAlign w:val="superscript"/>
        </w:rPr>
        <w:t>14</w:t>
      </w:r>
      <w:r w:rsidR="0086144B" w:rsidRPr="004E7D84">
        <w:rPr>
          <w:vertAlign w:val="superscript"/>
        </w:rPr>
        <w:t xml:space="preserve"> </w:t>
      </w:r>
      <w:r w:rsidR="0086144B">
        <w:t xml:space="preserve">Some high potency genotoxic carcinogens like aflatoxin-like-, N- </w:t>
      </w:r>
      <w:proofErr w:type="spellStart"/>
      <w:r w:rsidR="0086144B">
        <w:t>nitroso</w:t>
      </w:r>
      <w:proofErr w:type="spellEnd"/>
      <w:r w:rsidR="0086144B">
        <w:t xml:space="preserve">-, and </w:t>
      </w:r>
      <w:proofErr w:type="spellStart"/>
      <w:r w:rsidR="0086144B">
        <w:t>azoxy</w:t>
      </w:r>
      <w:proofErr w:type="spellEnd"/>
      <w:r w:rsidR="0086144B">
        <w:t>- compounds have to be excluded from the TTC approach.</w:t>
      </w:r>
      <w:r w:rsidR="004E7D84">
        <w:rPr>
          <w:vertAlign w:val="superscript"/>
        </w:rPr>
        <w:t>19</w:t>
      </w:r>
      <w:r w:rsidR="0086144B">
        <w:t xml:space="preserve"> </w:t>
      </w:r>
      <w:r w:rsidR="00D25CF6">
        <w:t>Compound</w:t>
      </w:r>
      <w:r w:rsidR="0086144B">
        <w:t xml:space="preserve">-specific toxicity data is needed </w:t>
      </w:r>
      <w:r w:rsidR="00D25CF6">
        <w:t xml:space="preserve">for the risk assessment of such compounds. A TTC value higher than 1.5 </w:t>
      </w:r>
      <w:r w:rsidR="00D25CF6">
        <w:rPr>
          <w:rFonts w:cs="Times"/>
        </w:rPr>
        <w:t>µ</w:t>
      </w:r>
      <w:r w:rsidR="00D25CF6">
        <w:t>g/day may be acceptable for short term-exposure drugs, for treatment of life-</w:t>
      </w:r>
      <w:r w:rsidR="00D25CF6">
        <w:lastRenderedPageBreak/>
        <w:t>threatening conditions, when life expectancy is less than 5 years, or where the impurity is a known substance and human exposure will be much greater from other sources, e.g. food.</w:t>
      </w:r>
      <w:r w:rsidR="00C83B55">
        <w:t xml:space="preserve"> For the calculation of concentration limits in ppm of genotoxic impurity in drug substance </w:t>
      </w:r>
      <w:r w:rsidR="00280519">
        <w:t xml:space="preserve">the </w:t>
      </w:r>
      <w:r w:rsidR="00C83B55">
        <w:t>following equation is used, where dose applies to expected daily dose to the patient:</w:t>
      </w:r>
    </w:p>
    <w:p w:rsidR="004D4C7E" w:rsidRDefault="004D4C7E" w:rsidP="004D4C7E">
      <w:pPr>
        <w:pStyle w:val="TAMainText"/>
        <w:spacing w:line="360" w:lineRule="auto"/>
        <w:ind w:firstLine="0"/>
        <w:jc w:val="right"/>
      </w:pPr>
      <w:r>
        <w:t>(1)</w:t>
      </w:r>
    </w:p>
    <w:p w:rsidR="00C83B55" w:rsidRPr="004D4C7E" w:rsidRDefault="00C83B55" w:rsidP="00175541">
      <w:pPr>
        <w:pStyle w:val="TAMainText"/>
        <w:spacing w:line="360" w:lineRule="auto"/>
        <w:ind w:firstLine="0"/>
        <w:jc w:val="left"/>
        <w:rPr>
          <w:rFonts w:ascii="Times New Roman" w:hAnsi="Times New Roman"/>
        </w:rPr>
      </w:pPr>
      <m:oMathPara>
        <m:oMathParaPr>
          <m:jc m:val="center"/>
        </m:oMathParaPr>
        <m:oMath>
          <m:r>
            <m:rPr>
              <m:sty m:val="p"/>
            </m:rPr>
            <w:rPr>
              <w:rFonts w:ascii="Cambria Math" w:hAnsi="Cambria Math"/>
            </w:rPr>
            <m:t>concentration limit (ppm)=</m:t>
          </m:r>
          <m:f>
            <m:fPr>
              <m:ctrlPr>
                <w:rPr>
                  <w:rFonts w:ascii="Cambria Math" w:hAnsi="Cambria Math"/>
                </w:rPr>
              </m:ctrlPr>
            </m:fPr>
            <m:num>
              <m:r>
                <m:rPr>
                  <m:sty m:val="p"/>
                </m:rPr>
                <w:rPr>
                  <w:rFonts w:ascii="Cambria Math" w:hAnsi="Cambria Math"/>
                </w:rPr>
                <m:t xml:space="preserve">TTC </m:t>
              </m:r>
              <m:d>
                <m:dPr>
                  <m:begChr m:val="["/>
                  <m:endChr m:val="]"/>
                  <m:ctrlPr>
                    <w:rPr>
                      <w:rFonts w:ascii="Cambria Math" w:hAnsi="Cambria Math"/>
                      <w:lang w:val="fr-FR"/>
                    </w:rPr>
                  </m:ctrlPr>
                </m:dPr>
                <m:e>
                  <m:r>
                    <m:rPr>
                      <m:sty m:val="p"/>
                    </m:rPr>
                    <w:rPr>
                      <w:rFonts w:ascii="Cambria Math" w:hAnsi="Cambria Math"/>
                    </w:rPr>
                    <m:t>µg/day</m:t>
                  </m:r>
                </m:e>
              </m:d>
            </m:num>
            <m:den>
              <m:r>
                <m:rPr>
                  <m:sty m:val="p"/>
                </m:rPr>
                <w:rPr>
                  <w:rFonts w:ascii="Cambria Math" w:hAnsi="Cambria Math"/>
                </w:rPr>
                <m:t>dose</m:t>
              </m:r>
              <m:d>
                <m:dPr>
                  <m:begChr m:val="["/>
                  <m:endChr m:val="]"/>
                  <m:ctrlPr>
                    <w:rPr>
                      <w:rFonts w:ascii="Cambria Math" w:hAnsi="Cambria Math"/>
                      <w:lang w:val="fr-FR"/>
                    </w:rPr>
                  </m:ctrlPr>
                </m:dPr>
                <m:e>
                  <m:r>
                    <m:rPr>
                      <m:sty m:val="p"/>
                    </m:rPr>
                    <w:rPr>
                      <w:rFonts w:ascii="Cambria Math" w:hAnsi="Cambria Math"/>
                    </w:rPr>
                    <m:t>g/day</m:t>
                  </m:r>
                </m:e>
              </m:d>
              <m:r>
                <m:rPr>
                  <m:sty m:val="p"/>
                </m:rPr>
                <w:rPr>
                  <w:rFonts w:ascii="Cambria Math" w:hAnsi="Cambria Math"/>
                </w:rPr>
                <m:t xml:space="preserve"> </m:t>
              </m:r>
            </m:den>
          </m:f>
        </m:oMath>
      </m:oMathPara>
    </w:p>
    <w:p w:rsidR="00325979" w:rsidRPr="004D4C7E" w:rsidRDefault="00325979" w:rsidP="00175541">
      <w:pPr>
        <w:pStyle w:val="TAMainText"/>
        <w:spacing w:line="360" w:lineRule="auto"/>
        <w:ind w:firstLine="0"/>
        <w:jc w:val="left"/>
      </w:pPr>
    </w:p>
    <w:p w:rsidR="00371C2D" w:rsidRDefault="00371C2D" w:rsidP="00175541">
      <w:pPr>
        <w:pStyle w:val="TAMainText"/>
        <w:spacing w:line="360" w:lineRule="auto"/>
        <w:ind w:firstLine="0"/>
        <w:jc w:val="left"/>
      </w:pPr>
      <w:r>
        <w:t>The guideline on the limits of GTIs</w:t>
      </w:r>
      <w:r w:rsidR="00F50E78">
        <w:t xml:space="preserve"> </w:t>
      </w:r>
      <w:r w:rsidR="004E7D84">
        <w:rPr>
          <w:vertAlign w:val="superscript"/>
        </w:rPr>
        <w:t>9</w:t>
      </w:r>
      <w:r>
        <w:t xml:space="preserve"> left certain concerns unaddressed. Besides that, industry struggled to fully understand how to interpret and apply it</w:t>
      </w:r>
      <w:r w:rsidR="004E7D84">
        <w:t xml:space="preserve"> in its entirety</w:t>
      </w:r>
      <w:r>
        <w:t>.</w:t>
      </w:r>
      <w:r w:rsidR="004E7D84">
        <w:rPr>
          <w:vertAlign w:val="superscript"/>
        </w:rPr>
        <w:t>5</w:t>
      </w:r>
      <w:r>
        <w:t xml:space="preserve"> For this reason significant clarifications of several key topics have been issued </w:t>
      </w:r>
      <w:r w:rsidR="00B85EA8">
        <w:t>in the Question and A</w:t>
      </w:r>
      <w:r w:rsidR="00B83E7F">
        <w:t>nswers</w:t>
      </w:r>
      <w:r w:rsidR="00A45213">
        <w:t xml:space="preserve"> (Q&amp;A)</w:t>
      </w:r>
      <w:r w:rsidR="00B83E7F">
        <w:t xml:space="preserve"> on the ‘Guideline on the limits of genotoxic impurities’</w:t>
      </w:r>
      <w:r w:rsidR="00F50E78">
        <w:t>,</w:t>
      </w:r>
      <w:r w:rsidR="00AD4204">
        <w:rPr>
          <w:vertAlign w:val="superscript"/>
        </w:rPr>
        <w:t>20</w:t>
      </w:r>
      <w:r w:rsidR="00B83E7F">
        <w:t xml:space="preserve"> published</w:t>
      </w:r>
      <w:r w:rsidR="00A45213">
        <w:t xml:space="preserve"> by the Safety Working Party (SWP)</w:t>
      </w:r>
      <w:r w:rsidR="00B83E7F">
        <w:t xml:space="preserve"> in September 2010.</w:t>
      </w:r>
      <w:r w:rsidR="008D3CED">
        <w:t xml:space="preserve"> The Q&amp;A document clarified that </w:t>
      </w:r>
      <w:r w:rsidR="00B85EA8">
        <w:t xml:space="preserve">no genotoxicity testing or </w:t>
      </w:r>
      <w:r w:rsidR="00280519">
        <w:t xml:space="preserve">the </w:t>
      </w:r>
      <w:r w:rsidR="006C3C0E">
        <w:t xml:space="preserve">ALARP principle application </w:t>
      </w:r>
      <w:r w:rsidR="008D3CED">
        <w:t xml:space="preserve">is needed when a potential GTI is controlled at the TTC level unless </w:t>
      </w:r>
      <w:r w:rsidR="006C3C0E">
        <w:t>the impurity</w:t>
      </w:r>
      <w:r w:rsidR="008D3CED">
        <w:t xml:space="preserve"> belongs to a class of very potent genotoxic carcinogens, e.g.</w:t>
      </w:r>
      <w:r w:rsidR="00B85EA8">
        <w:t>,</w:t>
      </w:r>
      <w:r w:rsidR="008D3CED">
        <w:t xml:space="preserve"> N-</w:t>
      </w:r>
      <w:proofErr w:type="spellStart"/>
      <w:r w:rsidR="008D3CED">
        <w:t>nitroso</w:t>
      </w:r>
      <w:proofErr w:type="spellEnd"/>
      <w:r w:rsidR="00B85EA8">
        <w:t>-</w:t>
      </w:r>
      <w:r w:rsidR="008D3CED">
        <w:t>, aflatoxin-like</w:t>
      </w:r>
      <w:r w:rsidR="00B85EA8">
        <w:t>-</w:t>
      </w:r>
      <w:r w:rsidR="008D3CED">
        <w:t xml:space="preserve"> and </w:t>
      </w:r>
      <w:proofErr w:type="spellStart"/>
      <w:r w:rsidR="008D3CED">
        <w:t>azoxy</w:t>
      </w:r>
      <w:proofErr w:type="spellEnd"/>
      <w:r w:rsidR="00B85EA8">
        <w:t>-</w:t>
      </w:r>
      <w:r w:rsidR="008D3CED">
        <w:t xml:space="preserve"> compounds.</w:t>
      </w:r>
      <w:r w:rsidR="006C3C0E">
        <w:t xml:space="preserve"> It was also clarified that a negative </w:t>
      </w:r>
      <w:r w:rsidR="00B85EA8">
        <w:t>bacterial mutagenicity test (</w:t>
      </w:r>
      <w:r w:rsidR="006C3C0E">
        <w:t>Ames test</w:t>
      </w:r>
      <w:r w:rsidR="00B85EA8">
        <w:t>)</w:t>
      </w:r>
      <w:r w:rsidR="006C3C0E">
        <w:t xml:space="preserve"> overrules a structural alert which means that no further studies are required providing the level remains below ICH Q3A</w:t>
      </w:r>
      <w:r w:rsidR="00AD4204">
        <w:rPr>
          <w:vertAlign w:val="superscript"/>
        </w:rPr>
        <w:t>10</w:t>
      </w:r>
      <w:r w:rsidR="006C3C0E">
        <w:t>/Q3B</w:t>
      </w:r>
      <w:r w:rsidR="00AD4204">
        <w:rPr>
          <w:vertAlign w:val="superscript"/>
        </w:rPr>
        <w:t>11</w:t>
      </w:r>
      <w:r w:rsidR="006C3C0E">
        <w:t xml:space="preserve"> limits. If the </w:t>
      </w:r>
      <w:r w:rsidR="00280519">
        <w:t>quantitative structure-activity relationship (</w:t>
      </w:r>
      <w:r w:rsidR="006C3C0E">
        <w:t>QSAR</w:t>
      </w:r>
      <w:r w:rsidR="00280519">
        <w:t>)</w:t>
      </w:r>
      <w:r w:rsidR="006C3C0E">
        <w:t xml:space="preserve"> assessment gives no structural alerts it can be concluded that the impurity has no genotoxicity concern and no further qualification studies or justification will be required.</w:t>
      </w:r>
      <w:r w:rsidR="00C55AD1">
        <w:t xml:space="preserve"> It has also been clarified and confirmed that durational adjustments to the TTC limit are acceptable for investigational studies. The proposal of a staged TTC was first described by </w:t>
      </w:r>
      <w:r w:rsidR="00A45213">
        <w:t>the Pharmaceutical Research and Manufacturers of America (</w:t>
      </w:r>
      <w:r w:rsidR="00C55AD1">
        <w:t>PhRMA</w:t>
      </w:r>
      <w:r w:rsidR="00A45213">
        <w:t>)</w:t>
      </w:r>
      <w:r w:rsidR="00C55AD1">
        <w:t xml:space="preserve"> cross-industry workgroup led by Mueller et al.</w:t>
      </w:r>
      <w:r w:rsidR="000D6374">
        <w:rPr>
          <w:vertAlign w:val="superscript"/>
        </w:rPr>
        <w:t>21</w:t>
      </w:r>
      <w:r w:rsidR="00C55AD1">
        <w:t xml:space="preserve"> However, </w:t>
      </w:r>
      <w:r w:rsidR="00A90A14">
        <w:t xml:space="preserve">the </w:t>
      </w:r>
      <w:r w:rsidR="00C55AD1">
        <w:t>SWP incorporated a dose rate correction factor of 2 to account for deviations from the linear extrapolation model which</w:t>
      </w:r>
      <w:r w:rsidR="002C68B4">
        <w:t xml:space="preserve"> gives</w:t>
      </w:r>
      <w:r w:rsidR="00C55AD1">
        <w:t xml:space="preserve"> slightly different values than those from the original PhRMA proposal.</w:t>
      </w:r>
      <w:r w:rsidR="002C68B4">
        <w:t xml:space="preserve"> The acceptable limits for daily intake of GTI according to the SWP are 5, 10, 20 and 60 </w:t>
      </w:r>
      <w:r w:rsidR="002C68B4">
        <w:rPr>
          <w:rFonts w:cs="Times"/>
        </w:rPr>
        <w:t>µ</w:t>
      </w:r>
      <w:r w:rsidR="002C68B4">
        <w:t xml:space="preserve">g/day for </w:t>
      </w:r>
      <w:r w:rsidR="00B30ADF">
        <w:t>duration</w:t>
      </w:r>
      <w:r w:rsidR="002C68B4">
        <w:t xml:space="preserve"> of exposure of 6-12 months, 3-6 months, 1-3 months, and less than 1 month, respectively. For a single dose an intake of up to 120 </w:t>
      </w:r>
      <w:r w:rsidR="002C68B4">
        <w:rPr>
          <w:rFonts w:cs="Times"/>
        </w:rPr>
        <w:t>µ</w:t>
      </w:r>
      <w:r w:rsidR="002C68B4">
        <w:t>g is acceptable.</w:t>
      </w:r>
      <w:r w:rsidR="00DA6041">
        <w:t xml:space="preserve"> With regards to the control of multiple GTIs</w:t>
      </w:r>
      <w:r w:rsidR="00484EF1">
        <w:t>,</w:t>
      </w:r>
      <w:r w:rsidR="00DA6041">
        <w:t xml:space="preserve"> SWP stated that the TTC value </w:t>
      </w:r>
      <w:proofErr w:type="gramStart"/>
      <w:r w:rsidR="00DA6041">
        <w:t xml:space="preserve">of 1.5 </w:t>
      </w:r>
      <w:r w:rsidR="00DA6041">
        <w:rPr>
          <w:rFonts w:cs="Times"/>
        </w:rPr>
        <w:t>µ</w:t>
      </w:r>
      <w:r w:rsidR="00DA6041">
        <w:t>g/day</w:t>
      </w:r>
      <w:proofErr w:type="gramEnd"/>
      <w:r w:rsidR="00DA6041">
        <w:t xml:space="preserve"> can be applied to each individual impurity present in the drug substance only if the impurities are structurally unrelated.</w:t>
      </w:r>
      <w:r w:rsidR="00484EF1">
        <w:t xml:space="preserve"> This is based on the assumption that the impurities act </w:t>
      </w:r>
      <w:r w:rsidR="00484EF1">
        <w:lastRenderedPageBreak/>
        <w:t xml:space="preserve">by the same genotoxic mode of action and have the same molecular target and thus might exert </w:t>
      </w:r>
      <w:r w:rsidR="00280519">
        <w:t xml:space="preserve">its </w:t>
      </w:r>
      <w:r w:rsidR="00484EF1">
        <w:t xml:space="preserve">effect in an additive manner. A limitation of the sum of the GTIs at 1.5 </w:t>
      </w:r>
      <w:r w:rsidR="00484EF1">
        <w:rPr>
          <w:rFonts w:cs="Times"/>
        </w:rPr>
        <w:t>µ</w:t>
      </w:r>
      <w:r w:rsidR="00484EF1">
        <w:t>g/day is recommended in such cases.</w:t>
      </w:r>
      <w:r w:rsidR="00D732EB">
        <w:t xml:space="preserve"> </w:t>
      </w:r>
      <w:r w:rsidR="00A90A14">
        <w:t>The</w:t>
      </w:r>
      <w:r w:rsidR="00D732EB">
        <w:t xml:space="preserve"> SWP document states that if a GTI is formed or introduced in a step before the final synthetic step, it is </w:t>
      </w:r>
      <w:r w:rsidR="00A90A14">
        <w:t>acceptable to not include the</w:t>
      </w:r>
      <w:r w:rsidR="00D732EB">
        <w:t xml:space="preserve"> impurity in the drug substance spec</w:t>
      </w:r>
      <w:r w:rsidR="00A90A14">
        <w:t>ification if it is controlled to</w:t>
      </w:r>
      <w:r w:rsidR="00D732EB">
        <w:t xml:space="preserve"> a suitable limit in a </w:t>
      </w:r>
      <w:r w:rsidR="00B30ADF">
        <w:t>process</w:t>
      </w:r>
      <w:r w:rsidR="00D732EB">
        <w:t xml:space="preserve"> intermediate. However, it has to be demonstrated by analysis results that </w:t>
      </w:r>
      <w:r w:rsidR="00280519">
        <w:t xml:space="preserve">the </w:t>
      </w:r>
      <w:r w:rsidR="00D732EB">
        <w:t xml:space="preserve">presence of this impurity does not exceed 30 % of </w:t>
      </w:r>
      <w:r w:rsidR="00960888">
        <w:t xml:space="preserve">the </w:t>
      </w:r>
      <w:r w:rsidR="00B30ADF">
        <w:t xml:space="preserve">acceptable </w:t>
      </w:r>
      <w:r w:rsidR="00960888">
        <w:t xml:space="preserve">limit in the drug substance, otherwise it has to be included in the drug substance specification and the test has to be carried out on a routine basis. When a GTI is formed or introduced in the final synthesis step, it should be included in the specifications. However, skip testing can be applied if the level of the impurity does not exceed 30 % of the </w:t>
      </w:r>
      <w:r w:rsidR="00B30ADF">
        <w:t xml:space="preserve">acceptable </w:t>
      </w:r>
      <w:r w:rsidR="00960888">
        <w:t>limit in the drug substance. Data for at least 6 consecutive pilot scale or 3 consecutive production scale batches should be presented to support this approach.</w:t>
      </w:r>
    </w:p>
    <w:p w:rsidR="00A90A14" w:rsidRDefault="00A90A14" w:rsidP="00175541">
      <w:pPr>
        <w:pStyle w:val="TAMainText"/>
        <w:spacing w:line="360" w:lineRule="auto"/>
        <w:ind w:firstLine="0"/>
        <w:jc w:val="left"/>
      </w:pPr>
    </w:p>
    <w:p w:rsidR="00360EB4" w:rsidRPr="00A90A14" w:rsidRDefault="00A90A14" w:rsidP="00175541">
      <w:pPr>
        <w:pStyle w:val="TAMainText"/>
        <w:spacing w:line="360" w:lineRule="auto"/>
        <w:ind w:firstLine="0"/>
        <w:jc w:val="left"/>
        <w:rPr>
          <w:b/>
        </w:rPr>
      </w:pPr>
      <w:r w:rsidRPr="00A90A14">
        <w:rPr>
          <w:b/>
        </w:rPr>
        <w:t xml:space="preserve">3.2 </w:t>
      </w:r>
      <w:r w:rsidR="007817AD" w:rsidRPr="00A90A14">
        <w:rPr>
          <w:b/>
        </w:rPr>
        <w:t xml:space="preserve">FDA </w:t>
      </w:r>
      <w:r>
        <w:rPr>
          <w:b/>
        </w:rPr>
        <w:t>draft guidance: G</w:t>
      </w:r>
      <w:r w:rsidRPr="00A90A14">
        <w:rPr>
          <w:b/>
        </w:rPr>
        <w:t>enotoxic and carcinogenic impurities in drug substances and products: recommended approaches</w:t>
      </w:r>
    </w:p>
    <w:p w:rsidR="00E902BD" w:rsidRPr="00295BB7" w:rsidRDefault="002617FC" w:rsidP="00175541">
      <w:pPr>
        <w:pStyle w:val="TAMainText"/>
        <w:spacing w:line="360" w:lineRule="auto"/>
        <w:ind w:firstLine="0"/>
        <w:jc w:val="left"/>
        <w:rPr>
          <w:vertAlign w:val="superscript"/>
        </w:rPr>
      </w:pPr>
      <w:r>
        <w:t xml:space="preserve">In December 2008, the </w:t>
      </w:r>
      <w:r w:rsidR="0010425B">
        <w:t>Food and drug administration (</w:t>
      </w:r>
      <w:r>
        <w:t>FDA</w:t>
      </w:r>
      <w:r w:rsidR="0010425B">
        <w:t>)</w:t>
      </w:r>
      <w:r>
        <w:t xml:space="preserve"> published their draft guid</w:t>
      </w:r>
      <w:r w:rsidR="00A90A14">
        <w:t>ance</w:t>
      </w:r>
      <w:r>
        <w:t xml:space="preserve"> addressing the issue of GTIs.</w:t>
      </w:r>
      <w:r w:rsidR="00FC3ECA">
        <w:rPr>
          <w:vertAlign w:val="superscript"/>
        </w:rPr>
        <w:t>22</w:t>
      </w:r>
      <w:r w:rsidR="00CA31F8" w:rsidRPr="00A90A14">
        <w:rPr>
          <w:vertAlign w:val="superscript"/>
        </w:rPr>
        <w:t xml:space="preserve"> </w:t>
      </w:r>
      <w:r w:rsidR="00CA31F8">
        <w:t>T</w:t>
      </w:r>
      <w:r w:rsidR="005E4155">
        <w:t>he guid</w:t>
      </w:r>
      <w:r w:rsidR="00A90A14">
        <w:t>ance</w:t>
      </w:r>
      <w:r w:rsidR="00951C48">
        <w:t xml:space="preserve"> </w:t>
      </w:r>
      <w:r w:rsidR="00CA31F8">
        <w:t>contain</w:t>
      </w:r>
      <w:r w:rsidR="00A90A14">
        <w:t>ed</w:t>
      </w:r>
      <w:r w:rsidR="00CA31F8">
        <w:t xml:space="preserve"> nonbinding recommendations to the pharmaceutical industry</w:t>
      </w:r>
      <w:r w:rsidR="0026047E">
        <w:t xml:space="preserve"> and</w:t>
      </w:r>
      <w:r w:rsidR="00CA31F8">
        <w:t xml:space="preserve"> </w:t>
      </w:r>
      <w:r w:rsidR="00951C48">
        <w:t>never reached its finalization</w:t>
      </w:r>
      <w:r w:rsidR="00205FD3">
        <w:t>.</w:t>
      </w:r>
      <w:r w:rsidR="00E77E05">
        <w:t xml:space="preserve"> </w:t>
      </w:r>
      <w:r w:rsidR="00CA31F8">
        <w:t>FDA consider</w:t>
      </w:r>
      <w:r w:rsidR="00A90A14">
        <w:t>s the approach taken in the EM</w:t>
      </w:r>
      <w:r w:rsidR="00CA31F8">
        <w:t>A guideline</w:t>
      </w:r>
      <w:r w:rsidR="00A90A14">
        <w:rPr>
          <w:vertAlign w:val="superscript"/>
        </w:rPr>
        <w:t>9</w:t>
      </w:r>
      <w:r w:rsidR="00CA31F8">
        <w:t xml:space="preserve"> for setting an exposure limit for genotoxic or carcinogenic impurit</w:t>
      </w:r>
      <w:r w:rsidR="00B56BA9">
        <w:t>ies reasonable. However, the EM</w:t>
      </w:r>
      <w:r w:rsidR="00CA31F8">
        <w:t xml:space="preserve">A guideline addresses </w:t>
      </w:r>
      <w:r w:rsidR="00B56BA9">
        <w:t xml:space="preserve">the </w:t>
      </w:r>
      <w:r w:rsidR="00CA31F8">
        <w:t>exposure limits only to products for marketing applications. Therefore, t</w:t>
      </w:r>
      <w:r w:rsidR="00E77E05">
        <w:t xml:space="preserve">he </w:t>
      </w:r>
      <w:r w:rsidR="00B56BA9">
        <w:t>FDA</w:t>
      </w:r>
      <w:r w:rsidR="00CA31F8">
        <w:t xml:space="preserve"> draft </w:t>
      </w:r>
      <w:r w:rsidR="00E77E05">
        <w:t>guid</w:t>
      </w:r>
      <w:r w:rsidR="00B56BA9">
        <w:t>ance</w:t>
      </w:r>
      <w:r w:rsidR="00E77E05">
        <w:t xml:space="preserve"> provides recommendations on evaluation</w:t>
      </w:r>
      <w:r w:rsidR="00CA31F8">
        <w:t xml:space="preserve"> and acceptable exposure thresholds</w:t>
      </w:r>
      <w:r w:rsidR="00E77E05">
        <w:t xml:space="preserve"> of genotoxic and carcinogenic impurities during clinical development </w:t>
      </w:r>
      <w:r w:rsidR="00CA31F8">
        <w:t>as well as for</w:t>
      </w:r>
      <w:r w:rsidR="00E77E05">
        <w:t xml:space="preserve"> marketing applications. </w:t>
      </w:r>
      <w:r w:rsidR="002B6CE9">
        <w:t>According to the guid</w:t>
      </w:r>
      <w:r w:rsidR="00B56BA9">
        <w:t>ance</w:t>
      </w:r>
      <w:r w:rsidR="002B6CE9">
        <w:t>, the potential lifetime cancer risk</w:t>
      </w:r>
      <w:r w:rsidR="005E69F0">
        <w:t xml:space="preserve"> associated with genotoxic and carcinogenic impurities can be reduced by changing the synthetic and/or purification route to minimize the formation and/or maximize the removal of the impuri</w:t>
      </w:r>
      <w:r w:rsidR="00B56BA9">
        <w:t>ty of concern. Following the EM</w:t>
      </w:r>
      <w:r w:rsidR="005E69F0">
        <w:t>A guideline</w:t>
      </w:r>
      <w:proofErr w:type="gramStart"/>
      <w:r w:rsidR="00F50E78">
        <w:t>,</w:t>
      </w:r>
      <w:r w:rsidR="00295BB7">
        <w:rPr>
          <w:vertAlign w:val="superscript"/>
        </w:rPr>
        <w:t>9</w:t>
      </w:r>
      <w:bookmarkStart w:id="0" w:name="_GoBack"/>
      <w:bookmarkEnd w:id="0"/>
      <w:proofErr w:type="gramEnd"/>
      <w:r w:rsidR="005E69F0">
        <w:t xml:space="preserve"> a maximum daily exposure of 1.5 </w:t>
      </w:r>
      <w:proofErr w:type="spellStart"/>
      <w:r w:rsidR="005E69F0">
        <w:rPr>
          <w:rFonts w:cs="Times"/>
        </w:rPr>
        <w:t>μ</w:t>
      </w:r>
      <w:r w:rsidR="00B56BA9">
        <w:t>g</w:t>
      </w:r>
      <w:proofErr w:type="spellEnd"/>
      <w:r w:rsidR="00B56BA9">
        <w:t>/day was</w:t>
      </w:r>
      <w:r w:rsidR="005E69F0">
        <w:t xml:space="preserve"> proposed, allowing higher levels for products during clinical development.</w:t>
      </w:r>
      <w:r w:rsidR="00295BB7">
        <w:rPr>
          <w:vertAlign w:val="superscript"/>
        </w:rPr>
        <w:t>22</w:t>
      </w:r>
    </w:p>
    <w:p w:rsidR="00B56BA9" w:rsidRDefault="00B56BA9" w:rsidP="00175541">
      <w:pPr>
        <w:pStyle w:val="TAMainText"/>
        <w:spacing w:line="360" w:lineRule="auto"/>
        <w:ind w:firstLine="0"/>
        <w:jc w:val="left"/>
      </w:pPr>
    </w:p>
    <w:p w:rsidR="005E4155" w:rsidRPr="00B56BA9" w:rsidRDefault="00B56BA9" w:rsidP="00175541">
      <w:pPr>
        <w:pStyle w:val="TAMainText"/>
        <w:spacing w:line="360" w:lineRule="auto"/>
        <w:ind w:firstLine="0"/>
        <w:jc w:val="left"/>
        <w:rPr>
          <w:b/>
        </w:rPr>
      </w:pPr>
      <w:r w:rsidRPr="00B56BA9">
        <w:rPr>
          <w:b/>
        </w:rPr>
        <w:t xml:space="preserve">3.3 </w:t>
      </w:r>
      <w:r w:rsidR="005E4155" w:rsidRPr="00B56BA9">
        <w:rPr>
          <w:b/>
        </w:rPr>
        <w:t xml:space="preserve">ICH M7 </w:t>
      </w:r>
      <w:r w:rsidRPr="00B56BA9">
        <w:rPr>
          <w:b/>
        </w:rPr>
        <w:t>guideline: Assessment and control of DNA reactive (mutagenic) impurities in pharmaceuticals to limit potential carcinogenic risk</w:t>
      </w:r>
    </w:p>
    <w:p w:rsidR="00E36C09" w:rsidRDefault="00E902BD" w:rsidP="00175541">
      <w:pPr>
        <w:pStyle w:val="TAMainText"/>
        <w:spacing w:line="360" w:lineRule="auto"/>
        <w:ind w:firstLine="0"/>
        <w:jc w:val="left"/>
      </w:pPr>
      <w:r>
        <w:lastRenderedPageBreak/>
        <w:t>In June 2014 the ICH M7 guideline: Assessment and control of DNA reactive (mutagenic) impurities in pharmaceuticals to limit potential carcinogenic risk</w:t>
      </w:r>
      <w:r w:rsidR="00446E3A">
        <w:fldChar w:fldCharType="begin">
          <w:fldData xml:space="preserve">PEVuZE5vdGU+PENpdGU+PFJlY051bT40PC9SZWNOdW0+PERpc3BsYXlUZXh0PjxzdHlsZSBmYWNl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</w:fldData>
        </w:fldChar>
      </w:r>
      <w:r w:rsidR="00420E9E">
        <w:instrText xml:space="preserve"> ADDIN EN.CITE </w:instrText>
      </w:r>
      <w:r w:rsidR="00420E9E">
        <w:fldChar w:fldCharType="begin">
          <w:fldData xml:space="preserve">PEVuZE5vdGU+PENpdGU+PFJlY051bT40PC9SZWNOdW0+PERpc3BsYXlUZXh0PjxzdHlsZSBmYWNl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</w:fldData>
        </w:fldChar>
      </w:r>
      <w:r w:rsidR="00420E9E">
        <w:instrText xml:space="preserve"> ADDIN EN.CITE.DATA </w:instrText>
      </w:r>
      <w:r w:rsidR="00420E9E">
        <w:fldChar w:fldCharType="end"/>
      </w:r>
      <w:r w:rsidR="00446E3A">
        <w:fldChar w:fldCharType="end"/>
      </w:r>
      <w:r w:rsidR="00420E9E" w:rsidRPr="00420E9E">
        <w:rPr>
          <w:vertAlign w:val="superscript"/>
        </w:rPr>
        <w:t>1</w:t>
      </w:r>
      <w:r w:rsidR="00E36C09">
        <w:t xml:space="preserve"> </w:t>
      </w:r>
      <w:r>
        <w:t>reached Step 4 of the ICH process</w:t>
      </w:r>
      <w:r w:rsidR="007B761D">
        <w:t>, meaning that t</w:t>
      </w:r>
      <w:r w:rsidR="00E36C09">
        <w:t xml:space="preserve">he final draft </w:t>
      </w:r>
      <w:r>
        <w:t xml:space="preserve">became recommended for adoption to the three regulatory </w:t>
      </w:r>
      <w:r w:rsidR="00E36C09">
        <w:t>bodies of the</w:t>
      </w:r>
      <w:r>
        <w:t xml:space="preserve"> ICH</w:t>
      </w:r>
      <w:r w:rsidR="00E36C09">
        <w:t>: European Union, Japan and USA</w:t>
      </w:r>
      <w:r w:rsidR="00364507">
        <w:t>. Implementation of ICH M7 was</w:t>
      </w:r>
      <w:r w:rsidR="001E3AC7">
        <w:t xml:space="preserve"> encouraged after publicat</w:t>
      </w:r>
      <w:r w:rsidR="00364507">
        <w:t>ion; however, its application was</w:t>
      </w:r>
      <w:r w:rsidR="001E3AC7">
        <w:t xml:space="preserve"> not expected prior to 18 months after the publication</w:t>
      </w:r>
      <w:r w:rsidR="00831EC8">
        <w:t xml:space="preserve">. </w:t>
      </w:r>
      <w:r>
        <w:t>The purpose of th</w:t>
      </w:r>
      <w:r w:rsidR="00E36C09">
        <w:t>e ICH M7</w:t>
      </w:r>
      <w:r>
        <w:t xml:space="preserve"> guideline is to provide a practical framework that is applicable to the identification, categorization, qualification, and control of </w:t>
      </w:r>
      <w:r w:rsidR="007B761D">
        <w:t>mutagenic impurities (</w:t>
      </w:r>
      <w:r w:rsidR="008F470C">
        <w:t>MI</w:t>
      </w:r>
      <w:r w:rsidR="006914FA">
        <w:t>s</w:t>
      </w:r>
      <w:r w:rsidR="007B761D">
        <w:t>)</w:t>
      </w:r>
      <w:r w:rsidR="00E36C09">
        <w:t xml:space="preserve"> to limit potential carcinogenic risk</w:t>
      </w:r>
      <w:r>
        <w:t xml:space="preserve">. </w:t>
      </w:r>
      <w:r w:rsidR="00E36C09">
        <w:t>It applies to new drug substances and new drug products during their clinical development and subsequent applications for marketing. It also applies to post-approval submissions of marketed products, and to new marketing applications for products with a drug substance that is present</w:t>
      </w:r>
      <w:r w:rsidR="00585B77">
        <w:t xml:space="preserve"> in an already approved product</w:t>
      </w:r>
      <w:r w:rsidR="0061349A">
        <w:t>. This is only valid</w:t>
      </w:r>
      <w:r w:rsidR="00585B77">
        <w:t xml:space="preserve"> when </w:t>
      </w:r>
      <w:r w:rsidR="0061349A">
        <w:t xml:space="preserve">(1) </w:t>
      </w:r>
      <w:r w:rsidR="00585B77">
        <w:t>changes that result in new impurities</w:t>
      </w:r>
      <w:r w:rsidR="00364507">
        <w:t xml:space="preserve"> are made</w:t>
      </w:r>
      <w:r w:rsidR="00585B77">
        <w:t xml:space="preserve"> or </w:t>
      </w:r>
      <w:r w:rsidR="0061349A">
        <w:t xml:space="preserve">(2) </w:t>
      </w:r>
      <w:r w:rsidR="00585B77">
        <w:t xml:space="preserve">increased limits for existing impurities are implemented or </w:t>
      </w:r>
      <w:r w:rsidR="00024628">
        <w:t xml:space="preserve">(3) </w:t>
      </w:r>
      <w:r w:rsidR="00585B77">
        <w:t>when changes in indication or dosing regimen are made which significant</w:t>
      </w:r>
      <w:r w:rsidR="0061349A">
        <w:t>ly</w:t>
      </w:r>
      <w:r w:rsidR="00585B77">
        <w:t xml:space="preserve"> affect the acceptable cancer risk level.</w:t>
      </w:r>
      <w:r w:rsidR="00943294">
        <w:t xml:space="preserve"> As previo</w:t>
      </w:r>
      <w:r w:rsidR="00E50EF2">
        <w:t>usly already proposed by the EM</w:t>
      </w:r>
      <w:r w:rsidR="00943294">
        <w:t>A</w:t>
      </w:r>
      <w:r w:rsidR="00BB05E3">
        <w:rPr>
          <w:vertAlign w:val="superscript"/>
        </w:rPr>
        <w:t>9</w:t>
      </w:r>
      <w:r w:rsidR="00943294">
        <w:t xml:space="preserve"> and FDA guideline</w:t>
      </w:r>
      <w:r w:rsidR="00F50E78">
        <w:t>,</w:t>
      </w:r>
      <w:r w:rsidR="00BB05E3">
        <w:rPr>
          <w:vertAlign w:val="superscript"/>
        </w:rPr>
        <w:t>22</w:t>
      </w:r>
      <w:r w:rsidR="00943294">
        <w:t xml:space="preserve"> the ICH M7 also finds it justified to use </w:t>
      </w:r>
      <w:r w:rsidR="00024628">
        <w:t xml:space="preserve">the </w:t>
      </w:r>
      <w:r w:rsidR="00943294">
        <w:t>TTC approach in the assessment of acceptable limits for any unstudied chemical.</w:t>
      </w:r>
      <w:r w:rsidR="00E005EE">
        <w:t xml:space="preserve"> Higher acceptable intakes of impurities for less-than-lifetime (LTL) exposures are also allowed.</w:t>
      </w:r>
      <w:r w:rsidR="002B1327">
        <w:t xml:space="preserve"> </w:t>
      </w:r>
      <w:r w:rsidR="00AD4D29">
        <w:t>Moreover</w:t>
      </w:r>
      <w:r w:rsidR="002B1327">
        <w:t>, it is stressed that</w:t>
      </w:r>
      <w:r w:rsidR="00BB05E3">
        <w:t xml:space="preserve"> the</w:t>
      </w:r>
      <w:r w:rsidR="002B1327">
        <w:t xml:space="preserve"> TTC concept is a highly hypothetical concept that should not be regarded as a realistic indication of the </w:t>
      </w:r>
      <w:r w:rsidR="006350C7">
        <w:t xml:space="preserve">actual risk and that exceeding </w:t>
      </w:r>
      <w:r w:rsidR="002B1327">
        <w:t>the TTC is not necessarily associated with an increased cancer risk.</w:t>
      </w:r>
      <w:r w:rsidR="00AD4D29">
        <w:t xml:space="preserve"> The impurity assessment according to the ICH M7 should include all actual and potential impurities that are likely to arise during the synthesis and storage of a drug substance, and during manufacturing and storage of a drug product.</w:t>
      </w:r>
      <w:r w:rsidR="000E5965">
        <w:t xml:space="preserve"> All these should then be ev</w:t>
      </w:r>
      <w:r w:rsidR="008A3646">
        <w:t>aluated for mutagenic potential</w:t>
      </w:r>
      <w:r w:rsidR="00875971">
        <w:t xml:space="preserve"> by conducting</w:t>
      </w:r>
      <w:r w:rsidR="008A3646">
        <w:t xml:space="preserve"> database and literature searches for carcinogenicity and bacterial mutagenicity data</w:t>
      </w:r>
      <w:r w:rsidR="00364507">
        <w:t>.</w:t>
      </w:r>
      <w:r w:rsidR="008A3646">
        <w:t xml:space="preserve"> Based on the obtained data the impurities are classified </w:t>
      </w:r>
      <w:r w:rsidR="00024628">
        <w:t>as</w:t>
      </w:r>
      <w:r w:rsidR="00875971">
        <w:t xml:space="preserve"> one of the following class</w:t>
      </w:r>
      <w:r w:rsidR="00024628">
        <w:t>es</w:t>
      </w:r>
      <w:r w:rsidR="008A3646">
        <w:t>:</w:t>
      </w:r>
    </w:p>
    <w:p w:rsidR="008A3646" w:rsidRDefault="008A3646" w:rsidP="00175541">
      <w:pPr>
        <w:pStyle w:val="TAMainText"/>
        <w:spacing w:line="360" w:lineRule="auto"/>
        <w:ind w:firstLine="0"/>
        <w:jc w:val="left"/>
      </w:pPr>
      <w:r w:rsidRPr="002F6594">
        <w:rPr>
          <w:u w:val="single"/>
        </w:rPr>
        <w:t>Class 1</w:t>
      </w:r>
      <w:r>
        <w:t>: Impurities that are known mutagenic carcinogens</w:t>
      </w:r>
      <w:r w:rsidR="00BB05E3">
        <w:t>.</w:t>
      </w:r>
    </w:p>
    <w:p w:rsidR="008A3646" w:rsidRDefault="008A3646" w:rsidP="00175541">
      <w:pPr>
        <w:pStyle w:val="TAMainText"/>
        <w:spacing w:line="360" w:lineRule="auto"/>
        <w:ind w:firstLine="0"/>
        <w:jc w:val="left"/>
      </w:pPr>
      <w:r w:rsidRPr="002F6594">
        <w:rPr>
          <w:u w:val="single"/>
        </w:rPr>
        <w:t>Class 2</w:t>
      </w:r>
      <w:r>
        <w:t>: Impurities that are known mutagens with unknown carcinogenic potential</w:t>
      </w:r>
      <w:r w:rsidR="00BB05E3">
        <w:t>.</w:t>
      </w:r>
    </w:p>
    <w:p w:rsidR="008A3646" w:rsidRDefault="008A3646" w:rsidP="00175541">
      <w:pPr>
        <w:pStyle w:val="TAMainText"/>
        <w:spacing w:line="360" w:lineRule="auto"/>
        <w:ind w:firstLine="0"/>
        <w:jc w:val="left"/>
      </w:pPr>
      <w:r w:rsidRPr="002F6594">
        <w:rPr>
          <w:u w:val="single"/>
        </w:rPr>
        <w:t>Class 3</w:t>
      </w:r>
      <w:r>
        <w:t>: Impurities with alerting structure, unrelated to the structure of the drug substance; no mutagenicity data</w:t>
      </w:r>
      <w:r w:rsidR="00BB05E3">
        <w:t>.</w:t>
      </w:r>
    </w:p>
    <w:p w:rsidR="008A3646" w:rsidRDefault="008A3646" w:rsidP="00175541">
      <w:pPr>
        <w:pStyle w:val="TAMainText"/>
        <w:spacing w:line="360" w:lineRule="auto"/>
        <w:ind w:firstLine="0"/>
        <w:jc w:val="left"/>
      </w:pPr>
      <w:r w:rsidRPr="002F6594">
        <w:rPr>
          <w:u w:val="single"/>
        </w:rPr>
        <w:t>Class 4</w:t>
      </w:r>
      <w:r>
        <w:t xml:space="preserve">: Impurities with alerting structure, </w:t>
      </w:r>
      <w:r w:rsidR="00995CD5">
        <w:t xml:space="preserve">same alert in drug substance or compounds </w:t>
      </w:r>
      <w:r>
        <w:t xml:space="preserve">related to </w:t>
      </w:r>
      <w:r w:rsidR="00995CD5">
        <w:t>the drug substance which have been tested and are non-mutagenic</w:t>
      </w:r>
      <w:r w:rsidR="00BB05E3">
        <w:t>.</w:t>
      </w:r>
    </w:p>
    <w:p w:rsidR="00995CD5" w:rsidRDefault="00995CD5" w:rsidP="00175541">
      <w:pPr>
        <w:pStyle w:val="TAMainText"/>
        <w:spacing w:line="360" w:lineRule="auto"/>
        <w:ind w:firstLine="0"/>
        <w:jc w:val="left"/>
      </w:pPr>
      <w:r w:rsidRPr="002F6594">
        <w:rPr>
          <w:u w:val="single"/>
        </w:rPr>
        <w:lastRenderedPageBreak/>
        <w:t>Class 5:</w:t>
      </w:r>
      <w:r>
        <w:t xml:space="preserve"> Impurities with no structural alerts, or alerting structure with sufficient data to demonstrate lack of mutagenicity or carcinogenicity</w:t>
      </w:r>
      <w:r w:rsidR="00BB05E3">
        <w:t>.</w:t>
      </w:r>
    </w:p>
    <w:p w:rsidR="00012F86" w:rsidRDefault="000A74C1" w:rsidP="00175541">
      <w:pPr>
        <w:pStyle w:val="TAMainText"/>
        <w:spacing w:line="360" w:lineRule="auto"/>
        <w:ind w:firstLine="0"/>
        <w:jc w:val="left"/>
      </w:pPr>
      <w:r>
        <w:t>If data for carcinogenicity and bacterial mutagenicity are not available, a (</w:t>
      </w:r>
      <w:r w:rsidR="00364507">
        <w:t>Q</w:t>
      </w:r>
      <w:proofErr w:type="gramStart"/>
      <w:r w:rsidR="00364507">
        <w:t>)</w:t>
      </w:r>
      <w:r>
        <w:t>SAR</w:t>
      </w:r>
      <w:proofErr w:type="gramEnd"/>
      <w:r>
        <w:t>) assessment that focuses on bacterial mutagenicity predictions should be performed.</w:t>
      </w:r>
      <w:r w:rsidR="00875971">
        <w:t xml:space="preserve"> Two (Q</w:t>
      </w:r>
      <w:proofErr w:type="gramStart"/>
      <w:r w:rsidR="00875971">
        <w:t>)SAR</w:t>
      </w:r>
      <w:proofErr w:type="gramEnd"/>
      <w:r w:rsidR="00875971">
        <w:t xml:space="preserve"> computational methodologies that complement each other are required according to the ICH M7. One methodology should be expert rule-based and the second one should be statistical-based. If </w:t>
      </w:r>
      <w:r w:rsidR="00011DA9">
        <w:t>none</w:t>
      </w:r>
      <w:r w:rsidR="00875971">
        <w:t xml:space="preserve"> of the methods give structural alerts, it is sufficient to conclude that</w:t>
      </w:r>
      <w:r w:rsidR="00DA7C2A">
        <w:t xml:space="preserve"> the impurity is non-mutagenic (Class 5).</w:t>
      </w:r>
      <w:r w:rsidR="00C606ED">
        <w:t xml:space="preserve"> In case of </w:t>
      </w:r>
      <w:r w:rsidR="00024628">
        <w:t xml:space="preserve">an </w:t>
      </w:r>
      <w:r w:rsidR="00C606ED">
        <w:t>identified structural alert, a bacterial mutagenicity assay</w:t>
      </w:r>
      <w:r w:rsidR="00011DA9">
        <w:t>, e.g., Ames test,</w:t>
      </w:r>
      <w:r w:rsidR="00C606ED">
        <w:t xml:space="preserve"> can be conducted. Negative result will overrule any structural alert, meaning that no further genotoxicity </w:t>
      </w:r>
      <w:r w:rsidR="008F14DE">
        <w:t>assessment is</w:t>
      </w:r>
      <w:r w:rsidR="00C606ED">
        <w:t xml:space="preserve"> needed</w:t>
      </w:r>
      <w:r w:rsidR="008F14DE">
        <w:t xml:space="preserve"> (Class 5)</w:t>
      </w:r>
      <w:r w:rsidR="00C606ED">
        <w:t>.</w:t>
      </w:r>
      <w:r w:rsidR="008F14DE">
        <w:t xml:space="preserve"> In case of positive bacterial mutagenicity assay, a further assessment and/or control strategy is needed (Class 2).</w:t>
      </w:r>
      <w:r w:rsidR="00FD1B88">
        <w:t xml:space="preserve"> </w:t>
      </w:r>
      <w:r w:rsidR="00FD1B88" w:rsidRPr="00BB05E3">
        <w:rPr>
          <w:i/>
        </w:rPr>
        <w:t>In vivo</w:t>
      </w:r>
      <w:r w:rsidR="00FD1B88">
        <w:t xml:space="preserve"> genotoxicity</w:t>
      </w:r>
      <w:r w:rsidR="0006349E">
        <w:t xml:space="preserve"> assays could also be performed, </w:t>
      </w:r>
      <w:r w:rsidR="00FD1B88">
        <w:t>for example when levels of the impurity cannot be controlled at an acceptable limit</w:t>
      </w:r>
      <w:r w:rsidR="0006349E">
        <w:t xml:space="preserve"> and the relevance of the bacterial mutagenicity under </w:t>
      </w:r>
      <w:r w:rsidR="0006349E">
        <w:rPr>
          <w:i/>
        </w:rPr>
        <w:t xml:space="preserve">in vivo </w:t>
      </w:r>
      <w:r w:rsidR="0006349E">
        <w:t>conditions needs to be understood</w:t>
      </w:r>
      <w:r w:rsidR="00FD1B88">
        <w:t>.</w:t>
      </w:r>
      <w:r w:rsidR="0006349E">
        <w:t xml:space="preserve"> If an impurity has the same structural alert as </w:t>
      </w:r>
      <w:r w:rsidR="00BB36B2">
        <w:t xml:space="preserve">the </w:t>
      </w:r>
      <w:r w:rsidR="0006349E">
        <w:t>drug substance or related compounds, this impurity can be considered as non-mutagenic if the bacterial mutagenicity assay</w:t>
      </w:r>
      <w:r w:rsidR="00BB36B2">
        <w:t>s</w:t>
      </w:r>
      <w:r w:rsidR="0006349E">
        <w:t xml:space="preserve"> of </w:t>
      </w:r>
      <w:r w:rsidR="00BB36B2">
        <w:t xml:space="preserve">the </w:t>
      </w:r>
      <w:r w:rsidR="0006349E">
        <w:t>drug substance or related compound</w:t>
      </w:r>
      <w:r w:rsidR="00BB36B2">
        <w:t>s</w:t>
      </w:r>
      <w:r w:rsidR="0006349E">
        <w:t xml:space="preserve"> </w:t>
      </w:r>
      <w:r w:rsidR="00BB36B2">
        <w:t xml:space="preserve">were </w:t>
      </w:r>
      <w:r w:rsidR="0006349E">
        <w:t>negative.</w:t>
      </w:r>
      <w:r w:rsidR="0021434A">
        <w:t xml:space="preserve"> For class 1 impurities with positive carcinogenicity data a compound-specific acceptable intake calculated based on carcinogenic potency and linear extrapolation can be used. Other established risk assessment practices</w:t>
      </w:r>
      <w:r w:rsidR="008A742D">
        <w:t xml:space="preserve"> or already existing values used by regulatory bodies may also be applied. For impurities which are chemically similar to a known carcinogen compound class, class specific acceptable intakes can be applied </w:t>
      </w:r>
      <w:r w:rsidR="00E16AF2">
        <w:t xml:space="preserve">when </w:t>
      </w:r>
      <w:r w:rsidR="008A742D">
        <w:t>justified.</w:t>
      </w:r>
      <w:r w:rsidR="009B32AA">
        <w:t xml:space="preserve"> For </w:t>
      </w:r>
      <w:r w:rsidR="00FB25B9">
        <w:t>MIs</w:t>
      </w:r>
      <w:r w:rsidR="009B32AA">
        <w:t xml:space="preserve"> with non-linear dose response or practical threshold a </w:t>
      </w:r>
      <w:r w:rsidR="008F664E">
        <w:t>PDE</w:t>
      </w:r>
      <w:r w:rsidR="009B32AA">
        <w:t xml:space="preserve"> can be calculated based on NO</w:t>
      </w:r>
      <w:r w:rsidR="008F664E">
        <w:t>EL</w:t>
      </w:r>
      <w:r w:rsidR="009B32AA">
        <w:t xml:space="preserve"> and uncertainty factors.</w:t>
      </w:r>
      <w:r w:rsidR="008F664E">
        <w:t xml:space="preserve"> </w:t>
      </w:r>
      <w:r w:rsidR="00CB4A66">
        <w:t>When treatment duration is less than lifetime,</w:t>
      </w:r>
      <w:r w:rsidR="00FB25B9">
        <w:t xml:space="preserve"> </w:t>
      </w:r>
      <w:r w:rsidR="00CB4A66">
        <w:t>the acceptable cumulative lifetime dose is uniformly distributed over the total number of exposure days during treatment</w:t>
      </w:r>
      <w:r w:rsidR="00012F86">
        <w:t xml:space="preserve">. Acceptable intakes for LTL to lifetime exposures for clinical development and marketing are presented in </w:t>
      </w:r>
      <w:r w:rsidR="000E12EE">
        <w:t>T</w:t>
      </w:r>
      <w:r w:rsidR="00012F86">
        <w:t>able</w:t>
      </w:r>
      <w:r w:rsidR="000E12EE">
        <w:t xml:space="preserve"> 1</w:t>
      </w:r>
      <w:r w:rsidR="00012F86">
        <w:t>.</w:t>
      </w:r>
      <w:r w:rsidR="00AC464F">
        <w:t xml:space="preserve"> The TTC-based acceptable intakes should be applied to</w:t>
      </w:r>
      <w:r w:rsidR="000E12EE">
        <w:t xml:space="preserve"> e</w:t>
      </w:r>
      <w:r w:rsidR="00AC464F">
        <w:t>ach individual impurity.</w:t>
      </w:r>
      <w:r w:rsidR="000E12EE">
        <w:t xml:space="preserve"> However, when there are three or more Class 2 or Class 3 impurities present in the drug substance, total mutagenic impurities should be limited as presented in the Table 1.</w:t>
      </w:r>
      <w:r w:rsidR="00CF05B6">
        <w:t xml:space="preserve"> Class 1 impurities with compound-specific or class-related acceptable intakes limits should be excluded from this total limits. </w:t>
      </w:r>
      <w:r w:rsidR="008213CD">
        <w:t>D</w:t>
      </w:r>
      <w:r w:rsidR="00CF05B6">
        <w:t xml:space="preserve">egradation impurities originating from drug products </w:t>
      </w:r>
      <w:r w:rsidR="008213CD">
        <w:t xml:space="preserve">also </w:t>
      </w:r>
      <w:r w:rsidR="00CF05B6">
        <w:t>need to be controlled individually.</w:t>
      </w:r>
    </w:p>
    <w:p w:rsidR="00C23174" w:rsidRDefault="00C23174" w:rsidP="00175541">
      <w:pPr>
        <w:pStyle w:val="TAMainText"/>
        <w:spacing w:line="360" w:lineRule="auto"/>
        <w:ind w:firstLine="0"/>
        <w:jc w:val="left"/>
      </w:pPr>
    </w:p>
    <w:p w:rsidR="00012F86" w:rsidRPr="00FB25B9" w:rsidRDefault="00C00964" w:rsidP="00175541">
      <w:pPr>
        <w:pStyle w:val="TAMainText"/>
        <w:spacing w:line="360" w:lineRule="auto"/>
        <w:ind w:firstLine="0"/>
        <w:jc w:val="left"/>
      </w:pPr>
      <w:r w:rsidRPr="002F6594">
        <w:rPr>
          <w:b/>
        </w:rPr>
        <w:lastRenderedPageBreak/>
        <w:t>Table 1.</w:t>
      </w:r>
      <w:r w:rsidR="00012F86">
        <w:t xml:space="preserve"> Acceptable intakes for</w:t>
      </w:r>
      <w:r w:rsidR="002F6594">
        <w:t xml:space="preserve"> less-than-lifetime</w:t>
      </w:r>
      <w:r w:rsidR="00012F86">
        <w:t xml:space="preserve"> </w:t>
      </w:r>
      <w:r w:rsidR="002F6594">
        <w:t>(</w:t>
      </w:r>
      <w:r w:rsidR="00012F86">
        <w:t>LTL</w:t>
      </w:r>
      <w:r w:rsidR="002F6594">
        <w:t>)</w:t>
      </w:r>
      <w:r w:rsidR="00012F86">
        <w:t xml:space="preserve"> to lifetime exposures for a) an individual impurity and b) for multiple impurities</w:t>
      </w:r>
      <w:r w:rsidR="00FB25B9">
        <w:t xml:space="preserve"> (based on ICH M7</w:t>
      </w:r>
      <w:r w:rsidR="00FB25B9">
        <w:rPr>
          <w:vertAlign w:val="superscript"/>
        </w:rPr>
        <w:t>1</w:t>
      </w:r>
      <w:r w:rsidR="00FB25B9">
        <w:t>)</w:t>
      </w:r>
    </w:p>
    <w:tbl>
      <w:tblPr>
        <w:tblStyle w:val="TableGrid"/>
        <w:tblW w:w="0" w:type="auto"/>
        <w:tblLook w:val="04A0" w:firstRow="1" w:lastRow="0" w:firstColumn="1" w:lastColumn="0" w:noHBand="0" w:noVBand="1"/>
      </w:tblPr>
      <w:tblGrid>
        <w:gridCol w:w="2375"/>
        <w:gridCol w:w="2375"/>
        <w:gridCol w:w="2375"/>
      </w:tblGrid>
      <w:tr w:rsidR="00373FFA" w:rsidTr="005C3570">
        <w:tc>
          <w:tcPr>
            <w:tcW w:w="2375" w:type="dxa"/>
          </w:tcPr>
          <w:p w:rsidR="00373FFA" w:rsidRPr="00373FFA" w:rsidRDefault="00373FFA" w:rsidP="00175541">
            <w:pPr>
              <w:pStyle w:val="TAMainText"/>
              <w:spacing w:line="360" w:lineRule="auto"/>
              <w:ind w:firstLine="0"/>
              <w:jc w:val="left"/>
              <w:rPr>
                <w:b/>
              </w:rPr>
            </w:pPr>
            <w:r w:rsidRPr="00373FFA">
              <w:rPr>
                <w:b/>
                <w:lang w:val="en-US"/>
              </w:rPr>
              <w:t>Treatment duration</w:t>
            </w:r>
          </w:p>
        </w:tc>
        <w:tc>
          <w:tcPr>
            <w:tcW w:w="4750" w:type="dxa"/>
            <w:gridSpan w:val="2"/>
          </w:tcPr>
          <w:p w:rsidR="00373FFA" w:rsidRPr="00373FFA" w:rsidRDefault="00373FFA" w:rsidP="00175541">
            <w:pPr>
              <w:pStyle w:val="TAMainText"/>
              <w:spacing w:line="360" w:lineRule="auto"/>
              <w:ind w:firstLine="0"/>
              <w:jc w:val="center"/>
              <w:rPr>
                <w:b/>
              </w:rPr>
            </w:pPr>
            <w:r w:rsidRPr="00373FFA">
              <w:rPr>
                <w:b/>
              </w:rPr>
              <w:t xml:space="preserve">Maximum daily dose </w:t>
            </w:r>
            <w:r w:rsidRPr="00373FFA">
              <w:rPr>
                <w:rFonts w:cs="Times"/>
                <w:b/>
              </w:rPr>
              <w:t>[μg/day]</w:t>
            </w:r>
          </w:p>
        </w:tc>
      </w:tr>
      <w:tr w:rsidR="00373FFA" w:rsidTr="00012F86">
        <w:tc>
          <w:tcPr>
            <w:tcW w:w="2375" w:type="dxa"/>
          </w:tcPr>
          <w:p w:rsidR="00373FFA" w:rsidRPr="00373FFA" w:rsidRDefault="00373FFA" w:rsidP="00175541">
            <w:pPr>
              <w:pStyle w:val="TAMainText"/>
              <w:spacing w:line="360" w:lineRule="auto"/>
              <w:ind w:firstLine="0"/>
              <w:jc w:val="left"/>
              <w:rPr>
                <w:b/>
              </w:rPr>
            </w:pPr>
          </w:p>
        </w:tc>
        <w:tc>
          <w:tcPr>
            <w:tcW w:w="2375" w:type="dxa"/>
          </w:tcPr>
          <w:p w:rsidR="00373FFA" w:rsidRPr="00373FFA" w:rsidRDefault="00373FFA" w:rsidP="00175541">
            <w:pPr>
              <w:pStyle w:val="TAMainText"/>
              <w:spacing w:line="360" w:lineRule="auto"/>
              <w:ind w:firstLine="0"/>
              <w:jc w:val="center"/>
              <w:rPr>
                <w:b/>
              </w:rPr>
            </w:pPr>
            <w:r w:rsidRPr="00373FFA">
              <w:rPr>
                <w:b/>
              </w:rPr>
              <w:t>a)</w:t>
            </w:r>
          </w:p>
        </w:tc>
        <w:tc>
          <w:tcPr>
            <w:tcW w:w="2375" w:type="dxa"/>
          </w:tcPr>
          <w:p w:rsidR="00373FFA" w:rsidRPr="00373FFA" w:rsidRDefault="00373FFA" w:rsidP="00175541">
            <w:pPr>
              <w:pStyle w:val="TAMainText"/>
              <w:spacing w:line="360" w:lineRule="auto"/>
              <w:ind w:firstLine="0"/>
              <w:jc w:val="center"/>
              <w:rPr>
                <w:b/>
              </w:rPr>
            </w:pPr>
            <w:r w:rsidRPr="00373FFA">
              <w:rPr>
                <w:b/>
              </w:rPr>
              <w:t>b)</w:t>
            </w:r>
          </w:p>
        </w:tc>
      </w:tr>
      <w:tr w:rsidR="00373FFA" w:rsidTr="00012F86">
        <w:tc>
          <w:tcPr>
            <w:tcW w:w="2375" w:type="dxa"/>
          </w:tcPr>
          <w:p w:rsidR="00373FFA" w:rsidRDefault="00373FFA" w:rsidP="00175541">
            <w:pPr>
              <w:pStyle w:val="TAMainText"/>
              <w:spacing w:line="360" w:lineRule="auto"/>
              <w:ind w:firstLine="0"/>
              <w:jc w:val="left"/>
            </w:pPr>
            <w:r>
              <w:rPr>
                <w:rFonts w:cs="Times"/>
              </w:rPr>
              <w:t>≤ 1 month</w:t>
            </w:r>
          </w:p>
        </w:tc>
        <w:tc>
          <w:tcPr>
            <w:tcW w:w="2375" w:type="dxa"/>
          </w:tcPr>
          <w:p w:rsidR="00373FFA" w:rsidRDefault="00373FFA" w:rsidP="00175541">
            <w:pPr>
              <w:pStyle w:val="TAMainText"/>
              <w:spacing w:line="360" w:lineRule="auto"/>
              <w:ind w:firstLine="0"/>
              <w:jc w:val="center"/>
            </w:pPr>
            <w:r>
              <w:t>120</w:t>
            </w:r>
          </w:p>
        </w:tc>
        <w:tc>
          <w:tcPr>
            <w:tcW w:w="2375" w:type="dxa"/>
          </w:tcPr>
          <w:p w:rsidR="00373FFA" w:rsidRDefault="00373FFA" w:rsidP="00175541">
            <w:pPr>
              <w:pStyle w:val="TAMainText"/>
              <w:spacing w:line="360" w:lineRule="auto"/>
              <w:ind w:firstLine="0"/>
              <w:jc w:val="center"/>
            </w:pPr>
            <w:r>
              <w:t>120</w:t>
            </w:r>
          </w:p>
        </w:tc>
      </w:tr>
      <w:tr w:rsidR="00373FFA" w:rsidTr="00012F86">
        <w:tc>
          <w:tcPr>
            <w:tcW w:w="2375" w:type="dxa"/>
          </w:tcPr>
          <w:p w:rsidR="00373FFA" w:rsidRDefault="00373FFA" w:rsidP="00175541">
            <w:pPr>
              <w:pStyle w:val="TAMainText"/>
              <w:spacing w:line="360" w:lineRule="auto"/>
              <w:ind w:firstLine="0"/>
              <w:jc w:val="left"/>
            </w:pPr>
            <w:r>
              <w:rPr>
                <w:rFonts w:cs="Times"/>
              </w:rPr>
              <w:t>&gt; 1-12 months</w:t>
            </w:r>
          </w:p>
        </w:tc>
        <w:tc>
          <w:tcPr>
            <w:tcW w:w="2375" w:type="dxa"/>
          </w:tcPr>
          <w:p w:rsidR="00373FFA" w:rsidRDefault="00373FFA" w:rsidP="00175541">
            <w:pPr>
              <w:pStyle w:val="TAMainText"/>
              <w:spacing w:line="360" w:lineRule="auto"/>
              <w:ind w:firstLine="0"/>
              <w:jc w:val="center"/>
            </w:pPr>
            <w:r>
              <w:t>20</w:t>
            </w:r>
          </w:p>
        </w:tc>
        <w:tc>
          <w:tcPr>
            <w:tcW w:w="2375" w:type="dxa"/>
          </w:tcPr>
          <w:p w:rsidR="00373FFA" w:rsidRDefault="00373FFA" w:rsidP="00175541">
            <w:pPr>
              <w:pStyle w:val="TAMainText"/>
              <w:spacing w:line="360" w:lineRule="auto"/>
              <w:ind w:firstLine="0"/>
              <w:jc w:val="center"/>
            </w:pPr>
            <w:r>
              <w:t>60</w:t>
            </w:r>
          </w:p>
        </w:tc>
      </w:tr>
      <w:tr w:rsidR="00373FFA" w:rsidTr="00012F86">
        <w:tc>
          <w:tcPr>
            <w:tcW w:w="2375" w:type="dxa"/>
          </w:tcPr>
          <w:p w:rsidR="00373FFA" w:rsidRDefault="00373FFA" w:rsidP="00175541">
            <w:pPr>
              <w:pStyle w:val="TAMainText"/>
              <w:spacing w:line="360" w:lineRule="auto"/>
              <w:ind w:firstLine="0"/>
              <w:jc w:val="left"/>
            </w:pPr>
            <w:r>
              <w:rPr>
                <w:rFonts w:cs="Times"/>
              </w:rPr>
              <w:t>&gt; 1-10 years</w:t>
            </w:r>
          </w:p>
        </w:tc>
        <w:tc>
          <w:tcPr>
            <w:tcW w:w="2375" w:type="dxa"/>
          </w:tcPr>
          <w:p w:rsidR="00373FFA" w:rsidRDefault="00373FFA" w:rsidP="00175541">
            <w:pPr>
              <w:pStyle w:val="TAMainText"/>
              <w:spacing w:line="360" w:lineRule="auto"/>
              <w:ind w:firstLine="0"/>
              <w:jc w:val="center"/>
            </w:pPr>
            <w:r>
              <w:t>10</w:t>
            </w:r>
          </w:p>
        </w:tc>
        <w:tc>
          <w:tcPr>
            <w:tcW w:w="2375" w:type="dxa"/>
          </w:tcPr>
          <w:p w:rsidR="00373FFA" w:rsidRDefault="00373FFA" w:rsidP="00175541">
            <w:pPr>
              <w:pStyle w:val="TAMainText"/>
              <w:spacing w:line="360" w:lineRule="auto"/>
              <w:ind w:firstLine="0"/>
              <w:jc w:val="center"/>
            </w:pPr>
            <w:r>
              <w:t>30</w:t>
            </w:r>
          </w:p>
        </w:tc>
      </w:tr>
      <w:tr w:rsidR="00373FFA" w:rsidTr="00012F86">
        <w:tc>
          <w:tcPr>
            <w:tcW w:w="2375" w:type="dxa"/>
          </w:tcPr>
          <w:p w:rsidR="00373FFA" w:rsidRDefault="00373FFA" w:rsidP="00175541">
            <w:pPr>
              <w:pStyle w:val="TAMainText"/>
              <w:spacing w:line="360" w:lineRule="auto"/>
              <w:ind w:firstLine="0"/>
              <w:jc w:val="left"/>
            </w:pPr>
            <w:r>
              <w:rPr>
                <w:rFonts w:cs="Times"/>
              </w:rPr>
              <w:t>&gt; 10 years to lifetime</w:t>
            </w:r>
          </w:p>
        </w:tc>
        <w:tc>
          <w:tcPr>
            <w:tcW w:w="2375" w:type="dxa"/>
          </w:tcPr>
          <w:p w:rsidR="00373FFA" w:rsidRDefault="00373FFA" w:rsidP="00175541">
            <w:pPr>
              <w:pStyle w:val="TAMainText"/>
              <w:spacing w:line="360" w:lineRule="auto"/>
              <w:ind w:firstLine="0"/>
              <w:jc w:val="center"/>
            </w:pPr>
            <w:r>
              <w:t>1.5</w:t>
            </w:r>
            <w:r w:rsidR="00F628D9">
              <w:t xml:space="preserve"> (TTC limit)</w:t>
            </w:r>
          </w:p>
        </w:tc>
        <w:tc>
          <w:tcPr>
            <w:tcW w:w="2375" w:type="dxa"/>
          </w:tcPr>
          <w:p w:rsidR="00373FFA" w:rsidRDefault="00373FFA" w:rsidP="00175541">
            <w:pPr>
              <w:pStyle w:val="TAMainText"/>
              <w:spacing w:line="360" w:lineRule="auto"/>
              <w:ind w:firstLine="0"/>
              <w:jc w:val="center"/>
            </w:pPr>
            <w:r>
              <w:t>5</w:t>
            </w:r>
            <w:r w:rsidR="00F628D9">
              <w:t xml:space="preserve"> </w:t>
            </w:r>
          </w:p>
        </w:tc>
      </w:tr>
    </w:tbl>
    <w:p w:rsidR="00012F86" w:rsidRDefault="00012F86" w:rsidP="00175541">
      <w:pPr>
        <w:pStyle w:val="TAMainText"/>
        <w:spacing w:line="360" w:lineRule="auto"/>
        <w:ind w:firstLine="0"/>
        <w:jc w:val="left"/>
      </w:pPr>
    </w:p>
    <w:p w:rsidR="00995CD5" w:rsidRDefault="005C3570" w:rsidP="00175541">
      <w:pPr>
        <w:pStyle w:val="TAMainText"/>
        <w:spacing w:line="360" w:lineRule="auto"/>
        <w:ind w:firstLine="0"/>
        <w:jc w:val="left"/>
      </w:pPr>
      <w:r>
        <w:t>Besides the described acceptable intakes ICH M7 also lists some exceptions and flexibilities in approaches, e.g.</w:t>
      </w:r>
      <w:r w:rsidR="00FB25B9">
        <w:t>,</w:t>
      </w:r>
      <w:r>
        <w:t xml:space="preserve"> higher acceptable intakes for impurities which are more abundant in other sources e.g., food, or products of endogenous metabolism (e.g., formaldeh</w:t>
      </w:r>
      <w:r w:rsidR="002F6594">
        <w:t xml:space="preserve">yde), than in pharmaceuticals. </w:t>
      </w:r>
      <w:r w:rsidR="000D45C8">
        <w:t xml:space="preserve">Exceptions can also be made in cases of severe disease, reduced life expectancy, late onset but chronic disease, or when there are limited therapeutic alternatives. </w:t>
      </w:r>
      <w:r w:rsidR="00C74D67">
        <w:t>Impurities with high carcinogenic potency (aflatoxin-like, N-</w:t>
      </w:r>
      <w:proofErr w:type="spellStart"/>
      <w:r w:rsidR="00C74D67">
        <w:t>nitroso</w:t>
      </w:r>
      <w:proofErr w:type="spellEnd"/>
      <w:r w:rsidR="00C74D67">
        <w:t>, and alkyl-</w:t>
      </w:r>
      <w:proofErr w:type="spellStart"/>
      <w:r w:rsidR="00C74D67">
        <w:t>azoxy</w:t>
      </w:r>
      <w:proofErr w:type="spellEnd"/>
      <w:r w:rsidR="00C74D67">
        <w:t xml:space="preserve"> structures) need to be controlled with tighter limits</w:t>
      </w:r>
      <w:r w:rsidR="00FB25B9">
        <w:t xml:space="preserve">, </w:t>
      </w:r>
      <w:r w:rsidR="00C74D67">
        <w:t xml:space="preserve">based on carcinogenicity data. </w:t>
      </w:r>
      <w:r w:rsidR="0021434A">
        <w:t>For classes 2 and 3 the TTC approach would usually be used.</w:t>
      </w:r>
      <w:r w:rsidR="002C0849">
        <w:t xml:space="preserve"> When an impurity has been identified as Class 1, 2 or 3, a control strategy needs to be </w:t>
      </w:r>
      <w:r w:rsidR="006E472D">
        <w:t>developed;</w:t>
      </w:r>
      <w:r w:rsidR="002C0849">
        <w:t xml:space="preserve"> assuring that the level of this impurity in the drug substance and drug product is below the acceptable limit.</w:t>
      </w:r>
      <w:r w:rsidR="00202407">
        <w:t xml:space="preserve"> ICH M7 lists 4 potential approaches </w:t>
      </w:r>
      <w:r w:rsidR="00E16AF2">
        <w:t xml:space="preserve">for </w:t>
      </w:r>
      <w:r w:rsidR="00202407">
        <w:t>development of a control strategy for drug substance:</w:t>
      </w:r>
    </w:p>
    <w:p w:rsidR="00202407" w:rsidRDefault="00202407" w:rsidP="00175541">
      <w:pPr>
        <w:pStyle w:val="TAMainText"/>
        <w:spacing w:line="360" w:lineRule="auto"/>
        <w:ind w:firstLine="0"/>
        <w:jc w:val="left"/>
      </w:pPr>
      <w:r w:rsidRPr="002F6594">
        <w:rPr>
          <w:u w:val="single"/>
        </w:rPr>
        <w:t>Option</w:t>
      </w:r>
      <w:r w:rsidR="00413A52">
        <w:rPr>
          <w:u w:val="single"/>
        </w:rPr>
        <w:t xml:space="preserve"> </w:t>
      </w:r>
      <w:r w:rsidRPr="002F6594">
        <w:rPr>
          <w:u w:val="single"/>
        </w:rPr>
        <w:t>1:</w:t>
      </w:r>
      <w:r>
        <w:t xml:space="preserve"> Test for the</w:t>
      </w:r>
      <w:r w:rsidR="002F0BEF">
        <w:t xml:space="preserve"> </w:t>
      </w:r>
      <w:r w:rsidR="00413A52">
        <w:t>MI</w:t>
      </w:r>
      <w:r>
        <w:t xml:space="preserve"> is included in the drug substance specification.</w:t>
      </w:r>
      <w:r w:rsidR="002F0BEF">
        <w:t xml:space="preserve"> Acceptance criterion is set at or below the acceptable limit using a suitable analytical method.</w:t>
      </w:r>
      <w:r>
        <w:t xml:space="preserve"> When it can be shown that levels of the impurity in at least 6 consecutive pilot scale or 3 consecutive production scale batches of drug substance are less than 30 % of the acceptable limit</w:t>
      </w:r>
      <w:r w:rsidR="002F0BEF">
        <w:t>, it is justified to apply periodic verification testing.</w:t>
      </w:r>
    </w:p>
    <w:p w:rsidR="002F0BEF" w:rsidRDefault="002F0BEF" w:rsidP="00175541">
      <w:pPr>
        <w:pStyle w:val="TAMainText"/>
        <w:spacing w:line="360" w:lineRule="auto"/>
        <w:ind w:firstLine="0"/>
        <w:jc w:val="left"/>
      </w:pPr>
      <w:r w:rsidRPr="002F6594">
        <w:rPr>
          <w:u w:val="single"/>
        </w:rPr>
        <w:t>Option 2:</w:t>
      </w:r>
      <w:r>
        <w:t xml:space="preserve"> Test for the </w:t>
      </w:r>
      <w:r w:rsidR="00413A52">
        <w:t>MI</w:t>
      </w:r>
      <w:r>
        <w:t xml:space="preserve"> is included in the specification for raw material, starting material or intermediate, or as an in-process control. Acceptance criterion is set at or below the acceptable limit using a suitable analytical method.</w:t>
      </w:r>
    </w:p>
    <w:p w:rsidR="002F0BEF" w:rsidRPr="002F6594" w:rsidRDefault="002F0BEF" w:rsidP="00175541">
      <w:pPr>
        <w:pStyle w:val="TAMainText"/>
        <w:spacing w:line="360" w:lineRule="auto"/>
        <w:ind w:firstLine="0"/>
        <w:jc w:val="left"/>
        <w:rPr>
          <w:u w:val="single"/>
        </w:rPr>
      </w:pPr>
      <w:r w:rsidRPr="002F6594">
        <w:rPr>
          <w:u w:val="single"/>
        </w:rPr>
        <w:t>Option 3:</w:t>
      </w:r>
      <w:r w:rsidRPr="002F0BEF">
        <w:t xml:space="preserve"> </w:t>
      </w:r>
      <w:r>
        <w:t xml:space="preserve">Test for the </w:t>
      </w:r>
      <w:r w:rsidR="00413A52">
        <w:t>MI</w:t>
      </w:r>
      <w:r>
        <w:t xml:space="preserve"> is included in the specification for raw material, starting material or intermediate, or as an in-process control. Acceptance criterion is set above the acceptable limit of the impurity in drug substance, using a suitable analytical method coupled with demonstrated </w:t>
      </w:r>
      <w:r>
        <w:lastRenderedPageBreak/>
        <w:t>understanding of fate and purge and associated process controls that assure the level in the drug substance is below the acceptable limit without the need for any additional testing later in the process. Option 3 can be justified when</w:t>
      </w:r>
      <w:r w:rsidR="00F85C7E">
        <w:t xml:space="preserve"> the level of the impurity will be less than 30 % of the acceptable limit by review of laboratory scale experiments data (e.g., spiking </w:t>
      </w:r>
      <w:r w:rsidR="00F85C7E" w:rsidRPr="002F6594">
        <w:t>studies).</w:t>
      </w:r>
    </w:p>
    <w:p w:rsidR="00FD3A17" w:rsidRDefault="00FD3A17" w:rsidP="00175541">
      <w:pPr>
        <w:pStyle w:val="TAMainText"/>
        <w:spacing w:line="360" w:lineRule="auto"/>
        <w:ind w:firstLine="0"/>
        <w:jc w:val="left"/>
      </w:pPr>
      <w:r w:rsidRPr="002F6594">
        <w:rPr>
          <w:u w:val="single"/>
        </w:rPr>
        <w:t>Option 4:</w:t>
      </w:r>
      <w:r>
        <w:t xml:space="preserve"> The </w:t>
      </w:r>
      <w:r w:rsidR="00413A52">
        <w:t xml:space="preserve">MI </w:t>
      </w:r>
      <w:r>
        <w:t xml:space="preserve">does not need to be included on any specification when it can be demonstrated that the level of the impurity in the drug substance will be below the acceptable limit such that no analytical testing is required. Option 4 control strategy relies on </w:t>
      </w:r>
      <w:r w:rsidR="00FD164A">
        <w:t xml:space="preserve">understanding </w:t>
      </w:r>
      <w:r>
        <w:t xml:space="preserve">process </w:t>
      </w:r>
      <w:r w:rsidR="00FD164A">
        <w:t xml:space="preserve">chemistry and process </w:t>
      </w:r>
      <w:r>
        <w:t xml:space="preserve">parameters and </w:t>
      </w:r>
      <w:r w:rsidR="00FD164A">
        <w:t xml:space="preserve">their </w:t>
      </w:r>
      <w:r>
        <w:t>imp</w:t>
      </w:r>
      <w:r w:rsidR="00FD164A">
        <w:t>act on residual impurity levels, including fate and purge knowledge. According to the ICH M7</w:t>
      </w:r>
      <w:r w:rsidR="00B16F2C">
        <w:t>,</w:t>
      </w:r>
      <w:r w:rsidR="00FD164A">
        <w:t xml:space="preserve"> justification of this control approach based on scientific principles alone is sufficient in many cases.</w:t>
      </w:r>
      <w:r w:rsidR="00B16F2C">
        <w:t xml:space="preserve"> The scientific risk assessment used to justify this approach can be based on physicochemical properties and process factors that influence the fate and purge of an impurity. This includes chemical reactivity, solubility, volatility, </w:t>
      </w:r>
      <w:proofErr w:type="spellStart"/>
      <w:r w:rsidR="002F6594">
        <w:t>ionizability</w:t>
      </w:r>
      <w:proofErr w:type="spellEnd"/>
      <w:r w:rsidR="00B16F2C">
        <w:t xml:space="preserve"> and any physical process steps designed to remove impurities. The result of this risk assessment can be shown as an estimated purge factor for clearance of the impurity by the process.</w:t>
      </w:r>
      <w:r w:rsidR="005C03D3">
        <w:t xml:space="preserve"> When justification based on scientific principles alone is not considered sufficient, analytical data to support the control approach is expected.</w:t>
      </w:r>
      <w:r w:rsidR="00364A16">
        <w:t xml:space="preserve"> If </w:t>
      </w:r>
      <w:r w:rsidR="00E16AF2">
        <w:t>o</w:t>
      </w:r>
      <w:r w:rsidR="00364A16">
        <w:t xml:space="preserve">ption 4 approach (and also </w:t>
      </w:r>
      <w:r w:rsidR="007455F0">
        <w:t>o</w:t>
      </w:r>
      <w:r w:rsidR="00364A16">
        <w:t xml:space="preserve">ption 3 approach) cannot be justified, a test for the impurity should be included on the specification of a drug substance, raw material, starting material, intermediate, or as an in-process control. </w:t>
      </w:r>
    </w:p>
    <w:p w:rsidR="00364A16" w:rsidRDefault="00364A16" w:rsidP="00175541">
      <w:pPr>
        <w:pStyle w:val="TAMainText"/>
        <w:spacing w:line="360" w:lineRule="auto"/>
        <w:ind w:firstLine="0"/>
        <w:jc w:val="left"/>
      </w:pPr>
      <w:r>
        <w:t xml:space="preserve">ICH M7 guideline also clarifies that the application of ALARP principle is not necessary if the level of the </w:t>
      </w:r>
      <w:r w:rsidR="00413A52">
        <w:t>MI</w:t>
      </w:r>
      <w:r>
        <w:t xml:space="preserve"> is below acceptable limits. It is also not necessary to demonstrate </w:t>
      </w:r>
      <w:r w:rsidR="001134AF">
        <w:t>that alternative</w:t>
      </w:r>
      <w:r>
        <w:t xml:space="preserve"> routes </w:t>
      </w:r>
      <w:r w:rsidR="0056147A">
        <w:t>of synthesis have been ex</w:t>
      </w:r>
      <w:r w:rsidR="001134AF">
        <w:t>plored which was required by EM</w:t>
      </w:r>
      <w:r w:rsidR="0056147A">
        <w:t>A guideline</w:t>
      </w:r>
      <w:r w:rsidR="00413A52">
        <w:rPr>
          <w:vertAlign w:val="superscript"/>
        </w:rPr>
        <w:t>9</w:t>
      </w:r>
      <w:r w:rsidR="0056147A">
        <w:t xml:space="preserve"> before the implementation of ICH M7.</w:t>
      </w:r>
    </w:p>
    <w:p w:rsidR="00055A69" w:rsidRDefault="00055A69" w:rsidP="00175541">
      <w:pPr>
        <w:pStyle w:val="TAMainText"/>
        <w:spacing w:line="360" w:lineRule="auto"/>
        <w:ind w:firstLine="0"/>
        <w:jc w:val="left"/>
      </w:pPr>
      <w:r>
        <w:t>ICH M7 gui</w:t>
      </w:r>
      <w:r w:rsidR="00413A52">
        <w:t>deline addresses</w:t>
      </w:r>
      <w:r>
        <w:t xml:space="preserve"> many issues that </w:t>
      </w:r>
      <w:r w:rsidR="00E27193">
        <w:t>were left</w:t>
      </w:r>
      <w:r>
        <w:t xml:space="preserve"> unclear in the previous guidelines. The </w:t>
      </w:r>
      <w:r w:rsidR="001134AF">
        <w:t>guideline</w:t>
      </w:r>
      <w:r>
        <w:t xml:space="preserve"> is still very complex and its application in the pharmaceutical industry and regulatory agencies is quite </w:t>
      </w:r>
      <w:r w:rsidR="00E27193">
        <w:t>challenging.</w:t>
      </w:r>
      <w:r w:rsidR="005D2DFF">
        <w:t xml:space="preserve"> </w:t>
      </w:r>
      <w:r w:rsidR="005D2DFF" w:rsidRPr="005D2DFF">
        <w:t>To complement the harmonized</w:t>
      </w:r>
      <w:r w:rsidR="005D2DFF">
        <w:t xml:space="preserve"> g</w:t>
      </w:r>
      <w:r w:rsidR="005D2DFF" w:rsidRPr="005D2DFF">
        <w:t>uideline finalized</w:t>
      </w:r>
      <w:r w:rsidR="005D2DFF">
        <w:t xml:space="preserve"> in June 2014, an Addendum to ICH M7</w:t>
      </w:r>
      <w:r w:rsidR="00B97F9F">
        <w:t xml:space="preserve"> was</w:t>
      </w:r>
      <w:r w:rsidR="00B97F9F" w:rsidRPr="005D2DFF">
        <w:t xml:space="preserve"> proposed</w:t>
      </w:r>
      <w:r w:rsidR="00B97F9F">
        <w:t xml:space="preserve"> in June 2015 (Step 2)</w:t>
      </w:r>
      <w:r w:rsidR="005D2DFF">
        <w:t xml:space="preserve">: Application of the principles of the </w:t>
      </w:r>
      <w:r w:rsidR="00B97F9F">
        <w:t>ICH M7</w:t>
      </w:r>
      <w:r w:rsidR="005D2DFF">
        <w:t xml:space="preserve"> guideline to calculation of</w:t>
      </w:r>
      <w:r w:rsidR="00B97F9F">
        <w:t xml:space="preserve"> c</w:t>
      </w:r>
      <w:r w:rsidR="005D2DFF">
        <w:t>ompound-specific acceptable intakes</w:t>
      </w:r>
      <w:r w:rsidR="00B97F9F">
        <w:t>.</w:t>
      </w:r>
      <w:r w:rsidR="0062403A">
        <w:rPr>
          <w:vertAlign w:val="superscript"/>
        </w:rPr>
        <w:t>23</w:t>
      </w:r>
      <w:r w:rsidR="00B97F9F">
        <w:t xml:space="preserve"> </w:t>
      </w:r>
      <w:r w:rsidR="005D2DFF">
        <w:t>The purpose</w:t>
      </w:r>
      <w:r w:rsidR="005D2DFF" w:rsidRPr="005D2DFF">
        <w:t xml:space="preserve"> of this </w:t>
      </w:r>
      <w:r w:rsidR="005D2DFF">
        <w:t>document</w:t>
      </w:r>
      <w:r w:rsidR="005D2DFF" w:rsidRPr="005D2DFF">
        <w:t xml:space="preserve"> is to provide useful information regarding the acceptable limits of known mutagenic/carcinogenic impurities</w:t>
      </w:r>
      <w:r w:rsidR="005D2DFF">
        <w:t xml:space="preserve"> </w:t>
      </w:r>
      <w:r w:rsidR="005D2DFF" w:rsidRPr="005D2DFF">
        <w:t xml:space="preserve">commonly found </w:t>
      </w:r>
      <w:r w:rsidR="005D2DFF">
        <w:t>or used in drug synthesis</w:t>
      </w:r>
      <w:r w:rsidR="005D2DFF" w:rsidRPr="005D2DFF">
        <w:t xml:space="preserve"> and supporting monographs.</w:t>
      </w:r>
      <w:r w:rsidR="005D2DFF">
        <w:t xml:space="preserve"> </w:t>
      </w:r>
      <w:r w:rsidR="00D1595A">
        <w:t>The development of the guidelines toward the ICH M7 publication is presented in Table 2.</w:t>
      </w:r>
    </w:p>
    <w:p w:rsidR="00F628D9" w:rsidRDefault="00F628D9" w:rsidP="00175541">
      <w:pPr>
        <w:spacing w:after="0" w:line="360" w:lineRule="auto"/>
        <w:jc w:val="left"/>
      </w:pPr>
    </w:p>
    <w:p w:rsidR="007B0FB1" w:rsidRPr="00030504" w:rsidRDefault="007B0FB1" w:rsidP="00175541">
      <w:pPr>
        <w:spacing w:after="0" w:line="360" w:lineRule="auto"/>
        <w:jc w:val="left"/>
        <w:rPr>
          <w:b/>
        </w:rPr>
      </w:pPr>
      <w:r w:rsidRPr="007B0FB1">
        <w:rPr>
          <w:b/>
        </w:rPr>
        <w:t>Table 2:</w:t>
      </w:r>
      <w:r>
        <w:rPr>
          <w:b/>
        </w:rPr>
        <w:t xml:space="preserve"> </w:t>
      </w:r>
      <w:r>
        <w:t>A brief history</w:t>
      </w:r>
      <w:r w:rsidRPr="007B0FB1">
        <w:t xml:space="preserve"> of </w:t>
      </w:r>
      <w:r>
        <w:t>development of GTIs guidelines (</w:t>
      </w:r>
      <w:r w:rsidR="00030504">
        <w:t>based on Teasdale</w:t>
      </w:r>
      <w:r w:rsidR="00030504">
        <w:rPr>
          <w:vertAlign w:val="superscript"/>
        </w:rPr>
        <w:t xml:space="preserve">5 </w:t>
      </w:r>
      <w:r w:rsidR="00030504">
        <w:t xml:space="preserve">and </w:t>
      </w:r>
      <w:proofErr w:type="spellStart"/>
      <w:r w:rsidR="00030504">
        <w:t>Szekely</w:t>
      </w:r>
      <w:proofErr w:type="spellEnd"/>
      <w:r w:rsidR="00030504">
        <w:t xml:space="preserve"> </w:t>
      </w:r>
      <w:proofErr w:type="gramStart"/>
      <w:r w:rsidR="00030504">
        <w:t>et</w:t>
      </w:r>
      <w:proofErr w:type="gramEnd"/>
      <w:r w:rsidR="00030504">
        <w:t xml:space="preserve"> al.</w:t>
      </w:r>
      <w:r w:rsidR="00030504">
        <w:rPr>
          <w:vertAlign w:val="superscript"/>
        </w:rPr>
        <w:t>24</w:t>
      </w:r>
      <w:r w:rsidR="00030504">
        <w:t>).</w:t>
      </w:r>
    </w:p>
    <w:tbl>
      <w:tblPr>
        <w:tblStyle w:val="TableGrid"/>
        <w:tblW w:w="0" w:type="auto"/>
        <w:tblLook w:val="04A0" w:firstRow="1" w:lastRow="0" w:firstColumn="1" w:lastColumn="0" w:noHBand="0" w:noVBand="1"/>
      </w:tblPr>
      <w:tblGrid>
        <w:gridCol w:w="2093"/>
        <w:gridCol w:w="2693"/>
        <w:gridCol w:w="4790"/>
      </w:tblGrid>
      <w:tr w:rsidR="00F628D9" w:rsidTr="003B6F77">
        <w:tc>
          <w:tcPr>
            <w:tcW w:w="2093" w:type="dxa"/>
          </w:tcPr>
          <w:p w:rsidR="00F628D9" w:rsidRPr="008F3B01" w:rsidRDefault="008F3B01" w:rsidP="00175541">
            <w:pPr>
              <w:pStyle w:val="TAMainText"/>
              <w:spacing w:line="360" w:lineRule="auto"/>
              <w:ind w:firstLine="0"/>
              <w:jc w:val="left"/>
              <w:rPr>
                <w:b/>
              </w:rPr>
            </w:pPr>
            <w:r w:rsidRPr="008F3B01">
              <w:rPr>
                <w:b/>
              </w:rPr>
              <w:t>Year</w:t>
            </w:r>
          </w:p>
        </w:tc>
        <w:tc>
          <w:tcPr>
            <w:tcW w:w="2693" w:type="dxa"/>
          </w:tcPr>
          <w:p w:rsidR="00F628D9" w:rsidRPr="008F3B01" w:rsidRDefault="008F3B01" w:rsidP="00175541">
            <w:pPr>
              <w:pStyle w:val="TAMainText"/>
              <w:spacing w:line="360" w:lineRule="auto"/>
              <w:ind w:firstLine="0"/>
              <w:jc w:val="left"/>
              <w:rPr>
                <w:b/>
              </w:rPr>
            </w:pPr>
            <w:r w:rsidRPr="008F3B01">
              <w:rPr>
                <w:b/>
              </w:rPr>
              <w:t>Issue</w:t>
            </w:r>
          </w:p>
        </w:tc>
        <w:tc>
          <w:tcPr>
            <w:tcW w:w="4790" w:type="dxa"/>
          </w:tcPr>
          <w:p w:rsidR="00F628D9" w:rsidRPr="008F3B01" w:rsidRDefault="008F3B01" w:rsidP="00175541">
            <w:pPr>
              <w:pStyle w:val="TAMainText"/>
              <w:spacing w:line="360" w:lineRule="auto"/>
              <w:ind w:firstLine="0"/>
              <w:jc w:val="left"/>
              <w:rPr>
                <w:b/>
              </w:rPr>
            </w:pPr>
            <w:r w:rsidRPr="008F3B01">
              <w:rPr>
                <w:b/>
              </w:rPr>
              <w:t>Key points</w:t>
            </w:r>
          </w:p>
        </w:tc>
      </w:tr>
      <w:tr w:rsidR="00F628D9" w:rsidTr="003B6F77">
        <w:tc>
          <w:tcPr>
            <w:tcW w:w="2093" w:type="dxa"/>
          </w:tcPr>
          <w:p w:rsidR="00F628D9" w:rsidRDefault="003B6F77" w:rsidP="00175541">
            <w:pPr>
              <w:pStyle w:val="TAMainText"/>
              <w:spacing w:line="360" w:lineRule="auto"/>
              <w:ind w:firstLine="0"/>
              <w:jc w:val="left"/>
            </w:pPr>
            <w:r>
              <w:t xml:space="preserve">March </w:t>
            </w:r>
            <w:r w:rsidR="00F628D9">
              <w:t>1995</w:t>
            </w:r>
          </w:p>
        </w:tc>
        <w:tc>
          <w:tcPr>
            <w:tcW w:w="2693" w:type="dxa"/>
          </w:tcPr>
          <w:p w:rsidR="00F628D9" w:rsidRDefault="00F628D9" w:rsidP="00175541">
            <w:pPr>
              <w:pStyle w:val="TAMainText"/>
              <w:spacing w:line="360" w:lineRule="auto"/>
              <w:ind w:firstLine="0"/>
              <w:jc w:val="left"/>
            </w:pPr>
            <w:r>
              <w:t>ICH Q3A</w:t>
            </w:r>
            <w:r w:rsidR="003B6F77">
              <w:t>:</w:t>
            </w:r>
            <w:r>
              <w:t xml:space="preserve"> Impurities in New Drug substances</w:t>
            </w:r>
          </w:p>
        </w:tc>
        <w:tc>
          <w:tcPr>
            <w:tcW w:w="4790" w:type="dxa"/>
          </w:tcPr>
          <w:p w:rsidR="00F628D9" w:rsidRDefault="00F628D9" w:rsidP="00861D2C">
            <w:pPr>
              <w:pStyle w:val="TAMainText"/>
              <w:spacing w:line="360" w:lineRule="auto"/>
              <w:ind w:firstLine="0"/>
              <w:jc w:val="left"/>
            </w:pPr>
            <w:r>
              <w:t>The term '</w:t>
            </w:r>
            <w:r w:rsidRPr="00F628D9">
              <w:t>unusually toxic</w:t>
            </w:r>
            <w:r>
              <w:t>' is used</w:t>
            </w:r>
            <w:r w:rsidR="00BA0E2E">
              <w:t xml:space="preserve"> to address </w:t>
            </w:r>
            <w:r w:rsidR="00861D2C">
              <w:t>GTIs</w:t>
            </w:r>
            <w:r w:rsidRPr="00F628D9">
              <w:t>.</w:t>
            </w:r>
          </w:p>
        </w:tc>
      </w:tr>
      <w:tr w:rsidR="00F628D9" w:rsidTr="00861D2C">
        <w:trPr>
          <w:trHeight w:val="1709"/>
        </w:trPr>
        <w:tc>
          <w:tcPr>
            <w:tcW w:w="2093" w:type="dxa"/>
          </w:tcPr>
          <w:p w:rsidR="00F628D9" w:rsidRPr="00BA0E2E" w:rsidRDefault="00BA0E2E" w:rsidP="00175541">
            <w:pPr>
              <w:pStyle w:val="TAMainText"/>
              <w:spacing w:line="360" w:lineRule="auto"/>
              <w:ind w:firstLine="0"/>
              <w:jc w:val="left"/>
              <w:rPr>
                <w:lang w:val="en-US"/>
              </w:rPr>
            </w:pPr>
            <w:r>
              <w:rPr>
                <w:lang w:val="en-US"/>
              </w:rPr>
              <w:t>2000</w:t>
            </w:r>
          </w:p>
        </w:tc>
        <w:tc>
          <w:tcPr>
            <w:tcW w:w="2693" w:type="dxa"/>
          </w:tcPr>
          <w:p w:rsidR="00F628D9" w:rsidRDefault="00BA0E2E" w:rsidP="00175541">
            <w:pPr>
              <w:pStyle w:val="TAMainText"/>
              <w:spacing w:line="360" w:lineRule="auto"/>
              <w:ind w:firstLine="0"/>
              <w:jc w:val="left"/>
            </w:pPr>
            <w:r>
              <w:t>PharmEuropa</w:t>
            </w:r>
            <w:r w:rsidR="003B6F77">
              <w:t xml:space="preserve"> </w:t>
            </w:r>
            <w:r w:rsidR="009A4075">
              <w:t>Enquiry: Alkyl mesy</w:t>
            </w:r>
            <w:r w:rsidR="003B6F77" w:rsidRPr="003B6F77">
              <w:t>late (methane s</w:t>
            </w:r>
            <w:r w:rsidR="009A4075">
              <w:t>ulfonate) impurities in mesy</w:t>
            </w:r>
            <w:r w:rsidR="003B6F77" w:rsidRPr="003B6F77">
              <w:t>late salts</w:t>
            </w:r>
          </w:p>
        </w:tc>
        <w:tc>
          <w:tcPr>
            <w:tcW w:w="4790" w:type="dxa"/>
          </w:tcPr>
          <w:p w:rsidR="00F628D9" w:rsidRDefault="00BA0E2E" w:rsidP="00175541">
            <w:pPr>
              <w:spacing w:line="360" w:lineRule="auto"/>
            </w:pPr>
            <w:r>
              <w:t>The first article regarding the GTIs related concern published (potential risk of formation of sulfonate esters during a salt formation process).</w:t>
            </w:r>
          </w:p>
        </w:tc>
      </w:tr>
      <w:tr w:rsidR="00F628D9" w:rsidTr="003B6F77">
        <w:tc>
          <w:tcPr>
            <w:tcW w:w="2093" w:type="dxa"/>
          </w:tcPr>
          <w:p w:rsidR="00F628D9" w:rsidRDefault="003B6F77" w:rsidP="00175541">
            <w:pPr>
              <w:pStyle w:val="TAMainText"/>
              <w:spacing w:line="360" w:lineRule="auto"/>
              <w:ind w:firstLine="0"/>
              <w:jc w:val="left"/>
            </w:pPr>
            <w:r>
              <w:t xml:space="preserve">December </w:t>
            </w:r>
            <w:r w:rsidR="00D06BCC">
              <w:t>2002</w:t>
            </w:r>
          </w:p>
        </w:tc>
        <w:tc>
          <w:tcPr>
            <w:tcW w:w="2693" w:type="dxa"/>
          </w:tcPr>
          <w:p w:rsidR="00F628D9" w:rsidRDefault="00D06BCC" w:rsidP="00175541">
            <w:pPr>
              <w:pStyle w:val="TAMainText"/>
              <w:spacing w:line="360" w:lineRule="auto"/>
              <w:ind w:firstLine="0"/>
              <w:jc w:val="left"/>
            </w:pPr>
            <w:r>
              <w:t>CPMP</w:t>
            </w:r>
            <w:r w:rsidR="003B6F77">
              <w:t>:</w:t>
            </w:r>
            <w:r>
              <w:t xml:space="preserve"> Position paper on the limits of genotoxic impurities</w:t>
            </w:r>
          </w:p>
        </w:tc>
        <w:tc>
          <w:tcPr>
            <w:tcW w:w="4790" w:type="dxa"/>
          </w:tcPr>
          <w:p w:rsidR="00F628D9" w:rsidRDefault="003B6F77" w:rsidP="003B6F77">
            <w:pPr>
              <w:pStyle w:val="TAMainText"/>
              <w:spacing w:line="360" w:lineRule="auto"/>
              <w:ind w:firstLine="0"/>
              <w:jc w:val="left"/>
            </w:pPr>
            <w:r>
              <w:t>Wherever possible, alternative routes that avoid GTIs should be used. Otherwise they should be reduced to 'as low as technically feasible' level.</w:t>
            </w:r>
          </w:p>
          <w:p w:rsidR="008F3B01" w:rsidRPr="008F3B01" w:rsidRDefault="008F3B01" w:rsidP="008F3B01">
            <w:pPr>
              <w:pStyle w:val="TAMainText"/>
              <w:spacing w:line="360" w:lineRule="auto"/>
              <w:ind w:firstLine="0"/>
              <w:jc w:val="left"/>
            </w:pPr>
            <w:r>
              <w:t xml:space="preserve">Safety tests, including </w:t>
            </w:r>
            <w:r>
              <w:rPr>
                <w:i/>
              </w:rPr>
              <w:t>in vivo</w:t>
            </w:r>
            <w:r>
              <w:t xml:space="preserve"> studies are required to determine a NOEL or to carry out a quantitative risk assessment.</w:t>
            </w:r>
          </w:p>
        </w:tc>
      </w:tr>
      <w:tr w:rsidR="00F628D9" w:rsidTr="003B6F77">
        <w:tc>
          <w:tcPr>
            <w:tcW w:w="2093" w:type="dxa"/>
          </w:tcPr>
          <w:p w:rsidR="00F628D9" w:rsidRPr="008F3B01" w:rsidRDefault="008F3B01" w:rsidP="00175541">
            <w:pPr>
              <w:pStyle w:val="TAMainText"/>
              <w:spacing w:line="360" w:lineRule="auto"/>
              <w:ind w:firstLine="0"/>
              <w:jc w:val="left"/>
              <w:rPr>
                <w:lang w:val="en-US"/>
              </w:rPr>
            </w:pPr>
            <w:r>
              <w:rPr>
                <w:lang w:val="en-US"/>
              </w:rPr>
              <w:t>June 2004</w:t>
            </w:r>
          </w:p>
        </w:tc>
        <w:tc>
          <w:tcPr>
            <w:tcW w:w="2693" w:type="dxa"/>
          </w:tcPr>
          <w:p w:rsidR="00F628D9" w:rsidRDefault="008F3B01" w:rsidP="00175541">
            <w:pPr>
              <w:pStyle w:val="TAMainText"/>
              <w:spacing w:line="360" w:lineRule="auto"/>
              <w:ind w:firstLine="0"/>
              <w:jc w:val="left"/>
            </w:pPr>
            <w:r>
              <w:t>CHMP: Guidelines on the limits of genotoxic impurities - Draft</w:t>
            </w:r>
          </w:p>
        </w:tc>
        <w:tc>
          <w:tcPr>
            <w:tcW w:w="4790" w:type="dxa"/>
          </w:tcPr>
          <w:p w:rsidR="00F628D9" w:rsidRDefault="008F3B01" w:rsidP="00175541">
            <w:pPr>
              <w:pStyle w:val="TAMainText"/>
              <w:spacing w:line="360" w:lineRule="auto"/>
              <w:ind w:firstLine="0"/>
              <w:jc w:val="left"/>
            </w:pPr>
            <w:r>
              <w:t>'As low as technically feasible' terminology is replaced with the ALARP (As low as reasonably practical) principle.</w:t>
            </w:r>
          </w:p>
          <w:p w:rsidR="00861D2C" w:rsidRDefault="00861D2C" w:rsidP="00175541">
            <w:pPr>
              <w:pStyle w:val="TAMainText"/>
              <w:spacing w:line="360" w:lineRule="auto"/>
              <w:ind w:firstLine="0"/>
              <w:jc w:val="left"/>
            </w:pPr>
            <w:r>
              <w:t>Requirement to introduce an alternative route is omitted. The need to provide justification of selected route remains.</w:t>
            </w:r>
          </w:p>
          <w:p w:rsidR="00861D2C" w:rsidRDefault="00861D2C" w:rsidP="00175541">
            <w:pPr>
              <w:pStyle w:val="TAMainText"/>
              <w:spacing w:line="360" w:lineRule="auto"/>
              <w:ind w:firstLine="0"/>
              <w:jc w:val="left"/>
            </w:pPr>
            <w:r>
              <w:t>TTC concept</w:t>
            </w:r>
            <w:r w:rsidR="005C4C90">
              <w:t xml:space="preserve"> is introduced.</w:t>
            </w:r>
          </w:p>
        </w:tc>
      </w:tr>
      <w:tr w:rsidR="005C4C90" w:rsidTr="003B6F77">
        <w:tc>
          <w:tcPr>
            <w:tcW w:w="2093" w:type="dxa"/>
          </w:tcPr>
          <w:p w:rsidR="005C4C90" w:rsidRDefault="005C4C90" w:rsidP="00175541">
            <w:pPr>
              <w:pStyle w:val="TAMainText"/>
              <w:spacing w:line="360" w:lineRule="auto"/>
              <w:ind w:firstLine="0"/>
              <w:jc w:val="left"/>
            </w:pPr>
            <w:r>
              <w:t>January 2006</w:t>
            </w:r>
          </w:p>
        </w:tc>
        <w:tc>
          <w:tcPr>
            <w:tcW w:w="2693" w:type="dxa"/>
          </w:tcPr>
          <w:p w:rsidR="005C4C90" w:rsidRDefault="005C4C90" w:rsidP="00175541">
            <w:pPr>
              <w:pStyle w:val="TAMainText"/>
              <w:spacing w:line="360" w:lineRule="auto"/>
              <w:ind w:firstLine="0"/>
              <w:jc w:val="left"/>
            </w:pPr>
            <w:r>
              <w:t>PhRMA (Mueller) White paper</w:t>
            </w:r>
          </w:p>
        </w:tc>
        <w:tc>
          <w:tcPr>
            <w:tcW w:w="4790" w:type="dxa"/>
          </w:tcPr>
          <w:p w:rsidR="005C4C90" w:rsidRDefault="009C2786" w:rsidP="00175541">
            <w:pPr>
              <w:pStyle w:val="TAMainText"/>
              <w:spacing w:line="360" w:lineRule="auto"/>
              <w:ind w:firstLine="0"/>
              <w:jc w:val="left"/>
            </w:pPr>
            <w:r>
              <w:t>A 'staged TTC' approach is introduced.</w:t>
            </w:r>
          </w:p>
          <w:p w:rsidR="009C2786" w:rsidRDefault="009C2786" w:rsidP="00175541">
            <w:pPr>
              <w:pStyle w:val="TAMainText"/>
              <w:spacing w:line="360" w:lineRule="auto"/>
              <w:ind w:firstLine="0"/>
              <w:jc w:val="left"/>
            </w:pPr>
            <w:r>
              <w:t>A classification system, defining five separate classess of impurities, is defined.</w:t>
            </w:r>
          </w:p>
        </w:tc>
      </w:tr>
      <w:tr w:rsidR="00F628D9" w:rsidTr="003B6F77">
        <w:tc>
          <w:tcPr>
            <w:tcW w:w="2093" w:type="dxa"/>
          </w:tcPr>
          <w:p w:rsidR="00F628D9" w:rsidRDefault="00861D2C" w:rsidP="00175541">
            <w:pPr>
              <w:pStyle w:val="TAMainText"/>
              <w:spacing w:line="360" w:lineRule="auto"/>
              <w:ind w:firstLine="0"/>
              <w:jc w:val="left"/>
            </w:pPr>
            <w:r>
              <w:rPr>
                <w:lang w:val="en-US"/>
              </w:rPr>
              <w:t>June 2006</w:t>
            </w:r>
          </w:p>
        </w:tc>
        <w:tc>
          <w:tcPr>
            <w:tcW w:w="2693" w:type="dxa"/>
          </w:tcPr>
          <w:p w:rsidR="00F628D9" w:rsidRDefault="008F3B01" w:rsidP="008F3B01">
            <w:pPr>
              <w:pStyle w:val="TAMainText"/>
              <w:spacing w:line="360" w:lineRule="auto"/>
              <w:ind w:firstLine="0"/>
              <w:jc w:val="left"/>
            </w:pPr>
            <w:r>
              <w:t>CHMP: Guidelines on the limits of genotoxic impurities</w:t>
            </w:r>
            <w:r w:rsidR="00861D2C">
              <w:t xml:space="preserve"> - Finalized</w:t>
            </w:r>
          </w:p>
        </w:tc>
        <w:tc>
          <w:tcPr>
            <w:tcW w:w="4790" w:type="dxa"/>
          </w:tcPr>
          <w:p w:rsidR="009C2786" w:rsidRDefault="007455F0" w:rsidP="00175541">
            <w:pPr>
              <w:pStyle w:val="TAMainText"/>
              <w:spacing w:line="360" w:lineRule="auto"/>
              <w:ind w:firstLine="0"/>
              <w:jc w:val="left"/>
            </w:pPr>
            <w:r>
              <w:t>The n</w:t>
            </w:r>
            <w:r w:rsidR="009C2786">
              <w:t>ote that the guideline doesn't need to be applied retrospectively to authorised products unless there is specific cause for concern</w:t>
            </w:r>
            <w:r>
              <w:t xml:space="preserve"> is </w:t>
            </w:r>
            <w:r>
              <w:lastRenderedPageBreak/>
              <w:t>added</w:t>
            </w:r>
            <w:r w:rsidR="009C2786">
              <w:t>.</w:t>
            </w:r>
          </w:p>
          <w:p w:rsidR="00F628D9" w:rsidRDefault="009C2786" w:rsidP="00175541">
            <w:pPr>
              <w:pStyle w:val="TAMainText"/>
              <w:spacing w:line="360" w:lineRule="auto"/>
              <w:ind w:firstLine="0"/>
              <w:jc w:val="left"/>
            </w:pPr>
            <w:r>
              <w:t xml:space="preserve">Excipients are excluded from the finalized guideline. </w:t>
            </w:r>
          </w:p>
        </w:tc>
      </w:tr>
      <w:tr w:rsidR="00F628D9" w:rsidTr="003B6F77">
        <w:tc>
          <w:tcPr>
            <w:tcW w:w="2093" w:type="dxa"/>
          </w:tcPr>
          <w:p w:rsidR="00F628D9" w:rsidRDefault="00BA0EED" w:rsidP="00175541">
            <w:pPr>
              <w:pStyle w:val="TAMainText"/>
              <w:spacing w:line="360" w:lineRule="auto"/>
              <w:ind w:firstLine="0"/>
              <w:jc w:val="left"/>
            </w:pPr>
            <w:r>
              <w:lastRenderedPageBreak/>
              <w:t>December 2008</w:t>
            </w:r>
          </w:p>
        </w:tc>
        <w:tc>
          <w:tcPr>
            <w:tcW w:w="2693" w:type="dxa"/>
          </w:tcPr>
          <w:p w:rsidR="00F628D9" w:rsidRDefault="00BA0EED" w:rsidP="007455F0">
            <w:pPr>
              <w:pStyle w:val="TAMainText"/>
              <w:spacing w:line="360" w:lineRule="auto"/>
              <w:ind w:firstLine="0"/>
              <w:jc w:val="left"/>
            </w:pPr>
            <w:r>
              <w:t xml:space="preserve">FDA draft guidance: </w:t>
            </w:r>
            <w:r w:rsidRPr="00BA0EED">
              <w:t xml:space="preserve">Genotoxic and </w:t>
            </w:r>
            <w:r w:rsidR="007455F0">
              <w:t>c</w:t>
            </w:r>
            <w:r w:rsidRPr="00BA0EED">
              <w:t xml:space="preserve">arcinogenic </w:t>
            </w:r>
            <w:r w:rsidR="007455F0">
              <w:t>i</w:t>
            </w:r>
            <w:r w:rsidRPr="00BA0EED">
              <w:t xml:space="preserve">mpurities in </w:t>
            </w:r>
            <w:r w:rsidR="007455F0">
              <w:t>d</w:t>
            </w:r>
            <w:r w:rsidRPr="00BA0EED">
              <w:t xml:space="preserve">rug </w:t>
            </w:r>
            <w:r w:rsidR="007455F0">
              <w:t>s</w:t>
            </w:r>
            <w:r w:rsidRPr="00BA0EED">
              <w:t xml:space="preserve">ubstances and </w:t>
            </w:r>
            <w:r w:rsidR="007455F0">
              <w:t>p</w:t>
            </w:r>
            <w:r w:rsidRPr="00BA0EED">
              <w:t xml:space="preserve">roducts: </w:t>
            </w:r>
            <w:r w:rsidR="007455F0">
              <w:t>r</w:t>
            </w:r>
            <w:r w:rsidRPr="00BA0EED">
              <w:t xml:space="preserve">ecommended </w:t>
            </w:r>
            <w:r w:rsidR="007455F0">
              <w:t>a</w:t>
            </w:r>
            <w:r w:rsidRPr="00BA0EED">
              <w:t>pproaches</w:t>
            </w:r>
          </w:p>
        </w:tc>
        <w:tc>
          <w:tcPr>
            <w:tcW w:w="4790" w:type="dxa"/>
          </w:tcPr>
          <w:p w:rsidR="00F628D9" w:rsidRDefault="00BA0EED" w:rsidP="00175541">
            <w:pPr>
              <w:pStyle w:val="TAMainText"/>
              <w:spacing w:line="360" w:lineRule="auto"/>
              <w:ind w:firstLine="0"/>
              <w:jc w:val="left"/>
            </w:pPr>
            <w:r>
              <w:t>It is suggested to introduce lower limits for different patient populations (e.g. pediatric).</w:t>
            </w:r>
          </w:p>
          <w:p w:rsidR="00BA0EED" w:rsidRDefault="00BA0EED" w:rsidP="00175541">
            <w:pPr>
              <w:pStyle w:val="TAMainText"/>
              <w:spacing w:line="360" w:lineRule="auto"/>
              <w:ind w:firstLine="0"/>
              <w:jc w:val="left"/>
            </w:pPr>
            <w:r>
              <w:t>Genotoxicity testing should be performed for any impu</w:t>
            </w:r>
            <w:r w:rsidR="00251200">
              <w:t>rity above the ICH qualification</w:t>
            </w:r>
            <w:r>
              <w:t xml:space="preserve"> threshold.</w:t>
            </w:r>
          </w:p>
          <w:p w:rsidR="00BA0EED" w:rsidRDefault="00BA0EED" w:rsidP="00175541">
            <w:pPr>
              <w:pStyle w:val="TAMainText"/>
              <w:spacing w:line="360" w:lineRule="auto"/>
              <w:ind w:firstLine="0"/>
              <w:jc w:val="left"/>
            </w:pPr>
            <w:r>
              <w:t>Different staged TTC values for short term studies</w:t>
            </w:r>
            <w:r w:rsidR="00CE5922">
              <w:t xml:space="preserve"> are proposed.</w:t>
            </w:r>
          </w:p>
        </w:tc>
      </w:tr>
      <w:tr w:rsidR="00047E76" w:rsidTr="003B6F77">
        <w:tc>
          <w:tcPr>
            <w:tcW w:w="2093" w:type="dxa"/>
          </w:tcPr>
          <w:p w:rsidR="00047E76" w:rsidRPr="004B2B70" w:rsidRDefault="00047E76" w:rsidP="00BD157F">
            <w:pPr>
              <w:pStyle w:val="TAMainText"/>
              <w:spacing w:line="360" w:lineRule="auto"/>
              <w:ind w:firstLine="0"/>
              <w:jc w:val="left"/>
              <w:rPr>
                <w:lang w:val="en-US"/>
              </w:rPr>
            </w:pPr>
            <w:r>
              <w:rPr>
                <w:lang w:val="en-US"/>
              </w:rPr>
              <w:t>September 2010</w:t>
            </w:r>
          </w:p>
        </w:tc>
        <w:tc>
          <w:tcPr>
            <w:tcW w:w="2693" w:type="dxa"/>
          </w:tcPr>
          <w:p w:rsidR="00047E76" w:rsidRDefault="00047E76" w:rsidP="00BD157F">
            <w:pPr>
              <w:pStyle w:val="TAMainText"/>
              <w:spacing w:line="360" w:lineRule="auto"/>
              <w:ind w:firstLine="0"/>
              <w:jc w:val="left"/>
            </w:pPr>
            <w:r>
              <w:t xml:space="preserve">SWP: </w:t>
            </w:r>
            <w:r w:rsidRPr="004B2B70">
              <w:t xml:space="preserve">Questions and Answers on the CHMP Guideline on the </w:t>
            </w:r>
            <w:r>
              <w:t>l</w:t>
            </w:r>
            <w:r w:rsidRPr="004B2B70">
              <w:t xml:space="preserve">imits of </w:t>
            </w:r>
            <w:r>
              <w:t>g</w:t>
            </w:r>
            <w:r w:rsidRPr="004B2B70">
              <w:t xml:space="preserve">enotoxic </w:t>
            </w:r>
            <w:r>
              <w:t>i</w:t>
            </w:r>
            <w:r w:rsidRPr="004B2B70">
              <w:t>mpurities</w:t>
            </w:r>
          </w:p>
        </w:tc>
        <w:tc>
          <w:tcPr>
            <w:tcW w:w="4790" w:type="dxa"/>
          </w:tcPr>
          <w:p w:rsidR="00047E76" w:rsidRDefault="00047E76" w:rsidP="00BD157F">
            <w:pPr>
              <w:pStyle w:val="TAMainText"/>
              <w:spacing w:line="360" w:lineRule="auto"/>
              <w:ind w:firstLine="0"/>
              <w:jc w:val="left"/>
            </w:pPr>
            <w:r>
              <w:t>Durational adjustments to the TTC limit are acceptable for investigational studies.</w:t>
            </w:r>
          </w:p>
          <w:p w:rsidR="00047E76" w:rsidRDefault="00047E76" w:rsidP="00BD157F">
            <w:pPr>
              <w:pStyle w:val="TAMainText"/>
              <w:spacing w:line="360" w:lineRule="auto"/>
              <w:ind w:firstLine="0"/>
              <w:jc w:val="left"/>
            </w:pPr>
            <w:r>
              <w:t>A 'cause of concern' terminology is explained.</w:t>
            </w:r>
          </w:p>
          <w:p w:rsidR="00047E76" w:rsidRDefault="00047E76" w:rsidP="00BD157F">
            <w:pPr>
              <w:pStyle w:val="TAMainText"/>
              <w:spacing w:line="360" w:lineRule="auto"/>
              <w:ind w:firstLine="0"/>
              <w:jc w:val="left"/>
            </w:pPr>
            <w:r>
              <w:t>If a substance is controlled to an appropriate safety based limit, then no further actions are required.</w:t>
            </w:r>
          </w:p>
        </w:tc>
      </w:tr>
      <w:tr w:rsidR="00394E03" w:rsidTr="003B6F77">
        <w:tc>
          <w:tcPr>
            <w:tcW w:w="2093" w:type="dxa"/>
          </w:tcPr>
          <w:p w:rsidR="00394E03" w:rsidRDefault="00394E03" w:rsidP="00175541">
            <w:pPr>
              <w:pStyle w:val="TAMainText"/>
              <w:spacing w:line="360" w:lineRule="auto"/>
              <w:ind w:firstLine="0"/>
              <w:jc w:val="left"/>
            </w:pPr>
            <w:r>
              <w:t>June 2014</w:t>
            </w:r>
          </w:p>
        </w:tc>
        <w:tc>
          <w:tcPr>
            <w:tcW w:w="2693" w:type="dxa"/>
          </w:tcPr>
          <w:p w:rsidR="00394E03" w:rsidRDefault="00394E03" w:rsidP="00297D41">
            <w:pPr>
              <w:pStyle w:val="TAMainText"/>
              <w:spacing w:line="360" w:lineRule="auto"/>
              <w:ind w:firstLine="0"/>
              <w:jc w:val="left"/>
            </w:pPr>
            <w:r>
              <w:t xml:space="preserve">ICH M7: </w:t>
            </w:r>
            <w:r w:rsidRPr="00394E03">
              <w:t xml:space="preserve">Assessment and </w:t>
            </w:r>
            <w:r w:rsidR="00297D41">
              <w:t>c</w:t>
            </w:r>
            <w:r w:rsidRPr="00394E03">
              <w:t xml:space="preserve">ontrol of DNA </w:t>
            </w:r>
            <w:r w:rsidR="00297D41">
              <w:t>r</w:t>
            </w:r>
            <w:r w:rsidRPr="00394E03">
              <w:t>eactive (</w:t>
            </w:r>
            <w:r w:rsidR="00297D41">
              <w:t>m</w:t>
            </w:r>
            <w:r w:rsidRPr="00394E03">
              <w:t xml:space="preserve">utagenic) </w:t>
            </w:r>
            <w:r w:rsidR="00297D41">
              <w:t>i</w:t>
            </w:r>
            <w:r w:rsidRPr="00394E03">
              <w:t xml:space="preserve">mpurities in </w:t>
            </w:r>
            <w:r w:rsidR="00297D41">
              <w:t>p</w:t>
            </w:r>
            <w:r w:rsidRPr="00394E03">
              <w:t xml:space="preserve">harmaceuticals to </w:t>
            </w:r>
            <w:r w:rsidR="00297D41">
              <w:t>l</w:t>
            </w:r>
            <w:r w:rsidRPr="00394E03">
              <w:t xml:space="preserve">imit </w:t>
            </w:r>
            <w:r w:rsidR="00297D41">
              <w:t>p</w:t>
            </w:r>
            <w:r w:rsidRPr="00394E03">
              <w:t xml:space="preserve">otential </w:t>
            </w:r>
            <w:r w:rsidR="00297D41">
              <w:t>c</w:t>
            </w:r>
            <w:r w:rsidRPr="00394E03">
              <w:t xml:space="preserve">arcinogenic </w:t>
            </w:r>
            <w:r w:rsidR="00297D41">
              <w:t>r</w:t>
            </w:r>
            <w:r w:rsidRPr="00394E03">
              <w:t>isk</w:t>
            </w:r>
          </w:p>
        </w:tc>
        <w:tc>
          <w:tcPr>
            <w:tcW w:w="4790" w:type="dxa"/>
          </w:tcPr>
          <w:p w:rsidR="00FA7D5D" w:rsidRDefault="00FA7D5D" w:rsidP="00FA7D5D">
            <w:pPr>
              <w:pStyle w:val="TAMainText"/>
              <w:spacing w:line="360" w:lineRule="auto"/>
              <w:ind w:firstLine="0"/>
              <w:jc w:val="left"/>
            </w:pPr>
            <w:r>
              <w:t>Two (Q)SAR computational methodologies that complement each other are required (one expert rule-based and the second one statistical-based).</w:t>
            </w:r>
          </w:p>
          <w:p w:rsidR="00394E03" w:rsidRDefault="00FA7D5D" w:rsidP="00FA7D5D">
            <w:pPr>
              <w:pStyle w:val="TAMainText"/>
              <w:spacing w:line="360" w:lineRule="auto"/>
              <w:ind w:firstLine="0"/>
              <w:jc w:val="left"/>
            </w:pPr>
            <w:r>
              <w:t xml:space="preserve">Four potential approaches to development of a control strategy for drug substance are proposed, including </w:t>
            </w:r>
            <w:r w:rsidR="00297D41">
              <w:t xml:space="preserve">a </w:t>
            </w:r>
            <w:r>
              <w:t>control strategy that relies on understanding process chemistry and process parameters and their impact on residual impurity levels, including fate and purge knowledge.</w:t>
            </w:r>
          </w:p>
        </w:tc>
      </w:tr>
      <w:tr w:rsidR="00394E03" w:rsidTr="003B6F77">
        <w:tc>
          <w:tcPr>
            <w:tcW w:w="2093" w:type="dxa"/>
          </w:tcPr>
          <w:p w:rsidR="00394E03" w:rsidRDefault="00394E03" w:rsidP="00175541">
            <w:pPr>
              <w:pStyle w:val="TAMainText"/>
              <w:spacing w:line="360" w:lineRule="auto"/>
              <w:ind w:firstLine="0"/>
              <w:jc w:val="left"/>
            </w:pPr>
            <w:r>
              <w:t>June 2015</w:t>
            </w:r>
          </w:p>
        </w:tc>
        <w:tc>
          <w:tcPr>
            <w:tcW w:w="2693" w:type="dxa"/>
          </w:tcPr>
          <w:p w:rsidR="00394E03" w:rsidRDefault="00394E03" w:rsidP="00175541">
            <w:pPr>
              <w:pStyle w:val="TAMainText"/>
              <w:spacing w:line="360" w:lineRule="auto"/>
              <w:ind w:firstLine="0"/>
              <w:jc w:val="left"/>
            </w:pPr>
            <w:r>
              <w:t xml:space="preserve">ICH M7 </w:t>
            </w:r>
            <w:r w:rsidRPr="00394E03">
              <w:t xml:space="preserve">Addendum: Application of the principles of the ICH M7 guideline to calculation </w:t>
            </w:r>
            <w:r w:rsidRPr="00394E03">
              <w:lastRenderedPageBreak/>
              <w:t>of compound-specific acceptable intake</w:t>
            </w:r>
          </w:p>
        </w:tc>
        <w:tc>
          <w:tcPr>
            <w:tcW w:w="4790" w:type="dxa"/>
          </w:tcPr>
          <w:p w:rsidR="00FA7D5D" w:rsidRDefault="00FA7D5D" w:rsidP="00FA7D5D">
            <w:pPr>
              <w:pStyle w:val="TAMainText"/>
              <w:spacing w:line="360" w:lineRule="auto"/>
              <w:ind w:firstLine="0"/>
              <w:jc w:val="left"/>
            </w:pPr>
            <w:r>
              <w:lastRenderedPageBreak/>
              <w:t>Acceptable intakes have been derived for substances that are considered to be mutagens and carcinogens and are commonly used in the manufacture of drug substances.</w:t>
            </w:r>
          </w:p>
          <w:p w:rsidR="00394E03" w:rsidRDefault="00394E03" w:rsidP="00FA7D5D">
            <w:pPr>
              <w:pStyle w:val="TAMainText"/>
              <w:spacing w:line="360" w:lineRule="auto"/>
              <w:ind w:firstLine="0"/>
              <w:jc w:val="left"/>
            </w:pPr>
          </w:p>
        </w:tc>
      </w:tr>
    </w:tbl>
    <w:p w:rsidR="001E3BAB" w:rsidRDefault="001E3BAB" w:rsidP="00175541">
      <w:pPr>
        <w:pStyle w:val="TAMainText"/>
        <w:spacing w:line="360" w:lineRule="auto"/>
        <w:ind w:firstLine="0"/>
        <w:jc w:val="left"/>
      </w:pPr>
    </w:p>
    <w:p w:rsidR="005A2ECB" w:rsidRDefault="002B5F93" w:rsidP="00175541">
      <w:pPr>
        <w:spacing w:after="0" w:line="360" w:lineRule="auto"/>
        <w:jc w:val="left"/>
      </w:pPr>
      <w:r>
        <w:t xml:space="preserve">Pharmaceutical industry can apply different approaches to mitigate the </w:t>
      </w:r>
      <w:r w:rsidR="00A70234">
        <w:t xml:space="preserve">risk of </w:t>
      </w:r>
      <w:r>
        <w:t>GTI</w:t>
      </w:r>
      <w:r w:rsidR="00A70234">
        <w:t>s</w:t>
      </w:r>
      <w:r>
        <w:t xml:space="preserve"> in the synthesis of APIs. While the preferred approach (especially </w:t>
      </w:r>
      <w:r w:rsidR="00AE4997">
        <w:t>augmented by the</w:t>
      </w:r>
      <w:r>
        <w:t xml:space="preserve"> regulatory agencies</w:t>
      </w:r>
      <w:r w:rsidR="00AE4997">
        <w:t xml:space="preserve"> in early guidelines</w:t>
      </w:r>
      <w:r>
        <w:t>) is to avoid the use of genotoxic synthetic pat</w:t>
      </w:r>
      <w:r w:rsidR="00AE4997">
        <w:t>h</w:t>
      </w:r>
      <w:r>
        <w:t xml:space="preserve">ways </w:t>
      </w:r>
      <w:r w:rsidR="00AE4997">
        <w:t xml:space="preserve">by modifying the existing synthetic routes, this is not always possible since the </w:t>
      </w:r>
      <w:r w:rsidR="000F3F3F">
        <w:t>use of highly reactive reagents is</w:t>
      </w:r>
      <w:r w:rsidR="00AE4997">
        <w:t xml:space="preserve"> often requ</w:t>
      </w:r>
      <w:r w:rsidR="00AA7AE1">
        <w:t>ired for the production of</w:t>
      </w:r>
      <w:r w:rsidR="00047E76">
        <w:t xml:space="preserve"> APIs</w:t>
      </w:r>
      <w:r w:rsidR="00AA7AE1">
        <w:t>.</w:t>
      </w:r>
      <w:r w:rsidR="00047E76">
        <w:rPr>
          <w:vertAlign w:val="superscript"/>
        </w:rPr>
        <w:t>25</w:t>
      </w:r>
      <w:r w:rsidR="00AA7AE1">
        <w:t xml:space="preserve"> Therefore, a strategy based on elimination or reduction of GTI can be applied. This can be achieved by adjusting the process conditions (i.e.</w:t>
      </w:r>
      <w:r w:rsidR="00047E76">
        <w:t>,</w:t>
      </w:r>
      <w:r w:rsidR="00AA7AE1">
        <w:t xml:space="preserve"> reaction time, pH, temperature, solven</w:t>
      </w:r>
      <w:r w:rsidR="00A001AF">
        <w:t>t matrix etc.). Furthermore, a Quality by D</w:t>
      </w:r>
      <w:r w:rsidR="00AA7AE1">
        <w:t>esign (</w:t>
      </w:r>
      <w:proofErr w:type="spellStart"/>
      <w:r w:rsidR="00AA7AE1">
        <w:t>QbD</w:t>
      </w:r>
      <w:proofErr w:type="spellEnd"/>
      <w:r w:rsidR="00AA7AE1">
        <w:t>) approach can also be a</w:t>
      </w:r>
      <w:r w:rsidR="001C4F7A">
        <w:t>pplied to control GTI formation.</w:t>
      </w:r>
      <w:r w:rsidR="001C4F7A" w:rsidRPr="001C4F7A">
        <w:rPr>
          <w:vertAlign w:val="superscript"/>
        </w:rPr>
        <w:t>26</w:t>
      </w:r>
    </w:p>
    <w:p w:rsidR="00F628D9" w:rsidRDefault="007A7152" w:rsidP="00175541">
      <w:pPr>
        <w:spacing w:after="0" w:line="360" w:lineRule="auto"/>
        <w:jc w:val="left"/>
      </w:pPr>
      <w:r>
        <w:t>Many purification steps</w:t>
      </w:r>
      <w:r w:rsidR="005A2ECB">
        <w:t xml:space="preserve"> (i.e. crystallization, solvent liquid-liquid extraction, precipitation, distillation, column chromatography, etc.)</w:t>
      </w:r>
      <w:r>
        <w:t xml:space="preserve"> have the ability to remove GTIs along with other process impurities.</w:t>
      </w:r>
      <w:r w:rsidR="005A2ECB">
        <w:t xml:space="preserve"> Purging of impurities was previously addressed by </w:t>
      </w:r>
      <w:r w:rsidR="005A2ECB" w:rsidRPr="00016229">
        <w:t xml:space="preserve">Pierson </w:t>
      </w:r>
      <w:proofErr w:type="gramStart"/>
      <w:r w:rsidR="005A2ECB" w:rsidRPr="00016229">
        <w:t>et</w:t>
      </w:r>
      <w:proofErr w:type="gramEnd"/>
      <w:r w:rsidR="005A2ECB" w:rsidRPr="00016229">
        <w:t xml:space="preserve"> al.</w:t>
      </w:r>
      <w:r w:rsidR="00016229">
        <w:rPr>
          <w:vertAlign w:val="superscript"/>
        </w:rPr>
        <w:t>27</w:t>
      </w:r>
      <w:r w:rsidR="005A2ECB">
        <w:t xml:space="preserve"> The risk of GTI carry over was defined considering the number of synthetic steps between the point of GTI appearance and final production step. If the GTI appears more than four steps before the final step, chemical rationale could be used to assess the need of GTI removal. The purging approach was later upgraded as it will be presented in the following section.</w:t>
      </w:r>
    </w:p>
    <w:p w:rsidR="002B5F93" w:rsidRDefault="002B5F93" w:rsidP="00175541">
      <w:pPr>
        <w:spacing w:after="0" w:line="360" w:lineRule="auto"/>
        <w:jc w:val="left"/>
      </w:pPr>
    </w:p>
    <w:p w:rsidR="001E3BAB" w:rsidRPr="003735F9" w:rsidRDefault="003735F9" w:rsidP="00175541">
      <w:pPr>
        <w:pStyle w:val="TAMainText"/>
        <w:spacing w:line="360" w:lineRule="auto"/>
        <w:ind w:firstLine="0"/>
        <w:jc w:val="left"/>
        <w:rPr>
          <w:b/>
        </w:rPr>
      </w:pPr>
      <w:r w:rsidRPr="003735F9">
        <w:rPr>
          <w:b/>
        </w:rPr>
        <w:t xml:space="preserve">4. </w:t>
      </w:r>
      <w:r w:rsidR="001E3BAB" w:rsidRPr="003735F9">
        <w:rPr>
          <w:b/>
        </w:rPr>
        <w:t>T</w:t>
      </w:r>
      <w:r w:rsidRPr="003735F9">
        <w:rPr>
          <w:b/>
        </w:rPr>
        <w:t>heoretical purge factor determination approach</w:t>
      </w:r>
    </w:p>
    <w:p w:rsidR="003C1AFF" w:rsidRPr="00003761" w:rsidRDefault="00222294" w:rsidP="00003761">
      <w:pPr>
        <w:pStyle w:val="TAMainText"/>
        <w:spacing w:line="360" w:lineRule="auto"/>
        <w:ind w:firstLine="0"/>
        <w:jc w:val="left"/>
      </w:pPr>
      <w:r>
        <w:t xml:space="preserve">Since publishing the guidelines covering the control of GTIs, regulatory authorities have requested evidence that any GTI is controlled in line with the acceptable limits. For this reason pharmaceutical companies had to present extensive analytical data. To avoid unnecessary analytical testing, Teasdale </w:t>
      </w:r>
      <w:proofErr w:type="gramStart"/>
      <w:r>
        <w:t>et</w:t>
      </w:r>
      <w:proofErr w:type="gramEnd"/>
      <w:r>
        <w:t xml:space="preserve"> al.</w:t>
      </w:r>
      <w:r w:rsidR="00CE5922">
        <w:rPr>
          <w:vertAlign w:val="superscript"/>
        </w:rPr>
        <w:t>2</w:t>
      </w:r>
      <w:r w:rsidR="003C1AFF">
        <w:rPr>
          <w:vertAlign w:val="superscript"/>
        </w:rPr>
        <w:t>8</w:t>
      </w:r>
      <w:r>
        <w:t xml:space="preserve"> took the challenge to develop an approach that would allow the likelihood of potential carryover of a GTI to be assessed </w:t>
      </w:r>
      <w:r w:rsidR="00CE5922">
        <w:t>ahead of</w:t>
      </w:r>
      <w:r>
        <w:t xml:space="preserve"> performing analyses.</w:t>
      </w:r>
      <w:r w:rsidR="00F46D0B">
        <w:t xml:space="preserve"> </w:t>
      </w:r>
      <w:r w:rsidR="00CE5922" w:rsidRPr="00CE5922">
        <w:t xml:space="preserve">In line with the ICH M7 </w:t>
      </w:r>
      <w:r w:rsidR="00CE5922">
        <w:t>option 4 control strategy, the</w:t>
      </w:r>
      <w:r w:rsidR="00CE5922" w:rsidRPr="00CE5922">
        <w:t xml:space="preserve"> scientific approach proposed by Teasdale</w:t>
      </w:r>
      <w:r w:rsidR="00CE5922">
        <w:rPr>
          <w:vertAlign w:val="superscript"/>
        </w:rPr>
        <w:t>2</w:t>
      </w:r>
      <w:r w:rsidR="003C1AFF">
        <w:rPr>
          <w:vertAlign w:val="superscript"/>
        </w:rPr>
        <w:t>8</w:t>
      </w:r>
      <w:r w:rsidR="00CE5922" w:rsidRPr="00CE5922">
        <w:t xml:space="preserve"> is based on physicochemical properties and process factors that influence the fate and purge of an impurity.</w:t>
      </w:r>
      <w:r w:rsidR="00CE5922">
        <w:t xml:space="preserve"> </w:t>
      </w:r>
      <w:r w:rsidR="006E2140">
        <w:t>In</w:t>
      </w:r>
      <w:r w:rsidR="00464EBE">
        <w:t xml:space="preserve"> order to assess the </w:t>
      </w:r>
      <w:r w:rsidR="00BC6504">
        <w:t xml:space="preserve">carryover of </w:t>
      </w:r>
      <w:r w:rsidR="00464EBE">
        <w:t>potential</w:t>
      </w:r>
      <w:r w:rsidR="006E2140">
        <w:t xml:space="preserve"> </w:t>
      </w:r>
      <w:r w:rsidR="00F46D0B">
        <w:t>GTI</w:t>
      </w:r>
      <w:r w:rsidR="004760B5">
        <w:t>s</w:t>
      </w:r>
      <w:r w:rsidR="006E2140">
        <w:t xml:space="preserve"> into API, AstraZeneca developed a tool based on </w:t>
      </w:r>
      <w:r w:rsidR="00F40FF2">
        <w:t xml:space="preserve">the </w:t>
      </w:r>
      <w:r w:rsidR="006E2140">
        <w:t xml:space="preserve">assessment of key physicochemical properties of the </w:t>
      </w:r>
      <w:r w:rsidR="00F46D0B">
        <w:t>agent of concern</w:t>
      </w:r>
      <w:r w:rsidR="006E2140">
        <w:t xml:space="preserve">, relating them to the </w:t>
      </w:r>
      <w:r w:rsidR="00C86FCD">
        <w:t xml:space="preserve">downstream processing conditions. </w:t>
      </w:r>
      <w:r w:rsidR="00F40FF2">
        <w:t>A s</w:t>
      </w:r>
      <w:r w:rsidR="00CE5922">
        <w:t>core is</w:t>
      </w:r>
      <w:r w:rsidR="00F46D0B">
        <w:t xml:space="preserve"> </w:t>
      </w:r>
      <w:r w:rsidR="00F40FF2">
        <w:t>assigned f</w:t>
      </w:r>
      <w:r w:rsidR="00C86FCD">
        <w:t xml:space="preserve">or each of </w:t>
      </w:r>
      <w:r w:rsidR="00F46D0B">
        <w:t>them to establish a ‘purge factor’. The approach has been applied to various processes with available data.</w:t>
      </w:r>
      <w:r w:rsidR="00D2412A">
        <w:t xml:space="preserve"> </w:t>
      </w:r>
      <w:r w:rsidR="00AA2401">
        <w:t xml:space="preserve">In order </w:t>
      </w:r>
      <w:r w:rsidR="00AA2401">
        <w:lastRenderedPageBreak/>
        <w:t>to assess the potential carry-over of a GTI, t</w:t>
      </w:r>
      <w:r w:rsidR="00C86FCD">
        <w:t xml:space="preserve">he </w:t>
      </w:r>
      <w:r w:rsidR="00D2412A">
        <w:t xml:space="preserve">following </w:t>
      </w:r>
      <w:r w:rsidR="00C86FCD">
        <w:t>parameter</w:t>
      </w:r>
      <w:r w:rsidR="00F40FF2">
        <w:t>s</w:t>
      </w:r>
      <w:r w:rsidR="00CE5922">
        <w:t xml:space="preserve"> are</w:t>
      </w:r>
      <w:r w:rsidR="00AA2401">
        <w:t xml:space="preserve"> defined: </w:t>
      </w:r>
      <w:r w:rsidR="00B65E8B">
        <w:t xml:space="preserve">reactivity, solubility, volatility, </w:t>
      </w:r>
      <w:proofErr w:type="spellStart"/>
      <w:r w:rsidR="00AA2401">
        <w:t>ionizability</w:t>
      </w:r>
      <w:proofErr w:type="spellEnd"/>
      <w:r w:rsidR="00AA2401">
        <w:t>,</w:t>
      </w:r>
      <w:r w:rsidR="00F40FF2">
        <w:t xml:space="preserve"> and any physical process</w:t>
      </w:r>
      <w:r w:rsidR="00B65E8B">
        <w:t xml:space="preserve"> designed to remove impurities</w:t>
      </w:r>
      <w:r w:rsidR="00AA2401">
        <w:t xml:space="preserve"> (e.g., chromatography). For e</w:t>
      </w:r>
      <w:r w:rsidR="00CE5922">
        <w:t>ach of the parameter a score is</w:t>
      </w:r>
      <w:r w:rsidR="00AA2401">
        <w:t xml:space="preserve"> </w:t>
      </w:r>
      <w:r w:rsidR="00273AED">
        <w:t>assigned as presented in Table 3</w:t>
      </w:r>
      <w:r w:rsidR="00AA2401">
        <w:t>.</w:t>
      </w:r>
      <w:r w:rsidR="00CB14E5" w:rsidRPr="00CB14E5">
        <w:t xml:space="preserve"> </w:t>
      </w:r>
      <w:r w:rsidR="00CB14E5">
        <w:t>T</w:t>
      </w:r>
      <w:r w:rsidR="008D6A38">
        <w:t>he scores</w:t>
      </w:r>
      <w:r w:rsidR="00CB14E5">
        <w:t xml:space="preserve"> are then multiplied together to give a purge factor for each stage of the process.</w:t>
      </w:r>
      <w:r w:rsidR="00CB14E5" w:rsidRPr="00F40FF2">
        <w:t xml:space="preserve"> </w:t>
      </w:r>
      <w:r w:rsidR="00CB14E5">
        <w:t>Multiplying the purge factors for individual stages yields an overall purge factor.</w:t>
      </w:r>
      <w:r w:rsidR="0080112C">
        <w:t xml:space="preserve"> Teasdale </w:t>
      </w:r>
      <w:proofErr w:type="gramStart"/>
      <w:r w:rsidR="0080112C">
        <w:t>et</w:t>
      </w:r>
      <w:proofErr w:type="gramEnd"/>
      <w:r w:rsidR="0080112C">
        <w:t xml:space="preserve"> al.</w:t>
      </w:r>
      <w:r w:rsidR="00273AED">
        <w:rPr>
          <w:vertAlign w:val="superscript"/>
        </w:rPr>
        <w:t>2</w:t>
      </w:r>
      <w:r w:rsidR="003C1AFF">
        <w:rPr>
          <w:vertAlign w:val="superscript"/>
        </w:rPr>
        <w:t>8</w:t>
      </w:r>
      <w:r w:rsidR="0080112C">
        <w:t xml:space="preserve"> provided a case study, presenting both the outcome of the predictive purge factor and the real measured values.</w:t>
      </w:r>
      <w:r w:rsidR="00FB61A6">
        <w:t xml:space="preserve"> Theoretical purge factors were calculated for three potentially g</w:t>
      </w:r>
      <w:r w:rsidR="0039103B">
        <w:t>enotoxic impurities in the synthesis of AZD9056</w:t>
      </w:r>
      <w:r w:rsidR="00B76486">
        <w:t xml:space="preserve"> (Scheme 1)</w:t>
      </w:r>
      <w:r w:rsidR="0039103B">
        <w:t xml:space="preserve">. </w:t>
      </w:r>
      <w:r w:rsidR="00D85C0B">
        <w:t xml:space="preserve">Experimental purge factors were also determined for each of them by tracking the residual levels of impurities at successive stages. Results are summarized in Table </w:t>
      </w:r>
      <w:r w:rsidR="00273AED">
        <w:t>4</w:t>
      </w:r>
      <w:r w:rsidR="00D85C0B">
        <w:t>.</w:t>
      </w:r>
      <w:r w:rsidR="003C1AFF">
        <w:rPr>
          <w:b/>
        </w:rPr>
        <w:br w:type="page"/>
      </w:r>
    </w:p>
    <w:p w:rsidR="00B76486" w:rsidRPr="00B35B8D" w:rsidRDefault="00F8018C" w:rsidP="00175541">
      <w:pPr>
        <w:pStyle w:val="VDTableTitle"/>
        <w:spacing w:line="360" w:lineRule="auto"/>
      </w:pPr>
      <w:r>
        <w:rPr>
          <w:b/>
        </w:rPr>
        <w:lastRenderedPageBreak/>
        <w:t xml:space="preserve">Table </w:t>
      </w:r>
      <w:r w:rsidR="00273AED" w:rsidRPr="00273AED">
        <w:rPr>
          <w:b/>
        </w:rPr>
        <w:t>3</w:t>
      </w:r>
      <w:r w:rsidR="00B76486" w:rsidRPr="00273AED">
        <w:rPr>
          <w:b/>
        </w:rPr>
        <w:t>.</w:t>
      </w:r>
      <w:r w:rsidR="00B76486">
        <w:t xml:space="preserve"> Physicochemical parameters and associated purge factors (adapted from Teasdale et al.</w:t>
      </w:r>
      <w:r w:rsidR="00B76486">
        <w:fldChar w:fldCharType="begin"/>
      </w:r>
      <w:r w:rsidR="00B76486">
        <w:instrText xml:space="preserve"> ADDIN EN.CITE &lt;EndNote&gt;&lt;Cite&gt;&lt;Author&gt;Teasdale&lt;/Author&gt;&lt;Year&gt;2010&lt;/Year&gt;&lt;RecNum&gt;3&lt;/RecNum&gt;&lt;DisplayText&gt;&lt;style face="superscript"&gt;2&lt;/style&gt;&lt;/DisplayText&gt;&lt;record&gt;&lt;rec-number&gt;3&lt;/rec-number&gt;&lt;foreign-keys&gt;&lt;key app="EN" db-id="zx9d2p2toavs2pepvvmxexwmsepv909sdrfx"&gt;3&lt;/key&gt;&lt;/foreign-keys&gt;&lt;ref-type name="Journal Article"&gt;17&lt;/ref-type&gt;&lt;contributors&gt;&lt;authors&gt;&lt;author&gt;Teasdale, Andrew&lt;/author&gt;&lt;author&gt;Fenner, Simon&lt;/author&gt;&lt;author&gt;Ray, Andrew&lt;/author&gt;&lt;author&gt;Ford, Agnes&lt;/author&gt;&lt;author&gt;Phillips, Andrew&lt;/author&gt;&lt;/authors&gt;&lt;/contributors&gt;&lt;titles&gt;&lt;title&gt;A Tool for the Semiquantitative Assessment of Potentially Genotoxic Impurity (PGI) Carryover into API Using Physicochemical Parameters and Process Conditions&lt;/title&gt;&lt;secondary-title&gt;&lt;style face="normal" font="default" size="100%"&gt;Org&lt;/style&gt;&lt;style face="normal" font="default" charset="238" size="100%"&gt;.&lt;/style&gt;&lt;style face="normal" font="default" size="100%"&gt; Process Res&lt;/style&gt;&lt;style face="normal" font="default" charset="238" size="100%"&gt;.&lt;/style&gt;&lt;style face="normal" font="default" size="100%"&gt; &lt;/style&gt;&lt;style face="normal" font="default" charset="238" size="100%"&gt;Dev.&lt;/style&gt;&lt;/secondary-title&gt;&lt;/titles&gt;&lt;periodical&gt;&lt;full-title&gt;Organic Process Research and Development&lt;/full-title&gt;&lt;abbr-1&gt;Org. Process Res. Dev.&lt;/abbr-1&gt;&lt;abbr-2&gt;Org Process Res Dev&lt;/abbr-2&gt;&lt;/periodical&gt;&lt;pages&gt;943-945&lt;/pages&gt;&lt;volume&gt;14&lt;/volume&gt;&lt;number&gt;4&lt;/number&gt;&lt;dates&gt;&lt;year&gt;2010&lt;/year&gt;&lt;pub-dates&gt;&lt;date&gt;2010/07/16&lt;/date&gt;&lt;/pub-dates&gt;&lt;/dates&gt;&lt;publisher&gt;American Chemical Society&lt;/publisher&gt;&lt;isbn&gt;1083-6160&lt;/isbn&gt;&lt;urls&gt;&lt;related-urls&gt;&lt;url&gt;http://dx.doi.org/10.1021/op100071n&lt;/url&gt;&lt;/related-urls&gt;&lt;/urls&gt;&lt;electronic-resource-num&gt;10.1021/op100071n&lt;/electronic-resource-num&gt;&lt;access-date&gt;2015/02/01&lt;/access-date&gt;&lt;/record&gt;&lt;/Cite&gt;&lt;/EndNote&gt;</w:instrText>
      </w:r>
      <w:r w:rsidR="00B76486">
        <w:fldChar w:fldCharType="separate"/>
      </w:r>
      <w:r w:rsidR="00B76486" w:rsidRPr="00420E9E">
        <w:rPr>
          <w:noProof/>
          <w:vertAlign w:val="superscript"/>
        </w:rPr>
        <w:t>2</w:t>
      </w:r>
      <w:r w:rsidR="00B76486">
        <w:fldChar w:fldCharType="end"/>
      </w:r>
      <w:r w:rsidR="003C1AFF">
        <w:rPr>
          <w:vertAlign w:val="superscript"/>
        </w:rPr>
        <w:t>8</w:t>
      </w:r>
      <w:r w:rsidR="00B7648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009"/>
        <w:gridCol w:w="2065"/>
        <w:gridCol w:w="1646"/>
        <w:gridCol w:w="2071"/>
      </w:tblGrid>
      <w:tr w:rsidR="00F8018C" w:rsidRPr="006079EA" w:rsidTr="00F8018C">
        <w:tc>
          <w:tcPr>
            <w:tcW w:w="1785" w:type="dxa"/>
            <w:vMerge w:val="restart"/>
          </w:tcPr>
          <w:p w:rsidR="00F8018C" w:rsidRPr="00F8018C" w:rsidRDefault="00F8018C" w:rsidP="00175541">
            <w:pPr>
              <w:pStyle w:val="TCTableBody"/>
              <w:spacing w:line="360" w:lineRule="auto"/>
              <w:rPr>
                <w:rFonts w:eastAsia="Calibri"/>
                <w:b/>
                <w:sz w:val="22"/>
                <w:szCs w:val="22"/>
                <w:lang w:val="sl-SI"/>
              </w:rPr>
            </w:pPr>
            <w:r w:rsidRPr="00F8018C">
              <w:rPr>
                <w:rFonts w:eastAsia="Calibri"/>
                <w:b/>
                <w:sz w:val="22"/>
                <w:szCs w:val="22"/>
                <w:lang w:val="sl-SI"/>
              </w:rPr>
              <w:t>Physicochemical parameter</w:t>
            </w:r>
          </w:p>
        </w:tc>
        <w:tc>
          <w:tcPr>
            <w:tcW w:w="7791" w:type="dxa"/>
            <w:gridSpan w:val="4"/>
          </w:tcPr>
          <w:p w:rsidR="00F8018C" w:rsidRPr="00F8018C" w:rsidRDefault="00F8018C" w:rsidP="00F8018C">
            <w:pPr>
              <w:pStyle w:val="TCTableBody"/>
              <w:spacing w:line="360" w:lineRule="auto"/>
              <w:jc w:val="center"/>
              <w:rPr>
                <w:rFonts w:eastAsia="Calibri"/>
                <w:b/>
                <w:sz w:val="22"/>
                <w:szCs w:val="22"/>
                <w:lang w:val="sl-SI"/>
              </w:rPr>
            </w:pPr>
            <w:r w:rsidRPr="00F8018C">
              <w:rPr>
                <w:rFonts w:eastAsia="Calibri"/>
                <w:b/>
                <w:sz w:val="22"/>
                <w:szCs w:val="22"/>
                <w:lang w:val="sl-SI"/>
              </w:rPr>
              <w:t>Purge factors</w:t>
            </w:r>
          </w:p>
        </w:tc>
      </w:tr>
      <w:tr w:rsidR="00F8018C" w:rsidRPr="006079EA" w:rsidTr="00F8018C">
        <w:tc>
          <w:tcPr>
            <w:tcW w:w="1785" w:type="dxa"/>
            <w:vMerge/>
          </w:tcPr>
          <w:p w:rsidR="00F8018C" w:rsidRPr="004F717B" w:rsidRDefault="00F8018C" w:rsidP="00175541">
            <w:pPr>
              <w:pStyle w:val="TCTableBody"/>
              <w:spacing w:line="360" w:lineRule="auto"/>
              <w:rPr>
                <w:rFonts w:eastAsia="Calibri"/>
                <w:sz w:val="22"/>
                <w:szCs w:val="22"/>
                <w:lang w:val="sl-SI"/>
              </w:rPr>
            </w:pPr>
          </w:p>
        </w:tc>
        <w:tc>
          <w:tcPr>
            <w:tcW w:w="2009"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100</w:t>
            </w:r>
          </w:p>
        </w:tc>
        <w:tc>
          <w:tcPr>
            <w:tcW w:w="2065"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10</w:t>
            </w:r>
          </w:p>
        </w:tc>
        <w:tc>
          <w:tcPr>
            <w:tcW w:w="1646" w:type="dxa"/>
          </w:tcPr>
          <w:p w:rsidR="00F8018C" w:rsidRDefault="00F8018C" w:rsidP="00F8018C">
            <w:pPr>
              <w:pStyle w:val="TCTableBody"/>
              <w:spacing w:line="360" w:lineRule="auto"/>
              <w:jc w:val="center"/>
              <w:rPr>
                <w:rFonts w:eastAsia="Calibri"/>
                <w:sz w:val="22"/>
                <w:szCs w:val="22"/>
                <w:lang w:val="sl-SI"/>
              </w:rPr>
            </w:pPr>
            <w:r>
              <w:rPr>
                <w:rFonts w:eastAsia="Calibri"/>
                <w:sz w:val="22"/>
                <w:szCs w:val="22"/>
                <w:lang w:val="sl-SI"/>
              </w:rPr>
              <w:t>3</w:t>
            </w:r>
          </w:p>
        </w:tc>
        <w:tc>
          <w:tcPr>
            <w:tcW w:w="2071"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1</w:t>
            </w:r>
          </w:p>
        </w:tc>
      </w:tr>
      <w:tr w:rsidR="00F8018C" w:rsidRPr="006079EA" w:rsidTr="00F8018C">
        <w:trPr>
          <w:trHeight w:val="710"/>
        </w:trPr>
        <w:tc>
          <w:tcPr>
            <w:tcW w:w="1785" w:type="dxa"/>
          </w:tcPr>
          <w:p w:rsidR="00F8018C" w:rsidRPr="004F717B" w:rsidRDefault="00F8018C" w:rsidP="00175541">
            <w:pPr>
              <w:pStyle w:val="TCTableBody"/>
              <w:spacing w:line="360" w:lineRule="auto"/>
              <w:rPr>
                <w:rFonts w:eastAsia="Calibri"/>
                <w:sz w:val="22"/>
                <w:szCs w:val="22"/>
                <w:lang w:val="sl-SI"/>
              </w:rPr>
            </w:pPr>
            <w:r w:rsidRPr="004F717B">
              <w:rPr>
                <w:rFonts w:eastAsia="Calibri"/>
                <w:sz w:val="22"/>
                <w:szCs w:val="22"/>
                <w:lang w:val="sl-SI"/>
              </w:rPr>
              <w:t xml:space="preserve">reactivity </w:t>
            </w:r>
          </w:p>
        </w:tc>
        <w:tc>
          <w:tcPr>
            <w:tcW w:w="2009"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highly reactive</w:t>
            </w:r>
          </w:p>
        </w:tc>
        <w:tc>
          <w:tcPr>
            <w:tcW w:w="2065"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moderately reactive</w:t>
            </w:r>
          </w:p>
        </w:tc>
        <w:tc>
          <w:tcPr>
            <w:tcW w:w="1646" w:type="dxa"/>
          </w:tcPr>
          <w:p w:rsidR="00F8018C" w:rsidRPr="004F717B" w:rsidRDefault="00F8018C" w:rsidP="00F8018C">
            <w:pPr>
              <w:pStyle w:val="TCTableBody"/>
              <w:spacing w:line="360" w:lineRule="auto"/>
              <w:jc w:val="center"/>
              <w:rPr>
                <w:rFonts w:eastAsia="Calibri"/>
                <w:sz w:val="22"/>
                <w:szCs w:val="22"/>
                <w:lang w:val="sl-SI"/>
              </w:rPr>
            </w:pPr>
            <w:r>
              <w:rPr>
                <w:rFonts w:eastAsia="Calibri"/>
                <w:sz w:val="22"/>
                <w:szCs w:val="22"/>
                <w:lang w:val="sl-SI"/>
              </w:rPr>
              <w:t>-</w:t>
            </w:r>
          </w:p>
        </w:tc>
        <w:tc>
          <w:tcPr>
            <w:tcW w:w="2071"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low reactivity/unreactive</w:t>
            </w:r>
          </w:p>
        </w:tc>
      </w:tr>
      <w:tr w:rsidR="00F8018C" w:rsidRPr="006079EA" w:rsidTr="00F8018C">
        <w:trPr>
          <w:trHeight w:val="710"/>
        </w:trPr>
        <w:tc>
          <w:tcPr>
            <w:tcW w:w="1785" w:type="dxa"/>
          </w:tcPr>
          <w:p w:rsidR="00F8018C" w:rsidRPr="004F717B" w:rsidRDefault="00F8018C" w:rsidP="00175541">
            <w:pPr>
              <w:pStyle w:val="TCTableBody"/>
              <w:spacing w:line="360" w:lineRule="auto"/>
              <w:rPr>
                <w:rFonts w:eastAsia="Calibri"/>
                <w:sz w:val="22"/>
                <w:szCs w:val="22"/>
                <w:lang w:val="sl-SI"/>
              </w:rPr>
            </w:pPr>
            <w:r w:rsidRPr="004F717B">
              <w:rPr>
                <w:rFonts w:eastAsia="Calibri"/>
                <w:sz w:val="22"/>
                <w:szCs w:val="22"/>
                <w:lang w:val="sl-SI"/>
              </w:rPr>
              <w:t>solubility</w:t>
            </w:r>
            <w:r w:rsidRPr="004F717B">
              <w:rPr>
                <w:rFonts w:eastAsia="Calibri"/>
                <w:sz w:val="22"/>
                <w:szCs w:val="22"/>
                <w:vertAlign w:val="superscript"/>
                <w:lang w:val="sl-SI"/>
              </w:rPr>
              <w:t xml:space="preserve"> </w:t>
            </w:r>
          </w:p>
        </w:tc>
        <w:tc>
          <w:tcPr>
            <w:tcW w:w="2009" w:type="dxa"/>
          </w:tcPr>
          <w:p w:rsidR="00F8018C" w:rsidRPr="004F717B" w:rsidRDefault="00F8018C" w:rsidP="00F8018C">
            <w:pPr>
              <w:pStyle w:val="TCTableBody"/>
              <w:spacing w:line="360" w:lineRule="auto"/>
              <w:jc w:val="center"/>
              <w:rPr>
                <w:rFonts w:eastAsia="Calibri"/>
                <w:sz w:val="22"/>
                <w:szCs w:val="22"/>
                <w:lang w:val="sl-SI"/>
              </w:rPr>
            </w:pPr>
            <w:r>
              <w:rPr>
                <w:rFonts w:eastAsia="Calibri"/>
                <w:sz w:val="22"/>
                <w:szCs w:val="22"/>
                <w:lang w:val="sl-SI"/>
              </w:rPr>
              <w:t>-</w:t>
            </w:r>
          </w:p>
        </w:tc>
        <w:tc>
          <w:tcPr>
            <w:tcW w:w="2065"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freely soluble</w:t>
            </w:r>
          </w:p>
        </w:tc>
        <w:tc>
          <w:tcPr>
            <w:tcW w:w="1646"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moderately soluble</w:t>
            </w:r>
          </w:p>
        </w:tc>
        <w:tc>
          <w:tcPr>
            <w:tcW w:w="2071"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sparingly soluble</w:t>
            </w:r>
          </w:p>
        </w:tc>
      </w:tr>
      <w:tr w:rsidR="00F8018C" w:rsidRPr="006079EA" w:rsidTr="00F8018C">
        <w:trPr>
          <w:trHeight w:val="710"/>
        </w:trPr>
        <w:tc>
          <w:tcPr>
            <w:tcW w:w="1785" w:type="dxa"/>
          </w:tcPr>
          <w:p w:rsidR="00F8018C" w:rsidRPr="004F717B" w:rsidRDefault="00F8018C" w:rsidP="00175541">
            <w:pPr>
              <w:pStyle w:val="TCTableBody"/>
              <w:spacing w:line="360" w:lineRule="auto"/>
              <w:rPr>
                <w:rFonts w:eastAsia="Calibri"/>
                <w:sz w:val="22"/>
                <w:szCs w:val="22"/>
                <w:lang w:val="sl-SI"/>
              </w:rPr>
            </w:pPr>
            <w:r w:rsidRPr="004F717B">
              <w:rPr>
                <w:rFonts w:eastAsia="Calibri"/>
                <w:sz w:val="22"/>
                <w:szCs w:val="22"/>
                <w:lang w:val="sl-SI"/>
              </w:rPr>
              <w:t xml:space="preserve">volatility </w:t>
            </w:r>
          </w:p>
        </w:tc>
        <w:tc>
          <w:tcPr>
            <w:tcW w:w="2009" w:type="dxa"/>
          </w:tcPr>
          <w:p w:rsidR="00F8018C" w:rsidRPr="004F717B" w:rsidRDefault="00F8018C" w:rsidP="00F8018C">
            <w:pPr>
              <w:pStyle w:val="TCTableBody"/>
              <w:spacing w:line="360" w:lineRule="auto"/>
              <w:jc w:val="center"/>
              <w:rPr>
                <w:rFonts w:eastAsia="Calibri"/>
                <w:sz w:val="22"/>
                <w:szCs w:val="22"/>
                <w:lang w:val="sl-SI"/>
              </w:rPr>
            </w:pPr>
            <w:r>
              <w:rPr>
                <w:rFonts w:eastAsia="Calibri"/>
                <w:sz w:val="22"/>
                <w:szCs w:val="22"/>
                <w:lang w:val="sl-SI"/>
              </w:rPr>
              <w:t>-</w:t>
            </w:r>
          </w:p>
        </w:tc>
        <w:tc>
          <w:tcPr>
            <w:tcW w:w="2065"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boiling point &gt;</w:t>
            </w:r>
            <w:r>
              <w:rPr>
                <w:rFonts w:eastAsia="Calibri"/>
                <w:sz w:val="22"/>
                <w:szCs w:val="22"/>
                <w:lang w:val="sl-SI"/>
              </w:rPr>
              <w:t xml:space="preserve"> </w:t>
            </w:r>
            <w:r w:rsidRPr="004F717B">
              <w:rPr>
                <w:rFonts w:eastAsia="Calibri"/>
                <w:sz w:val="22"/>
                <w:szCs w:val="22"/>
                <w:lang w:val="sl-SI"/>
              </w:rPr>
              <w:t>20 °C below that of the reaction/process solvent</w:t>
            </w:r>
          </w:p>
        </w:tc>
        <w:tc>
          <w:tcPr>
            <w:tcW w:w="1646"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boiling point ±</w:t>
            </w:r>
            <w:r>
              <w:rPr>
                <w:rFonts w:eastAsia="Calibri"/>
                <w:sz w:val="22"/>
                <w:szCs w:val="22"/>
                <w:lang w:val="sl-SI"/>
              </w:rPr>
              <w:t xml:space="preserve"> </w:t>
            </w:r>
            <w:r w:rsidRPr="004F717B">
              <w:rPr>
                <w:rFonts w:eastAsia="Calibri"/>
                <w:sz w:val="22"/>
                <w:szCs w:val="22"/>
                <w:lang w:val="sl-SI"/>
              </w:rPr>
              <w:t>10 °C that of the reaction/process solvent</w:t>
            </w:r>
          </w:p>
        </w:tc>
        <w:tc>
          <w:tcPr>
            <w:tcW w:w="2071" w:type="dxa"/>
          </w:tcPr>
          <w:p w:rsidR="00F8018C" w:rsidRPr="004F717B" w:rsidRDefault="00F8018C" w:rsidP="00F8018C">
            <w:pPr>
              <w:pStyle w:val="TCTableBody"/>
              <w:spacing w:line="360" w:lineRule="auto"/>
              <w:jc w:val="center"/>
              <w:rPr>
                <w:rFonts w:eastAsia="Calibri"/>
                <w:sz w:val="22"/>
                <w:szCs w:val="22"/>
                <w:lang w:val="sl-SI"/>
              </w:rPr>
            </w:pPr>
            <w:r w:rsidRPr="004F717B">
              <w:rPr>
                <w:rFonts w:eastAsia="Calibri"/>
                <w:sz w:val="22"/>
                <w:szCs w:val="22"/>
                <w:lang w:val="sl-SI"/>
              </w:rPr>
              <w:t>boiling point &gt;</w:t>
            </w:r>
            <w:r>
              <w:rPr>
                <w:rFonts w:eastAsia="Calibri"/>
                <w:sz w:val="22"/>
                <w:szCs w:val="22"/>
                <w:lang w:val="sl-SI"/>
              </w:rPr>
              <w:t xml:space="preserve"> </w:t>
            </w:r>
            <w:r w:rsidRPr="004F717B">
              <w:rPr>
                <w:rFonts w:eastAsia="Calibri"/>
                <w:sz w:val="22"/>
                <w:szCs w:val="22"/>
                <w:lang w:val="sl-SI"/>
              </w:rPr>
              <w:t>20 °C above that of the reaction/ process solvent</w:t>
            </w:r>
          </w:p>
        </w:tc>
      </w:tr>
      <w:tr w:rsidR="00D83A8A" w:rsidRPr="006079EA" w:rsidTr="00811C45">
        <w:tc>
          <w:tcPr>
            <w:tcW w:w="1785" w:type="dxa"/>
          </w:tcPr>
          <w:p w:rsidR="00D83A8A" w:rsidRPr="004F717B" w:rsidRDefault="00D83A8A" w:rsidP="00175541">
            <w:pPr>
              <w:pStyle w:val="TCTableBody"/>
              <w:spacing w:line="360" w:lineRule="auto"/>
              <w:rPr>
                <w:rFonts w:eastAsia="Calibri"/>
                <w:sz w:val="22"/>
                <w:szCs w:val="22"/>
                <w:lang w:val="sl-SI"/>
              </w:rPr>
            </w:pPr>
            <w:r>
              <w:rPr>
                <w:rFonts w:eastAsia="Calibri"/>
                <w:sz w:val="22"/>
                <w:szCs w:val="22"/>
                <w:lang w:val="sl-SI"/>
              </w:rPr>
              <w:t>ioniz</w:t>
            </w:r>
            <w:r w:rsidRPr="004F717B">
              <w:rPr>
                <w:rFonts w:eastAsia="Calibri"/>
                <w:sz w:val="22"/>
                <w:szCs w:val="22"/>
                <w:lang w:val="sl-SI"/>
              </w:rPr>
              <w:t xml:space="preserve">ability </w:t>
            </w:r>
          </w:p>
        </w:tc>
        <w:tc>
          <w:tcPr>
            <w:tcW w:w="7791" w:type="dxa"/>
            <w:gridSpan w:val="4"/>
          </w:tcPr>
          <w:p w:rsidR="00D83A8A" w:rsidRDefault="00D83A8A" w:rsidP="00F8018C">
            <w:pPr>
              <w:pStyle w:val="TCTableBody"/>
              <w:spacing w:line="360" w:lineRule="auto"/>
              <w:jc w:val="center"/>
              <w:rPr>
                <w:rFonts w:eastAsia="Calibri"/>
                <w:sz w:val="22"/>
                <w:szCs w:val="22"/>
                <w:lang w:val="sl-SI"/>
              </w:rPr>
            </w:pPr>
            <w:r>
              <w:rPr>
                <w:rFonts w:eastAsia="Calibri"/>
                <w:sz w:val="22"/>
                <w:szCs w:val="22"/>
                <w:lang w:val="sl-SI"/>
              </w:rPr>
              <w:t>ioniz</w:t>
            </w:r>
            <w:r w:rsidRPr="004F717B">
              <w:rPr>
                <w:rFonts w:eastAsia="Calibri"/>
                <w:sz w:val="22"/>
                <w:szCs w:val="22"/>
                <w:lang w:val="sl-SI"/>
              </w:rPr>
              <w:t>ation pot</w:t>
            </w:r>
            <w:r>
              <w:rPr>
                <w:rFonts w:eastAsia="Calibri"/>
                <w:sz w:val="22"/>
                <w:szCs w:val="22"/>
                <w:lang w:val="sl-SI"/>
              </w:rPr>
              <w:t>ential of GT</w:t>
            </w:r>
            <w:r w:rsidRPr="004F717B">
              <w:rPr>
                <w:rFonts w:eastAsia="Calibri"/>
                <w:sz w:val="22"/>
                <w:szCs w:val="22"/>
                <w:lang w:val="sl-SI"/>
              </w:rPr>
              <w:t>I significantly different from that of the desired product</w:t>
            </w:r>
          </w:p>
          <w:p w:rsidR="00D83A8A" w:rsidRDefault="00D83A8A" w:rsidP="00D83A8A">
            <w:pPr>
              <w:pStyle w:val="TCTableBody"/>
              <w:spacing w:line="360" w:lineRule="auto"/>
              <w:jc w:val="center"/>
              <w:rPr>
                <w:rFonts w:eastAsia="Calibri"/>
                <w:sz w:val="22"/>
                <w:szCs w:val="22"/>
                <w:lang w:val="sl-SI"/>
              </w:rPr>
            </w:pPr>
            <w:r>
              <w:rPr>
                <w:rFonts w:eastAsia="Calibri"/>
                <w:sz w:val="22"/>
                <w:szCs w:val="22"/>
                <w:lang w:val="sl-SI"/>
              </w:rPr>
              <w:t>(a specific purge factor is assigned where such an approach is specifically applied)</w:t>
            </w:r>
          </w:p>
        </w:tc>
      </w:tr>
      <w:tr w:rsidR="00F8018C" w:rsidRPr="006079EA" w:rsidTr="00F8018C">
        <w:trPr>
          <w:trHeight w:val="710"/>
        </w:trPr>
        <w:tc>
          <w:tcPr>
            <w:tcW w:w="1785" w:type="dxa"/>
          </w:tcPr>
          <w:p w:rsidR="00F8018C" w:rsidRPr="004F717B" w:rsidRDefault="00F8018C" w:rsidP="00D83A8A">
            <w:pPr>
              <w:pStyle w:val="TCTableBody"/>
              <w:spacing w:line="360" w:lineRule="auto"/>
              <w:jc w:val="left"/>
              <w:rPr>
                <w:rFonts w:eastAsia="Calibri"/>
                <w:sz w:val="22"/>
                <w:szCs w:val="22"/>
                <w:lang w:val="sl-SI"/>
              </w:rPr>
            </w:pPr>
            <w:r w:rsidRPr="004F717B">
              <w:rPr>
                <w:rFonts w:eastAsia="Calibri"/>
                <w:sz w:val="22"/>
                <w:szCs w:val="22"/>
                <w:lang w:val="sl-SI"/>
              </w:rPr>
              <w:t xml:space="preserve">physical processes - </w:t>
            </w:r>
            <w:r>
              <w:rPr>
                <w:rFonts w:eastAsia="Calibri"/>
                <w:sz w:val="22"/>
                <w:szCs w:val="22"/>
                <w:lang w:val="sl-SI"/>
              </w:rPr>
              <w:t>chromatography</w:t>
            </w:r>
          </w:p>
        </w:tc>
        <w:tc>
          <w:tcPr>
            <w:tcW w:w="2009" w:type="dxa"/>
          </w:tcPr>
          <w:p w:rsidR="00F8018C" w:rsidRPr="004F717B" w:rsidRDefault="00F8018C" w:rsidP="00175541">
            <w:pPr>
              <w:pStyle w:val="TCTableBody"/>
              <w:spacing w:line="360" w:lineRule="auto"/>
              <w:rPr>
                <w:rFonts w:eastAsia="Calibri"/>
                <w:sz w:val="22"/>
                <w:szCs w:val="22"/>
                <w:lang w:val="sl-SI"/>
              </w:rPr>
            </w:pPr>
            <w:r>
              <w:rPr>
                <w:rFonts w:eastAsia="Calibri"/>
                <w:sz w:val="22"/>
                <w:szCs w:val="22"/>
                <w:lang w:val="sl-SI"/>
              </w:rPr>
              <w:t xml:space="preserve">GTI elutes prior to desired product </w:t>
            </w:r>
          </w:p>
          <w:p w:rsidR="00F8018C" w:rsidRPr="004F717B" w:rsidRDefault="00F8018C" w:rsidP="00175541">
            <w:pPr>
              <w:pStyle w:val="TCTableBody"/>
              <w:spacing w:line="360" w:lineRule="auto"/>
              <w:rPr>
                <w:rFonts w:eastAsia="Calibri"/>
                <w:sz w:val="22"/>
                <w:szCs w:val="22"/>
                <w:lang w:val="sl-SI"/>
              </w:rPr>
            </w:pPr>
          </w:p>
        </w:tc>
        <w:tc>
          <w:tcPr>
            <w:tcW w:w="2065" w:type="dxa"/>
          </w:tcPr>
          <w:p w:rsidR="00F8018C" w:rsidRDefault="00F8018C" w:rsidP="00175541">
            <w:pPr>
              <w:pStyle w:val="TCTableBody"/>
              <w:spacing w:line="360" w:lineRule="auto"/>
              <w:rPr>
                <w:rFonts w:eastAsia="Calibri"/>
                <w:sz w:val="22"/>
                <w:szCs w:val="22"/>
                <w:lang w:val="sl-SI"/>
              </w:rPr>
            </w:pPr>
            <w:r>
              <w:rPr>
                <w:rFonts w:eastAsia="Calibri"/>
                <w:sz w:val="22"/>
                <w:szCs w:val="22"/>
                <w:lang w:val="sl-SI"/>
              </w:rPr>
              <w:t>GTI elutes after desired product</w:t>
            </w:r>
          </w:p>
        </w:tc>
        <w:tc>
          <w:tcPr>
            <w:tcW w:w="1646" w:type="dxa"/>
          </w:tcPr>
          <w:p w:rsidR="00F8018C" w:rsidRDefault="00F8018C" w:rsidP="00F8018C">
            <w:pPr>
              <w:pStyle w:val="TCTableBody"/>
              <w:spacing w:line="360" w:lineRule="auto"/>
              <w:jc w:val="center"/>
              <w:rPr>
                <w:rFonts w:eastAsia="Calibri"/>
                <w:sz w:val="22"/>
                <w:szCs w:val="22"/>
                <w:lang w:val="sl-SI"/>
              </w:rPr>
            </w:pPr>
            <w:r>
              <w:rPr>
                <w:rFonts w:eastAsia="Calibri"/>
                <w:sz w:val="22"/>
                <w:szCs w:val="22"/>
                <w:lang w:val="sl-SI"/>
              </w:rPr>
              <w:t>-</w:t>
            </w:r>
          </w:p>
        </w:tc>
        <w:tc>
          <w:tcPr>
            <w:tcW w:w="2071" w:type="dxa"/>
          </w:tcPr>
          <w:p w:rsidR="00F8018C" w:rsidRDefault="00F8018C" w:rsidP="00F8018C">
            <w:pPr>
              <w:pStyle w:val="TCTableBody"/>
              <w:spacing w:line="360" w:lineRule="auto"/>
              <w:jc w:val="center"/>
              <w:rPr>
                <w:rFonts w:eastAsia="Calibri"/>
                <w:sz w:val="22"/>
                <w:szCs w:val="22"/>
                <w:lang w:val="sl-SI"/>
              </w:rPr>
            </w:pPr>
            <w:r>
              <w:rPr>
                <w:rFonts w:eastAsia="Calibri"/>
                <w:sz w:val="22"/>
                <w:szCs w:val="22"/>
                <w:lang w:val="sl-SI"/>
              </w:rPr>
              <w:t>-</w:t>
            </w:r>
          </w:p>
        </w:tc>
      </w:tr>
      <w:tr w:rsidR="00F8018C" w:rsidRPr="006079EA" w:rsidTr="00F8018C">
        <w:trPr>
          <w:trHeight w:val="710"/>
        </w:trPr>
        <w:tc>
          <w:tcPr>
            <w:tcW w:w="1785" w:type="dxa"/>
          </w:tcPr>
          <w:p w:rsidR="00F8018C" w:rsidRPr="004F717B" w:rsidRDefault="00F8018C" w:rsidP="00D83A8A">
            <w:pPr>
              <w:pStyle w:val="TCTableBody"/>
              <w:spacing w:line="360" w:lineRule="auto"/>
              <w:jc w:val="left"/>
              <w:rPr>
                <w:rFonts w:eastAsia="Calibri"/>
                <w:sz w:val="22"/>
                <w:szCs w:val="22"/>
                <w:lang w:val="sl-SI"/>
              </w:rPr>
            </w:pPr>
            <w:r>
              <w:rPr>
                <w:rFonts w:eastAsia="Calibri"/>
                <w:sz w:val="22"/>
                <w:szCs w:val="22"/>
                <w:lang w:val="sl-SI"/>
              </w:rPr>
              <w:t xml:space="preserve">physical processes </w:t>
            </w:r>
            <w:r w:rsidR="00932D23">
              <w:rPr>
                <w:rFonts w:eastAsia="Calibri"/>
                <w:sz w:val="22"/>
                <w:szCs w:val="22"/>
                <w:lang w:val="sl-SI"/>
              </w:rPr>
              <w:t>–</w:t>
            </w:r>
            <w:r w:rsidRPr="004F717B">
              <w:rPr>
                <w:rFonts w:eastAsia="Calibri"/>
                <w:sz w:val="22"/>
                <w:szCs w:val="22"/>
                <w:lang w:val="sl-SI"/>
              </w:rPr>
              <w:t xml:space="preserve"> </w:t>
            </w:r>
            <w:r>
              <w:rPr>
                <w:rFonts w:eastAsia="Calibri"/>
                <w:sz w:val="22"/>
                <w:szCs w:val="22"/>
                <w:lang w:val="sl-SI"/>
              </w:rPr>
              <w:t>recrystallization</w:t>
            </w:r>
            <w:r w:rsidR="00932D23">
              <w:rPr>
                <w:rFonts w:eastAsia="Calibri"/>
                <w:sz w:val="22"/>
                <w:szCs w:val="22"/>
                <w:lang w:val="sl-SI"/>
              </w:rPr>
              <w:t>*</w:t>
            </w:r>
          </w:p>
        </w:tc>
        <w:tc>
          <w:tcPr>
            <w:tcW w:w="2009" w:type="dxa"/>
          </w:tcPr>
          <w:p w:rsidR="00F8018C" w:rsidRDefault="00932D23" w:rsidP="00932D23">
            <w:pPr>
              <w:pStyle w:val="TCTableBody"/>
              <w:spacing w:line="360" w:lineRule="auto"/>
              <w:jc w:val="center"/>
              <w:rPr>
                <w:rFonts w:eastAsia="Calibri"/>
                <w:sz w:val="22"/>
                <w:szCs w:val="22"/>
                <w:lang w:val="sl-SI"/>
              </w:rPr>
            </w:pPr>
            <w:r w:rsidRPr="004F717B">
              <w:rPr>
                <w:rFonts w:eastAsia="Calibri"/>
                <w:sz w:val="22"/>
                <w:szCs w:val="22"/>
                <w:lang w:val="sl-SI"/>
              </w:rPr>
              <w:t>freely soluble</w:t>
            </w:r>
          </w:p>
        </w:tc>
        <w:tc>
          <w:tcPr>
            <w:tcW w:w="2065" w:type="dxa"/>
          </w:tcPr>
          <w:p w:rsidR="00F8018C" w:rsidRDefault="00F8018C" w:rsidP="00175541">
            <w:pPr>
              <w:pStyle w:val="TCTableBody"/>
              <w:spacing w:line="360" w:lineRule="auto"/>
              <w:rPr>
                <w:rFonts w:eastAsia="Calibri"/>
                <w:sz w:val="22"/>
                <w:szCs w:val="22"/>
                <w:lang w:val="sl-SI"/>
              </w:rPr>
            </w:pPr>
          </w:p>
        </w:tc>
        <w:tc>
          <w:tcPr>
            <w:tcW w:w="1646" w:type="dxa"/>
          </w:tcPr>
          <w:p w:rsidR="00F8018C" w:rsidRDefault="00F8018C" w:rsidP="00F8018C">
            <w:pPr>
              <w:pStyle w:val="TCTableBody"/>
              <w:spacing w:line="360" w:lineRule="auto"/>
              <w:jc w:val="center"/>
              <w:rPr>
                <w:rFonts w:eastAsia="Calibri"/>
                <w:sz w:val="22"/>
                <w:szCs w:val="22"/>
                <w:lang w:val="sl-SI"/>
              </w:rPr>
            </w:pPr>
          </w:p>
        </w:tc>
        <w:tc>
          <w:tcPr>
            <w:tcW w:w="2071" w:type="dxa"/>
          </w:tcPr>
          <w:p w:rsidR="00F8018C" w:rsidRDefault="00932D23" w:rsidP="00F8018C">
            <w:pPr>
              <w:pStyle w:val="TCTableBody"/>
              <w:spacing w:line="360" w:lineRule="auto"/>
              <w:jc w:val="center"/>
              <w:rPr>
                <w:rFonts w:eastAsia="Calibri"/>
                <w:sz w:val="22"/>
                <w:szCs w:val="22"/>
                <w:lang w:val="sl-SI"/>
              </w:rPr>
            </w:pPr>
            <w:r w:rsidRPr="004F717B">
              <w:rPr>
                <w:rFonts w:eastAsia="Calibri"/>
                <w:sz w:val="22"/>
                <w:szCs w:val="22"/>
                <w:lang w:val="sl-SI"/>
              </w:rPr>
              <w:t>sparingly soluble</w:t>
            </w:r>
          </w:p>
        </w:tc>
      </w:tr>
    </w:tbl>
    <w:p w:rsidR="00D85C0B" w:rsidRPr="00932D23" w:rsidRDefault="00932D23" w:rsidP="00932D23">
      <w:pPr>
        <w:spacing w:after="0" w:line="360" w:lineRule="auto"/>
        <w:jc w:val="left"/>
        <w:rPr>
          <w:vertAlign w:val="superscript"/>
        </w:rPr>
      </w:pPr>
      <w:r>
        <w:t>* In the original approach the recrystallization process was described within the solubility term; however, based on the under-prediction of the purge factor tool in case of crystallization steps, it was proposed to describe it as an individual physical process with a scale from 1 to 100.</w:t>
      </w:r>
      <w:r w:rsidR="00746159">
        <w:rPr>
          <w:vertAlign w:val="superscript"/>
        </w:rPr>
        <w:t>29</w:t>
      </w:r>
    </w:p>
    <w:p w:rsidR="00F8018C" w:rsidRDefault="00F8018C" w:rsidP="00175541">
      <w:pPr>
        <w:spacing w:after="0" w:line="360" w:lineRule="auto"/>
        <w:jc w:val="left"/>
      </w:pPr>
    </w:p>
    <w:p w:rsidR="00F8018C" w:rsidRDefault="00F8018C" w:rsidP="00175541">
      <w:pPr>
        <w:spacing w:after="0" w:line="360" w:lineRule="auto"/>
        <w:jc w:val="left"/>
      </w:pPr>
    </w:p>
    <w:p w:rsidR="00B76486" w:rsidRDefault="00595479" w:rsidP="00175541">
      <w:pPr>
        <w:spacing w:after="0" w:line="360" w:lineRule="auto"/>
        <w:jc w:val="left"/>
      </w:pPr>
      <w:r>
        <w:object w:dxaOrig="10430" w:dyaOrig="9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3pt;height:472.6pt" o:ole="">
            <v:imagedata r:id="rId10" o:title=""/>
          </v:shape>
          <o:OLEObject Type="Embed" ProgID="ChemDraw.Document.6.0" ShapeID="_x0000_i1025" DrawAspect="Content" ObjectID="_1533553880" r:id="rId11"/>
        </w:object>
      </w:r>
    </w:p>
    <w:p w:rsidR="00B76486" w:rsidRPr="00D83A8A" w:rsidRDefault="00D83A8A" w:rsidP="00175541">
      <w:pPr>
        <w:pStyle w:val="VDTableTitle"/>
        <w:spacing w:line="360" w:lineRule="auto"/>
      </w:pPr>
      <w:r w:rsidRPr="00D83A8A">
        <w:rPr>
          <w:b/>
        </w:rPr>
        <w:t>Scheme 1</w:t>
      </w:r>
      <w:r>
        <w:t xml:space="preserve">: Synthesis of </w:t>
      </w:r>
      <w:r w:rsidR="003B2382">
        <w:t>AZD9056</w:t>
      </w:r>
      <w:r>
        <w:t xml:space="preserve"> (adapted from Teasdale </w:t>
      </w:r>
      <w:proofErr w:type="gramStart"/>
      <w:r>
        <w:t>et</w:t>
      </w:r>
      <w:proofErr w:type="gramEnd"/>
      <w:r>
        <w:t xml:space="preserve"> al.</w:t>
      </w:r>
      <w:r>
        <w:rPr>
          <w:vertAlign w:val="superscript"/>
        </w:rPr>
        <w:t>2</w:t>
      </w:r>
      <w:r w:rsidR="000C68A3">
        <w:rPr>
          <w:vertAlign w:val="superscript"/>
        </w:rPr>
        <w:t>8</w:t>
      </w:r>
      <w:r>
        <w:t>).</w:t>
      </w:r>
    </w:p>
    <w:p w:rsidR="00AA2401" w:rsidRDefault="00AA2401" w:rsidP="00175541">
      <w:pPr>
        <w:pStyle w:val="TAMainText"/>
        <w:spacing w:line="360" w:lineRule="auto"/>
        <w:ind w:firstLine="0"/>
        <w:jc w:val="left"/>
      </w:pPr>
    </w:p>
    <w:p w:rsidR="00D85C0B" w:rsidRPr="00D83A8A" w:rsidRDefault="00D83A8A" w:rsidP="00175541">
      <w:pPr>
        <w:pStyle w:val="TAMainText"/>
        <w:spacing w:line="360" w:lineRule="auto"/>
        <w:ind w:firstLine="0"/>
        <w:jc w:val="left"/>
      </w:pPr>
      <w:r w:rsidRPr="00D83A8A">
        <w:rPr>
          <w:b/>
        </w:rPr>
        <w:t>Table 4</w:t>
      </w:r>
      <w:r w:rsidR="00C00964" w:rsidRPr="00D83A8A">
        <w:rPr>
          <w:b/>
        </w:rPr>
        <w:t>.</w:t>
      </w:r>
      <w:r w:rsidR="00D85C0B" w:rsidRPr="00D83A8A">
        <w:rPr>
          <w:b/>
        </w:rPr>
        <w:t xml:space="preserve"> </w:t>
      </w:r>
      <w:r w:rsidR="0039103B" w:rsidRPr="00D83A8A">
        <w:t xml:space="preserve">Summarized results of the case study for the synthesis of </w:t>
      </w:r>
      <w:r w:rsidR="003B2382">
        <w:t>AZD9056</w:t>
      </w:r>
      <w:r>
        <w:t xml:space="preserve"> (based on Teasdale </w:t>
      </w:r>
      <w:proofErr w:type="gramStart"/>
      <w:r>
        <w:t>et</w:t>
      </w:r>
      <w:proofErr w:type="gramEnd"/>
      <w:r>
        <w:t xml:space="preserve"> al.</w:t>
      </w:r>
      <w:r>
        <w:rPr>
          <w:vertAlign w:val="superscript"/>
        </w:rPr>
        <w:t>2</w:t>
      </w:r>
      <w:r w:rsidR="000C68A3">
        <w:rPr>
          <w:vertAlign w:val="superscript"/>
        </w:rPr>
        <w:t>8</w:t>
      </w:r>
      <w:r>
        <w:t>).</w:t>
      </w:r>
    </w:p>
    <w:tbl>
      <w:tblPr>
        <w:tblStyle w:val="TableGrid"/>
        <w:tblW w:w="0" w:type="auto"/>
        <w:tblLook w:val="04A0" w:firstRow="1" w:lastRow="0" w:firstColumn="1" w:lastColumn="0" w:noHBand="0" w:noVBand="1"/>
      </w:tblPr>
      <w:tblGrid>
        <w:gridCol w:w="3187"/>
        <w:gridCol w:w="1409"/>
        <w:gridCol w:w="1616"/>
        <w:gridCol w:w="3364"/>
      </w:tblGrid>
      <w:tr w:rsidR="00D85C0B" w:rsidTr="0039103B">
        <w:tc>
          <w:tcPr>
            <w:tcW w:w="2375" w:type="dxa"/>
          </w:tcPr>
          <w:p w:rsidR="00D85C0B" w:rsidRPr="00D83A8A" w:rsidRDefault="00D85C0B" w:rsidP="00175541">
            <w:pPr>
              <w:pStyle w:val="TAMainText"/>
              <w:spacing w:line="360" w:lineRule="auto"/>
              <w:ind w:firstLine="0"/>
              <w:jc w:val="left"/>
              <w:rPr>
                <w:b/>
              </w:rPr>
            </w:pPr>
            <w:r w:rsidRPr="00D83A8A">
              <w:rPr>
                <w:b/>
              </w:rPr>
              <w:t>Impurity of concern</w:t>
            </w:r>
          </w:p>
        </w:tc>
        <w:tc>
          <w:tcPr>
            <w:tcW w:w="1419" w:type="dxa"/>
          </w:tcPr>
          <w:p w:rsidR="00D85C0B" w:rsidRPr="00D83A8A" w:rsidRDefault="00D85C0B" w:rsidP="00175541">
            <w:pPr>
              <w:pStyle w:val="TAMainText"/>
              <w:spacing w:line="360" w:lineRule="auto"/>
              <w:ind w:firstLine="0"/>
              <w:jc w:val="left"/>
              <w:rPr>
                <w:b/>
              </w:rPr>
            </w:pPr>
            <w:r w:rsidRPr="00D83A8A">
              <w:rPr>
                <w:b/>
              </w:rPr>
              <w:t xml:space="preserve">Theoretical purge </w:t>
            </w:r>
            <w:r w:rsidRPr="00D83A8A">
              <w:rPr>
                <w:b/>
              </w:rPr>
              <w:lastRenderedPageBreak/>
              <w:t>factor</w:t>
            </w:r>
          </w:p>
        </w:tc>
        <w:tc>
          <w:tcPr>
            <w:tcW w:w="1559" w:type="dxa"/>
          </w:tcPr>
          <w:p w:rsidR="00D85C0B" w:rsidRPr="00D83A8A" w:rsidRDefault="00D85C0B" w:rsidP="00175541">
            <w:pPr>
              <w:pStyle w:val="TAMainText"/>
              <w:spacing w:line="360" w:lineRule="auto"/>
              <w:ind w:firstLine="0"/>
              <w:jc w:val="left"/>
              <w:rPr>
                <w:b/>
              </w:rPr>
            </w:pPr>
            <w:r w:rsidRPr="00D83A8A">
              <w:rPr>
                <w:b/>
              </w:rPr>
              <w:lastRenderedPageBreak/>
              <w:t>Experimental purge factor</w:t>
            </w:r>
          </w:p>
        </w:tc>
        <w:tc>
          <w:tcPr>
            <w:tcW w:w="4147" w:type="dxa"/>
          </w:tcPr>
          <w:p w:rsidR="00D85C0B" w:rsidRPr="00D83A8A" w:rsidRDefault="00990343" w:rsidP="00175541">
            <w:pPr>
              <w:pStyle w:val="TAMainText"/>
              <w:spacing w:line="360" w:lineRule="auto"/>
              <w:ind w:firstLine="0"/>
              <w:jc w:val="left"/>
              <w:rPr>
                <w:b/>
              </w:rPr>
            </w:pPr>
            <w:r w:rsidRPr="00D83A8A">
              <w:rPr>
                <w:b/>
              </w:rPr>
              <w:t>I</w:t>
            </w:r>
            <w:r w:rsidR="00D85C0B" w:rsidRPr="00D83A8A">
              <w:rPr>
                <w:b/>
              </w:rPr>
              <w:t>nterpretation</w:t>
            </w:r>
            <w:r w:rsidRPr="00D83A8A">
              <w:rPr>
                <w:b/>
              </w:rPr>
              <w:t xml:space="preserve"> of the results</w:t>
            </w:r>
          </w:p>
        </w:tc>
      </w:tr>
      <w:tr w:rsidR="00D85C0B" w:rsidTr="0039103B">
        <w:tc>
          <w:tcPr>
            <w:tcW w:w="2375" w:type="dxa"/>
          </w:tcPr>
          <w:p w:rsidR="00D85C0B" w:rsidRDefault="00B549D2" w:rsidP="00175541">
            <w:pPr>
              <w:pStyle w:val="TAMainText"/>
              <w:spacing w:line="360" w:lineRule="auto"/>
              <w:ind w:firstLine="0"/>
              <w:jc w:val="left"/>
            </w:pPr>
            <w:proofErr w:type="spellStart"/>
            <w:r>
              <w:lastRenderedPageBreak/>
              <w:t>Impurity</w:t>
            </w:r>
            <w:proofErr w:type="spellEnd"/>
            <w:r>
              <w:t xml:space="preserve"> </w:t>
            </w:r>
            <w:r w:rsidR="00595479">
              <w:t>1</w:t>
            </w:r>
          </w:p>
          <w:p w:rsidR="00227F4A" w:rsidRDefault="00A06720" w:rsidP="00175541">
            <w:pPr>
              <w:pStyle w:val="TAMainText"/>
              <w:spacing w:line="360" w:lineRule="auto"/>
              <w:ind w:firstLine="0"/>
              <w:jc w:val="left"/>
            </w:pPr>
            <w:r>
              <w:rPr>
                <w:rFonts w:eastAsia="Times New Roman"/>
                <w:szCs w:val="20"/>
                <w:lang w:val="en-US"/>
              </w:rPr>
              <w:object w:dxaOrig="2354" w:dyaOrig="2169">
                <v:shape id="_x0000_i1026" type="#_x0000_t75" style="width:122.55pt;height:113.35pt" o:ole="">
                  <v:imagedata r:id="rId12" o:title=""/>
                </v:shape>
                <o:OLEObject Type="Embed" ProgID="ChemDraw.Document.6.0" ShapeID="_x0000_i1026" DrawAspect="Content" ObjectID="_1533553881" r:id="rId13"/>
              </w:object>
            </w:r>
          </w:p>
        </w:tc>
        <w:tc>
          <w:tcPr>
            <w:tcW w:w="1419" w:type="dxa"/>
          </w:tcPr>
          <w:p w:rsidR="00D85C0B" w:rsidRDefault="00D85C0B" w:rsidP="00175541">
            <w:pPr>
              <w:pStyle w:val="TAMainText"/>
              <w:spacing w:line="360" w:lineRule="auto"/>
              <w:ind w:firstLine="0"/>
              <w:jc w:val="left"/>
            </w:pPr>
            <w:r>
              <w:t>10</w:t>
            </w:r>
            <w:r w:rsidR="00D83A8A">
              <w:t xml:space="preserve"> </w:t>
            </w:r>
            <w:r>
              <w:t>000</w:t>
            </w:r>
          </w:p>
        </w:tc>
        <w:tc>
          <w:tcPr>
            <w:tcW w:w="1559" w:type="dxa"/>
          </w:tcPr>
          <w:p w:rsidR="00D85C0B" w:rsidRDefault="00D85C0B" w:rsidP="00175541">
            <w:pPr>
              <w:pStyle w:val="TAMainText"/>
              <w:spacing w:line="360" w:lineRule="auto"/>
              <w:ind w:firstLine="0"/>
              <w:jc w:val="left"/>
            </w:pPr>
            <w:r>
              <w:t>112</w:t>
            </w:r>
            <w:r w:rsidR="00D83A8A">
              <w:t xml:space="preserve"> </w:t>
            </w:r>
            <w:r>
              <w:t>000</w:t>
            </w:r>
          </w:p>
        </w:tc>
        <w:tc>
          <w:tcPr>
            <w:tcW w:w="4147" w:type="dxa"/>
          </w:tcPr>
          <w:p w:rsidR="00D85C0B" w:rsidRDefault="00D85C0B" w:rsidP="00D83A8A">
            <w:pPr>
              <w:pStyle w:val="TAMainText"/>
              <w:spacing w:line="360" w:lineRule="auto"/>
              <w:ind w:firstLine="0"/>
              <w:jc w:val="left"/>
            </w:pPr>
            <w:r>
              <w:t>The calculated purge factor underpredicts the purge capa</w:t>
            </w:r>
            <w:r w:rsidR="00D83A8A">
              <w:t>city of the process by a</w:t>
            </w:r>
            <w:r>
              <w:t xml:space="preserve"> </w:t>
            </w:r>
            <w:r w:rsidR="00D83A8A">
              <w:t>factor of</w:t>
            </w:r>
            <w:r>
              <w:t xml:space="preserve"> 10.</w:t>
            </w:r>
            <w:r w:rsidR="00990343">
              <w:t xml:space="preserve"> Even a conservatively calculated purge factors predicts that the risk of carryover of significant levels of this impurity into the API is low.</w:t>
            </w:r>
          </w:p>
        </w:tc>
      </w:tr>
      <w:tr w:rsidR="00D85C0B" w:rsidTr="0039103B">
        <w:tc>
          <w:tcPr>
            <w:tcW w:w="2375" w:type="dxa"/>
          </w:tcPr>
          <w:p w:rsidR="00D85C0B" w:rsidRDefault="00B549D2" w:rsidP="00175541">
            <w:pPr>
              <w:pStyle w:val="TAMainText"/>
              <w:spacing w:line="360" w:lineRule="auto"/>
              <w:ind w:firstLine="0"/>
              <w:jc w:val="left"/>
            </w:pPr>
            <w:proofErr w:type="spellStart"/>
            <w:r>
              <w:t>Impurity</w:t>
            </w:r>
            <w:proofErr w:type="spellEnd"/>
            <w:r>
              <w:t xml:space="preserve"> </w:t>
            </w:r>
            <w:r w:rsidR="00595479">
              <w:t>4</w:t>
            </w:r>
          </w:p>
          <w:p w:rsidR="00D93034" w:rsidRDefault="00321141" w:rsidP="00175541">
            <w:pPr>
              <w:pStyle w:val="TAMainText"/>
              <w:spacing w:line="360" w:lineRule="auto"/>
              <w:ind w:firstLine="0"/>
              <w:jc w:val="left"/>
            </w:pPr>
            <w:r>
              <w:rPr>
                <w:rFonts w:eastAsia="Times New Roman"/>
                <w:szCs w:val="20"/>
                <w:lang w:val="en-US"/>
              </w:rPr>
              <w:object w:dxaOrig="3403" w:dyaOrig="2145">
                <v:shape id="_x0000_i1027" type="#_x0000_t75" style="width:148.6pt;height:95.75pt" o:ole="">
                  <v:imagedata r:id="rId14" o:title=""/>
                </v:shape>
                <o:OLEObject Type="Embed" ProgID="ChemDraw.Document.6.0" ShapeID="_x0000_i1027" DrawAspect="Content" ObjectID="_1533553882" r:id="rId15"/>
              </w:object>
            </w:r>
          </w:p>
        </w:tc>
        <w:tc>
          <w:tcPr>
            <w:tcW w:w="1419" w:type="dxa"/>
          </w:tcPr>
          <w:p w:rsidR="00D85C0B" w:rsidRDefault="0039103B" w:rsidP="00175541">
            <w:pPr>
              <w:pStyle w:val="TAMainText"/>
              <w:spacing w:line="360" w:lineRule="auto"/>
              <w:ind w:firstLine="0"/>
              <w:jc w:val="left"/>
            </w:pPr>
            <w:r>
              <w:t>3</w:t>
            </w:r>
          </w:p>
        </w:tc>
        <w:tc>
          <w:tcPr>
            <w:tcW w:w="1559" w:type="dxa"/>
          </w:tcPr>
          <w:p w:rsidR="00D85C0B" w:rsidRDefault="0039103B" w:rsidP="00175541">
            <w:pPr>
              <w:pStyle w:val="TAMainText"/>
              <w:spacing w:line="360" w:lineRule="auto"/>
              <w:ind w:firstLine="0"/>
              <w:jc w:val="left"/>
            </w:pPr>
            <w:r>
              <w:t>10</w:t>
            </w:r>
          </w:p>
        </w:tc>
        <w:tc>
          <w:tcPr>
            <w:tcW w:w="4147" w:type="dxa"/>
          </w:tcPr>
          <w:p w:rsidR="00D85C0B" w:rsidRDefault="00990343" w:rsidP="00175541">
            <w:pPr>
              <w:pStyle w:val="TAMainText"/>
              <w:spacing w:line="360" w:lineRule="auto"/>
              <w:ind w:firstLine="0"/>
              <w:jc w:val="left"/>
            </w:pPr>
            <w:r>
              <w:t>The calculated purge factor of 3 accurately predicts that the</w:t>
            </w:r>
            <w:r w:rsidR="00D83A8A">
              <w:t xml:space="preserve"> process has limited capacity of effectively removing</w:t>
            </w:r>
            <w:r>
              <w:t xml:space="preserve"> this impurity.</w:t>
            </w:r>
          </w:p>
        </w:tc>
      </w:tr>
      <w:tr w:rsidR="00D85C0B" w:rsidTr="0039103B">
        <w:tc>
          <w:tcPr>
            <w:tcW w:w="2375" w:type="dxa"/>
          </w:tcPr>
          <w:p w:rsidR="00B549D2" w:rsidRDefault="00B549D2" w:rsidP="00175541">
            <w:pPr>
              <w:pStyle w:val="TAMainText"/>
              <w:spacing w:line="360" w:lineRule="auto"/>
              <w:ind w:firstLine="0"/>
              <w:jc w:val="left"/>
            </w:pPr>
            <w:proofErr w:type="spellStart"/>
            <w:r>
              <w:t>Impurity</w:t>
            </w:r>
            <w:proofErr w:type="spellEnd"/>
            <w:r>
              <w:t xml:space="preserve"> </w:t>
            </w:r>
            <w:r w:rsidR="00595479">
              <w:t>5</w:t>
            </w:r>
          </w:p>
          <w:p w:rsidR="00D93034" w:rsidRDefault="00321141" w:rsidP="00175541">
            <w:pPr>
              <w:pStyle w:val="TAMainText"/>
              <w:spacing w:line="360" w:lineRule="auto"/>
              <w:ind w:firstLine="0"/>
              <w:jc w:val="left"/>
            </w:pPr>
            <w:r>
              <w:rPr>
                <w:rFonts w:eastAsia="Times New Roman"/>
                <w:szCs w:val="20"/>
                <w:lang w:val="en-US"/>
              </w:rPr>
              <w:object w:dxaOrig="573" w:dyaOrig="594">
                <v:shape id="_x0000_i1028" type="#_x0000_t75" style="width:32.95pt;height:35.25pt" o:ole="">
                  <v:imagedata r:id="rId16" o:title=""/>
                </v:shape>
                <o:OLEObject Type="Embed" ProgID="ChemDraw.Document.6.0" ShapeID="_x0000_i1028" DrawAspect="Content" ObjectID="_1533553883" r:id="rId17"/>
              </w:object>
            </w:r>
          </w:p>
        </w:tc>
        <w:tc>
          <w:tcPr>
            <w:tcW w:w="1419" w:type="dxa"/>
          </w:tcPr>
          <w:p w:rsidR="00D85C0B" w:rsidRDefault="0039103B" w:rsidP="00175541">
            <w:pPr>
              <w:pStyle w:val="TAMainText"/>
              <w:spacing w:line="360" w:lineRule="auto"/>
              <w:ind w:firstLine="0"/>
              <w:jc w:val="left"/>
            </w:pPr>
            <w:r>
              <w:t>10</w:t>
            </w:r>
            <w:r w:rsidR="00D83A8A">
              <w:t xml:space="preserve"> </w:t>
            </w:r>
            <w:r>
              <w:t>000</w:t>
            </w:r>
          </w:p>
        </w:tc>
        <w:tc>
          <w:tcPr>
            <w:tcW w:w="1559" w:type="dxa"/>
          </w:tcPr>
          <w:p w:rsidR="00D85C0B" w:rsidRDefault="0039103B" w:rsidP="00175541">
            <w:pPr>
              <w:pStyle w:val="TAMainText"/>
              <w:spacing w:line="360" w:lineRule="auto"/>
              <w:ind w:firstLine="0"/>
              <w:jc w:val="left"/>
            </w:pPr>
            <w:r>
              <w:t>38</w:t>
            </w:r>
            <w:r w:rsidR="00D83A8A">
              <w:t xml:space="preserve"> </w:t>
            </w:r>
            <w:r>
              <w:t>500</w:t>
            </w:r>
          </w:p>
        </w:tc>
        <w:tc>
          <w:tcPr>
            <w:tcW w:w="4147" w:type="dxa"/>
          </w:tcPr>
          <w:p w:rsidR="00D85C0B" w:rsidRDefault="00990343" w:rsidP="00D83A8A">
            <w:pPr>
              <w:pStyle w:val="TAMainText"/>
              <w:spacing w:line="360" w:lineRule="auto"/>
              <w:ind w:firstLine="0"/>
              <w:jc w:val="left"/>
            </w:pPr>
            <w:r>
              <w:t xml:space="preserve">The calculated purge factor accurately predicts </w:t>
            </w:r>
            <w:r w:rsidR="00D83A8A">
              <w:t>the</w:t>
            </w:r>
            <w:r>
              <w:t xml:space="preserve"> </w:t>
            </w:r>
            <w:r w:rsidR="00D83A8A">
              <w:t xml:space="preserve">efficient removal of the </w:t>
            </w:r>
            <w:r>
              <w:t>impurity by the process.</w:t>
            </w:r>
          </w:p>
        </w:tc>
      </w:tr>
    </w:tbl>
    <w:p w:rsidR="00D85C0B" w:rsidRDefault="00D85C0B" w:rsidP="00175541">
      <w:pPr>
        <w:pStyle w:val="TAMainText"/>
        <w:spacing w:line="360" w:lineRule="auto"/>
        <w:ind w:firstLine="0"/>
        <w:jc w:val="left"/>
      </w:pPr>
    </w:p>
    <w:p w:rsidR="008036B1" w:rsidRDefault="0039103B" w:rsidP="00175541">
      <w:pPr>
        <w:pStyle w:val="TAMainText"/>
        <w:spacing w:line="360" w:lineRule="auto"/>
        <w:ind w:firstLine="0"/>
        <w:jc w:val="left"/>
      </w:pPr>
      <w:r>
        <w:t xml:space="preserve">Authors also noted that in the case of </w:t>
      </w:r>
      <w:r w:rsidR="008036B1">
        <w:t xml:space="preserve">the </w:t>
      </w:r>
      <w:r>
        <w:t>impurity</w:t>
      </w:r>
      <w:r w:rsidR="00595479">
        <w:t xml:space="preserve"> 1</w:t>
      </w:r>
      <w:r>
        <w:t>, the predicted purge factor in the isolated crude stage differed significantly from the experimental purge factor (10 versus 560, respectively). Based on this it could be argued that the scale for the solubility factor could be extended to 1-100 instead of 1-10. However, authors decided to retain the more conservative scale of 1-10 in order to compensate</w:t>
      </w:r>
      <w:r w:rsidR="004A7915">
        <w:t xml:space="preserve"> for any variance in processes such as uncontrolled crystallization, poor washing and/or inefficient </w:t>
      </w:r>
      <w:proofErr w:type="spellStart"/>
      <w:r w:rsidR="004A7915">
        <w:t>deliquoring</w:t>
      </w:r>
      <w:proofErr w:type="spellEnd"/>
      <w:r w:rsidR="004A7915">
        <w:t xml:space="preserve"> of the isolated product.</w:t>
      </w:r>
      <w:r w:rsidR="00DC78E6">
        <w:t xml:space="preserve"> </w:t>
      </w:r>
      <w:r w:rsidR="00990343">
        <w:t xml:space="preserve">Moreover, </w:t>
      </w:r>
      <w:proofErr w:type="spellStart"/>
      <w:r w:rsidR="00990343">
        <w:t>underprediction</w:t>
      </w:r>
      <w:proofErr w:type="spellEnd"/>
      <w:r w:rsidR="00990343">
        <w:t xml:space="preserve"> of the purge capacity of the process is preferable to an </w:t>
      </w:r>
      <w:proofErr w:type="spellStart"/>
      <w:r w:rsidR="00990343">
        <w:t>overprediction</w:t>
      </w:r>
      <w:proofErr w:type="spellEnd"/>
      <w:r w:rsidR="00990343">
        <w:t xml:space="preserve">. </w:t>
      </w:r>
    </w:p>
    <w:p w:rsidR="000945B0" w:rsidRDefault="002B23F2" w:rsidP="00175541">
      <w:pPr>
        <w:pStyle w:val="TAMainText"/>
        <w:spacing w:line="360" w:lineRule="auto"/>
        <w:ind w:firstLine="0"/>
        <w:jc w:val="left"/>
      </w:pPr>
      <w:r>
        <w:t xml:space="preserve">In 2013 Teasdale </w:t>
      </w:r>
      <w:proofErr w:type="gramStart"/>
      <w:r>
        <w:t>et</w:t>
      </w:r>
      <w:proofErr w:type="gramEnd"/>
      <w:r>
        <w:t xml:space="preserve"> al.</w:t>
      </w:r>
      <w:r w:rsidR="000C68A3">
        <w:rPr>
          <w:vertAlign w:val="superscript"/>
        </w:rPr>
        <w:t>30</w:t>
      </w:r>
      <w:r>
        <w:t xml:space="preserve"> published further and more </w:t>
      </w:r>
      <w:r w:rsidR="000945B0">
        <w:t>detailed</w:t>
      </w:r>
      <w:r w:rsidR="004D4D36">
        <w:t xml:space="preserve"> information about the determination of</w:t>
      </w:r>
      <w:r w:rsidR="00B304D6">
        <w:t xml:space="preserve"> </w:t>
      </w:r>
      <w:r w:rsidR="000945B0">
        <w:t xml:space="preserve">theoretical </w:t>
      </w:r>
      <w:r w:rsidR="00B304D6">
        <w:t>purge factor</w:t>
      </w:r>
      <w:r w:rsidR="004D4D36">
        <w:t>s</w:t>
      </w:r>
      <w:r w:rsidR="008844C8">
        <w:t xml:space="preserve">, </w:t>
      </w:r>
      <w:r w:rsidR="004D4D36">
        <w:t>alongside</w:t>
      </w:r>
      <w:r>
        <w:t xml:space="preserve"> various case studies. </w:t>
      </w:r>
      <w:r w:rsidR="006E6478">
        <w:t>Instructions are given on how to assign values for different physic</w:t>
      </w:r>
      <w:r w:rsidR="004D4D36">
        <w:t>o</w:t>
      </w:r>
      <w:r w:rsidR="006E6478">
        <w:t xml:space="preserve">chemical parameters, how to calculate the factors and how to evaluate the results. </w:t>
      </w:r>
    </w:p>
    <w:p w:rsidR="009C169D" w:rsidRDefault="004D4D36" w:rsidP="00175541">
      <w:pPr>
        <w:pStyle w:val="TAMainText"/>
        <w:spacing w:line="360" w:lineRule="auto"/>
        <w:ind w:firstLine="0"/>
        <w:jc w:val="left"/>
      </w:pPr>
      <w:r>
        <w:lastRenderedPageBreak/>
        <w:t>A</w:t>
      </w:r>
      <w:r w:rsidR="003676EA">
        <w:t>nother case study</w:t>
      </w:r>
      <w:r w:rsidR="00000F69">
        <w:t xml:space="preserve"> was described</w:t>
      </w:r>
      <w:r>
        <w:t xml:space="preserve"> by</w:t>
      </w:r>
      <w:r w:rsidR="008844C8">
        <w:t xml:space="preserve"> </w:t>
      </w:r>
      <w:r w:rsidR="00000F69">
        <w:t xml:space="preserve">Elder </w:t>
      </w:r>
      <w:proofErr w:type="gramStart"/>
      <w:r w:rsidR="00000F69">
        <w:t>et</w:t>
      </w:r>
      <w:proofErr w:type="gramEnd"/>
      <w:r w:rsidR="00000F69">
        <w:t xml:space="preserve"> al.</w:t>
      </w:r>
      <w:r w:rsidR="000C68A3">
        <w:rPr>
          <w:vertAlign w:val="superscript"/>
        </w:rPr>
        <w:t>31</w:t>
      </w:r>
      <w:r w:rsidR="00000F69">
        <w:t xml:space="preserve"> </w:t>
      </w:r>
      <w:r>
        <w:t>in 2013, using</w:t>
      </w:r>
      <w:r w:rsidR="00FE63F1">
        <w:t xml:space="preserve"> t</w:t>
      </w:r>
      <w:r w:rsidR="002B23F2">
        <w:t>he same approach</w:t>
      </w:r>
      <w:r w:rsidR="00000F69">
        <w:t xml:space="preserve"> </w:t>
      </w:r>
      <w:r w:rsidR="00FE63F1">
        <w:t xml:space="preserve">to assess the </w:t>
      </w:r>
      <w:r w:rsidR="00F40FF2">
        <w:t>ability to purge</w:t>
      </w:r>
      <w:r w:rsidR="00FE63F1">
        <w:t xml:space="preserve"> impurities in </w:t>
      </w:r>
      <w:r w:rsidR="00F40FF2">
        <w:t xml:space="preserve">the synthesis of </w:t>
      </w:r>
      <w:proofErr w:type="spellStart"/>
      <w:r w:rsidR="00464EBE">
        <w:t>pazopanib</w:t>
      </w:r>
      <w:proofErr w:type="spellEnd"/>
      <w:r w:rsidR="00464EBE">
        <w:t xml:space="preserve"> hydrochloride</w:t>
      </w:r>
      <w:r w:rsidR="000348CD">
        <w:t xml:space="preserve"> (Scheme 2)</w:t>
      </w:r>
      <w:r w:rsidR="00FE63F1">
        <w:t xml:space="preserve">. </w:t>
      </w:r>
      <w:r w:rsidR="00000F69">
        <w:t>The theoretical purge factor assessment tool was applied to five mutagenic impurities</w:t>
      </w:r>
      <w:r w:rsidR="003676EA">
        <w:t xml:space="preserve"> </w:t>
      </w:r>
      <w:r>
        <w:t>(</w:t>
      </w:r>
      <w:r w:rsidR="003676EA">
        <w:t>Table</w:t>
      </w:r>
      <w:r>
        <w:t xml:space="preserve"> 5)</w:t>
      </w:r>
      <w:r w:rsidR="003676EA">
        <w:t xml:space="preserve">. The measured purge factor for </w:t>
      </w:r>
      <w:r w:rsidR="00D33E2A">
        <w:t xml:space="preserve">each of the </w:t>
      </w:r>
      <w:r w:rsidR="00E70852">
        <w:t>MI</w:t>
      </w:r>
      <w:r w:rsidR="003676EA">
        <w:t xml:space="preserve"> has been previously determined</w:t>
      </w:r>
      <w:proofErr w:type="gramStart"/>
      <w:r w:rsidR="00003761">
        <w:t>,</w:t>
      </w:r>
      <w:r w:rsidR="00E70852">
        <w:rPr>
          <w:vertAlign w:val="superscript"/>
        </w:rPr>
        <w:t>32</w:t>
      </w:r>
      <w:proofErr w:type="gramEnd"/>
      <w:r w:rsidR="003676EA">
        <w:t xml:space="preserve"> therefore the authors were able to compare theoretical and experimental purge factors in order to assess the </w:t>
      </w:r>
      <w:r w:rsidR="000348CD">
        <w:t>relia</w:t>
      </w:r>
      <w:r w:rsidR="003676EA">
        <w:t xml:space="preserve">bility of the proposed tool. </w:t>
      </w:r>
      <w:r w:rsidR="0028119C">
        <w:t>Compared to the original approach, Elder et al.</w:t>
      </w:r>
      <w:r w:rsidR="00E70852">
        <w:rPr>
          <w:vertAlign w:val="superscript"/>
        </w:rPr>
        <w:t>31</w:t>
      </w:r>
      <w:r w:rsidR="0028119C">
        <w:t xml:space="preserve"> decided to </w:t>
      </w:r>
      <w:r w:rsidR="002442E5">
        <w:t xml:space="preserve">include isolation steps within the physical process parameter, whereas </w:t>
      </w:r>
      <w:r w:rsidR="000348CD">
        <w:t xml:space="preserve">a </w:t>
      </w:r>
      <w:r w:rsidR="002442E5">
        <w:t>factor 3 was used if the isolation step was present and 1 if not.</w:t>
      </w:r>
      <w:r w:rsidR="009C169D">
        <w:t xml:space="preserve"> </w:t>
      </w:r>
      <w:r w:rsidR="000348CD">
        <w:t>A</w:t>
      </w:r>
      <w:r w:rsidR="009C169D">
        <w:t xml:space="preserve">ccording to their results the tool very accurately predicted the purging capacity for the most reactive MIs. For </w:t>
      </w:r>
      <w:r w:rsidR="000348CD">
        <w:t>less reactive</w:t>
      </w:r>
      <w:r w:rsidR="009C169D">
        <w:t xml:space="preserve"> MIs, measured and predicted values agreed reasonably well. </w:t>
      </w:r>
    </w:p>
    <w:p w:rsidR="001A30EF" w:rsidRDefault="001A30EF" w:rsidP="00175541">
      <w:pPr>
        <w:pStyle w:val="TAMainText"/>
        <w:spacing w:line="360" w:lineRule="auto"/>
        <w:ind w:firstLine="0"/>
        <w:jc w:val="left"/>
      </w:pPr>
    </w:p>
    <w:p w:rsidR="001A30EF" w:rsidRDefault="003B2382" w:rsidP="00175541">
      <w:pPr>
        <w:pStyle w:val="TAMainText"/>
        <w:spacing w:line="360" w:lineRule="auto"/>
        <w:ind w:firstLine="0"/>
        <w:jc w:val="left"/>
      </w:pPr>
      <w:r>
        <w:object w:dxaOrig="9228" w:dyaOrig="12832">
          <v:shape id="_x0000_i1029" type="#_x0000_t75" style="width:461.1pt;height:643.4pt" o:ole="">
            <v:imagedata r:id="rId18" o:title=""/>
          </v:shape>
          <o:OLEObject Type="Embed" ProgID="ChemDraw.Document.6.0" ShapeID="_x0000_i1029" DrawAspect="Content" ObjectID="_1533553884" r:id="rId19"/>
        </w:object>
      </w:r>
    </w:p>
    <w:p w:rsidR="000348CD" w:rsidRPr="00D83A8A" w:rsidRDefault="000348CD" w:rsidP="000348CD">
      <w:pPr>
        <w:pStyle w:val="VDTableTitle"/>
        <w:spacing w:line="360" w:lineRule="auto"/>
      </w:pPr>
      <w:r w:rsidRPr="00D83A8A">
        <w:rPr>
          <w:b/>
        </w:rPr>
        <w:lastRenderedPageBreak/>
        <w:t xml:space="preserve">Scheme </w:t>
      </w:r>
      <w:r>
        <w:rPr>
          <w:b/>
        </w:rPr>
        <w:t>2</w:t>
      </w:r>
      <w:r>
        <w:t xml:space="preserve">: Synthesis of </w:t>
      </w:r>
      <w:proofErr w:type="spellStart"/>
      <w:r w:rsidR="00FF301E">
        <w:t>pazopanib</w:t>
      </w:r>
      <w:proofErr w:type="spellEnd"/>
      <w:r w:rsidR="00FF301E">
        <w:t xml:space="preserve"> hydrochloride</w:t>
      </w:r>
      <w:r>
        <w:t xml:space="preserve"> (adapted from </w:t>
      </w:r>
      <w:r w:rsidR="00FF301E">
        <w:t xml:space="preserve">Elder </w:t>
      </w:r>
      <w:proofErr w:type="gramStart"/>
      <w:r w:rsidR="00FF301E">
        <w:t>et</w:t>
      </w:r>
      <w:proofErr w:type="gramEnd"/>
      <w:r w:rsidR="00FF301E">
        <w:t xml:space="preserve"> al.</w:t>
      </w:r>
      <w:r w:rsidR="00E70852">
        <w:rPr>
          <w:vertAlign w:val="superscript"/>
        </w:rPr>
        <w:t>31</w:t>
      </w:r>
      <w:r>
        <w:t>).</w:t>
      </w:r>
    </w:p>
    <w:p w:rsidR="008E70F9" w:rsidRDefault="008E70F9" w:rsidP="00175541">
      <w:pPr>
        <w:pStyle w:val="TAMainText"/>
        <w:spacing w:line="360" w:lineRule="auto"/>
        <w:ind w:firstLine="0"/>
        <w:jc w:val="left"/>
      </w:pPr>
    </w:p>
    <w:p w:rsidR="003676EA" w:rsidRPr="00FF301E" w:rsidRDefault="003676EA" w:rsidP="00175541">
      <w:pPr>
        <w:pStyle w:val="TAMainText"/>
        <w:spacing w:line="360" w:lineRule="auto"/>
        <w:ind w:firstLine="0"/>
        <w:jc w:val="left"/>
      </w:pPr>
      <w:r w:rsidRPr="00FF301E">
        <w:rPr>
          <w:b/>
        </w:rPr>
        <w:t>Table</w:t>
      </w:r>
      <w:r w:rsidR="007C5545">
        <w:rPr>
          <w:b/>
        </w:rPr>
        <w:t xml:space="preserve"> 5</w:t>
      </w:r>
      <w:r w:rsidR="00C00964" w:rsidRPr="00FF301E">
        <w:rPr>
          <w:b/>
        </w:rPr>
        <w:t>.</w:t>
      </w:r>
      <w:r>
        <w:t xml:space="preserve"> Summarized results of the case study for the synthesis of </w:t>
      </w:r>
      <w:proofErr w:type="spellStart"/>
      <w:r>
        <w:t>pazopanib</w:t>
      </w:r>
      <w:proofErr w:type="spellEnd"/>
      <w:r>
        <w:t xml:space="preserve"> hydrochloride</w:t>
      </w:r>
      <w:r w:rsidR="00FF301E">
        <w:t xml:space="preserve"> (based on Elder </w:t>
      </w:r>
      <w:proofErr w:type="gramStart"/>
      <w:r w:rsidR="00FF301E">
        <w:t>et</w:t>
      </w:r>
      <w:proofErr w:type="gramEnd"/>
      <w:r w:rsidR="00FF301E">
        <w:t xml:space="preserve"> al.</w:t>
      </w:r>
      <w:r w:rsidR="00E70852">
        <w:rPr>
          <w:vertAlign w:val="superscript"/>
        </w:rPr>
        <w:t>31</w:t>
      </w:r>
      <w:r w:rsidR="00FF301E">
        <w:t>).</w:t>
      </w:r>
    </w:p>
    <w:tbl>
      <w:tblPr>
        <w:tblStyle w:val="TableGrid"/>
        <w:tblW w:w="0" w:type="auto"/>
        <w:tblLook w:val="04A0" w:firstRow="1" w:lastRow="0" w:firstColumn="1" w:lastColumn="0" w:noHBand="0" w:noVBand="1"/>
      </w:tblPr>
      <w:tblGrid>
        <w:gridCol w:w="2792"/>
        <w:gridCol w:w="1414"/>
        <w:gridCol w:w="1616"/>
        <w:gridCol w:w="3754"/>
      </w:tblGrid>
      <w:tr w:rsidR="003676EA" w:rsidTr="009C169D">
        <w:tc>
          <w:tcPr>
            <w:tcW w:w="2375" w:type="dxa"/>
          </w:tcPr>
          <w:p w:rsidR="003676EA" w:rsidRPr="007C5545" w:rsidRDefault="003676EA" w:rsidP="00175541">
            <w:pPr>
              <w:pStyle w:val="TAMainText"/>
              <w:spacing w:line="360" w:lineRule="auto"/>
              <w:ind w:firstLine="0"/>
              <w:jc w:val="left"/>
              <w:rPr>
                <w:b/>
              </w:rPr>
            </w:pPr>
            <w:r w:rsidRPr="007C5545">
              <w:rPr>
                <w:b/>
              </w:rPr>
              <w:t>Impurity of concern</w:t>
            </w:r>
          </w:p>
        </w:tc>
        <w:tc>
          <w:tcPr>
            <w:tcW w:w="1419" w:type="dxa"/>
          </w:tcPr>
          <w:p w:rsidR="003676EA" w:rsidRPr="007C5545" w:rsidRDefault="003676EA" w:rsidP="00175541">
            <w:pPr>
              <w:pStyle w:val="TAMainText"/>
              <w:spacing w:line="360" w:lineRule="auto"/>
              <w:ind w:firstLine="0"/>
              <w:jc w:val="left"/>
              <w:rPr>
                <w:b/>
              </w:rPr>
            </w:pPr>
            <w:r w:rsidRPr="007C5545">
              <w:rPr>
                <w:b/>
              </w:rPr>
              <w:t>Theoretical purge factor</w:t>
            </w:r>
          </w:p>
        </w:tc>
        <w:tc>
          <w:tcPr>
            <w:tcW w:w="1559" w:type="dxa"/>
          </w:tcPr>
          <w:p w:rsidR="003676EA" w:rsidRPr="007C5545" w:rsidRDefault="003676EA" w:rsidP="00175541">
            <w:pPr>
              <w:pStyle w:val="TAMainText"/>
              <w:spacing w:line="360" w:lineRule="auto"/>
              <w:ind w:firstLine="0"/>
              <w:jc w:val="left"/>
              <w:rPr>
                <w:b/>
              </w:rPr>
            </w:pPr>
            <w:r w:rsidRPr="007C5545">
              <w:rPr>
                <w:b/>
              </w:rPr>
              <w:t>Experimental purge factor</w:t>
            </w:r>
          </w:p>
        </w:tc>
        <w:tc>
          <w:tcPr>
            <w:tcW w:w="4147" w:type="dxa"/>
          </w:tcPr>
          <w:p w:rsidR="003676EA" w:rsidRPr="007C5545" w:rsidRDefault="003676EA" w:rsidP="00175541">
            <w:pPr>
              <w:pStyle w:val="TAMainText"/>
              <w:spacing w:line="360" w:lineRule="auto"/>
              <w:ind w:firstLine="0"/>
              <w:jc w:val="left"/>
              <w:rPr>
                <w:b/>
              </w:rPr>
            </w:pPr>
            <w:r w:rsidRPr="007C5545">
              <w:rPr>
                <w:b/>
              </w:rPr>
              <w:t>Interpretation of the results</w:t>
            </w:r>
          </w:p>
        </w:tc>
      </w:tr>
      <w:tr w:rsidR="003676EA" w:rsidTr="009C169D">
        <w:tc>
          <w:tcPr>
            <w:tcW w:w="2375" w:type="dxa"/>
          </w:tcPr>
          <w:p w:rsidR="003676EA" w:rsidRDefault="003676EA" w:rsidP="00175541">
            <w:pPr>
              <w:pStyle w:val="TAMainText"/>
              <w:spacing w:line="360" w:lineRule="auto"/>
              <w:ind w:firstLine="0"/>
              <w:jc w:val="left"/>
            </w:pPr>
            <w:r>
              <w:t>DMS</w:t>
            </w:r>
          </w:p>
          <w:p w:rsidR="00227F4A" w:rsidRDefault="00321141" w:rsidP="00175541">
            <w:pPr>
              <w:pStyle w:val="TAMainText"/>
              <w:spacing w:line="360" w:lineRule="auto"/>
              <w:ind w:firstLine="0"/>
              <w:jc w:val="left"/>
            </w:pPr>
            <w:r>
              <w:rPr>
                <w:rFonts w:eastAsia="Times New Roman"/>
                <w:szCs w:val="20"/>
                <w:lang w:val="en-US"/>
              </w:rPr>
              <w:object w:dxaOrig="1070" w:dyaOrig="739">
                <v:shape id="_x0000_i1030" type="#_x0000_t75" style="width:58.2pt;height:40.6pt" o:ole="">
                  <v:imagedata r:id="rId20" o:title=""/>
                </v:shape>
                <o:OLEObject Type="Embed" ProgID="ChemDraw.Document.6.0" ShapeID="_x0000_i1030" DrawAspect="Content" ObjectID="_1533553885" r:id="rId21"/>
              </w:object>
            </w:r>
          </w:p>
        </w:tc>
        <w:tc>
          <w:tcPr>
            <w:tcW w:w="1419" w:type="dxa"/>
          </w:tcPr>
          <w:p w:rsidR="003676EA" w:rsidRDefault="00391499" w:rsidP="00175541">
            <w:pPr>
              <w:pStyle w:val="TAMainText"/>
              <w:spacing w:line="360" w:lineRule="auto"/>
              <w:ind w:firstLine="0"/>
              <w:jc w:val="left"/>
            </w:pPr>
            <w:r>
              <w:t>3</w:t>
            </w:r>
            <w:r w:rsidR="003676EA">
              <w:t>0</w:t>
            </w:r>
            <w:r w:rsidR="00FF301E">
              <w:t xml:space="preserve"> </w:t>
            </w:r>
            <w:r w:rsidR="003676EA">
              <w:t>000</w:t>
            </w:r>
          </w:p>
        </w:tc>
        <w:tc>
          <w:tcPr>
            <w:tcW w:w="1559" w:type="dxa"/>
          </w:tcPr>
          <w:p w:rsidR="003676EA" w:rsidRDefault="00391499" w:rsidP="00175541">
            <w:pPr>
              <w:pStyle w:val="TAMainText"/>
              <w:spacing w:line="360" w:lineRule="auto"/>
              <w:ind w:firstLine="0"/>
              <w:jc w:val="left"/>
            </w:pPr>
            <w:r>
              <w:t>29</w:t>
            </w:r>
            <w:r w:rsidR="00FF301E">
              <w:t xml:space="preserve"> </w:t>
            </w:r>
            <w:r>
              <w:t>411</w:t>
            </w:r>
          </w:p>
        </w:tc>
        <w:tc>
          <w:tcPr>
            <w:tcW w:w="4147" w:type="dxa"/>
          </w:tcPr>
          <w:p w:rsidR="003676EA" w:rsidRDefault="00574BD4" w:rsidP="00175541">
            <w:pPr>
              <w:pStyle w:val="TAMainText"/>
              <w:spacing w:line="360" w:lineRule="auto"/>
              <w:ind w:firstLine="0"/>
              <w:jc w:val="left"/>
            </w:pPr>
            <w:r>
              <w:t>T</w:t>
            </w:r>
            <w:r w:rsidR="00391499">
              <w:t>h</w:t>
            </w:r>
            <w:r w:rsidR="00FF301E">
              <w:t>e tool very accurately predicts</w:t>
            </w:r>
            <w:r w:rsidR="00391499">
              <w:t xml:space="preserve"> the purging capacity for</w:t>
            </w:r>
            <w:r>
              <w:t xml:space="preserve"> DMS.</w:t>
            </w:r>
          </w:p>
        </w:tc>
      </w:tr>
      <w:tr w:rsidR="003676EA" w:rsidTr="009C169D">
        <w:tc>
          <w:tcPr>
            <w:tcW w:w="2375" w:type="dxa"/>
          </w:tcPr>
          <w:p w:rsidR="003676EA" w:rsidRDefault="00FA5502" w:rsidP="00175541">
            <w:pPr>
              <w:pStyle w:val="TAMainText"/>
              <w:spacing w:line="360" w:lineRule="auto"/>
              <w:ind w:firstLine="0"/>
              <w:jc w:val="left"/>
            </w:pPr>
            <w:proofErr w:type="spellStart"/>
            <w:r>
              <w:t>Impurity</w:t>
            </w:r>
            <w:proofErr w:type="spellEnd"/>
            <w:r>
              <w:t xml:space="preserve"> </w:t>
            </w:r>
            <w:r w:rsidR="003676EA">
              <w:t>II</w:t>
            </w:r>
          </w:p>
          <w:p w:rsidR="00A97479" w:rsidRDefault="00321141" w:rsidP="00175541">
            <w:pPr>
              <w:pStyle w:val="TAMainText"/>
              <w:spacing w:line="360" w:lineRule="auto"/>
              <w:ind w:firstLine="0"/>
              <w:jc w:val="left"/>
            </w:pPr>
            <w:r>
              <w:rPr>
                <w:rFonts w:eastAsia="Times New Roman"/>
                <w:szCs w:val="20"/>
                <w:lang w:val="en-US"/>
              </w:rPr>
              <w:object w:dxaOrig="1860" w:dyaOrig="991">
                <v:shape id="_x0000_i1031" type="#_x0000_t75" style="width:91.9pt;height:49.8pt" o:ole="">
                  <v:imagedata r:id="rId22" o:title=""/>
                </v:shape>
                <o:OLEObject Type="Embed" ProgID="ChemDraw.Document.6.0" ShapeID="_x0000_i1031" DrawAspect="Content" ObjectID="_1533553886" r:id="rId23"/>
              </w:object>
            </w:r>
          </w:p>
        </w:tc>
        <w:tc>
          <w:tcPr>
            <w:tcW w:w="1419" w:type="dxa"/>
          </w:tcPr>
          <w:p w:rsidR="003676EA" w:rsidRDefault="00391499" w:rsidP="00175541">
            <w:pPr>
              <w:pStyle w:val="TAMainText"/>
              <w:spacing w:line="360" w:lineRule="auto"/>
              <w:ind w:firstLine="0"/>
              <w:jc w:val="left"/>
            </w:pPr>
            <w:r>
              <w:t>8</w:t>
            </w:r>
            <w:r w:rsidR="00FF301E">
              <w:t xml:space="preserve"> </w:t>
            </w:r>
            <w:r>
              <w:t>100</w:t>
            </w:r>
          </w:p>
        </w:tc>
        <w:tc>
          <w:tcPr>
            <w:tcW w:w="1559" w:type="dxa"/>
          </w:tcPr>
          <w:p w:rsidR="003676EA" w:rsidRDefault="00391499" w:rsidP="00175541">
            <w:pPr>
              <w:pStyle w:val="TAMainText"/>
              <w:spacing w:line="360" w:lineRule="auto"/>
              <w:ind w:firstLine="0"/>
              <w:jc w:val="left"/>
            </w:pPr>
            <w:r>
              <w:t>30</w:t>
            </w:r>
            <w:r w:rsidR="00FF301E">
              <w:t xml:space="preserve"> </w:t>
            </w:r>
            <w:r>
              <w:t>044</w:t>
            </w:r>
          </w:p>
        </w:tc>
        <w:tc>
          <w:tcPr>
            <w:tcW w:w="4147" w:type="dxa"/>
          </w:tcPr>
          <w:p w:rsidR="003676EA" w:rsidRDefault="00574BD4" w:rsidP="00175541">
            <w:pPr>
              <w:pStyle w:val="TAMainText"/>
              <w:spacing w:line="360" w:lineRule="auto"/>
              <w:ind w:firstLine="0"/>
              <w:jc w:val="left"/>
            </w:pPr>
            <w:r>
              <w:t>The calculated purge factor underpredicts the purge capacity of the process</w:t>
            </w:r>
            <w:r w:rsidR="002E6ECC">
              <w:t xml:space="preserve"> by a factor of 3.</w:t>
            </w:r>
          </w:p>
        </w:tc>
      </w:tr>
      <w:tr w:rsidR="003676EA" w:rsidTr="009C169D">
        <w:tc>
          <w:tcPr>
            <w:tcW w:w="2375" w:type="dxa"/>
          </w:tcPr>
          <w:p w:rsidR="003676EA" w:rsidRDefault="00FA5502" w:rsidP="00175541">
            <w:pPr>
              <w:pStyle w:val="TAMainText"/>
              <w:spacing w:line="360" w:lineRule="auto"/>
              <w:ind w:firstLine="0"/>
              <w:jc w:val="left"/>
            </w:pPr>
            <w:proofErr w:type="spellStart"/>
            <w:r>
              <w:t>Impurity</w:t>
            </w:r>
            <w:proofErr w:type="spellEnd"/>
            <w:r>
              <w:t xml:space="preserve"> 1</w:t>
            </w:r>
          </w:p>
          <w:p w:rsidR="00A97479" w:rsidRDefault="00321141" w:rsidP="00175541">
            <w:pPr>
              <w:pStyle w:val="TAMainText"/>
              <w:spacing w:line="360" w:lineRule="auto"/>
              <w:ind w:firstLine="0"/>
              <w:jc w:val="left"/>
            </w:pPr>
            <w:r>
              <w:rPr>
                <w:rFonts w:eastAsia="Times New Roman"/>
                <w:szCs w:val="20"/>
                <w:lang w:val="en-US"/>
              </w:rPr>
              <w:object w:dxaOrig="1845" w:dyaOrig="991">
                <v:shape id="_x0000_i1032" type="#_x0000_t75" style="width:91.9pt;height:48.25pt" o:ole="">
                  <v:imagedata r:id="rId24" o:title=""/>
                </v:shape>
                <o:OLEObject Type="Embed" ProgID="ChemDraw.Document.6.0" ShapeID="_x0000_i1032" DrawAspect="Content" ObjectID="_1533553887" r:id="rId25"/>
              </w:object>
            </w:r>
          </w:p>
        </w:tc>
        <w:tc>
          <w:tcPr>
            <w:tcW w:w="1419" w:type="dxa"/>
          </w:tcPr>
          <w:p w:rsidR="003676EA" w:rsidRDefault="00391499" w:rsidP="00175541">
            <w:pPr>
              <w:pStyle w:val="TAMainText"/>
              <w:spacing w:line="360" w:lineRule="auto"/>
              <w:ind w:firstLine="0"/>
              <w:jc w:val="left"/>
            </w:pPr>
            <w:r>
              <w:t>2</w:t>
            </w:r>
            <w:r w:rsidR="00FF301E">
              <w:t xml:space="preserve"> </w:t>
            </w:r>
            <w:r>
              <w:t>700</w:t>
            </w:r>
          </w:p>
        </w:tc>
        <w:tc>
          <w:tcPr>
            <w:tcW w:w="1559" w:type="dxa"/>
          </w:tcPr>
          <w:p w:rsidR="003676EA" w:rsidRDefault="00391499" w:rsidP="00175541">
            <w:pPr>
              <w:pStyle w:val="TAMainText"/>
              <w:spacing w:line="360" w:lineRule="auto"/>
              <w:ind w:firstLine="0"/>
              <w:jc w:val="left"/>
            </w:pPr>
            <w:r>
              <w:t>7</w:t>
            </w:r>
            <w:r w:rsidR="00FF301E">
              <w:t xml:space="preserve"> </w:t>
            </w:r>
            <w:r>
              <w:t>700</w:t>
            </w:r>
          </w:p>
        </w:tc>
        <w:tc>
          <w:tcPr>
            <w:tcW w:w="4147" w:type="dxa"/>
          </w:tcPr>
          <w:p w:rsidR="003676EA" w:rsidRDefault="003676EA" w:rsidP="00175541">
            <w:pPr>
              <w:pStyle w:val="TAMainText"/>
              <w:spacing w:line="360" w:lineRule="auto"/>
              <w:ind w:firstLine="0"/>
              <w:jc w:val="left"/>
            </w:pPr>
            <w:r>
              <w:t xml:space="preserve">The calculated purge factor </w:t>
            </w:r>
            <w:r w:rsidR="00574BD4">
              <w:t>and experimental purge factor agree reasonably well.</w:t>
            </w:r>
          </w:p>
        </w:tc>
      </w:tr>
      <w:tr w:rsidR="003676EA" w:rsidTr="009C169D">
        <w:tc>
          <w:tcPr>
            <w:tcW w:w="2375" w:type="dxa"/>
          </w:tcPr>
          <w:p w:rsidR="003676EA" w:rsidRDefault="00FA5502" w:rsidP="00175541">
            <w:pPr>
              <w:pStyle w:val="TAMainText"/>
              <w:spacing w:line="360" w:lineRule="auto"/>
              <w:ind w:firstLine="0"/>
              <w:jc w:val="left"/>
            </w:pPr>
            <w:proofErr w:type="spellStart"/>
            <w:r>
              <w:t>Impurity</w:t>
            </w:r>
            <w:proofErr w:type="spellEnd"/>
            <w:r>
              <w:t xml:space="preserve"> 3</w:t>
            </w:r>
          </w:p>
          <w:p w:rsidR="00A97479" w:rsidRDefault="00321141" w:rsidP="00175541">
            <w:pPr>
              <w:pStyle w:val="TAMainText"/>
              <w:spacing w:line="360" w:lineRule="auto"/>
              <w:ind w:firstLine="0"/>
              <w:jc w:val="left"/>
            </w:pPr>
            <w:r>
              <w:rPr>
                <w:rFonts w:eastAsia="Times New Roman"/>
                <w:szCs w:val="20"/>
                <w:lang w:val="en-US"/>
              </w:rPr>
              <w:object w:dxaOrig="2781" w:dyaOrig="1156">
                <v:shape id="_x0000_i1033" type="#_x0000_t75" style="width:128.7pt;height:52.85pt" o:ole="">
                  <v:imagedata r:id="rId26" o:title=""/>
                </v:shape>
                <o:OLEObject Type="Embed" ProgID="ChemDraw.Document.6.0" ShapeID="_x0000_i1033" DrawAspect="Content" ObjectID="_1533553888" r:id="rId27"/>
              </w:object>
            </w:r>
          </w:p>
        </w:tc>
        <w:tc>
          <w:tcPr>
            <w:tcW w:w="1419" w:type="dxa"/>
          </w:tcPr>
          <w:p w:rsidR="003676EA" w:rsidRDefault="00391499" w:rsidP="00175541">
            <w:pPr>
              <w:pStyle w:val="TAMainText"/>
              <w:spacing w:line="360" w:lineRule="auto"/>
              <w:ind w:firstLine="0"/>
              <w:jc w:val="left"/>
            </w:pPr>
            <w:r>
              <w:t>9</w:t>
            </w:r>
          </w:p>
        </w:tc>
        <w:tc>
          <w:tcPr>
            <w:tcW w:w="1559" w:type="dxa"/>
          </w:tcPr>
          <w:p w:rsidR="003676EA" w:rsidRDefault="00391499" w:rsidP="00175541">
            <w:pPr>
              <w:pStyle w:val="TAMainText"/>
              <w:spacing w:line="360" w:lineRule="auto"/>
              <w:ind w:firstLine="0"/>
              <w:jc w:val="left"/>
            </w:pPr>
            <w:r>
              <w:t>52-174</w:t>
            </w:r>
          </w:p>
        </w:tc>
        <w:tc>
          <w:tcPr>
            <w:tcW w:w="4147" w:type="dxa"/>
          </w:tcPr>
          <w:p w:rsidR="003676EA" w:rsidRDefault="00574BD4" w:rsidP="00175541">
            <w:pPr>
              <w:pStyle w:val="TAMainText"/>
              <w:spacing w:line="360" w:lineRule="auto"/>
              <w:ind w:firstLine="0"/>
              <w:jc w:val="left"/>
            </w:pPr>
            <w:r>
              <w:t>Theoretical and experimental purge factor are in reasonable agreement, however a control strategy needs to be implemented due to</w:t>
            </w:r>
            <w:r w:rsidR="002E6ECC">
              <w:t xml:space="preserve"> a</w:t>
            </w:r>
            <w:r>
              <w:t xml:space="preserve"> low factor.</w:t>
            </w:r>
          </w:p>
        </w:tc>
      </w:tr>
      <w:tr w:rsidR="003676EA" w:rsidTr="009C169D">
        <w:tc>
          <w:tcPr>
            <w:tcW w:w="2375" w:type="dxa"/>
          </w:tcPr>
          <w:p w:rsidR="003676EA" w:rsidRDefault="00FA5502" w:rsidP="00175541">
            <w:pPr>
              <w:pStyle w:val="TAMainText"/>
              <w:spacing w:line="360" w:lineRule="auto"/>
              <w:ind w:firstLine="0"/>
              <w:jc w:val="left"/>
            </w:pPr>
            <w:proofErr w:type="spellStart"/>
            <w:r>
              <w:t>Impurity</w:t>
            </w:r>
            <w:proofErr w:type="spellEnd"/>
            <w:r>
              <w:t xml:space="preserve"> III</w:t>
            </w:r>
          </w:p>
          <w:p w:rsidR="00A97479" w:rsidRDefault="00B15B2A" w:rsidP="00175541">
            <w:pPr>
              <w:pStyle w:val="TAMainText"/>
              <w:spacing w:line="360" w:lineRule="auto"/>
              <w:ind w:firstLine="0"/>
              <w:jc w:val="center"/>
            </w:pPr>
            <w:r>
              <w:rPr>
                <w:rFonts w:eastAsia="Times New Roman"/>
                <w:szCs w:val="20"/>
                <w:lang w:val="en-US"/>
              </w:rPr>
              <w:object w:dxaOrig="1499" w:dyaOrig="1432">
                <v:shape id="_x0000_i1034" type="#_x0000_t75" style="width:73.55pt;height:69.7pt" o:ole="">
                  <v:imagedata r:id="rId28" o:title=""/>
                </v:shape>
                <o:OLEObject Type="Embed" ProgID="ChemDraw.Document.6.0" ShapeID="_x0000_i1034" DrawAspect="Content" ObjectID="_1533553889" r:id="rId29"/>
              </w:object>
            </w:r>
          </w:p>
        </w:tc>
        <w:tc>
          <w:tcPr>
            <w:tcW w:w="1419" w:type="dxa"/>
          </w:tcPr>
          <w:p w:rsidR="003676EA" w:rsidRDefault="00391499" w:rsidP="00175541">
            <w:pPr>
              <w:pStyle w:val="TAMainText"/>
              <w:spacing w:line="360" w:lineRule="auto"/>
              <w:ind w:firstLine="0"/>
              <w:jc w:val="left"/>
            </w:pPr>
            <w:r>
              <w:t>900</w:t>
            </w:r>
          </w:p>
        </w:tc>
        <w:tc>
          <w:tcPr>
            <w:tcW w:w="1559" w:type="dxa"/>
          </w:tcPr>
          <w:p w:rsidR="003676EA" w:rsidRDefault="00391499" w:rsidP="00175541">
            <w:pPr>
              <w:pStyle w:val="TAMainText"/>
              <w:spacing w:line="360" w:lineRule="auto"/>
              <w:ind w:firstLine="0"/>
              <w:jc w:val="left"/>
            </w:pPr>
            <w:r>
              <w:t>17</w:t>
            </w:r>
            <w:r w:rsidR="00FF301E">
              <w:t xml:space="preserve"> </w:t>
            </w:r>
            <w:r>
              <w:t>647</w:t>
            </w:r>
          </w:p>
        </w:tc>
        <w:tc>
          <w:tcPr>
            <w:tcW w:w="4147" w:type="dxa"/>
          </w:tcPr>
          <w:p w:rsidR="003676EA" w:rsidRDefault="002E6ECC" w:rsidP="00175541">
            <w:pPr>
              <w:pStyle w:val="TAMainText"/>
              <w:spacing w:line="360" w:lineRule="auto"/>
              <w:ind w:firstLine="0"/>
              <w:jc w:val="left"/>
            </w:pPr>
            <w:r>
              <w:t>The calculated purge factor underpredicts the purge capacity of the process by a fac</w:t>
            </w:r>
            <w:r w:rsidR="009C169D">
              <w:t>t</w:t>
            </w:r>
            <w:r>
              <w:t>or of 20.</w:t>
            </w:r>
          </w:p>
        </w:tc>
      </w:tr>
    </w:tbl>
    <w:p w:rsidR="003676EA" w:rsidRDefault="003676EA" w:rsidP="00175541">
      <w:pPr>
        <w:pStyle w:val="TAMainText"/>
        <w:spacing w:line="360" w:lineRule="auto"/>
        <w:ind w:firstLine="0"/>
        <w:jc w:val="left"/>
      </w:pPr>
    </w:p>
    <w:p w:rsidR="002E6ECC" w:rsidRDefault="004E16A2" w:rsidP="00175541">
      <w:pPr>
        <w:pStyle w:val="TAMainText"/>
        <w:spacing w:line="360" w:lineRule="auto"/>
        <w:ind w:firstLine="0"/>
        <w:jc w:val="left"/>
      </w:pPr>
      <w:r>
        <w:t xml:space="preserve">In 2015 two </w:t>
      </w:r>
      <w:r w:rsidR="00FF301E">
        <w:t xml:space="preserve">additional </w:t>
      </w:r>
      <w:r>
        <w:t>practical applications of the proposed tool were publis</w:t>
      </w:r>
      <w:r w:rsidR="00F05B68">
        <w:t>h</w:t>
      </w:r>
      <w:r>
        <w:t xml:space="preserve">ed, i.e. by McLaughlin </w:t>
      </w:r>
      <w:proofErr w:type="gramStart"/>
      <w:r>
        <w:t>et</w:t>
      </w:r>
      <w:proofErr w:type="gramEnd"/>
      <w:r>
        <w:t xml:space="preserve"> al.</w:t>
      </w:r>
      <w:r w:rsidR="007C5545">
        <w:rPr>
          <w:vertAlign w:val="superscript"/>
        </w:rPr>
        <w:t>3</w:t>
      </w:r>
      <w:r w:rsidR="00E70852">
        <w:rPr>
          <w:vertAlign w:val="superscript"/>
        </w:rPr>
        <w:t>3</w:t>
      </w:r>
      <w:r>
        <w:t xml:space="preserve"> and by Lapanja et al.</w:t>
      </w:r>
      <w:r w:rsidR="007C5545">
        <w:rPr>
          <w:vertAlign w:val="superscript"/>
        </w:rPr>
        <w:t>2</w:t>
      </w:r>
      <w:r w:rsidR="00E70852">
        <w:rPr>
          <w:vertAlign w:val="superscript"/>
        </w:rPr>
        <w:t>9</w:t>
      </w:r>
      <w:r>
        <w:t xml:space="preserve"> McLaughlin et al.</w:t>
      </w:r>
      <w:r w:rsidR="007C5545">
        <w:rPr>
          <w:vertAlign w:val="superscript"/>
        </w:rPr>
        <w:t>3</w:t>
      </w:r>
      <w:r w:rsidR="00E70852">
        <w:rPr>
          <w:vertAlign w:val="superscript"/>
        </w:rPr>
        <w:t>3</w:t>
      </w:r>
      <w:r>
        <w:t xml:space="preserve"> applied purge factor assessment tool to six </w:t>
      </w:r>
      <w:r w:rsidR="00E70852">
        <w:t>MIs</w:t>
      </w:r>
      <w:r>
        <w:t xml:space="preserve"> in the synthesis of a development compound MK-8876</w:t>
      </w:r>
      <w:r w:rsidR="00811C45">
        <w:t xml:space="preserve"> (Scheme 3)</w:t>
      </w:r>
      <w:r>
        <w:t>.</w:t>
      </w:r>
      <w:r w:rsidR="00F05B68">
        <w:t xml:space="preserve"> </w:t>
      </w:r>
      <w:r w:rsidR="002D7B87">
        <w:t xml:space="preserve">Theoretical </w:t>
      </w:r>
      <w:r w:rsidR="002D7B87">
        <w:lastRenderedPageBreak/>
        <w:t xml:space="preserve">purge factors were compared with the analytically determined purge factors. </w:t>
      </w:r>
      <w:r w:rsidR="00F05B68">
        <w:t>R</w:t>
      </w:r>
      <w:r w:rsidR="007C5545">
        <w:t>esults are summarized in Table 6</w:t>
      </w:r>
      <w:r w:rsidR="00F05B68">
        <w:t>.</w:t>
      </w:r>
      <w:r w:rsidR="002D7B87">
        <w:t xml:space="preserve"> It was </w:t>
      </w:r>
      <w:r w:rsidR="007C5545">
        <w:t>emphasized</w:t>
      </w:r>
      <w:r w:rsidR="002D7B87">
        <w:t xml:space="preserve"> that t</w:t>
      </w:r>
      <w:r w:rsidR="007C5545">
        <w:t xml:space="preserve">he proposed tool tends to </w:t>
      </w:r>
      <w:proofErr w:type="spellStart"/>
      <w:r w:rsidR="007C5545">
        <w:t>under</w:t>
      </w:r>
      <w:r w:rsidR="002D7B87">
        <w:t>predict</w:t>
      </w:r>
      <w:proofErr w:type="spellEnd"/>
      <w:r w:rsidR="002D7B87">
        <w:t xml:space="preserve"> the likely purge capacity of a process,</w:t>
      </w:r>
      <w:r w:rsidR="00FD398E">
        <w:t xml:space="preserve"> thus staying</w:t>
      </w:r>
      <w:r w:rsidR="007C5545">
        <w:t xml:space="preserve"> on the safe / </w:t>
      </w:r>
      <w:r w:rsidR="002D7B87">
        <w:t>more conservative side.</w:t>
      </w:r>
    </w:p>
    <w:p w:rsidR="00E70852" w:rsidRDefault="00E70852" w:rsidP="00175541">
      <w:pPr>
        <w:pStyle w:val="TAMainText"/>
        <w:spacing w:line="360" w:lineRule="auto"/>
        <w:ind w:firstLine="0"/>
        <w:jc w:val="left"/>
      </w:pPr>
    </w:p>
    <w:p w:rsidR="00811C45" w:rsidRDefault="00BA2238" w:rsidP="00811C45">
      <w:pPr>
        <w:pStyle w:val="VDTableTitle"/>
        <w:spacing w:line="360" w:lineRule="auto"/>
        <w:rPr>
          <w:rFonts w:asciiTheme="minorHAnsi" w:eastAsiaTheme="minorEastAsia" w:hAnsiTheme="minorHAnsi" w:cstheme="minorBidi"/>
          <w:sz w:val="22"/>
          <w:szCs w:val="22"/>
          <w:lang w:eastAsia="zh-TW"/>
        </w:rPr>
      </w:pPr>
      <w:r>
        <w:rPr>
          <w:rFonts w:asciiTheme="minorHAnsi" w:eastAsiaTheme="minorEastAsia" w:hAnsiTheme="minorHAnsi" w:cstheme="minorBidi"/>
          <w:sz w:val="22"/>
          <w:szCs w:val="22"/>
          <w:lang w:eastAsia="zh-TW"/>
        </w:rPr>
        <w:object w:dxaOrig="12417" w:dyaOrig="10343">
          <v:shape id="_x0000_i1035" type="#_x0000_t75" style="width:498.65pt;height:415.15pt" o:ole="">
            <v:imagedata r:id="rId30" o:title=""/>
          </v:shape>
          <o:OLEObject Type="Embed" ProgID="ChemDraw.Document.6.0" ShapeID="_x0000_i1035" DrawAspect="Content" ObjectID="_1533553890" r:id="rId31"/>
        </w:object>
      </w:r>
    </w:p>
    <w:p w:rsidR="00E70852" w:rsidRPr="005233DD" w:rsidRDefault="00811C45" w:rsidP="005233DD">
      <w:pPr>
        <w:pStyle w:val="VDTableTitle"/>
        <w:spacing w:line="360" w:lineRule="auto"/>
      </w:pPr>
      <w:r w:rsidRPr="00D83A8A">
        <w:rPr>
          <w:b/>
        </w:rPr>
        <w:t xml:space="preserve">Scheme </w:t>
      </w:r>
      <w:r>
        <w:rPr>
          <w:b/>
        </w:rPr>
        <w:t>3</w:t>
      </w:r>
      <w:r>
        <w:t xml:space="preserve">: Synthesis of MK-8876 (adapted from McLaughlin </w:t>
      </w:r>
      <w:proofErr w:type="gramStart"/>
      <w:r>
        <w:t>et</w:t>
      </w:r>
      <w:proofErr w:type="gramEnd"/>
      <w:r>
        <w:t xml:space="preserve"> al.</w:t>
      </w:r>
      <w:r>
        <w:rPr>
          <w:vertAlign w:val="superscript"/>
        </w:rPr>
        <w:t>3</w:t>
      </w:r>
      <w:r w:rsidR="00E70852">
        <w:rPr>
          <w:vertAlign w:val="superscript"/>
        </w:rPr>
        <w:t>3</w:t>
      </w:r>
      <w:r>
        <w:t>).</w:t>
      </w:r>
      <w:r w:rsidR="00E70852">
        <w:rPr>
          <w:b/>
        </w:rPr>
        <w:br w:type="page"/>
      </w:r>
    </w:p>
    <w:p w:rsidR="00F05B68" w:rsidRPr="007C5545" w:rsidRDefault="007C5545" w:rsidP="00175541">
      <w:pPr>
        <w:pStyle w:val="TAMainText"/>
        <w:spacing w:line="360" w:lineRule="auto"/>
        <w:ind w:firstLine="0"/>
        <w:jc w:val="left"/>
        <w:rPr>
          <w:b/>
        </w:rPr>
      </w:pPr>
      <w:r w:rsidRPr="007C5545">
        <w:rPr>
          <w:b/>
        </w:rPr>
        <w:lastRenderedPageBreak/>
        <w:t>Table 6</w:t>
      </w:r>
      <w:r w:rsidR="00C00964" w:rsidRPr="007C5545">
        <w:rPr>
          <w:b/>
        </w:rPr>
        <w:t>.</w:t>
      </w:r>
      <w:r w:rsidR="00F05B68">
        <w:t xml:space="preserve"> Summarized results of the case study for the synthesis of MK-8876</w:t>
      </w:r>
      <w:r>
        <w:t xml:space="preserve"> (based on McLaughlin </w:t>
      </w:r>
      <w:proofErr w:type="gramStart"/>
      <w:r>
        <w:t>et</w:t>
      </w:r>
      <w:proofErr w:type="gramEnd"/>
      <w:r>
        <w:t xml:space="preserve"> al.</w:t>
      </w:r>
      <w:r>
        <w:rPr>
          <w:vertAlign w:val="superscript"/>
        </w:rPr>
        <w:t>3</w:t>
      </w:r>
      <w:r w:rsidR="00E70852">
        <w:rPr>
          <w:vertAlign w:val="superscript"/>
        </w:rPr>
        <w:t>3</w:t>
      </w:r>
      <w:r>
        <w:t>).</w:t>
      </w:r>
    </w:p>
    <w:tbl>
      <w:tblPr>
        <w:tblStyle w:val="TableGrid"/>
        <w:tblW w:w="0" w:type="auto"/>
        <w:tblLook w:val="04A0" w:firstRow="1" w:lastRow="0" w:firstColumn="1" w:lastColumn="0" w:noHBand="0" w:noVBand="1"/>
      </w:tblPr>
      <w:tblGrid>
        <w:gridCol w:w="2375"/>
        <w:gridCol w:w="1419"/>
        <w:gridCol w:w="1616"/>
        <w:gridCol w:w="4147"/>
      </w:tblGrid>
      <w:tr w:rsidR="00F05B68" w:rsidTr="00C00964">
        <w:tc>
          <w:tcPr>
            <w:tcW w:w="2375" w:type="dxa"/>
          </w:tcPr>
          <w:p w:rsidR="00F05B68" w:rsidRPr="007C5545" w:rsidRDefault="00F05B68" w:rsidP="00175541">
            <w:pPr>
              <w:pStyle w:val="TAMainText"/>
              <w:spacing w:line="360" w:lineRule="auto"/>
              <w:ind w:firstLine="0"/>
              <w:jc w:val="left"/>
              <w:rPr>
                <w:b/>
              </w:rPr>
            </w:pPr>
            <w:r w:rsidRPr="007C5545">
              <w:rPr>
                <w:b/>
              </w:rPr>
              <w:t>Impurity of concern</w:t>
            </w:r>
          </w:p>
        </w:tc>
        <w:tc>
          <w:tcPr>
            <w:tcW w:w="1419" w:type="dxa"/>
          </w:tcPr>
          <w:p w:rsidR="00F05B68" w:rsidRPr="007C5545" w:rsidRDefault="00F05B68" w:rsidP="00175541">
            <w:pPr>
              <w:pStyle w:val="TAMainText"/>
              <w:spacing w:line="360" w:lineRule="auto"/>
              <w:ind w:firstLine="0"/>
              <w:jc w:val="left"/>
              <w:rPr>
                <w:b/>
              </w:rPr>
            </w:pPr>
            <w:r w:rsidRPr="007C5545">
              <w:rPr>
                <w:b/>
              </w:rPr>
              <w:t>Theoretical purge factor</w:t>
            </w:r>
          </w:p>
        </w:tc>
        <w:tc>
          <w:tcPr>
            <w:tcW w:w="1559" w:type="dxa"/>
          </w:tcPr>
          <w:p w:rsidR="00F05B68" w:rsidRPr="007C5545" w:rsidRDefault="00F05B68" w:rsidP="00175541">
            <w:pPr>
              <w:pStyle w:val="TAMainText"/>
              <w:spacing w:line="360" w:lineRule="auto"/>
              <w:ind w:firstLine="0"/>
              <w:jc w:val="left"/>
              <w:rPr>
                <w:b/>
              </w:rPr>
            </w:pPr>
            <w:r w:rsidRPr="007C5545">
              <w:rPr>
                <w:b/>
              </w:rPr>
              <w:t>Experimental purge factor</w:t>
            </w:r>
          </w:p>
        </w:tc>
        <w:tc>
          <w:tcPr>
            <w:tcW w:w="4147" w:type="dxa"/>
          </w:tcPr>
          <w:p w:rsidR="00F05B68" w:rsidRPr="007C5545" w:rsidRDefault="00F05B68" w:rsidP="00175541">
            <w:pPr>
              <w:pStyle w:val="TAMainText"/>
              <w:spacing w:line="360" w:lineRule="auto"/>
              <w:ind w:firstLine="0"/>
              <w:jc w:val="left"/>
              <w:rPr>
                <w:b/>
              </w:rPr>
            </w:pPr>
            <w:r w:rsidRPr="007C5545">
              <w:rPr>
                <w:b/>
              </w:rPr>
              <w:t>Interpretation of the results</w:t>
            </w:r>
          </w:p>
        </w:tc>
      </w:tr>
      <w:tr w:rsidR="00F05B68" w:rsidTr="00C00964">
        <w:tc>
          <w:tcPr>
            <w:tcW w:w="2375" w:type="dxa"/>
          </w:tcPr>
          <w:p w:rsidR="00F05B68" w:rsidRDefault="00F05B68" w:rsidP="00175541">
            <w:pPr>
              <w:pStyle w:val="TAMainText"/>
              <w:spacing w:line="360" w:lineRule="auto"/>
              <w:ind w:firstLine="0"/>
              <w:jc w:val="left"/>
            </w:pPr>
            <w:r>
              <w:t>EDC</w:t>
            </w:r>
          </w:p>
          <w:p w:rsidR="003834CF" w:rsidRDefault="00265C85" w:rsidP="00175541">
            <w:pPr>
              <w:pStyle w:val="TAMainText"/>
              <w:spacing w:line="360" w:lineRule="auto"/>
              <w:ind w:firstLine="0"/>
              <w:jc w:val="left"/>
            </w:pPr>
            <w:r>
              <w:rPr>
                <w:rFonts w:eastAsia="Times New Roman"/>
                <w:szCs w:val="20"/>
                <w:lang w:val="en-US"/>
              </w:rPr>
              <w:object w:dxaOrig="2318" w:dyaOrig="719">
                <v:shape id="_x0000_i1036" type="#_x0000_t75" style="width:94.2pt;height:29.1pt" o:ole="">
                  <v:imagedata r:id="rId32" o:title=""/>
                </v:shape>
                <o:OLEObject Type="Embed" ProgID="ChemDraw.Document.6.0" ShapeID="_x0000_i1036" DrawAspect="Content" ObjectID="_1533553891" r:id="rId33"/>
              </w:object>
            </w:r>
          </w:p>
        </w:tc>
        <w:tc>
          <w:tcPr>
            <w:tcW w:w="1419" w:type="dxa"/>
          </w:tcPr>
          <w:p w:rsidR="00F05B68" w:rsidRPr="00F05B68" w:rsidRDefault="00F05B68" w:rsidP="00175541">
            <w:pPr>
              <w:pStyle w:val="TAMainText"/>
              <w:spacing w:line="360" w:lineRule="auto"/>
              <w:ind w:firstLine="0"/>
              <w:jc w:val="left"/>
              <w:rPr>
                <w:vertAlign w:val="superscript"/>
              </w:rPr>
            </w:pPr>
            <w:r>
              <w:t>1</w:t>
            </w:r>
            <w:r>
              <w:rPr>
                <w:vertAlign w:val="superscript"/>
              </w:rPr>
              <w:t>10</w:t>
            </w:r>
          </w:p>
        </w:tc>
        <w:tc>
          <w:tcPr>
            <w:tcW w:w="1559" w:type="dxa"/>
          </w:tcPr>
          <w:p w:rsidR="00F05B68" w:rsidRDefault="00F05B68" w:rsidP="00175541">
            <w:pPr>
              <w:pStyle w:val="TAMainText"/>
              <w:spacing w:line="360" w:lineRule="auto"/>
              <w:ind w:firstLine="0"/>
              <w:jc w:val="left"/>
            </w:pPr>
            <w:r w:rsidRPr="00F05B68">
              <w:t>&gt;</w:t>
            </w:r>
            <w:r>
              <w:t xml:space="preserve"> 50</w:t>
            </w:r>
            <w:r w:rsidR="007C5545">
              <w:t xml:space="preserve"> </w:t>
            </w:r>
            <w:r>
              <w:t>000</w:t>
            </w:r>
          </w:p>
        </w:tc>
        <w:tc>
          <w:tcPr>
            <w:tcW w:w="4147" w:type="dxa"/>
          </w:tcPr>
          <w:p w:rsidR="00F05B68" w:rsidRDefault="00F05B68" w:rsidP="007C5545">
            <w:pPr>
              <w:pStyle w:val="TAMainText"/>
              <w:spacing w:line="360" w:lineRule="auto"/>
              <w:ind w:firstLine="0"/>
              <w:jc w:val="left"/>
            </w:pPr>
            <w:r>
              <w:t xml:space="preserve">The tool very accurately predicted the purging capacity for </w:t>
            </w:r>
            <w:r w:rsidR="007C5545">
              <w:t>EDC</w:t>
            </w:r>
            <w:r>
              <w:t>.</w:t>
            </w:r>
          </w:p>
        </w:tc>
      </w:tr>
      <w:tr w:rsidR="00F05B68" w:rsidTr="00C00964">
        <w:tc>
          <w:tcPr>
            <w:tcW w:w="2375" w:type="dxa"/>
          </w:tcPr>
          <w:p w:rsidR="00F05B68" w:rsidRDefault="00F05B68" w:rsidP="00175541">
            <w:pPr>
              <w:pStyle w:val="TAMainText"/>
              <w:spacing w:line="360" w:lineRule="auto"/>
              <w:ind w:firstLine="0"/>
              <w:jc w:val="left"/>
            </w:pPr>
            <w:r>
              <w:t>methyl iodide</w:t>
            </w:r>
          </w:p>
          <w:p w:rsidR="003834CF" w:rsidRPr="003834CF" w:rsidRDefault="00265C85" w:rsidP="00175541">
            <w:pPr>
              <w:pStyle w:val="TAMainText"/>
              <w:spacing w:line="360" w:lineRule="auto"/>
              <w:ind w:firstLine="0"/>
              <w:jc w:val="left"/>
            </w:pPr>
            <w:r>
              <w:rPr>
                <w:rFonts w:eastAsia="Times New Roman"/>
                <w:szCs w:val="20"/>
                <w:lang w:val="en-US"/>
              </w:rPr>
              <w:object w:dxaOrig="384" w:dyaOrig="235">
                <v:shape id="_x0000_i1037" type="#_x0000_t75" style="width:19.15pt;height:10.7pt" o:ole="">
                  <v:imagedata r:id="rId34" o:title=""/>
                </v:shape>
                <o:OLEObject Type="Embed" ProgID="ChemDraw.Document.6.0" ShapeID="_x0000_i1037" DrawAspect="Content" ObjectID="_1533553892" r:id="rId35"/>
              </w:object>
            </w:r>
          </w:p>
        </w:tc>
        <w:tc>
          <w:tcPr>
            <w:tcW w:w="1419" w:type="dxa"/>
          </w:tcPr>
          <w:p w:rsidR="00F05B68" w:rsidRDefault="00F05B68" w:rsidP="00175541">
            <w:pPr>
              <w:pStyle w:val="TAMainText"/>
              <w:spacing w:line="360" w:lineRule="auto"/>
              <w:ind w:firstLine="0"/>
              <w:jc w:val="left"/>
            </w:pPr>
            <w:r>
              <w:t>1</w:t>
            </w:r>
            <w:r w:rsidR="007C5545">
              <w:t xml:space="preserve"> </w:t>
            </w:r>
            <w:r>
              <w:t>000</w:t>
            </w:r>
            <w:r w:rsidR="007C5545">
              <w:t xml:space="preserve"> </w:t>
            </w:r>
            <w:r>
              <w:t>000</w:t>
            </w:r>
          </w:p>
        </w:tc>
        <w:tc>
          <w:tcPr>
            <w:tcW w:w="1559" w:type="dxa"/>
          </w:tcPr>
          <w:p w:rsidR="00F05B68" w:rsidRDefault="00F05B68" w:rsidP="00175541">
            <w:pPr>
              <w:pStyle w:val="TAMainText"/>
              <w:spacing w:line="360" w:lineRule="auto"/>
              <w:ind w:firstLine="0"/>
              <w:jc w:val="left"/>
            </w:pPr>
            <w:r>
              <w:t>100</w:t>
            </w:r>
            <w:r w:rsidR="007C5545">
              <w:t xml:space="preserve"> </w:t>
            </w:r>
            <w:r>
              <w:t>000</w:t>
            </w:r>
          </w:p>
        </w:tc>
        <w:tc>
          <w:tcPr>
            <w:tcW w:w="4147" w:type="dxa"/>
          </w:tcPr>
          <w:p w:rsidR="00F05B68" w:rsidRDefault="00F05B68" w:rsidP="00175541">
            <w:pPr>
              <w:pStyle w:val="TAMainText"/>
              <w:spacing w:line="360" w:lineRule="auto"/>
              <w:ind w:firstLine="0"/>
              <w:jc w:val="left"/>
            </w:pPr>
            <w:r>
              <w:t xml:space="preserve">The calculated purge factor </w:t>
            </w:r>
            <w:r w:rsidR="00927474">
              <w:t>over</w:t>
            </w:r>
            <w:r>
              <w:t xml:space="preserve">rpredicts the purge capacity of the process by a factor of </w:t>
            </w:r>
            <w:r w:rsidR="00927474">
              <w:t>10</w:t>
            </w:r>
            <w:r>
              <w:t>.</w:t>
            </w:r>
            <w:r w:rsidR="00AD3CD4">
              <w:t xml:space="preserve"> However, theoretical purge factor is in agreement with the actual analytical value of &lt; 10 ppm of methyl iodide at intermediate stage.</w:t>
            </w:r>
          </w:p>
        </w:tc>
      </w:tr>
      <w:tr w:rsidR="00927474" w:rsidTr="00C00964">
        <w:tc>
          <w:tcPr>
            <w:tcW w:w="2375" w:type="dxa"/>
          </w:tcPr>
          <w:p w:rsidR="00927474" w:rsidRDefault="003834CF" w:rsidP="00175541">
            <w:pPr>
              <w:pStyle w:val="TAMainText"/>
              <w:spacing w:line="360" w:lineRule="auto"/>
              <w:ind w:firstLine="0"/>
              <w:jc w:val="left"/>
            </w:pPr>
            <w:r>
              <w:t>C</w:t>
            </w:r>
            <w:r w:rsidR="00927474">
              <w:t>hloroiodomethane</w:t>
            </w:r>
          </w:p>
          <w:p w:rsidR="003834CF" w:rsidRDefault="00265C85" w:rsidP="00175541">
            <w:pPr>
              <w:pStyle w:val="TAMainText"/>
              <w:spacing w:line="360" w:lineRule="auto"/>
              <w:ind w:firstLine="0"/>
              <w:jc w:val="left"/>
            </w:pPr>
            <w:r>
              <w:rPr>
                <w:rFonts w:eastAsia="Times New Roman"/>
                <w:szCs w:val="20"/>
                <w:lang w:val="en-US"/>
              </w:rPr>
              <w:object w:dxaOrig="710" w:dyaOrig="299">
                <v:shape id="_x0000_i1038" type="#_x0000_t75" style="width:36.75pt;height:14.55pt" o:ole="">
                  <v:imagedata r:id="rId36" o:title=""/>
                </v:shape>
                <o:OLEObject Type="Embed" ProgID="ChemDraw.Document.6.0" ShapeID="_x0000_i1038" DrawAspect="Content" ObjectID="_1533553893" r:id="rId37"/>
              </w:object>
            </w:r>
          </w:p>
        </w:tc>
        <w:tc>
          <w:tcPr>
            <w:tcW w:w="1419" w:type="dxa"/>
          </w:tcPr>
          <w:p w:rsidR="00927474" w:rsidRDefault="00927474" w:rsidP="00175541">
            <w:pPr>
              <w:pStyle w:val="TAMainText"/>
              <w:spacing w:line="360" w:lineRule="auto"/>
              <w:ind w:firstLine="0"/>
              <w:jc w:val="left"/>
            </w:pPr>
            <w:r>
              <w:t>10</w:t>
            </w:r>
            <w:r w:rsidR="007C5545">
              <w:t xml:space="preserve"> </w:t>
            </w:r>
            <w:r>
              <w:t>000 (crude)</w:t>
            </w:r>
          </w:p>
          <w:p w:rsidR="00927474" w:rsidRDefault="00927474" w:rsidP="00175541">
            <w:pPr>
              <w:pStyle w:val="TAMainText"/>
              <w:spacing w:line="360" w:lineRule="auto"/>
              <w:ind w:firstLine="0"/>
              <w:jc w:val="left"/>
            </w:pPr>
            <w:r>
              <w:t>100</w:t>
            </w:r>
            <w:r w:rsidR="00E70852">
              <w:t xml:space="preserve"> </w:t>
            </w:r>
            <w:r>
              <w:t>000</w:t>
            </w:r>
          </w:p>
          <w:p w:rsidR="00927474" w:rsidRDefault="00927474" w:rsidP="00175541">
            <w:pPr>
              <w:pStyle w:val="TAMainText"/>
              <w:spacing w:line="360" w:lineRule="auto"/>
              <w:ind w:firstLine="0"/>
              <w:jc w:val="left"/>
            </w:pPr>
            <w:r>
              <w:t>(pure)</w:t>
            </w:r>
          </w:p>
        </w:tc>
        <w:tc>
          <w:tcPr>
            <w:tcW w:w="1559" w:type="dxa"/>
          </w:tcPr>
          <w:p w:rsidR="00927474" w:rsidRDefault="00927474" w:rsidP="00175541">
            <w:pPr>
              <w:pStyle w:val="TAMainText"/>
              <w:spacing w:line="360" w:lineRule="auto"/>
              <w:ind w:firstLine="0"/>
              <w:jc w:val="left"/>
            </w:pPr>
            <w:r>
              <w:t>20</w:t>
            </w:r>
            <w:r w:rsidR="007C5545">
              <w:t xml:space="preserve"> </w:t>
            </w:r>
            <w:r>
              <w:t>000</w:t>
            </w:r>
          </w:p>
          <w:p w:rsidR="00927474" w:rsidRDefault="00927474" w:rsidP="007C5545">
            <w:pPr>
              <w:spacing w:after="0" w:line="360" w:lineRule="auto"/>
            </w:pPr>
            <w:r>
              <w:t>(crude)</w:t>
            </w:r>
          </w:p>
          <w:p w:rsidR="00927474" w:rsidRDefault="00927474" w:rsidP="007C5545">
            <w:pPr>
              <w:spacing w:after="0" w:line="360" w:lineRule="auto"/>
            </w:pPr>
            <w:r>
              <w:t>&gt;200</w:t>
            </w:r>
            <w:r w:rsidR="007C5545">
              <w:t xml:space="preserve"> </w:t>
            </w:r>
            <w:r>
              <w:t>000</w:t>
            </w:r>
          </w:p>
          <w:p w:rsidR="00927474" w:rsidRPr="00AB0E0A" w:rsidRDefault="00927474" w:rsidP="007C5545">
            <w:pPr>
              <w:spacing w:after="0" w:line="360" w:lineRule="auto"/>
            </w:pPr>
            <w:r>
              <w:t>(pure)</w:t>
            </w:r>
          </w:p>
        </w:tc>
        <w:tc>
          <w:tcPr>
            <w:tcW w:w="4147" w:type="dxa"/>
          </w:tcPr>
          <w:p w:rsidR="00927474" w:rsidRDefault="00927474" w:rsidP="00175541">
            <w:pPr>
              <w:pStyle w:val="TAMainText"/>
              <w:spacing w:line="360" w:lineRule="auto"/>
              <w:ind w:firstLine="0"/>
              <w:jc w:val="left"/>
            </w:pPr>
            <w:r>
              <w:t>The calculated purge factor and experimental purge factor</w:t>
            </w:r>
            <w:r w:rsidR="007C5545">
              <w:t>s</w:t>
            </w:r>
            <w:r>
              <w:t xml:space="preserve"> agree reasonably well.</w:t>
            </w:r>
          </w:p>
        </w:tc>
      </w:tr>
      <w:tr w:rsidR="00F05B68" w:rsidTr="00C00964">
        <w:tc>
          <w:tcPr>
            <w:tcW w:w="2375" w:type="dxa"/>
          </w:tcPr>
          <w:p w:rsidR="00F05B68" w:rsidRDefault="005D5F74" w:rsidP="00175541">
            <w:pPr>
              <w:pStyle w:val="TAMainText"/>
              <w:spacing w:line="360" w:lineRule="auto"/>
              <w:ind w:firstLine="0"/>
              <w:jc w:val="left"/>
            </w:pPr>
            <w:r w:rsidRPr="00AB0E0A">
              <w:t>Arylboronic acid</w:t>
            </w:r>
          </w:p>
        </w:tc>
        <w:tc>
          <w:tcPr>
            <w:tcW w:w="1419" w:type="dxa"/>
          </w:tcPr>
          <w:p w:rsidR="00F05B68" w:rsidRDefault="00AB0E0A" w:rsidP="00175541">
            <w:pPr>
              <w:pStyle w:val="TAMainText"/>
              <w:spacing w:line="360" w:lineRule="auto"/>
              <w:ind w:firstLine="0"/>
              <w:jc w:val="left"/>
            </w:pPr>
            <w:r>
              <w:t>10</w:t>
            </w:r>
            <w:r w:rsidR="007C5545">
              <w:t xml:space="preserve"> </w:t>
            </w:r>
            <w:r>
              <w:t>000 (crude)</w:t>
            </w:r>
          </w:p>
          <w:p w:rsidR="00AB0E0A" w:rsidRDefault="00AB0E0A" w:rsidP="00175541">
            <w:pPr>
              <w:pStyle w:val="TAMainText"/>
              <w:spacing w:line="360" w:lineRule="auto"/>
              <w:ind w:firstLine="0"/>
              <w:jc w:val="left"/>
            </w:pPr>
            <w:r>
              <w:t>30</w:t>
            </w:r>
            <w:r w:rsidR="007C5545">
              <w:t xml:space="preserve"> </w:t>
            </w:r>
            <w:r>
              <w:t>000</w:t>
            </w:r>
          </w:p>
          <w:p w:rsidR="00AB0E0A" w:rsidRDefault="00AB0E0A" w:rsidP="00175541">
            <w:pPr>
              <w:pStyle w:val="TAMainText"/>
              <w:spacing w:line="360" w:lineRule="auto"/>
              <w:ind w:firstLine="0"/>
              <w:jc w:val="left"/>
            </w:pPr>
            <w:r>
              <w:t>(pure)</w:t>
            </w:r>
          </w:p>
        </w:tc>
        <w:tc>
          <w:tcPr>
            <w:tcW w:w="1559" w:type="dxa"/>
          </w:tcPr>
          <w:p w:rsidR="00AB0E0A" w:rsidRDefault="00AB0E0A" w:rsidP="00175541">
            <w:pPr>
              <w:pStyle w:val="TAMainText"/>
              <w:spacing w:line="360" w:lineRule="auto"/>
              <w:ind w:firstLine="0"/>
              <w:jc w:val="left"/>
            </w:pPr>
            <w:r>
              <w:t>143</w:t>
            </w:r>
            <w:r w:rsidR="007C5545">
              <w:t xml:space="preserve"> </w:t>
            </w:r>
            <w:r>
              <w:t>000</w:t>
            </w:r>
          </w:p>
          <w:p w:rsidR="00AB0E0A" w:rsidRDefault="00AB0E0A" w:rsidP="007C5545">
            <w:pPr>
              <w:spacing w:after="0" w:line="360" w:lineRule="auto"/>
            </w:pPr>
            <w:r>
              <w:t>(crude)</w:t>
            </w:r>
          </w:p>
          <w:p w:rsidR="00AB0E0A" w:rsidRDefault="00AB0E0A" w:rsidP="007C5545">
            <w:pPr>
              <w:spacing w:after="0" w:line="360" w:lineRule="auto"/>
            </w:pPr>
            <w:r>
              <w:t>&gt;1</w:t>
            </w:r>
            <w:r w:rsidR="007C5545">
              <w:t xml:space="preserve"> </w:t>
            </w:r>
            <w:r>
              <w:t>000</w:t>
            </w:r>
            <w:r w:rsidR="007C5545">
              <w:t xml:space="preserve"> </w:t>
            </w:r>
            <w:r>
              <w:t>000</w:t>
            </w:r>
          </w:p>
          <w:p w:rsidR="00AB0E0A" w:rsidRPr="00AB0E0A" w:rsidRDefault="00AB0E0A" w:rsidP="007C5545">
            <w:pPr>
              <w:spacing w:after="0" w:line="360" w:lineRule="auto"/>
            </w:pPr>
            <w:r>
              <w:t>(pure)</w:t>
            </w:r>
          </w:p>
        </w:tc>
        <w:tc>
          <w:tcPr>
            <w:tcW w:w="4147" w:type="dxa"/>
          </w:tcPr>
          <w:p w:rsidR="00F05B68" w:rsidRDefault="00AB0E0A" w:rsidP="00175541">
            <w:pPr>
              <w:pStyle w:val="TAMainText"/>
              <w:spacing w:line="360" w:lineRule="auto"/>
              <w:ind w:firstLine="0"/>
              <w:jc w:val="left"/>
            </w:pPr>
            <w:r>
              <w:t xml:space="preserve">Measured </w:t>
            </w:r>
            <w:r w:rsidR="00F05B68">
              <w:t>purge factor</w:t>
            </w:r>
            <w:r>
              <w:t>s</w:t>
            </w:r>
            <w:r w:rsidR="00F05B68">
              <w:t xml:space="preserve"> </w:t>
            </w:r>
            <w:r>
              <w:t>at the crude API stage and at the pure API stage are much higher than</w:t>
            </w:r>
            <w:r w:rsidR="007C5545">
              <w:t xml:space="preserve"> the</w:t>
            </w:r>
            <w:r>
              <w:t xml:space="preserve"> theoretical purge factor.</w:t>
            </w:r>
          </w:p>
        </w:tc>
      </w:tr>
      <w:tr w:rsidR="00AB0E0A" w:rsidTr="00C00964">
        <w:tc>
          <w:tcPr>
            <w:tcW w:w="2375" w:type="dxa"/>
          </w:tcPr>
          <w:p w:rsidR="00AB0E0A" w:rsidRDefault="0046424E" w:rsidP="00175541">
            <w:pPr>
              <w:pStyle w:val="TAMainText"/>
              <w:spacing w:line="360" w:lineRule="auto"/>
              <w:ind w:firstLine="0"/>
              <w:jc w:val="left"/>
            </w:pPr>
            <w:r>
              <w:t xml:space="preserve">Bis </w:t>
            </w:r>
            <w:r w:rsidR="00AB0E0A">
              <w:t>boronic acid (BBA)</w:t>
            </w:r>
          </w:p>
        </w:tc>
        <w:tc>
          <w:tcPr>
            <w:tcW w:w="1419" w:type="dxa"/>
          </w:tcPr>
          <w:p w:rsidR="00AB0E0A" w:rsidRDefault="00AB0E0A" w:rsidP="00175541">
            <w:pPr>
              <w:pStyle w:val="TAMainText"/>
              <w:spacing w:line="360" w:lineRule="auto"/>
              <w:ind w:firstLine="0"/>
              <w:jc w:val="left"/>
            </w:pPr>
            <w:r>
              <w:t>100</w:t>
            </w:r>
          </w:p>
          <w:p w:rsidR="00AB0E0A" w:rsidRDefault="00AB0E0A" w:rsidP="00175541">
            <w:pPr>
              <w:pStyle w:val="TAMainText"/>
              <w:spacing w:line="360" w:lineRule="auto"/>
              <w:ind w:firstLine="0"/>
              <w:jc w:val="left"/>
            </w:pPr>
            <w:r>
              <w:t>(crude)</w:t>
            </w:r>
          </w:p>
          <w:p w:rsidR="00AB0E0A" w:rsidRDefault="00AB0E0A" w:rsidP="00175541">
            <w:pPr>
              <w:pStyle w:val="TAMainText"/>
              <w:spacing w:line="360" w:lineRule="auto"/>
              <w:ind w:firstLine="0"/>
              <w:jc w:val="left"/>
            </w:pPr>
            <w:r>
              <w:t>1</w:t>
            </w:r>
            <w:r w:rsidR="00E70852">
              <w:t xml:space="preserve"> </w:t>
            </w:r>
            <w:r>
              <w:t>000</w:t>
            </w:r>
          </w:p>
          <w:p w:rsidR="00AB0E0A" w:rsidRDefault="00AB0E0A" w:rsidP="00175541">
            <w:pPr>
              <w:pStyle w:val="TAMainText"/>
              <w:spacing w:line="360" w:lineRule="auto"/>
              <w:ind w:firstLine="0"/>
              <w:jc w:val="left"/>
            </w:pPr>
            <w:r>
              <w:t>(pure)</w:t>
            </w:r>
          </w:p>
        </w:tc>
        <w:tc>
          <w:tcPr>
            <w:tcW w:w="1559" w:type="dxa"/>
          </w:tcPr>
          <w:p w:rsidR="00AB0E0A" w:rsidRDefault="00AB0E0A" w:rsidP="00175541">
            <w:pPr>
              <w:pStyle w:val="TAMainText"/>
              <w:spacing w:line="360" w:lineRule="auto"/>
              <w:ind w:firstLine="0"/>
              <w:jc w:val="left"/>
            </w:pPr>
            <w:r w:rsidRPr="00AB0E0A">
              <w:t>&gt;</w:t>
            </w:r>
            <w:r>
              <w:t xml:space="preserve"> 3</w:t>
            </w:r>
            <w:r w:rsidR="007C5545">
              <w:t xml:space="preserve"> </w:t>
            </w:r>
            <w:r>
              <w:t>333</w:t>
            </w:r>
          </w:p>
          <w:p w:rsidR="00AB0E0A" w:rsidRDefault="00AB0E0A" w:rsidP="007C5545">
            <w:pPr>
              <w:spacing w:after="0" w:line="360" w:lineRule="auto"/>
            </w:pPr>
            <w:r>
              <w:t>(crude)</w:t>
            </w:r>
          </w:p>
          <w:p w:rsidR="00AB0E0A" w:rsidRDefault="00AB0E0A" w:rsidP="007C5545">
            <w:pPr>
              <w:spacing w:after="0" w:line="360" w:lineRule="auto"/>
            </w:pPr>
            <w:r>
              <w:t>&gt;250</w:t>
            </w:r>
            <w:r w:rsidR="007C5545">
              <w:t xml:space="preserve"> </w:t>
            </w:r>
            <w:r>
              <w:t>000</w:t>
            </w:r>
          </w:p>
          <w:p w:rsidR="00AB0E0A" w:rsidRPr="00AB0E0A" w:rsidRDefault="00AB0E0A" w:rsidP="00175541">
            <w:pPr>
              <w:spacing w:line="360" w:lineRule="auto"/>
            </w:pPr>
            <w:r>
              <w:t>(pure)</w:t>
            </w:r>
          </w:p>
        </w:tc>
        <w:tc>
          <w:tcPr>
            <w:tcW w:w="4147" w:type="dxa"/>
          </w:tcPr>
          <w:p w:rsidR="00AB0E0A" w:rsidRDefault="00AB0E0A" w:rsidP="00175541">
            <w:pPr>
              <w:pStyle w:val="TAMainText"/>
              <w:spacing w:line="360" w:lineRule="auto"/>
              <w:ind w:firstLine="0"/>
              <w:jc w:val="left"/>
            </w:pPr>
            <w:r>
              <w:t>Measured purge factors at the crude API stage and at the pure API stage are much higher than theoretical purge factor.</w:t>
            </w:r>
          </w:p>
        </w:tc>
      </w:tr>
      <w:tr w:rsidR="005D5F74" w:rsidTr="00C00964">
        <w:tc>
          <w:tcPr>
            <w:tcW w:w="2375" w:type="dxa"/>
          </w:tcPr>
          <w:p w:rsidR="005D5F74" w:rsidRDefault="0046424E" w:rsidP="00175541">
            <w:pPr>
              <w:pStyle w:val="TAMainText"/>
              <w:spacing w:line="360" w:lineRule="auto"/>
              <w:ind w:firstLine="0"/>
              <w:jc w:val="left"/>
            </w:pPr>
            <w:r w:rsidRPr="00AB0E0A">
              <w:t>C</w:t>
            </w:r>
            <w:r w:rsidR="005D5F74" w:rsidRPr="00AB0E0A">
              <w:t>arbazole</w:t>
            </w:r>
          </w:p>
          <w:p w:rsidR="0046424E" w:rsidRDefault="00265C85" w:rsidP="00175541">
            <w:pPr>
              <w:pStyle w:val="TAMainText"/>
              <w:spacing w:line="360" w:lineRule="auto"/>
              <w:ind w:firstLine="0"/>
              <w:jc w:val="left"/>
            </w:pPr>
            <w:r>
              <w:rPr>
                <w:rFonts w:eastAsia="Times New Roman"/>
                <w:szCs w:val="20"/>
                <w:lang w:val="en-US"/>
              </w:rPr>
              <w:object w:dxaOrig="1497" w:dyaOrig="988">
                <v:shape id="_x0000_i1039" type="#_x0000_t75" style="width:78.15pt;height:52.1pt" o:ole="">
                  <v:imagedata r:id="rId38" o:title=""/>
                </v:shape>
                <o:OLEObject Type="Embed" ProgID="ChemDraw.Document.6.0" ShapeID="_x0000_i1039" DrawAspect="Content" ObjectID="_1533553894" r:id="rId39"/>
              </w:object>
            </w:r>
          </w:p>
        </w:tc>
        <w:tc>
          <w:tcPr>
            <w:tcW w:w="1419" w:type="dxa"/>
          </w:tcPr>
          <w:p w:rsidR="005D5F74" w:rsidRDefault="005D5F74" w:rsidP="00175541">
            <w:pPr>
              <w:pStyle w:val="TAMainText"/>
              <w:spacing w:line="360" w:lineRule="auto"/>
              <w:ind w:firstLine="0"/>
              <w:jc w:val="left"/>
            </w:pPr>
            <w:r>
              <w:t>100</w:t>
            </w:r>
          </w:p>
        </w:tc>
        <w:tc>
          <w:tcPr>
            <w:tcW w:w="1559" w:type="dxa"/>
          </w:tcPr>
          <w:p w:rsidR="005D5F74" w:rsidRDefault="005D5F74" w:rsidP="00175541">
            <w:pPr>
              <w:pStyle w:val="TAMainText"/>
              <w:spacing w:line="360" w:lineRule="auto"/>
              <w:ind w:firstLine="0"/>
              <w:jc w:val="left"/>
            </w:pPr>
            <w:r>
              <w:t xml:space="preserve">&gt; 375 </w:t>
            </w:r>
          </w:p>
        </w:tc>
        <w:tc>
          <w:tcPr>
            <w:tcW w:w="4147" w:type="dxa"/>
          </w:tcPr>
          <w:p w:rsidR="005D5F74" w:rsidRDefault="00AB0E0A" w:rsidP="007C5545">
            <w:pPr>
              <w:pStyle w:val="TAMainText"/>
              <w:spacing w:line="360" w:lineRule="auto"/>
              <w:ind w:firstLine="0"/>
              <w:jc w:val="left"/>
            </w:pPr>
            <w:r>
              <w:t>The calculated and experimental purge factor</w:t>
            </w:r>
            <w:r w:rsidR="007C5545">
              <w:t>s</w:t>
            </w:r>
            <w:r>
              <w:t xml:space="preserve"> agree reasonably well.</w:t>
            </w:r>
          </w:p>
        </w:tc>
      </w:tr>
    </w:tbl>
    <w:p w:rsidR="00F920DD" w:rsidRDefault="00CF6F18" w:rsidP="005233DD">
      <w:pPr>
        <w:spacing w:after="0" w:line="360" w:lineRule="auto"/>
        <w:jc w:val="left"/>
      </w:pPr>
      <w:r>
        <w:lastRenderedPageBreak/>
        <w:t xml:space="preserve">Lapanja </w:t>
      </w:r>
      <w:proofErr w:type="gramStart"/>
      <w:r>
        <w:t>et</w:t>
      </w:r>
      <w:proofErr w:type="gramEnd"/>
      <w:r>
        <w:t xml:space="preserve"> al.</w:t>
      </w:r>
      <w:r w:rsidR="007C5545">
        <w:rPr>
          <w:vertAlign w:val="superscript"/>
        </w:rPr>
        <w:t>2</w:t>
      </w:r>
      <w:r w:rsidR="00E70852">
        <w:rPr>
          <w:vertAlign w:val="superscript"/>
        </w:rPr>
        <w:t>9</w:t>
      </w:r>
      <w:r>
        <w:t xml:space="preserve"> also used t</w:t>
      </w:r>
      <w:r w:rsidR="00F920DD">
        <w:t xml:space="preserve">he same approach </w:t>
      </w:r>
      <w:r w:rsidR="00B81F22">
        <w:t>f</w:t>
      </w:r>
      <w:r w:rsidR="00354E05">
        <w:t>or assess</w:t>
      </w:r>
      <w:r w:rsidR="0064670D">
        <w:t>ing</w:t>
      </w:r>
      <w:r w:rsidR="00486230">
        <w:t xml:space="preserve"> the presence</w:t>
      </w:r>
      <w:r w:rsidR="00354E05">
        <w:t xml:space="preserve"> of </w:t>
      </w:r>
      <w:r w:rsidR="008143D0">
        <w:t>four</w:t>
      </w:r>
      <w:r w:rsidR="00354E05">
        <w:t xml:space="preserve"> potential </w:t>
      </w:r>
      <w:r w:rsidR="00931557">
        <w:t>MI</w:t>
      </w:r>
      <w:r w:rsidR="000E049C">
        <w:t>s</w:t>
      </w:r>
      <w:r w:rsidR="00354E05">
        <w:t xml:space="preserve"> in the </w:t>
      </w:r>
      <w:proofErr w:type="spellStart"/>
      <w:r w:rsidR="00354E05">
        <w:t>vortioxetine</w:t>
      </w:r>
      <w:proofErr w:type="spellEnd"/>
      <w:r w:rsidR="00354E05">
        <w:t xml:space="preserve"> synthetic</w:t>
      </w:r>
      <w:r w:rsidR="000E049C">
        <w:t xml:space="preserve"> process</w:t>
      </w:r>
      <w:r w:rsidR="00811C45">
        <w:t xml:space="preserve"> (Scheme 4)</w:t>
      </w:r>
      <w:r>
        <w:t>. Additionally, o</w:t>
      </w:r>
      <w:r w:rsidR="00641ADA">
        <w:t>ne minor modification</w:t>
      </w:r>
      <w:r w:rsidR="00B81F22">
        <w:t xml:space="preserve"> regarding the physical process parameter</w:t>
      </w:r>
      <w:r>
        <w:t xml:space="preserve"> was proposed, i.e. </w:t>
      </w:r>
      <w:r w:rsidR="007C5545">
        <w:t xml:space="preserve">a </w:t>
      </w:r>
      <w:r>
        <w:t xml:space="preserve">recrystallization </w:t>
      </w:r>
      <w:r w:rsidR="003401B4">
        <w:t>step</w:t>
      </w:r>
      <w:r>
        <w:t xml:space="preserve"> was included within</w:t>
      </w:r>
      <w:r w:rsidR="003401B4">
        <w:t xml:space="preserve"> the physical process parameter</w:t>
      </w:r>
      <w:r>
        <w:t xml:space="preserve">, while according to </w:t>
      </w:r>
      <w:r w:rsidR="00641ADA">
        <w:t>Teasdale et al</w:t>
      </w:r>
      <w:r w:rsidR="0005330E">
        <w:t>.</w:t>
      </w:r>
      <w:r w:rsidR="0073533C">
        <w:rPr>
          <w:vertAlign w:val="superscript"/>
        </w:rPr>
        <w:t>2</w:t>
      </w:r>
      <w:r w:rsidR="00E70852">
        <w:rPr>
          <w:vertAlign w:val="superscript"/>
        </w:rPr>
        <w:t>8</w:t>
      </w:r>
      <w:r w:rsidR="00F920DD">
        <w:t xml:space="preserve"> </w:t>
      </w:r>
      <w:r w:rsidR="00641ADA">
        <w:t xml:space="preserve">recrystallization would be described within the solubility parameter. </w:t>
      </w:r>
      <w:r w:rsidR="00F920DD">
        <w:t>The</w:t>
      </w:r>
      <w:r w:rsidR="00FC1C9B">
        <w:t xml:space="preserve"> the</w:t>
      </w:r>
      <w:r w:rsidR="00F920DD">
        <w:t>oretical purge factors were then c</w:t>
      </w:r>
      <w:r w:rsidR="00A64768">
        <w:t xml:space="preserve">ompared </w:t>
      </w:r>
      <w:r w:rsidR="00FC1C9B">
        <w:t>with</w:t>
      </w:r>
      <w:r w:rsidR="00A64768">
        <w:t xml:space="preserve"> measured values and</w:t>
      </w:r>
      <w:r w:rsidR="00F920DD">
        <w:t xml:space="preserve"> </w:t>
      </w:r>
      <w:r w:rsidR="00FC1C9B">
        <w:t xml:space="preserve">with the </w:t>
      </w:r>
      <w:r w:rsidR="00F920DD">
        <w:t xml:space="preserve">results of depletion studies. </w:t>
      </w:r>
      <w:r w:rsidR="00C00964">
        <w:t>R</w:t>
      </w:r>
      <w:r w:rsidR="0073533C">
        <w:t>esults are summarized in Table 7</w:t>
      </w:r>
      <w:r w:rsidR="00C00964">
        <w:t>.</w:t>
      </w:r>
      <w:r w:rsidR="00AF43E0">
        <w:t xml:space="preserve"> In conclusion it was noted that by assigning a value of 3 for the recrystallization process the ability of the process to eliminate impurities was clearly</w:t>
      </w:r>
      <w:r w:rsidR="00AF43E0" w:rsidRPr="00AF43E0">
        <w:t xml:space="preserve"> </w:t>
      </w:r>
      <w:proofErr w:type="spellStart"/>
      <w:r w:rsidR="0073533C">
        <w:t>under</w:t>
      </w:r>
      <w:r w:rsidR="00AF43E0">
        <w:t>predicted</w:t>
      </w:r>
      <w:proofErr w:type="spellEnd"/>
      <w:r w:rsidR="00AF43E0">
        <w:t xml:space="preserve">. However, Teasdale </w:t>
      </w:r>
      <w:proofErr w:type="gramStart"/>
      <w:r w:rsidR="00AF43E0">
        <w:t>et</w:t>
      </w:r>
      <w:proofErr w:type="gramEnd"/>
      <w:r w:rsidR="00AF43E0">
        <w:t xml:space="preserve"> al.</w:t>
      </w:r>
      <w:r w:rsidR="0073533C">
        <w:rPr>
          <w:vertAlign w:val="superscript"/>
        </w:rPr>
        <w:t>2</w:t>
      </w:r>
      <w:r w:rsidR="00E70852">
        <w:rPr>
          <w:vertAlign w:val="superscript"/>
        </w:rPr>
        <w:t>8</w:t>
      </w:r>
      <w:r w:rsidR="00AF43E0">
        <w:t xml:space="preserve"> suggested retaining a more conservative scale in order to</w:t>
      </w:r>
      <w:r w:rsidR="00B96AFC">
        <w:t xml:space="preserve"> compensate for any variance in </w:t>
      </w:r>
      <w:r w:rsidR="00AF43E0">
        <w:t xml:space="preserve">processes. </w:t>
      </w:r>
    </w:p>
    <w:p w:rsidR="00B96AFC" w:rsidRDefault="00B96AFC" w:rsidP="00B96AFC">
      <w:pPr>
        <w:pStyle w:val="TAMainText"/>
        <w:spacing w:after="240" w:line="360" w:lineRule="auto"/>
        <w:ind w:firstLine="0"/>
        <w:jc w:val="center"/>
      </w:pPr>
      <w:r>
        <w:object w:dxaOrig="7240" w:dyaOrig="5422">
          <v:shape id="_x0000_i1040" type="#_x0000_t75" style="width:363.05pt;height:271.15pt" o:ole="">
            <v:imagedata r:id="rId40" o:title=""/>
          </v:shape>
          <o:OLEObject Type="Embed" ProgID="ChemDraw.Document.6.0" ShapeID="_x0000_i1040" DrawAspect="Content" ObjectID="_1533553895" r:id="rId41"/>
        </w:object>
      </w:r>
    </w:p>
    <w:p w:rsidR="00811C45" w:rsidRPr="00D83A8A" w:rsidRDefault="00811C45" w:rsidP="00811C45">
      <w:pPr>
        <w:pStyle w:val="VDTableTitle"/>
        <w:spacing w:line="360" w:lineRule="auto"/>
      </w:pPr>
      <w:r w:rsidRPr="00D83A8A">
        <w:rPr>
          <w:b/>
        </w:rPr>
        <w:t xml:space="preserve">Scheme </w:t>
      </w:r>
      <w:r>
        <w:rPr>
          <w:b/>
        </w:rPr>
        <w:t>4</w:t>
      </w:r>
      <w:r>
        <w:t xml:space="preserve">: Synthesis of </w:t>
      </w:r>
      <w:proofErr w:type="spellStart"/>
      <w:r>
        <w:t>vortioxetine</w:t>
      </w:r>
      <w:proofErr w:type="spellEnd"/>
      <w:r>
        <w:t xml:space="preserve"> hydrochloride (adapted from Lapanja </w:t>
      </w:r>
      <w:proofErr w:type="gramStart"/>
      <w:r>
        <w:t>et</w:t>
      </w:r>
      <w:proofErr w:type="gramEnd"/>
      <w:r>
        <w:t xml:space="preserve"> al.</w:t>
      </w:r>
      <w:r>
        <w:rPr>
          <w:vertAlign w:val="superscript"/>
        </w:rPr>
        <w:t>2</w:t>
      </w:r>
      <w:r w:rsidR="00E70852">
        <w:rPr>
          <w:vertAlign w:val="superscript"/>
        </w:rPr>
        <w:t>9</w:t>
      </w:r>
      <w:r>
        <w:t>).</w:t>
      </w:r>
    </w:p>
    <w:p w:rsidR="00AF43E0" w:rsidRDefault="00AF43E0" w:rsidP="00175541">
      <w:pPr>
        <w:spacing w:line="360" w:lineRule="auto"/>
      </w:pPr>
    </w:p>
    <w:p w:rsidR="0073533C" w:rsidRPr="00AF43E0" w:rsidRDefault="0073533C" w:rsidP="00175541">
      <w:pPr>
        <w:spacing w:line="360" w:lineRule="auto"/>
        <w:sectPr w:rsidR="0073533C" w:rsidRPr="00AF43E0" w:rsidSect="00D64401">
          <w:footerReference w:type="even" r:id="rId42"/>
          <w:footerReference w:type="default" r:id="rId43"/>
          <w:type w:val="continuous"/>
          <w:pgSz w:w="12240" w:h="15840"/>
          <w:pgMar w:top="1440" w:right="1440" w:bottom="1440" w:left="1440" w:header="0" w:footer="0" w:gutter="0"/>
          <w:lnNumType w:countBy="1" w:restart="continuous"/>
          <w:cols w:space="475"/>
          <w:docGrid w:linePitch="326"/>
        </w:sectPr>
      </w:pPr>
    </w:p>
    <w:p w:rsidR="006079EA" w:rsidRPr="0073533C" w:rsidRDefault="0073533C" w:rsidP="00175541">
      <w:pPr>
        <w:pStyle w:val="VDTableTitle"/>
        <w:spacing w:line="360" w:lineRule="auto"/>
      </w:pPr>
      <w:r w:rsidRPr="0073533C">
        <w:rPr>
          <w:b/>
        </w:rPr>
        <w:lastRenderedPageBreak/>
        <w:t>Table 7</w:t>
      </w:r>
      <w:r w:rsidR="006079EA" w:rsidRPr="0073533C">
        <w:rPr>
          <w:b/>
        </w:rPr>
        <w:t>.</w:t>
      </w:r>
      <w:r w:rsidR="006079EA">
        <w:t xml:space="preserve"> </w:t>
      </w:r>
      <w:r w:rsidR="00C00964">
        <w:t xml:space="preserve">Summarized results of the case study for the synthesis of </w:t>
      </w:r>
      <w:proofErr w:type="spellStart"/>
      <w:r w:rsidR="00811C45">
        <w:t>v</w:t>
      </w:r>
      <w:r>
        <w:t>ortioxetine</w:t>
      </w:r>
      <w:proofErr w:type="spellEnd"/>
      <w:r>
        <w:t xml:space="preserve"> (based on Lapanja </w:t>
      </w:r>
      <w:proofErr w:type="gramStart"/>
      <w:r>
        <w:t>et</w:t>
      </w:r>
      <w:proofErr w:type="gramEnd"/>
      <w:r>
        <w:t xml:space="preserve"> al.</w:t>
      </w:r>
      <w:r>
        <w:rPr>
          <w:vertAlign w:val="superscript"/>
        </w:rPr>
        <w:t>2</w:t>
      </w:r>
      <w:r w:rsidR="00E70852">
        <w:rPr>
          <w:vertAlign w:val="superscript"/>
        </w:rPr>
        <w:t>9</w:t>
      </w:r>
      <w:r>
        <w:t>).</w:t>
      </w:r>
    </w:p>
    <w:tbl>
      <w:tblPr>
        <w:tblW w:w="13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551"/>
        <w:gridCol w:w="2126"/>
        <w:gridCol w:w="5616"/>
      </w:tblGrid>
      <w:tr w:rsidR="00C00964" w:rsidRPr="003E3E90" w:rsidTr="003434BB">
        <w:trPr>
          <w:trHeight w:val="761"/>
        </w:trPr>
        <w:tc>
          <w:tcPr>
            <w:tcW w:w="2802" w:type="dxa"/>
          </w:tcPr>
          <w:p w:rsidR="00C00964" w:rsidRPr="0073533C" w:rsidRDefault="00C00964" w:rsidP="00175541">
            <w:pPr>
              <w:pStyle w:val="TAMainText"/>
              <w:spacing w:line="360" w:lineRule="auto"/>
              <w:ind w:firstLine="0"/>
              <w:jc w:val="left"/>
              <w:rPr>
                <w:b/>
              </w:rPr>
            </w:pPr>
            <w:r w:rsidRPr="0073533C">
              <w:rPr>
                <w:b/>
              </w:rPr>
              <w:t>Impurity of concern</w:t>
            </w:r>
          </w:p>
        </w:tc>
        <w:tc>
          <w:tcPr>
            <w:tcW w:w="2551" w:type="dxa"/>
          </w:tcPr>
          <w:p w:rsidR="00C00964" w:rsidRPr="0073533C" w:rsidRDefault="00C00964" w:rsidP="00175541">
            <w:pPr>
              <w:pStyle w:val="TAMainText"/>
              <w:spacing w:line="360" w:lineRule="auto"/>
              <w:ind w:firstLine="0"/>
              <w:jc w:val="left"/>
              <w:rPr>
                <w:b/>
              </w:rPr>
            </w:pPr>
            <w:r w:rsidRPr="0073533C">
              <w:rPr>
                <w:b/>
              </w:rPr>
              <w:t>Theoretical purge factor</w:t>
            </w:r>
          </w:p>
        </w:tc>
        <w:tc>
          <w:tcPr>
            <w:tcW w:w="2126" w:type="dxa"/>
          </w:tcPr>
          <w:p w:rsidR="00C00964" w:rsidRPr="0073533C" w:rsidRDefault="00C00964" w:rsidP="00175541">
            <w:pPr>
              <w:pStyle w:val="TAMainText"/>
              <w:spacing w:line="360" w:lineRule="auto"/>
              <w:ind w:firstLine="0"/>
              <w:jc w:val="left"/>
              <w:rPr>
                <w:b/>
              </w:rPr>
            </w:pPr>
            <w:r w:rsidRPr="0073533C">
              <w:rPr>
                <w:b/>
              </w:rPr>
              <w:t>Experimental purge factor</w:t>
            </w:r>
          </w:p>
        </w:tc>
        <w:tc>
          <w:tcPr>
            <w:tcW w:w="5616" w:type="dxa"/>
          </w:tcPr>
          <w:p w:rsidR="00C00964" w:rsidRPr="0073533C" w:rsidRDefault="00C00964" w:rsidP="00175541">
            <w:pPr>
              <w:pStyle w:val="TAMainText"/>
              <w:spacing w:line="360" w:lineRule="auto"/>
              <w:ind w:firstLine="0"/>
              <w:jc w:val="left"/>
              <w:rPr>
                <w:b/>
              </w:rPr>
            </w:pPr>
            <w:r w:rsidRPr="0073533C">
              <w:rPr>
                <w:b/>
              </w:rPr>
              <w:t>Interpretation of the results</w:t>
            </w:r>
          </w:p>
        </w:tc>
      </w:tr>
      <w:tr w:rsidR="00C00964" w:rsidRPr="003E3E90" w:rsidTr="003434BB">
        <w:trPr>
          <w:trHeight w:val="2248"/>
        </w:trPr>
        <w:tc>
          <w:tcPr>
            <w:tcW w:w="2802" w:type="dxa"/>
          </w:tcPr>
          <w:p w:rsidR="00876A5C" w:rsidRDefault="00B96AFC" w:rsidP="00175541">
            <w:pPr>
              <w:pStyle w:val="TAMainText"/>
              <w:spacing w:line="360" w:lineRule="auto"/>
              <w:ind w:firstLine="0"/>
              <w:jc w:val="left"/>
            </w:pPr>
            <w:r>
              <w:object w:dxaOrig="1135" w:dyaOrig="1030">
                <v:shape id="_x0000_i1041" type="#_x0000_t75" style="width:56.7pt;height:51.3pt" o:ole="">
                  <v:imagedata r:id="rId44" o:title=""/>
                </v:shape>
                <o:OLEObject Type="Embed" ProgID="ChemDraw.Document.6.0" ShapeID="_x0000_i1041" DrawAspect="Content" ObjectID="_1533553896" r:id="rId45"/>
              </w:object>
            </w:r>
          </w:p>
          <w:p w:rsidR="003434BB" w:rsidRPr="00AF43E0" w:rsidRDefault="003434BB" w:rsidP="00175541">
            <w:pPr>
              <w:pStyle w:val="TAMainText"/>
              <w:spacing w:line="360" w:lineRule="auto"/>
              <w:ind w:firstLine="0"/>
              <w:jc w:val="left"/>
              <w:rPr>
                <w:rFonts w:eastAsia="Calibri"/>
                <w:szCs w:val="22"/>
              </w:rPr>
            </w:pPr>
            <w:r>
              <w:t>(1)</w:t>
            </w:r>
          </w:p>
        </w:tc>
        <w:tc>
          <w:tcPr>
            <w:tcW w:w="2551" w:type="dxa"/>
          </w:tcPr>
          <w:p w:rsidR="00C00964" w:rsidRPr="00AF43E0" w:rsidRDefault="00876A5C" w:rsidP="00175541">
            <w:pPr>
              <w:pStyle w:val="TAMainText"/>
              <w:spacing w:line="360" w:lineRule="auto"/>
              <w:ind w:firstLine="0"/>
              <w:jc w:val="left"/>
              <w:rPr>
                <w:rFonts w:eastAsia="Calibri"/>
                <w:szCs w:val="22"/>
              </w:rPr>
            </w:pPr>
            <w:r w:rsidRPr="00AF43E0">
              <w:rPr>
                <w:rFonts w:eastAsia="Calibri"/>
                <w:szCs w:val="22"/>
              </w:rPr>
              <w:t>8.1 x 10</w:t>
            </w:r>
            <w:r w:rsidRPr="0073533C">
              <w:rPr>
                <w:rFonts w:eastAsia="Calibri"/>
                <w:szCs w:val="22"/>
                <w:vertAlign w:val="superscript"/>
              </w:rPr>
              <w:t>6</w:t>
            </w:r>
          </w:p>
        </w:tc>
        <w:tc>
          <w:tcPr>
            <w:tcW w:w="2126" w:type="dxa"/>
          </w:tcPr>
          <w:p w:rsidR="00C00964" w:rsidRPr="00AF43E0" w:rsidRDefault="00876A5C" w:rsidP="00175541">
            <w:pPr>
              <w:pStyle w:val="TAMainText"/>
              <w:spacing w:line="360" w:lineRule="auto"/>
              <w:ind w:firstLine="0"/>
              <w:jc w:val="left"/>
              <w:rPr>
                <w:rFonts w:eastAsia="Calibri"/>
                <w:szCs w:val="22"/>
              </w:rPr>
            </w:pPr>
            <w:r w:rsidRPr="00AF43E0">
              <w:rPr>
                <w:rFonts w:eastAsia="Calibri"/>
                <w:szCs w:val="22"/>
              </w:rPr>
              <w:t>4.9 x 10</w:t>
            </w:r>
            <w:r w:rsidRPr="0073533C">
              <w:rPr>
                <w:rFonts w:eastAsia="Calibri"/>
                <w:szCs w:val="22"/>
                <w:vertAlign w:val="superscript"/>
              </w:rPr>
              <w:t>10</w:t>
            </w:r>
          </w:p>
        </w:tc>
        <w:tc>
          <w:tcPr>
            <w:tcW w:w="5616" w:type="dxa"/>
          </w:tcPr>
          <w:p w:rsidR="00C00964" w:rsidRPr="00AF43E0" w:rsidRDefault="00876A5C" w:rsidP="0073533C">
            <w:pPr>
              <w:pStyle w:val="TAMainText"/>
              <w:spacing w:line="360" w:lineRule="auto"/>
              <w:ind w:firstLine="0"/>
              <w:jc w:val="left"/>
              <w:rPr>
                <w:rFonts w:eastAsia="Calibri"/>
                <w:szCs w:val="22"/>
              </w:rPr>
            </w:pPr>
            <w:r>
              <w:t>Th</w:t>
            </w:r>
            <w:r w:rsidR="0073533C">
              <w:t xml:space="preserve">e calculated purge factor </w:t>
            </w:r>
            <w:proofErr w:type="spellStart"/>
            <w:r w:rsidR="0073533C">
              <w:t>under</w:t>
            </w:r>
            <w:r>
              <w:t>predicts</w:t>
            </w:r>
            <w:proofErr w:type="spellEnd"/>
            <w:r>
              <w:t xml:space="preserve"> the purge capacity of the process by a factor of 6</w:t>
            </w:r>
            <w:r w:rsidR="0073533C">
              <w:t xml:space="preserve"> </w:t>
            </w:r>
            <w:r>
              <w:t xml:space="preserve">000. </w:t>
            </w:r>
            <w:proofErr w:type="spellStart"/>
            <w:r w:rsidR="0073533C">
              <w:t>Under</w:t>
            </w:r>
            <w:r>
              <w:t>prediction</w:t>
            </w:r>
            <w:proofErr w:type="spellEnd"/>
            <w:r>
              <w:t xml:space="preserve"> is especially significant in the case of recrystallization step (theoretical value of 9 versus 4</w:t>
            </w:r>
            <w:r w:rsidR="0073533C">
              <w:t xml:space="preserve"> </w:t>
            </w:r>
            <w:r>
              <w:t xml:space="preserve">000). </w:t>
            </w:r>
          </w:p>
        </w:tc>
      </w:tr>
      <w:tr w:rsidR="00C00964" w:rsidRPr="003E3E90" w:rsidTr="003434BB">
        <w:trPr>
          <w:trHeight w:val="2121"/>
        </w:trPr>
        <w:tc>
          <w:tcPr>
            <w:tcW w:w="2802" w:type="dxa"/>
          </w:tcPr>
          <w:p w:rsidR="00876A5C" w:rsidRPr="00AF43E0" w:rsidRDefault="00B96AFC" w:rsidP="00175541">
            <w:pPr>
              <w:pStyle w:val="TAMainText"/>
              <w:spacing w:line="360" w:lineRule="auto"/>
              <w:ind w:firstLine="0"/>
              <w:jc w:val="left"/>
              <w:rPr>
                <w:rFonts w:eastAsia="Calibri"/>
                <w:szCs w:val="22"/>
              </w:rPr>
            </w:pPr>
            <w:r>
              <w:object w:dxaOrig="1135" w:dyaOrig="1147">
                <v:shape id="_x0000_i1042" type="#_x0000_t75" style="width:56.7pt;height:57.45pt" o:ole="">
                  <v:imagedata r:id="rId46" o:title=""/>
                </v:shape>
                <o:OLEObject Type="Embed" ProgID="ChemDraw.Document.6.0" ShapeID="_x0000_i1042" DrawAspect="Content" ObjectID="_1533553897" r:id="rId47"/>
              </w:object>
            </w:r>
          </w:p>
        </w:tc>
        <w:tc>
          <w:tcPr>
            <w:tcW w:w="2551" w:type="dxa"/>
          </w:tcPr>
          <w:p w:rsidR="00C00964" w:rsidRPr="00AF43E0" w:rsidRDefault="00876A5C" w:rsidP="00175541">
            <w:pPr>
              <w:pStyle w:val="TAMainText"/>
              <w:spacing w:line="360" w:lineRule="auto"/>
              <w:ind w:firstLine="0"/>
              <w:jc w:val="left"/>
              <w:rPr>
                <w:rFonts w:eastAsia="Calibri"/>
                <w:szCs w:val="22"/>
              </w:rPr>
            </w:pPr>
            <w:r w:rsidRPr="00AF43E0">
              <w:rPr>
                <w:rFonts w:eastAsia="Calibri"/>
                <w:szCs w:val="22"/>
              </w:rPr>
              <w:t>8</w:t>
            </w:r>
            <w:r w:rsidR="0073533C">
              <w:rPr>
                <w:rFonts w:eastAsia="Calibri"/>
                <w:szCs w:val="22"/>
              </w:rPr>
              <w:t xml:space="preserve"> </w:t>
            </w:r>
            <w:r w:rsidRPr="00AF43E0">
              <w:rPr>
                <w:rFonts w:eastAsia="Calibri"/>
                <w:szCs w:val="22"/>
              </w:rPr>
              <w:t>100</w:t>
            </w:r>
          </w:p>
        </w:tc>
        <w:tc>
          <w:tcPr>
            <w:tcW w:w="2126" w:type="dxa"/>
          </w:tcPr>
          <w:p w:rsidR="00C00964" w:rsidRPr="00AF43E0" w:rsidRDefault="00876A5C" w:rsidP="00175541">
            <w:pPr>
              <w:pStyle w:val="TAMainText"/>
              <w:spacing w:line="360" w:lineRule="auto"/>
              <w:ind w:firstLine="0"/>
              <w:jc w:val="left"/>
              <w:rPr>
                <w:rFonts w:eastAsia="Calibri"/>
                <w:szCs w:val="22"/>
              </w:rPr>
            </w:pPr>
            <w:r w:rsidRPr="00AF43E0">
              <w:rPr>
                <w:rFonts w:eastAsia="Calibri"/>
                <w:szCs w:val="22"/>
              </w:rPr>
              <w:t>-</w:t>
            </w:r>
          </w:p>
        </w:tc>
        <w:tc>
          <w:tcPr>
            <w:tcW w:w="5616" w:type="dxa"/>
          </w:tcPr>
          <w:p w:rsidR="00876A5C" w:rsidRPr="00AF43E0" w:rsidRDefault="001156E7" w:rsidP="001353EE">
            <w:pPr>
              <w:pStyle w:val="TAMainText"/>
              <w:spacing w:line="360" w:lineRule="auto"/>
              <w:ind w:firstLine="0"/>
              <w:jc w:val="left"/>
              <w:rPr>
                <w:rFonts w:eastAsia="Calibri"/>
                <w:szCs w:val="22"/>
              </w:rPr>
            </w:pPr>
            <w:r w:rsidRPr="00AF43E0">
              <w:rPr>
                <w:rFonts w:eastAsia="Calibri"/>
                <w:szCs w:val="22"/>
              </w:rPr>
              <w:t xml:space="preserve">Ames test </w:t>
            </w:r>
            <w:r w:rsidR="0073533C">
              <w:rPr>
                <w:rFonts w:eastAsia="Calibri"/>
                <w:szCs w:val="22"/>
              </w:rPr>
              <w:t xml:space="preserve">for </w:t>
            </w:r>
            <w:r w:rsidR="001353EE">
              <w:rPr>
                <w:rFonts w:eastAsia="Calibri"/>
                <w:szCs w:val="22"/>
              </w:rPr>
              <w:t>this compound</w:t>
            </w:r>
            <w:r w:rsidR="0073533C">
              <w:rPr>
                <w:rFonts w:eastAsia="Calibri"/>
                <w:szCs w:val="22"/>
              </w:rPr>
              <w:t xml:space="preserve"> was </w:t>
            </w:r>
            <w:r w:rsidR="00811C45">
              <w:rPr>
                <w:rFonts w:eastAsia="Calibri"/>
                <w:szCs w:val="22"/>
              </w:rPr>
              <w:t>negative;</w:t>
            </w:r>
            <w:r w:rsidR="0073533C">
              <w:rPr>
                <w:rFonts w:eastAsia="Calibri"/>
                <w:szCs w:val="22"/>
              </w:rPr>
              <w:t xml:space="preserve"> </w:t>
            </w:r>
            <w:r w:rsidRPr="00AF43E0">
              <w:rPr>
                <w:rFonts w:eastAsia="Calibri"/>
                <w:szCs w:val="22"/>
              </w:rPr>
              <w:t xml:space="preserve">however a theoretical purge factor has been calculated to </w:t>
            </w:r>
            <w:r w:rsidR="0073533C">
              <w:rPr>
                <w:rFonts w:eastAsia="Calibri"/>
                <w:szCs w:val="22"/>
              </w:rPr>
              <w:t>assess</w:t>
            </w:r>
            <w:r w:rsidRPr="00AF43E0">
              <w:rPr>
                <w:rFonts w:eastAsia="Calibri"/>
                <w:szCs w:val="22"/>
              </w:rPr>
              <w:t xml:space="preserve"> the impact of reactivity parameter on the purge factor determination. </w:t>
            </w:r>
            <w:r w:rsidR="00876A5C" w:rsidRPr="00AF43E0">
              <w:rPr>
                <w:rFonts w:eastAsia="Calibri"/>
                <w:szCs w:val="22"/>
              </w:rPr>
              <w:t>The theoretical purge factor is</w:t>
            </w:r>
            <w:r w:rsidRPr="00AF43E0">
              <w:rPr>
                <w:rFonts w:eastAsia="Calibri"/>
                <w:szCs w:val="22"/>
              </w:rPr>
              <w:t xml:space="preserve"> clearly lower than </w:t>
            </w:r>
            <w:r w:rsidR="0073533C">
              <w:rPr>
                <w:rFonts w:eastAsia="Calibri"/>
                <w:szCs w:val="22"/>
              </w:rPr>
              <w:t>the factor</w:t>
            </w:r>
            <w:r w:rsidRPr="00AF43E0">
              <w:rPr>
                <w:rFonts w:eastAsia="Calibri"/>
                <w:szCs w:val="22"/>
              </w:rPr>
              <w:t xml:space="preserve"> for</w:t>
            </w:r>
            <w:r w:rsidR="0073533C">
              <w:rPr>
                <w:rFonts w:eastAsia="Calibri"/>
                <w:szCs w:val="22"/>
              </w:rPr>
              <w:t xml:space="preserve"> compound</w:t>
            </w:r>
            <w:r w:rsidRPr="00AF43E0">
              <w:rPr>
                <w:rFonts w:eastAsia="Calibri"/>
                <w:szCs w:val="22"/>
              </w:rPr>
              <w:t xml:space="preserve"> I due to </w:t>
            </w:r>
            <w:r w:rsidR="0073533C">
              <w:rPr>
                <w:rFonts w:eastAsia="Calibri"/>
                <w:szCs w:val="22"/>
              </w:rPr>
              <w:t xml:space="preserve">the </w:t>
            </w:r>
            <w:r w:rsidRPr="00AF43E0">
              <w:rPr>
                <w:rFonts w:eastAsia="Calibri"/>
                <w:szCs w:val="22"/>
              </w:rPr>
              <w:t xml:space="preserve">different position of substituent </w:t>
            </w:r>
            <w:r w:rsidR="0073533C">
              <w:rPr>
                <w:rFonts w:eastAsia="Calibri"/>
                <w:szCs w:val="22"/>
              </w:rPr>
              <w:t>and thus different reactivity</w:t>
            </w:r>
            <w:r w:rsidRPr="00AF43E0">
              <w:rPr>
                <w:rFonts w:eastAsia="Calibri"/>
                <w:szCs w:val="22"/>
              </w:rPr>
              <w:t>.</w:t>
            </w:r>
          </w:p>
        </w:tc>
      </w:tr>
      <w:tr w:rsidR="00C00964" w:rsidRPr="003E3E90" w:rsidTr="003434BB">
        <w:trPr>
          <w:trHeight w:val="133"/>
        </w:trPr>
        <w:tc>
          <w:tcPr>
            <w:tcW w:w="2802" w:type="dxa"/>
          </w:tcPr>
          <w:p w:rsidR="00C00964" w:rsidRDefault="00B96AFC" w:rsidP="00175541">
            <w:pPr>
              <w:pStyle w:val="TAMainText"/>
              <w:spacing w:line="360" w:lineRule="auto"/>
              <w:ind w:firstLine="0"/>
              <w:jc w:val="left"/>
            </w:pPr>
            <w:r>
              <w:object w:dxaOrig="1550" w:dyaOrig="720">
                <v:shape id="_x0000_i1043" type="#_x0000_t75" style="width:77.35pt;height:36pt" o:ole="">
                  <v:imagedata r:id="rId48" o:title=""/>
                </v:shape>
                <o:OLEObject Type="Embed" ProgID="ChemDraw.Document.6.0" ShapeID="_x0000_i1043" DrawAspect="Content" ObjectID="_1533553898" r:id="rId49"/>
              </w:object>
            </w:r>
          </w:p>
          <w:p w:rsidR="003434BB" w:rsidRPr="00AF43E0" w:rsidRDefault="003434BB" w:rsidP="00175541">
            <w:pPr>
              <w:pStyle w:val="TAMainText"/>
              <w:spacing w:line="360" w:lineRule="auto"/>
              <w:ind w:firstLine="0"/>
              <w:jc w:val="left"/>
              <w:rPr>
                <w:rFonts w:eastAsia="Calibri"/>
                <w:szCs w:val="22"/>
              </w:rPr>
            </w:pPr>
            <w:r>
              <w:t>(5)</w:t>
            </w:r>
          </w:p>
        </w:tc>
        <w:tc>
          <w:tcPr>
            <w:tcW w:w="2551" w:type="dxa"/>
          </w:tcPr>
          <w:p w:rsidR="00C00964" w:rsidRPr="00AF43E0" w:rsidRDefault="00876A5C" w:rsidP="00175541">
            <w:pPr>
              <w:pStyle w:val="TAMainText"/>
              <w:spacing w:line="360" w:lineRule="auto"/>
              <w:ind w:firstLine="0"/>
              <w:jc w:val="left"/>
              <w:rPr>
                <w:rFonts w:eastAsia="Calibri"/>
                <w:szCs w:val="22"/>
              </w:rPr>
            </w:pPr>
            <w:r w:rsidRPr="00AF43E0">
              <w:rPr>
                <w:rFonts w:eastAsia="Calibri"/>
                <w:szCs w:val="22"/>
              </w:rPr>
              <w:t>300</w:t>
            </w:r>
          </w:p>
        </w:tc>
        <w:tc>
          <w:tcPr>
            <w:tcW w:w="2126" w:type="dxa"/>
          </w:tcPr>
          <w:p w:rsidR="00C00964" w:rsidRPr="00AF43E0" w:rsidRDefault="00876A5C" w:rsidP="00175541">
            <w:pPr>
              <w:pStyle w:val="TAMainText"/>
              <w:spacing w:line="360" w:lineRule="auto"/>
              <w:ind w:firstLine="0"/>
              <w:jc w:val="left"/>
              <w:rPr>
                <w:rFonts w:eastAsia="Calibri"/>
                <w:szCs w:val="22"/>
              </w:rPr>
            </w:pPr>
            <w:r w:rsidRPr="00AF43E0">
              <w:rPr>
                <w:rFonts w:eastAsia="Calibri"/>
                <w:szCs w:val="22"/>
              </w:rPr>
              <w:t>297</w:t>
            </w:r>
            <w:r w:rsidR="00E70852">
              <w:rPr>
                <w:rFonts w:eastAsia="Calibri"/>
                <w:szCs w:val="22"/>
              </w:rPr>
              <w:t xml:space="preserve"> </w:t>
            </w:r>
            <w:r w:rsidRPr="00AF43E0">
              <w:rPr>
                <w:rFonts w:eastAsia="Calibri"/>
                <w:szCs w:val="22"/>
              </w:rPr>
              <w:t>738</w:t>
            </w:r>
          </w:p>
        </w:tc>
        <w:tc>
          <w:tcPr>
            <w:tcW w:w="5616" w:type="dxa"/>
          </w:tcPr>
          <w:p w:rsidR="00C00964" w:rsidRPr="00AF43E0" w:rsidRDefault="001156E7" w:rsidP="00175541">
            <w:pPr>
              <w:pStyle w:val="TAMainText"/>
              <w:spacing w:line="360" w:lineRule="auto"/>
              <w:ind w:firstLine="0"/>
              <w:jc w:val="left"/>
              <w:rPr>
                <w:rFonts w:eastAsia="Calibri"/>
                <w:szCs w:val="22"/>
              </w:rPr>
            </w:pPr>
            <w:r>
              <w:t>The experimental purge factor is approximately 1000-times higher than the theoretical purge factor.</w:t>
            </w:r>
            <w:r w:rsidR="00AF43E0">
              <w:t xml:space="preserve"> </w:t>
            </w:r>
          </w:p>
        </w:tc>
      </w:tr>
      <w:tr w:rsidR="00C00964" w:rsidRPr="003E3E90" w:rsidTr="003434BB">
        <w:trPr>
          <w:trHeight w:val="2117"/>
        </w:trPr>
        <w:tc>
          <w:tcPr>
            <w:tcW w:w="2802" w:type="dxa"/>
          </w:tcPr>
          <w:p w:rsidR="00AF43E0" w:rsidRDefault="003434BB" w:rsidP="00175541">
            <w:pPr>
              <w:pStyle w:val="TAMainText"/>
              <w:spacing w:line="360" w:lineRule="auto"/>
              <w:ind w:firstLine="0"/>
              <w:jc w:val="left"/>
            </w:pPr>
            <w:r>
              <w:object w:dxaOrig="1322" w:dyaOrig="1920">
                <v:shape id="_x0000_i1044" type="#_x0000_t75" style="width:65.85pt;height:95.75pt" o:ole="">
                  <v:imagedata r:id="rId50" o:title=""/>
                </v:shape>
                <o:OLEObject Type="Embed" ProgID="ChemDraw.Document.6.0" ShapeID="_x0000_i1044" DrawAspect="Content" ObjectID="_1533553899" r:id="rId51"/>
              </w:object>
            </w:r>
          </w:p>
          <w:p w:rsidR="003434BB" w:rsidRPr="003434BB" w:rsidRDefault="003434BB" w:rsidP="00175541">
            <w:pPr>
              <w:pStyle w:val="TAMainText"/>
              <w:spacing w:line="360" w:lineRule="auto"/>
              <w:ind w:firstLine="0"/>
              <w:jc w:val="left"/>
            </w:pPr>
            <w:r>
              <w:t>(4)</w:t>
            </w:r>
          </w:p>
        </w:tc>
        <w:tc>
          <w:tcPr>
            <w:tcW w:w="2551" w:type="dxa"/>
          </w:tcPr>
          <w:p w:rsidR="00C00964" w:rsidRPr="003E3E90" w:rsidRDefault="00876A5C" w:rsidP="00175541">
            <w:pPr>
              <w:pStyle w:val="TAMainText"/>
              <w:spacing w:line="360" w:lineRule="auto"/>
              <w:ind w:firstLine="0"/>
              <w:jc w:val="left"/>
            </w:pPr>
            <w:r>
              <w:t>3</w:t>
            </w:r>
            <w:r w:rsidR="0073533C">
              <w:t xml:space="preserve"> </w:t>
            </w:r>
            <w:r>
              <w:t>000</w:t>
            </w:r>
          </w:p>
        </w:tc>
        <w:tc>
          <w:tcPr>
            <w:tcW w:w="2126" w:type="dxa"/>
          </w:tcPr>
          <w:p w:rsidR="00C00964" w:rsidRPr="00AF43E0" w:rsidRDefault="00876A5C" w:rsidP="00175541">
            <w:pPr>
              <w:pStyle w:val="TAMainText"/>
              <w:spacing w:line="360" w:lineRule="auto"/>
              <w:ind w:firstLine="0"/>
              <w:jc w:val="left"/>
              <w:rPr>
                <w:rFonts w:eastAsia="Calibri"/>
                <w:szCs w:val="22"/>
              </w:rPr>
            </w:pPr>
            <w:r w:rsidRPr="00AF43E0">
              <w:rPr>
                <w:rFonts w:eastAsia="Calibri"/>
                <w:szCs w:val="22"/>
              </w:rPr>
              <w:t>20</w:t>
            </w:r>
          </w:p>
        </w:tc>
        <w:tc>
          <w:tcPr>
            <w:tcW w:w="5616" w:type="dxa"/>
          </w:tcPr>
          <w:p w:rsidR="00C00964" w:rsidRPr="00AF43E0" w:rsidRDefault="00AF43E0" w:rsidP="00175541">
            <w:pPr>
              <w:pStyle w:val="TAMainText"/>
              <w:spacing w:line="360" w:lineRule="auto"/>
              <w:ind w:firstLine="0"/>
              <w:jc w:val="left"/>
              <w:rPr>
                <w:rFonts w:eastAsia="Calibri"/>
                <w:szCs w:val="22"/>
              </w:rPr>
            </w:pPr>
            <w:r>
              <w:t xml:space="preserve">The calculated purge factor </w:t>
            </w:r>
            <w:proofErr w:type="spellStart"/>
            <w:r>
              <w:t>overpredicts</w:t>
            </w:r>
            <w:proofErr w:type="spellEnd"/>
            <w:r>
              <w:t xml:space="preserve"> the purge capacity of the process</w:t>
            </w:r>
            <w:r w:rsidR="00417454">
              <w:t>.</w:t>
            </w:r>
          </w:p>
        </w:tc>
      </w:tr>
    </w:tbl>
    <w:p w:rsidR="00AF43E0" w:rsidRDefault="00AF43E0" w:rsidP="00175541">
      <w:pPr>
        <w:spacing w:line="360" w:lineRule="auto"/>
        <w:sectPr w:rsidR="00AF43E0" w:rsidSect="00D64401">
          <w:type w:val="continuous"/>
          <w:pgSz w:w="15840" w:h="12240" w:orient="landscape"/>
          <w:pgMar w:top="1440" w:right="1440" w:bottom="1440" w:left="1440" w:header="0" w:footer="0" w:gutter="0"/>
          <w:lnNumType w:countBy="1" w:restart="continuous"/>
          <w:cols w:space="475"/>
          <w:docGrid w:linePitch="326"/>
        </w:sectPr>
      </w:pPr>
    </w:p>
    <w:p w:rsidR="00903F9A" w:rsidRDefault="0081063F" w:rsidP="005233DD">
      <w:pPr>
        <w:pStyle w:val="TAMainText"/>
        <w:spacing w:after="240" w:line="360" w:lineRule="auto"/>
        <w:ind w:firstLine="0"/>
        <w:jc w:val="left"/>
      </w:pPr>
      <w:r>
        <w:lastRenderedPageBreak/>
        <w:t>CONCLUSION</w:t>
      </w:r>
      <w:r w:rsidR="0005399C">
        <w:t xml:space="preserve">: </w:t>
      </w:r>
      <w:r w:rsidR="00A24C2B">
        <w:t xml:space="preserve">Several updates and refinements were done since the first guideline covering the issue of </w:t>
      </w:r>
      <w:r w:rsidR="00F10520">
        <w:t>GTIs</w:t>
      </w:r>
      <w:r w:rsidR="00A24C2B">
        <w:t xml:space="preserve"> in pharmaceuticals was finalized by EMA in 2006. </w:t>
      </w:r>
      <w:r w:rsidR="00F10520">
        <w:t xml:space="preserve">The </w:t>
      </w:r>
      <w:r w:rsidR="00A24C2B">
        <w:t xml:space="preserve">ICH M7 guideline which was released in June 2014 </w:t>
      </w:r>
      <w:r w:rsidR="00A24C2B" w:rsidRPr="00397A35">
        <w:t xml:space="preserve">addressed many issues that were left unclear in the previous guidelines. </w:t>
      </w:r>
      <w:r w:rsidR="00A24C2B">
        <w:t>Moreover, it offers greater flexibility in terms of mechanism</w:t>
      </w:r>
      <w:r w:rsidR="00F10520">
        <w:t>s</w:t>
      </w:r>
      <w:r w:rsidR="00A24C2B">
        <w:t xml:space="preserve"> to </w:t>
      </w:r>
      <w:r w:rsidR="00F10520">
        <w:t>demonstrate</w:t>
      </w:r>
      <w:r w:rsidR="00A24C2B">
        <w:t xml:space="preserve"> absence of </w:t>
      </w:r>
      <w:r w:rsidR="00C9266A">
        <w:t>MIs</w:t>
      </w:r>
      <w:r w:rsidR="00A24C2B">
        <w:t xml:space="preserve"> in drug substances. The use of theoretical purge factor determination tool which is in line with ICH M7 Option 4 control approach is very promising and allow</w:t>
      </w:r>
      <w:r w:rsidR="00F10520">
        <w:t>s</w:t>
      </w:r>
      <w:r w:rsidR="00A24C2B">
        <w:t xml:space="preserve"> avoiding analytical testing where not</w:t>
      </w:r>
      <w:r w:rsidR="006E6478">
        <w:t xml:space="preserve"> necessary. Many pharmaceutical</w:t>
      </w:r>
      <w:r w:rsidR="00A24C2B">
        <w:t xml:space="preserve"> companies have applied this </w:t>
      </w:r>
      <w:r w:rsidR="006E6478">
        <w:t>semi quantitative</w:t>
      </w:r>
      <w:r w:rsidR="00A24C2B">
        <w:t xml:space="preserve"> approach usi</w:t>
      </w:r>
      <w:r w:rsidR="00F10520">
        <w:t>ng purge factors as described by</w:t>
      </w:r>
      <w:r w:rsidR="00A24C2B">
        <w:t xml:space="preserve"> Teasdale </w:t>
      </w:r>
      <w:proofErr w:type="gramStart"/>
      <w:r w:rsidR="00A24C2B">
        <w:t>et</w:t>
      </w:r>
      <w:proofErr w:type="gramEnd"/>
      <w:r w:rsidR="00A24C2B">
        <w:t xml:space="preserve"> al.</w:t>
      </w:r>
      <w:r w:rsidR="00F10520">
        <w:rPr>
          <w:vertAlign w:val="superscript"/>
        </w:rPr>
        <w:t>2</w:t>
      </w:r>
      <w:r w:rsidR="006B2B0A">
        <w:rPr>
          <w:vertAlign w:val="superscript"/>
        </w:rPr>
        <w:t>8</w:t>
      </w:r>
      <w:r w:rsidR="00A24C2B">
        <w:t xml:space="preserve"> and </w:t>
      </w:r>
      <w:r w:rsidR="00EF218A">
        <w:t xml:space="preserve">some of them </w:t>
      </w:r>
      <w:r w:rsidR="00A24C2B">
        <w:t xml:space="preserve">published their results. Authors noted that the calculated purge factors agree very well or reasonably well with the experimental purge factors. In several cases it was noted that the purge factor tool tends to </w:t>
      </w:r>
      <w:proofErr w:type="spellStart"/>
      <w:r w:rsidR="00F10520">
        <w:t>under</w:t>
      </w:r>
      <w:r w:rsidR="006E6478">
        <w:t>predict</w:t>
      </w:r>
      <w:proofErr w:type="spellEnd"/>
      <w:r w:rsidR="00A24C2B">
        <w:t xml:space="preserve"> the purging capacity of the process. This </w:t>
      </w:r>
      <w:proofErr w:type="spellStart"/>
      <w:r w:rsidR="00F10520">
        <w:t>under</w:t>
      </w:r>
      <w:r w:rsidR="006E6478">
        <w:t>prediction</w:t>
      </w:r>
      <w:proofErr w:type="spellEnd"/>
      <w:r w:rsidR="00A24C2B">
        <w:t xml:space="preserve"> was especially significant in the case of isolation steps</w:t>
      </w:r>
      <w:r w:rsidR="00F10520">
        <w:t xml:space="preserve"> during synthesis</w:t>
      </w:r>
      <w:r w:rsidR="00A24C2B">
        <w:t xml:space="preserve">. </w:t>
      </w:r>
      <w:r w:rsidR="00C9266A">
        <w:t xml:space="preserve">While one could argue that </w:t>
      </w:r>
      <w:r w:rsidR="00FC72BC">
        <w:t xml:space="preserve">the theoretically determined purge </w:t>
      </w:r>
      <w:r w:rsidR="005233DD">
        <w:t xml:space="preserve">factors </w:t>
      </w:r>
      <w:r w:rsidR="005233DD" w:rsidRPr="004214A7">
        <w:t>differ</w:t>
      </w:r>
      <w:r w:rsidR="004214A7">
        <w:t xml:space="preserve"> too much from the</w:t>
      </w:r>
      <w:r w:rsidR="001C61C1">
        <w:t xml:space="preserve"> measured values,</w:t>
      </w:r>
      <w:r w:rsidR="00FC72BC">
        <w:t xml:space="preserve"> it must be emphasized that the </w:t>
      </w:r>
      <w:proofErr w:type="spellStart"/>
      <w:r w:rsidR="00FC72BC">
        <w:t>unde</w:t>
      </w:r>
      <w:r w:rsidR="00E70852">
        <w:t>r</w:t>
      </w:r>
      <w:r w:rsidR="00FC72BC">
        <w:t>prediction</w:t>
      </w:r>
      <w:proofErr w:type="spellEnd"/>
      <w:r w:rsidR="00FC72BC">
        <w:t xml:space="preserve"> is </w:t>
      </w:r>
      <w:r w:rsidR="00B94DB0">
        <w:t>intentional in order to gain acceptance of the approach. When relating the theoretically determined purge factors to the required purge, it is expected</w:t>
      </w:r>
      <w:r w:rsidR="00502812">
        <w:t xml:space="preserve"> that</w:t>
      </w:r>
      <w:r w:rsidR="00B94DB0">
        <w:t xml:space="preserve"> the theoretical purge </w:t>
      </w:r>
      <w:r w:rsidR="00502812">
        <w:t>would</w:t>
      </w:r>
      <w:r w:rsidR="00B94DB0">
        <w:t xml:space="preserve"> be preferably 100-times greater than </w:t>
      </w:r>
      <w:r w:rsidR="001C61C1">
        <w:t xml:space="preserve">the </w:t>
      </w:r>
      <w:r w:rsidR="00B94DB0">
        <w:t>required purge.</w:t>
      </w:r>
      <w:r w:rsidR="00502812">
        <w:t xml:space="preserve"> This makes the approach even more conservative and assures that we always stay on the safe side.</w:t>
      </w:r>
      <w:r w:rsidR="00B94DB0">
        <w:t xml:space="preserve"> </w:t>
      </w:r>
      <w:r w:rsidR="00A24C2B">
        <w:t>Taking into account the conservatism of the approach, this tool should provide satisfactory evidence to the regulatory agencies for the absence of MIs above determined limits.</w:t>
      </w:r>
      <w:r w:rsidR="00E958F1">
        <w:t xml:space="preserve"> </w:t>
      </w:r>
      <w:r w:rsidR="00A24C2B">
        <w:t xml:space="preserve">It is to be hoped that </w:t>
      </w:r>
      <w:r w:rsidR="00502812">
        <w:t>this approach</w:t>
      </w:r>
      <w:r w:rsidR="00A24C2B">
        <w:t xml:space="preserve"> will become a regular practice benefiting the pharmaceutical industry</w:t>
      </w:r>
      <w:r w:rsidR="001C61C1">
        <w:t>, while not increasing any risk for the patien</w:t>
      </w:r>
      <w:r w:rsidR="006B2B0A">
        <w:t>t</w:t>
      </w:r>
      <w:r w:rsidR="001C61C1">
        <w:t>s whatsoever</w:t>
      </w:r>
      <w:r w:rsidR="00A24C2B">
        <w:t>.</w:t>
      </w:r>
      <w:r w:rsidR="00903F9A">
        <w:br w:type="page"/>
      </w:r>
    </w:p>
    <w:p w:rsidR="001F0524" w:rsidRPr="00D40F6A" w:rsidRDefault="00C10EE0" w:rsidP="008D2724">
      <w:pPr>
        <w:pStyle w:val="TCTableBody"/>
        <w:spacing w:line="360" w:lineRule="auto"/>
        <w:jc w:val="left"/>
      </w:pPr>
      <w:r>
        <w:lastRenderedPageBreak/>
        <w:t>ASSOCIATED CONTENT</w:t>
      </w:r>
    </w:p>
    <w:p w:rsidR="00C10EE0" w:rsidRPr="00DD6DBB" w:rsidRDefault="00C10EE0" w:rsidP="00175541">
      <w:pPr>
        <w:pStyle w:val="FAAuthorInfoSubtitle"/>
        <w:spacing w:line="360" w:lineRule="auto"/>
      </w:pPr>
      <w:r w:rsidRPr="00DD6DBB">
        <w:t>Author Contributions</w:t>
      </w:r>
    </w:p>
    <w:p w:rsidR="004A143A" w:rsidRDefault="00C10EE0" w:rsidP="00175541">
      <w:pPr>
        <w:pStyle w:val="SNSynopsisTOC"/>
        <w:spacing w:line="360" w:lineRule="auto"/>
      </w:pPr>
      <w:r w:rsidRPr="00DD6DBB">
        <w:t>The manuscript was written throug</w:t>
      </w:r>
      <w:r w:rsidR="00DD6DBB">
        <w:t xml:space="preserve">h contributions of all authors. </w:t>
      </w:r>
      <w:r w:rsidRPr="00DD6DBB">
        <w:t>All authors have given approval to the final version of the manuscript.</w:t>
      </w:r>
      <w:r w:rsidR="00DD6DBB">
        <w:t xml:space="preserve"> </w:t>
      </w:r>
    </w:p>
    <w:p w:rsidR="00C10EE0" w:rsidRPr="00DD6DBB" w:rsidRDefault="00C10EE0" w:rsidP="00175541">
      <w:pPr>
        <w:pStyle w:val="FAAuthorInfoSubtitle"/>
        <w:spacing w:line="360" w:lineRule="auto"/>
      </w:pPr>
      <w:r w:rsidRPr="00DD6DBB">
        <w:t>Funding Sources</w:t>
      </w:r>
    </w:p>
    <w:p w:rsidR="00F52654" w:rsidRDefault="00F52654" w:rsidP="00175541">
      <w:pPr>
        <w:pStyle w:val="TDAcknowledgments"/>
        <w:spacing w:line="360" w:lineRule="auto"/>
        <w:ind w:firstLine="0"/>
      </w:pPr>
      <w:proofErr w:type="spellStart"/>
      <w:r>
        <w:t>Lek</w:t>
      </w:r>
      <w:proofErr w:type="spellEnd"/>
      <w:r>
        <w:t xml:space="preserve"> Pharmaceuticals </w:t>
      </w:r>
      <w:proofErr w:type="spellStart"/>
      <w:proofErr w:type="gramStart"/>
      <w:r>
        <w:t>d.d</w:t>
      </w:r>
      <w:proofErr w:type="spellEnd"/>
      <w:proofErr w:type="gramEnd"/>
      <w:r>
        <w:t xml:space="preserve">., </w:t>
      </w:r>
      <w:proofErr w:type="spellStart"/>
      <w:r>
        <w:t>Verovškova</w:t>
      </w:r>
      <w:proofErr w:type="spellEnd"/>
      <w:r>
        <w:t xml:space="preserve"> 57, 1526 Ljubljana, Slovenia </w:t>
      </w:r>
    </w:p>
    <w:p w:rsidR="008D2724" w:rsidRDefault="00F52654" w:rsidP="006B2B0A">
      <w:pPr>
        <w:pStyle w:val="TDAcknowledgments"/>
        <w:spacing w:line="360" w:lineRule="auto"/>
        <w:ind w:firstLine="0"/>
      </w:pPr>
      <w:r>
        <w:t xml:space="preserve">Faculty of Pharmacy, </w:t>
      </w:r>
      <w:proofErr w:type="spellStart"/>
      <w:r>
        <w:t>Aškerčeva</w:t>
      </w:r>
      <w:proofErr w:type="spellEnd"/>
      <w:r>
        <w:t xml:space="preserve"> 7, 1000 Ljubljana, Slovenia</w:t>
      </w:r>
    </w:p>
    <w:p w:rsidR="00DD6DBB" w:rsidRPr="008D2724" w:rsidRDefault="00DD6DBB" w:rsidP="00175541">
      <w:pPr>
        <w:spacing w:line="360" w:lineRule="auto"/>
        <w:rPr>
          <w:b/>
        </w:rPr>
      </w:pPr>
      <w:r w:rsidRPr="008D2724">
        <w:rPr>
          <w:b/>
        </w:rPr>
        <w:t>A</w:t>
      </w:r>
      <w:r w:rsidR="008D2724" w:rsidRPr="008D2724">
        <w:rPr>
          <w:b/>
        </w:rPr>
        <w:t>bbreviations</w:t>
      </w:r>
    </w:p>
    <w:p w:rsidR="00FB428C" w:rsidRDefault="00686C8C" w:rsidP="006B2B0A">
      <w:pPr>
        <w:spacing w:line="360" w:lineRule="auto"/>
        <w:jc w:val="left"/>
      </w:pPr>
      <w:r>
        <w:t>ALARP, as low as reasonably practicable;</w:t>
      </w:r>
      <w:r w:rsidR="006B2B0A">
        <w:t xml:space="preserve"> </w:t>
      </w:r>
      <w:r>
        <w:t>API, active pharmaceutical ingredient;</w:t>
      </w:r>
      <w:r w:rsidR="006B2B0A">
        <w:t xml:space="preserve"> </w:t>
      </w:r>
      <w:r>
        <w:t>CHMP, Committee for Human Medicinal Products; CPMP, Committee for Proprietary Medicinal Products;</w:t>
      </w:r>
      <w:r w:rsidRPr="00FB428C">
        <w:t xml:space="preserve"> </w:t>
      </w:r>
      <w:r>
        <w:t xml:space="preserve">DMSO, dimethyl </w:t>
      </w:r>
      <w:proofErr w:type="spellStart"/>
      <w:r>
        <w:t>sulphoxide</w:t>
      </w:r>
      <w:proofErr w:type="spellEnd"/>
      <w:r>
        <w:t xml:space="preserve">; DNA, deoxyribonucleic acid; </w:t>
      </w:r>
      <w:r>
        <w:rPr>
          <w:rFonts w:cs="Times"/>
          <w:noProof/>
        </w:rPr>
        <w:t xml:space="preserve">EDQM, European Directorate for the Quality of Medicines and Healthcare; </w:t>
      </w:r>
      <w:r w:rsidRPr="00686C8C">
        <w:t xml:space="preserve">EMA, European Medicines Agency; </w:t>
      </w:r>
      <w:r>
        <w:t xml:space="preserve">EMS, ethyl methane sulfonate; </w:t>
      </w:r>
      <w:r w:rsidR="006B2B0A">
        <w:t xml:space="preserve">FDA, Food and Drug Administration; </w:t>
      </w:r>
      <w:r>
        <w:t xml:space="preserve">GTI, genotoxic impurity; ICH, International Conference on </w:t>
      </w:r>
      <w:proofErr w:type="spellStart"/>
      <w:r>
        <w:t>Harmonisation</w:t>
      </w:r>
      <w:proofErr w:type="spellEnd"/>
      <w:r>
        <w:t>;</w:t>
      </w:r>
      <w:r w:rsidR="006B2B0A">
        <w:t xml:space="preserve"> </w:t>
      </w:r>
      <w:r>
        <w:t>LOEL, lowest-observed effect level;</w:t>
      </w:r>
      <w:r w:rsidR="006B2B0A">
        <w:t xml:space="preserve"> </w:t>
      </w:r>
      <w:r>
        <w:t>LTL, Less than lifetime;</w:t>
      </w:r>
      <w:r w:rsidR="006B2B0A">
        <w:t xml:space="preserve"> </w:t>
      </w:r>
      <w:r w:rsidRPr="00686C8C">
        <w:t xml:space="preserve">MI, mutagenic impurity; </w:t>
      </w:r>
      <w:r>
        <w:t>NOEL, no-observed-effect level;</w:t>
      </w:r>
      <w:r w:rsidR="006B2B0A">
        <w:t xml:space="preserve"> PDE, permitted daily e</w:t>
      </w:r>
      <w:r>
        <w:t xml:space="preserve">xposure; </w:t>
      </w:r>
      <w:r w:rsidR="006B2B0A">
        <w:t xml:space="preserve">PhRMA, </w:t>
      </w:r>
      <w:r>
        <w:t>Pharmaceutical Research and Manufacturers of America;</w:t>
      </w:r>
      <w:r w:rsidR="006B2B0A">
        <w:t xml:space="preserve"> </w:t>
      </w:r>
      <w:proofErr w:type="spellStart"/>
      <w:r w:rsidR="006B2B0A">
        <w:t>QbD</w:t>
      </w:r>
      <w:proofErr w:type="spellEnd"/>
      <w:r w:rsidR="006B2B0A">
        <w:t xml:space="preserve">, Quality by Design; Q&amp;A, Questions and answers; </w:t>
      </w:r>
      <w:r>
        <w:t xml:space="preserve">QL, quantitation limit; (Q)SAR , </w:t>
      </w:r>
      <w:r w:rsidRPr="00B219FC">
        <w:t>(Quantitative) Structure-Activity Relationships</w:t>
      </w:r>
      <w:r>
        <w:t>; SWP, Safety Working Party;</w:t>
      </w:r>
      <w:r w:rsidR="006B2B0A">
        <w:t xml:space="preserve"> </w:t>
      </w:r>
      <w:r>
        <w:t>TTC, Thr</w:t>
      </w:r>
      <w:r w:rsidR="006B2B0A">
        <w:t>eshold of Toxicological Concern.</w:t>
      </w:r>
    </w:p>
    <w:p w:rsidR="00DD6DBB" w:rsidRPr="004E7D84" w:rsidRDefault="00DD6DBB" w:rsidP="00175541">
      <w:pPr>
        <w:pStyle w:val="TFReferencesSection"/>
        <w:spacing w:line="360" w:lineRule="auto"/>
        <w:ind w:firstLine="0"/>
        <w:rPr>
          <w:b/>
        </w:rPr>
      </w:pPr>
      <w:r w:rsidRPr="004E7D84">
        <w:rPr>
          <w:b/>
        </w:rPr>
        <w:t>R</w:t>
      </w:r>
      <w:r w:rsidR="004E7D84" w:rsidRPr="004E7D84">
        <w:rPr>
          <w:b/>
        </w:rPr>
        <w:t>eferences</w:t>
      </w:r>
    </w:p>
    <w:p w:rsidR="00DE3682" w:rsidRDefault="00DE3682" w:rsidP="00175541">
      <w:pPr>
        <w:pStyle w:val="TFReferencesSection"/>
        <w:spacing w:after="0" w:line="360" w:lineRule="auto"/>
        <w:ind w:firstLine="0"/>
        <w:jc w:val="left"/>
        <w:rPr>
          <w:rFonts w:cs="Times"/>
          <w:noProof/>
        </w:rPr>
      </w:pPr>
      <w:r>
        <w:rPr>
          <w:rFonts w:cs="Times"/>
          <w:noProof/>
        </w:rPr>
        <w:t>1. I</w:t>
      </w:r>
      <w:r w:rsidRPr="00306E8D">
        <w:rPr>
          <w:rFonts w:cs="Times"/>
          <w:noProof/>
        </w:rPr>
        <w:t xml:space="preserve">nternational Conference on Harmonisation (ICH) M7 Tripartite Guideline. </w:t>
      </w:r>
      <w:r w:rsidRPr="005233DD">
        <w:rPr>
          <w:rFonts w:cs="Times"/>
          <w:noProof/>
        </w:rPr>
        <w:t>Assessment and Control of DNA Reactive (Mutagenic) Impurities in Pharmaceuticals to Limit Potential Carcinogenic Risk,</w:t>
      </w:r>
      <w:r w:rsidRPr="00306E8D">
        <w:rPr>
          <w:rFonts w:cs="Times"/>
          <w:i/>
          <w:noProof/>
        </w:rPr>
        <w:t xml:space="preserve"> </w:t>
      </w:r>
      <w:r w:rsidRPr="00306E8D">
        <w:rPr>
          <w:rFonts w:cs="Times"/>
          <w:noProof/>
        </w:rPr>
        <w:t xml:space="preserve">Current Step 4 version, 23 June </w:t>
      </w:r>
      <w:r w:rsidRPr="008B082A">
        <w:rPr>
          <w:rFonts w:cs="Times"/>
          <w:b/>
          <w:noProof/>
        </w:rPr>
        <w:t>2014</w:t>
      </w:r>
      <w:r w:rsidRPr="00306E8D">
        <w:rPr>
          <w:rFonts w:cs="Times"/>
          <w:noProof/>
        </w:rPr>
        <w:t>.</w:t>
      </w:r>
    </w:p>
    <w:p w:rsidR="00A57030" w:rsidRPr="00CE2A26" w:rsidRDefault="00420E9E" w:rsidP="00175541">
      <w:pPr>
        <w:pStyle w:val="TFReferencesSection"/>
        <w:spacing w:after="0" w:line="360" w:lineRule="auto"/>
        <w:ind w:firstLine="0"/>
        <w:jc w:val="left"/>
        <w:rPr>
          <w:rFonts w:cs="Times"/>
          <w:noProof/>
        </w:rPr>
      </w:pPr>
      <w:r w:rsidRPr="00CE2A26">
        <w:rPr>
          <w:rFonts w:cs="Times"/>
          <w:noProof/>
        </w:rPr>
        <w:t>2. R. W. Tennant,</w:t>
      </w:r>
      <w:r w:rsidR="00CE2A26">
        <w:rPr>
          <w:rFonts w:cs="Times"/>
          <w:noProof/>
        </w:rPr>
        <w:t xml:space="preserve"> Mutagens and carcinogens,</w:t>
      </w:r>
      <w:r w:rsidR="00A57030" w:rsidRPr="00CE2A26">
        <w:rPr>
          <w:rFonts w:cs="Times"/>
          <w:noProof/>
        </w:rPr>
        <w:t xml:space="preserve"> </w:t>
      </w:r>
      <w:r w:rsidR="00CE2A26">
        <w:rPr>
          <w:rFonts w:cs="Times"/>
          <w:noProof/>
        </w:rPr>
        <w:t xml:space="preserve">in </w:t>
      </w:r>
      <w:r w:rsidR="008B082A" w:rsidRPr="00CE2A26">
        <w:rPr>
          <w:rFonts w:cs="Times"/>
          <w:i/>
          <w:noProof/>
        </w:rPr>
        <w:t>AccessScience</w:t>
      </w:r>
      <w:r w:rsidR="00A57030" w:rsidRPr="00CE2A26">
        <w:rPr>
          <w:rFonts w:cs="Times"/>
          <w:i/>
          <w:noProof/>
        </w:rPr>
        <w:t xml:space="preserve"> </w:t>
      </w:r>
      <w:r w:rsidR="00A57030" w:rsidRPr="00CE2A26">
        <w:rPr>
          <w:rFonts w:cs="Times"/>
          <w:b/>
          <w:noProof/>
        </w:rPr>
        <w:t>2014</w:t>
      </w:r>
      <w:r w:rsidR="00CE2A26">
        <w:rPr>
          <w:rFonts w:cs="Times"/>
          <w:i/>
          <w:noProof/>
        </w:rPr>
        <w:t xml:space="preserve">, </w:t>
      </w:r>
      <w:hyperlink r:id="rId52" w:history="1">
        <w:r w:rsidR="00A57030" w:rsidRPr="00CE2A26">
          <w:rPr>
            <w:rStyle w:val="Hyperlink"/>
            <w:rFonts w:cs="Arial"/>
          </w:rPr>
          <w:t>http://dx.doi.org/10.1036/1097-8542.441100</w:t>
        </w:r>
      </w:hyperlink>
      <w:r w:rsidR="00CE2A26" w:rsidRPr="00CE2A26">
        <w:rPr>
          <w:rFonts w:cs="Times"/>
          <w:noProof/>
        </w:rPr>
        <w:t xml:space="preserve"> (Accessed August 2016)</w:t>
      </w:r>
      <w:r w:rsidR="00037564">
        <w:rPr>
          <w:rFonts w:cs="Times"/>
          <w:noProof/>
        </w:rPr>
        <w:t>.</w:t>
      </w:r>
    </w:p>
    <w:p w:rsidR="00367020" w:rsidRDefault="00367020" w:rsidP="00175541">
      <w:pPr>
        <w:pStyle w:val="TFReferencesSection"/>
        <w:spacing w:after="0" w:line="360" w:lineRule="auto"/>
        <w:ind w:firstLine="0"/>
        <w:jc w:val="left"/>
        <w:rPr>
          <w:rFonts w:cs="Times"/>
          <w:noProof/>
        </w:rPr>
      </w:pPr>
      <w:r>
        <w:rPr>
          <w:rFonts w:cs="Times"/>
          <w:noProof/>
        </w:rPr>
        <w:t xml:space="preserve">3. D. Jacobson-Kram, T. McGovern, </w:t>
      </w:r>
      <w:r w:rsidRPr="00367020">
        <w:rPr>
          <w:rFonts w:cs="Times"/>
          <w:i/>
          <w:noProof/>
        </w:rPr>
        <w:t>Adv. Drug Delivery Rev.</w:t>
      </w:r>
      <w:r w:rsidR="00F9261A">
        <w:rPr>
          <w:rFonts w:cs="Times"/>
          <w:i/>
          <w:noProof/>
        </w:rPr>
        <w:t xml:space="preserve"> </w:t>
      </w:r>
      <w:r w:rsidRPr="00A95F5E">
        <w:rPr>
          <w:rFonts w:cs="Times"/>
          <w:b/>
          <w:noProof/>
        </w:rPr>
        <w:t>2007</w:t>
      </w:r>
      <w:r>
        <w:rPr>
          <w:rFonts w:cs="Times"/>
          <w:noProof/>
        </w:rPr>
        <w:t xml:space="preserve">, </w:t>
      </w:r>
      <w:r w:rsidRPr="00F9261A">
        <w:rPr>
          <w:rFonts w:cs="Times"/>
          <w:i/>
          <w:noProof/>
        </w:rPr>
        <w:t>59</w:t>
      </w:r>
      <w:r>
        <w:rPr>
          <w:rFonts w:cs="Times"/>
          <w:noProof/>
        </w:rPr>
        <w:t>, 38-42.</w:t>
      </w:r>
    </w:p>
    <w:p w:rsidR="00A95F5E" w:rsidRPr="00FD45BC" w:rsidRDefault="00A95F5E" w:rsidP="00175541">
      <w:pPr>
        <w:pStyle w:val="TFReferencesSection"/>
        <w:spacing w:after="0" w:line="360" w:lineRule="auto"/>
        <w:ind w:firstLine="0"/>
        <w:jc w:val="left"/>
        <w:rPr>
          <w:rFonts w:cs="Times"/>
          <w:noProof/>
        </w:rPr>
      </w:pPr>
      <w:r>
        <w:rPr>
          <w:rFonts w:cs="Times"/>
          <w:noProof/>
        </w:rPr>
        <w:lastRenderedPageBreak/>
        <w:t xml:space="preserve">4. </w:t>
      </w:r>
      <w:r w:rsidR="00817497">
        <w:rPr>
          <w:rFonts w:cs="Times"/>
          <w:noProof/>
        </w:rPr>
        <w:t xml:space="preserve">European Directorate for the Quality of Medicines and Healthcare. </w:t>
      </w:r>
      <w:r w:rsidR="009A4075">
        <w:rPr>
          <w:rFonts w:cs="Times"/>
          <w:noProof/>
        </w:rPr>
        <w:t>Enquiry: Alkyl mesy</w:t>
      </w:r>
      <w:r w:rsidR="00817497" w:rsidRPr="001C61C1">
        <w:rPr>
          <w:rFonts w:cs="Times"/>
          <w:noProof/>
        </w:rPr>
        <w:t>late (metha</w:t>
      </w:r>
      <w:r w:rsidR="009A4075">
        <w:rPr>
          <w:rFonts w:cs="Times"/>
          <w:noProof/>
        </w:rPr>
        <w:t>ne sulfonate) impurities in mesy</w:t>
      </w:r>
      <w:r w:rsidR="00817497" w:rsidRPr="001C61C1">
        <w:rPr>
          <w:rFonts w:cs="Times"/>
          <w:noProof/>
        </w:rPr>
        <w:t xml:space="preserve">late salts. </w:t>
      </w:r>
      <w:r w:rsidR="00817497" w:rsidRPr="00FD45BC">
        <w:rPr>
          <w:rFonts w:cs="Times"/>
          <w:i/>
          <w:noProof/>
        </w:rPr>
        <w:t>PharmEurop</w:t>
      </w:r>
      <w:r w:rsidR="00817497" w:rsidRPr="00CE2A26">
        <w:rPr>
          <w:rFonts w:cs="Times"/>
          <w:i/>
          <w:noProof/>
        </w:rPr>
        <w:t xml:space="preserve">a </w:t>
      </w:r>
      <w:r w:rsidR="00F9261A" w:rsidRPr="00CE2A26">
        <w:rPr>
          <w:rFonts w:cs="Times"/>
          <w:i/>
          <w:noProof/>
        </w:rPr>
        <w:t>12:27</w:t>
      </w:r>
      <w:r w:rsidR="00F9261A">
        <w:rPr>
          <w:rFonts w:cs="Times"/>
          <w:noProof/>
        </w:rPr>
        <w:t>,</w:t>
      </w:r>
      <w:r w:rsidR="00F9261A" w:rsidRPr="00F9261A">
        <w:rPr>
          <w:rFonts w:cs="Times"/>
          <w:b/>
          <w:noProof/>
        </w:rPr>
        <w:t xml:space="preserve"> </w:t>
      </w:r>
      <w:r w:rsidR="00F9261A" w:rsidRPr="001C61C1">
        <w:rPr>
          <w:rFonts w:cs="Times"/>
          <w:b/>
          <w:noProof/>
        </w:rPr>
        <w:t>2000</w:t>
      </w:r>
      <w:r w:rsidR="00F9261A">
        <w:rPr>
          <w:rFonts w:cs="Times"/>
          <w:noProof/>
        </w:rPr>
        <w:t>.</w:t>
      </w:r>
    </w:p>
    <w:p w:rsidR="00A95F5E" w:rsidRPr="008A32DC" w:rsidRDefault="00A95F5E" w:rsidP="00175541">
      <w:pPr>
        <w:pStyle w:val="TFReferencesSection"/>
        <w:spacing w:after="0" w:line="360" w:lineRule="auto"/>
        <w:ind w:firstLine="0"/>
        <w:jc w:val="left"/>
        <w:rPr>
          <w:rFonts w:cs="Times"/>
          <w:noProof/>
        </w:rPr>
      </w:pPr>
      <w:r>
        <w:rPr>
          <w:rFonts w:cs="Times"/>
          <w:noProof/>
        </w:rPr>
        <w:t xml:space="preserve">5. </w:t>
      </w:r>
      <w:r w:rsidR="00852E4D">
        <w:rPr>
          <w:rFonts w:cs="Times"/>
          <w:noProof/>
        </w:rPr>
        <w:t xml:space="preserve">A. Teasdale (Ed.): Genotoxic impurities: Strategies for identification and control, Wiley, New Jersey, United States, </w:t>
      </w:r>
      <w:r w:rsidR="00852E4D" w:rsidRPr="00A95F5E">
        <w:rPr>
          <w:rFonts w:cs="Times"/>
          <w:b/>
          <w:noProof/>
        </w:rPr>
        <w:t>2010</w:t>
      </w:r>
      <w:r w:rsidR="00852E4D">
        <w:rPr>
          <w:rFonts w:cs="Times"/>
          <w:noProof/>
        </w:rPr>
        <w:t>, pp. 3-4.</w:t>
      </w:r>
    </w:p>
    <w:p w:rsidR="00294E6C" w:rsidRDefault="00294E6C" w:rsidP="00175541">
      <w:pPr>
        <w:pStyle w:val="TFReferencesSection"/>
        <w:spacing w:after="0" w:line="360" w:lineRule="auto"/>
        <w:ind w:firstLine="0"/>
        <w:jc w:val="left"/>
      </w:pPr>
      <w:r>
        <w:rPr>
          <w:rFonts w:cs="Times"/>
          <w:noProof/>
        </w:rPr>
        <w:t xml:space="preserve">6. </w:t>
      </w:r>
      <w:r w:rsidR="00C071AA">
        <w:t xml:space="preserve">Committee for Proprietary Medicinal Products. Position paper on the limits of genotoxic impurities. London, December 18, </w:t>
      </w:r>
      <w:r w:rsidR="00C071AA" w:rsidRPr="00817497">
        <w:rPr>
          <w:b/>
        </w:rPr>
        <w:t>2001</w:t>
      </w:r>
      <w:r w:rsidR="00C071AA">
        <w:t>. CPMP/SWP/5199/02/draft2.</w:t>
      </w:r>
    </w:p>
    <w:p w:rsidR="004F0D64" w:rsidRDefault="004F0D64" w:rsidP="00175541">
      <w:pPr>
        <w:pStyle w:val="TFReferencesSection"/>
        <w:spacing w:after="0" w:line="360" w:lineRule="auto"/>
        <w:ind w:firstLine="0"/>
        <w:jc w:val="left"/>
      </w:pPr>
      <w:r>
        <w:t xml:space="preserve">7. </w:t>
      </w:r>
      <w:r w:rsidR="001516F2">
        <w:t>Committee for Medicinal Products for Human Use (C</w:t>
      </w:r>
      <w:r w:rsidR="008F3B01">
        <w:t>H</w:t>
      </w:r>
      <w:r w:rsidR="001516F2">
        <w:t xml:space="preserve">MP). Guidelines on the limits of genotoxic impurities. London, June 23, </w:t>
      </w:r>
      <w:r w:rsidR="001516F2" w:rsidRPr="00817497">
        <w:rPr>
          <w:b/>
        </w:rPr>
        <w:t>2004</w:t>
      </w:r>
      <w:r w:rsidR="001516F2">
        <w:t>. CPMP/SWP/5199/02.</w:t>
      </w:r>
    </w:p>
    <w:p w:rsidR="004F0D64" w:rsidRDefault="007F543C" w:rsidP="00175541">
      <w:pPr>
        <w:pStyle w:val="TFReferencesSection"/>
        <w:spacing w:after="0" w:line="360" w:lineRule="auto"/>
        <w:ind w:firstLine="0"/>
        <w:jc w:val="left"/>
      </w:pPr>
      <w:proofErr w:type="gramStart"/>
      <w:r>
        <w:t xml:space="preserve">8. </w:t>
      </w:r>
      <w:r w:rsidR="00466AD7">
        <w:t>European Medicines Agency.</w:t>
      </w:r>
      <w:proofErr w:type="gramEnd"/>
      <w:r w:rsidR="00466AD7">
        <w:t xml:space="preserve"> CHMP assessment report for </w:t>
      </w:r>
      <w:proofErr w:type="spellStart"/>
      <w:r w:rsidR="00466AD7">
        <w:t>Viracept</w:t>
      </w:r>
      <w:proofErr w:type="spellEnd"/>
      <w:r w:rsidR="00466AD7">
        <w:t xml:space="preserve">. </w:t>
      </w:r>
      <w:proofErr w:type="gramStart"/>
      <w:r w:rsidR="00466AD7">
        <w:t>London</w:t>
      </w:r>
      <w:r w:rsidR="00F9261A">
        <w:t xml:space="preserve">, </w:t>
      </w:r>
      <w:r w:rsidR="00F9261A" w:rsidRPr="00817497">
        <w:rPr>
          <w:b/>
        </w:rPr>
        <w:t>2007</w:t>
      </w:r>
      <w:r w:rsidR="00466AD7">
        <w:t>.</w:t>
      </w:r>
      <w:proofErr w:type="gramEnd"/>
      <w:r w:rsidR="00466AD7">
        <w:t xml:space="preserve"> </w:t>
      </w:r>
      <w:proofErr w:type="gramStart"/>
      <w:r w:rsidR="00466AD7">
        <w:t>EMEA/</w:t>
      </w:r>
      <w:r w:rsidR="00466AD7" w:rsidRPr="00466AD7">
        <w:t xml:space="preserve"> </w:t>
      </w:r>
      <w:r w:rsidR="00466AD7">
        <w:t>H/C/164/Z/109</w:t>
      </w:r>
      <w:r w:rsidR="00F9261A">
        <w:t>.</w:t>
      </w:r>
      <w:proofErr w:type="gramEnd"/>
    </w:p>
    <w:p w:rsidR="001516F2" w:rsidRPr="001516F2" w:rsidRDefault="00466AD7" w:rsidP="00175541">
      <w:pPr>
        <w:pStyle w:val="TFReferencesSection"/>
        <w:spacing w:after="0" w:line="360" w:lineRule="auto"/>
        <w:ind w:firstLine="0"/>
        <w:jc w:val="left"/>
      </w:pPr>
      <w:r>
        <w:t>9</w:t>
      </w:r>
      <w:r w:rsidR="004F0D64">
        <w:t xml:space="preserve">. </w:t>
      </w:r>
      <w:r w:rsidR="001516F2">
        <w:t>Committee for Medi</w:t>
      </w:r>
      <w:r w:rsidR="008F3B01">
        <w:t>cinal Products for Human Use (CH</w:t>
      </w:r>
      <w:r w:rsidR="001516F2">
        <w:t xml:space="preserve">MP). Guidelines on the limits of genotoxic impurities. London, June 26, </w:t>
      </w:r>
      <w:r w:rsidR="001516F2" w:rsidRPr="00817497">
        <w:rPr>
          <w:b/>
        </w:rPr>
        <w:t>2006</w:t>
      </w:r>
      <w:r w:rsidR="001516F2">
        <w:t>. CPMP/SWP/5199/02.</w:t>
      </w:r>
    </w:p>
    <w:p w:rsidR="004F0D64" w:rsidRPr="00A95F5E" w:rsidRDefault="001516F2" w:rsidP="00175541">
      <w:pPr>
        <w:pStyle w:val="TFReferencesSection"/>
        <w:spacing w:after="0" w:line="360" w:lineRule="auto"/>
        <w:ind w:firstLine="0"/>
        <w:jc w:val="left"/>
        <w:rPr>
          <w:rFonts w:cs="Times"/>
          <w:noProof/>
        </w:rPr>
      </w:pPr>
      <w:r>
        <w:rPr>
          <w:rFonts w:cs="Times"/>
          <w:noProof/>
        </w:rPr>
        <w:t>10. I</w:t>
      </w:r>
      <w:r w:rsidRPr="00306E8D">
        <w:rPr>
          <w:rFonts w:cs="Times"/>
          <w:noProof/>
        </w:rPr>
        <w:t xml:space="preserve">nternational Conference on Harmonisation (ICH) </w:t>
      </w:r>
      <w:r>
        <w:rPr>
          <w:rFonts w:cs="Times"/>
          <w:noProof/>
        </w:rPr>
        <w:t>Q3A (R2)</w:t>
      </w:r>
      <w:r w:rsidRPr="00306E8D">
        <w:rPr>
          <w:rFonts w:cs="Times"/>
          <w:noProof/>
        </w:rPr>
        <w:t xml:space="preserve"> Guideline. </w:t>
      </w:r>
      <w:r w:rsidRPr="00E23D51">
        <w:rPr>
          <w:rFonts w:cs="Times"/>
          <w:noProof/>
        </w:rPr>
        <w:t xml:space="preserve">Impurities in new drug substances, </w:t>
      </w:r>
      <w:r w:rsidRPr="001516F2">
        <w:rPr>
          <w:rFonts w:cs="Times"/>
          <w:b/>
          <w:noProof/>
        </w:rPr>
        <w:t>2006</w:t>
      </w:r>
      <w:r>
        <w:rPr>
          <w:rFonts w:cs="Times"/>
          <w:noProof/>
        </w:rPr>
        <w:t>.</w:t>
      </w:r>
    </w:p>
    <w:p w:rsidR="001516F2" w:rsidRPr="00A95F5E" w:rsidRDefault="00273BAE" w:rsidP="001516F2">
      <w:pPr>
        <w:pStyle w:val="TFReferencesSection"/>
        <w:spacing w:after="0" w:line="360" w:lineRule="auto"/>
        <w:ind w:firstLine="0"/>
        <w:jc w:val="left"/>
        <w:rPr>
          <w:rFonts w:cs="Times"/>
          <w:noProof/>
        </w:rPr>
      </w:pPr>
      <w:r>
        <w:rPr>
          <w:rFonts w:cs="Times"/>
          <w:noProof/>
        </w:rPr>
        <w:t>11</w:t>
      </w:r>
      <w:r w:rsidR="001516F2">
        <w:rPr>
          <w:rFonts w:cs="Times"/>
          <w:noProof/>
        </w:rPr>
        <w:t>. I</w:t>
      </w:r>
      <w:r w:rsidR="001516F2" w:rsidRPr="00306E8D">
        <w:rPr>
          <w:rFonts w:cs="Times"/>
          <w:noProof/>
        </w:rPr>
        <w:t xml:space="preserve">nternational Conference on Harmonisation (ICH) </w:t>
      </w:r>
      <w:r w:rsidR="001516F2">
        <w:rPr>
          <w:rFonts w:cs="Times"/>
          <w:noProof/>
        </w:rPr>
        <w:t>Q3B (R2)</w:t>
      </w:r>
      <w:r w:rsidR="001516F2" w:rsidRPr="00306E8D">
        <w:rPr>
          <w:rFonts w:cs="Times"/>
          <w:noProof/>
        </w:rPr>
        <w:t xml:space="preserve"> Guideline. </w:t>
      </w:r>
      <w:r w:rsidR="001516F2" w:rsidRPr="00E23D51">
        <w:rPr>
          <w:rFonts w:cs="Times"/>
          <w:noProof/>
        </w:rPr>
        <w:t>Impurities in new drug products,</w:t>
      </w:r>
      <w:r w:rsidR="001516F2" w:rsidRPr="00306E8D">
        <w:rPr>
          <w:rFonts w:cs="Times"/>
          <w:i/>
          <w:noProof/>
        </w:rPr>
        <w:t xml:space="preserve"> </w:t>
      </w:r>
      <w:r w:rsidR="001516F2" w:rsidRPr="001516F2">
        <w:rPr>
          <w:rFonts w:cs="Times"/>
          <w:b/>
          <w:noProof/>
        </w:rPr>
        <w:t>2006</w:t>
      </w:r>
      <w:r w:rsidR="001516F2">
        <w:rPr>
          <w:rFonts w:cs="Times"/>
          <w:noProof/>
        </w:rPr>
        <w:t>.</w:t>
      </w:r>
    </w:p>
    <w:p w:rsidR="001516F2" w:rsidRPr="00A95F5E" w:rsidRDefault="00273BAE" w:rsidP="001516F2">
      <w:pPr>
        <w:pStyle w:val="TFReferencesSection"/>
        <w:spacing w:after="0" w:line="360" w:lineRule="auto"/>
        <w:ind w:firstLine="0"/>
        <w:jc w:val="left"/>
        <w:rPr>
          <w:rFonts w:cs="Times"/>
          <w:noProof/>
        </w:rPr>
      </w:pPr>
      <w:r>
        <w:rPr>
          <w:rFonts w:cs="Times"/>
          <w:noProof/>
        </w:rPr>
        <w:t>12</w:t>
      </w:r>
      <w:r w:rsidR="001516F2">
        <w:rPr>
          <w:rFonts w:cs="Times"/>
          <w:noProof/>
        </w:rPr>
        <w:t>. I</w:t>
      </w:r>
      <w:r w:rsidR="001516F2" w:rsidRPr="00306E8D">
        <w:rPr>
          <w:rFonts w:cs="Times"/>
          <w:noProof/>
        </w:rPr>
        <w:t xml:space="preserve">nternational Conference on Harmonisation (ICH) </w:t>
      </w:r>
      <w:r w:rsidR="001516F2">
        <w:rPr>
          <w:rFonts w:cs="Times"/>
          <w:noProof/>
        </w:rPr>
        <w:t>Q3C (R5)</w:t>
      </w:r>
      <w:r w:rsidR="001516F2" w:rsidRPr="00306E8D">
        <w:rPr>
          <w:rFonts w:cs="Times"/>
          <w:noProof/>
        </w:rPr>
        <w:t xml:space="preserve"> Guideline. </w:t>
      </w:r>
      <w:r w:rsidRPr="00E23D51">
        <w:rPr>
          <w:rFonts w:cs="Times"/>
          <w:noProof/>
        </w:rPr>
        <w:t>Guidelines for residual solvents</w:t>
      </w:r>
      <w:r w:rsidR="001516F2" w:rsidRPr="00E23D51">
        <w:rPr>
          <w:rFonts w:cs="Times"/>
          <w:noProof/>
        </w:rPr>
        <w:t>,</w:t>
      </w:r>
      <w:r w:rsidR="001516F2" w:rsidRPr="00306E8D">
        <w:rPr>
          <w:rFonts w:cs="Times"/>
          <w:i/>
          <w:noProof/>
        </w:rPr>
        <w:t xml:space="preserve"> </w:t>
      </w:r>
      <w:r w:rsidR="001516F2" w:rsidRPr="001516F2">
        <w:rPr>
          <w:rFonts w:cs="Times"/>
          <w:b/>
          <w:noProof/>
        </w:rPr>
        <w:t>20</w:t>
      </w:r>
      <w:r>
        <w:rPr>
          <w:rFonts w:cs="Times"/>
          <w:b/>
          <w:noProof/>
        </w:rPr>
        <w:t>11</w:t>
      </w:r>
      <w:r w:rsidR="001516F2">
        <w:rPr>
          <w:rFonts w:cs="Times"/>
          <w:noProof/>
        </w:rPr>
        <w:t>.</w:t>
      </w:r>
    </w:p>
    <w:p w:rsidR="00273BAE" w:rsidRDefault="00273BAE" w:rsidP="00273BAE">
      <w:pPr>
        <w:pStyle w:val="TFReferencesSection"/>
        <w:spacing w:after="0" w:line="360" w:lineRule="auto"/>
        <w:ind w:firstLine="0"/>
        <w:jc w:val="left"/>
        <w:rPr>
          <w:rFonts w:cs="Times"/>
          <w:noProof/>
        </w:rPr>
      </w:pPr>
      <w:r>
        <w:rPr>
          <w:rFonts w:cs="Times"/>
          <w:noProof/>
        </w:rPr>
        <w:t>13. I</w:t>
      </w:r>
      <w:r w:rsidRPr="00306E8D">
        <w:rPr>
          <w:rFonts w:cs="Times"/>
          <w:noProof/>
        </w:rPr>
        <w:t xml:space="preserve">nternational Conference on Harmonisation (ICH) </w:t>
      </w:r>
      <w:r>
        <w:rPr>
          <w:rFonts w:cs="Times"/>
          <w:noProof/>
        </w:rPr>
        <w:t>Q3D</w:t>
      </w:r>
      <w:r w:rsidRPr="00306E8D">
        <w:rPr>
          <w:rFonts w:cs="Times"/>
          <w:noProof/>
        </w:rPr>
        <w:t xml:space="preserve"> Guideline. </w:t>
      </w:r>
      <w:r w:rsidRPr="00E23D51">
        <w:rPr>
          <w:rFonts w:cs="Times"/>
          <w:noProof/>
        </w:rPr>
        <w:t>Guideline for elemental impurities,</w:t>
      </w:r>
      <w:r w:rsidRPr="00306E8D">
        <w:rPr>
          <w:rFonts w:cs="Times"/>
          <w:i/>
          <w:noProof/>
        </w:rPr>
        <w:t xml:space="preserve"> </w:t>
      </w:r>
      <w:r w:rsidRPr="001516F2">
        <w:rPr>
          <w:rFonts w:cs="Times"/>
          <w:b/>
          <w:noProof/>
        </w:rPr>
        <w:t>20</w:t>
      </w:r>
      <w:r>
        <w:rPr>
          <w:rFonts w:cs="Times"/>
          <w:b/>
          <w:noProof/>
        </w:rPr>
        <w:t>14</w:t>
      </w:r>
      <w:r>
        <w:rPr>
          <w:rFonts w:cs="Times"/>
          <w:noProof/>
        </w:rPr>
        <w:t>.</w:t>
      </w:r>
    </w:p>
    <w:p w:rsidR="00110C04" w:rsidRPr="00A95F5E" w:rsidRDefault="00110C04" w:rsidP="00110C04">
      <w:pPr>
        <w:pStyle w:val="TFReferencesSection"/>
        <w:spacing w:after="0" w:line="360" w:lineRule="auto"/>
        <w:ind w:firstLine="0"/>
        <w:jc w:val="left"/>
        <w:rPr>
          <w:rFonts w:cs="Times"/>
          <w:noProof/>
        </w:rPr>
      </w:pPr>
      <w:r>
        <w:rPr>
          <w:rFonts w:cs="Times"/>
          <w:noProof/>
        </w:rPr>
        <w:t xml:space="preserve">14. </w:t>
      </w:r>
      <w:r w:rsidRPr="00110C04">
        <w:rPr>
          <w:rFonts w:cs="Times"/>
          <w:noProof/>
        </w:rPr>
        <w:t>I.C</w:t>
      </w:r>
      <w:r>
        <w:rPr>
          <w:rFonts w:cs="Times"/>
          <w:noProof/>
        </w:rPr>
        <w:t>.</w:t>
      </w:r>
      <w:r w:rsidRPr="00110C04">
        <w:rPr>
          <w:rFonts w:cs="Times"/>
          <w:noProof/>
        </w:rPr>
        <w:t xml:space="preserve"> Munro, </w:t>
      </w:r>
      <w:r>
        <w:rPr>
          <w:rFonts w:cs="Times"/>
          <w:noProof/>
        </w:rPr>
        <w:t>E. Kennepohl</w:t>
      </w:r>
      <w:r w:rsidRPr="00110C04">
        <w:rPr>
          <w:rFonts w:cs="Times"/>
          <w:noProof/>
        </w:rPr>
        <w:t>, R.</w:t>
      </w:r>
      <w:r>
        <w:rPr>
          <w:rFonts w:cs="Times"/>
          <w:noProof/>
        </w:rPr>
        <w:t xml:space="preserve"> </w:t>
      </w:r>
      <w:r w:rsidRPr="00110C04">
        <w:rPr>
          <w:rFonts w:cs="Times"/>
          <w:noProof/>
        </w:rPr>
        <w:t>Kroes,</w:t>
      </w:r>
      <w:r>
        <w:rPr>
          <w:rFonts w:cs="Times"/>
          <w:noProof/>
        </w:rPr>
        <w:t xml:space="preserve"> </w:t>
      </w:r>
      <w:r w:rsidRPr="00110C04">
        <w:rPr>
          <w:rFonts w:cs="Times"/>
          <w:i/>
          <w:noProof/>
        </w:rPr>
        <w:t>Food Chem. Toxicol.</w:t>
      </w:r>
      <w:r w:rsidRPr="00110C04">
        <w:rPr>
          <w:rFonts w:cs="Times"/>
          <w:noProof/>
        </w:rPr>
        <w:t xml:space="preserve"> </w:t>
      </w:r>
      <w:r w:rsidRPr="00110C04">
        <w:rPr>
          <w:rFonts w:cs="Times"/>
          <w:b/>
          <w:noProof/>
        </w:rPr>
        <w:t>1999</w:t>
      </w:r>
      <w:r>
        <w:rPr>
          <w:rFonts w:cs="Times"/>
          <w:noProof/>
        </w:rPr>
        <w:t>,</w:t>
      </w:r>
      <w:r w:rsidRPr="00110C04">
        <w:rPr>
          <w:rFonts w:cs="Times"/>
          <w:noProof/>
        </w:rPr>
        <w:t xml:space="preserve"> </w:t>
      </w:r>
      <w:r w:rsidRPr="00F9261A">
        <w:rPr>
          <w:rFonts w:cs="Times"/>
          <w:i/>
          <w:noProof/>
        </w:rPr>
        <w:t>37</w:t>
      </w:r>
      <w:r>
        <w:rPr>
          <w:rFonts w:cs="Times"/>
          <w:noProof/>
        </w:rPr>
        <w:t>, 207-232.</w:t>
      </w:r>
    </w:p>
    <w:p w:rsidR="002B34E8" w:rsidRDefault="00110C04" w:rsidP="00110C04">
      <w:pPr>
        <w:pStyle w:val="TFReferencesSection"/>
        <w:spacing w:after="0" w:line="360" w:lineRule="auto"/>
        <w:ind w:firstLine="0"/>
        <w:jc w:val="left"/>
        <w:rPr>
          <w:rFonts w:cs="Times"/>
          <w:noProof/>
        </w:rPr>
      </w:pPr>
      <w:r>
        <w:rPr>
          <w:rFonts w:cs="Times"/>
          <w:noProof/>
        </w:rPr>
        <w:t>15. R.</w:t>
      </w:r>
      <w:r w:rsidRPr="00110C04">
        <w:rPr>
          <w:rFonts w:cs="Times"/>
          <w:noProof/>
        </w:rPr>
        <w:t xml:space="preserve"> Kroes</w:t>
      </w:r>
      <w:r w:rsidR="008B5E8C">
        <w:rPr>
          <w:rFonts w:cs="Times"/>
          <w:noProof/>
        </w:rPr>
        <w:t>,</w:t>
      </w:r>
      <w:r w:rsidRPr="00110C04">
        <w:rPr>
          <w:rFonts w:cs="Times"/>
          <w:noProof/>
        </w:rPr>
        <w:t xml:space="preserve"> </w:t>
      </w:r>
      <w:r w:rsidR="00E23D51">
        <w:rPr>
          <w:rFonts w:cs="Times"/>
          <w:noProof/>
        </w:rPr>
        <w:t>G. Kozianowski</w:t>
      </w:r>
      <w:r w:rsidRPr="00110C04">
        <w:rPr>
          <w:rFonts w:cs="Times"/>
          <w:noProof/>
        </w:rPr>
        <w:t xml:space="preserve">, </w:t>
      </w:r>
      <w:r w:rsidRPr="008B5E8C">
        <w:rPr>
          <w:rFonts w:cs="Times"/>
          <w:i/>
          <w:noProof/>
        </w:rPr>
        <w:t>Toxicol</w:t>
      </w:r>
      <w:r w:rsidR="008B5E8C" w:rsidRPr="008B5E8C">
        <w:rPr>
          <w:rFonts w:cs="Times"/>
          <w:i/>
          <w:noProof/>
        </w:rPr>
        <w:t>. Lett</w:t>
      </w:r>
      <w:r w:rsidR="008B5E8C">
        <w:rPr>
          <w:rFonts w:cs="Times"/>
          <w:i/>
          <w:noProof/>
        </w:rPr>
        <w:t>.</w:t>
      </w:r>
      <w:r w:rsidRPr="00110C04">
        <w:rPr>
          <w:rFonts w:cs="Times"/>
          <w:noProof/>
        </w:rPr>
        <w:t xml:space="preserve"> </w:t>
      </w:r>
      <w:r w:rsidR="008B5E8C" w:rsidRPr="008B5E8C">
        <w:rPr>
          <w:rFonts w:cs="Times"/>
          <w:b/>
          <w:noProof/>
        </w:rPr>
        <w:t>2002</w:t>
      </w:r>
      <w:r w:rsidR="008B5E8C">
        <w:rPr>
          <w:rFonts w:cs="Times"/>
          <w:noProof/>
        </w:rPr>
        <w:t xml:space="preserve">, </w:t>
      </w:r>
      <w:r w:rsidR="008B5E8C" w:rsidRPr="00F9261A">
        <w:rPr>
          <w:rFonts w:cs="Times"/>
          <w:i/>
          <w:noProof/>
        </w:rPr>
        <w:t>127</w:t>
      </w:r>
      <w:r w:rsidR="008B5E8C">
        <w:rPr>
          <w:rFonts w:cs="Times"/>
          <w:noProof/>
        </w:rPr>
        <w:t>, 43-46</w:t>
      </w:r>
      <w:r w:rsidRPr="00110C04">
        <w:rPr>
          <w:rFonts w:cs="Times"/>
          <w:noProof/>
        </w:rPr>
        <w:t>.</w:t>
      </w:r>
    </w:p>
    <w:p w:rsidR="008B5E8C" w:rsidRDefault="008B5E8C" w:rsidP="008B5E8C">
      <w:pPr>
        <w:pStyle w:val="TFReferencesSection"/>
        <w:spacing w:after="0" w:line="360" w:lineRule="auto"/>
        <w:ind w:firstLine="0"/>
        <w:jc w:val="left"/>
        <w:rPr>
          <w:rFonts w:cs="Times"/>
          <w:noProof/>
        </w:rPr>
      </w:pPr>
      <w:r>
        <w:rPr>
          <w:rFonts w:cs="Times"/>
          <w:noProof/>
        </w:rPr>
        <w:t xml:space="preserve">16. </w:t>
      </w:r>
      <w:r w:rsidRPr="008B5E8C">
        <w:rPr>
          <w:rFonts w:cs="Times"/>
          <w:noProof/>
        </w:rPr>
        <w:t>L.S. Gold</w:t>
      </w:r>
      <w:r>
        <w:rPr>
          <w:rFonts w:cs="Times"/>
          <w:noProof/>
        </w:rPr>
        <w:t>,</w:t>
      </w:r>
      <w:r w:rsidRPr="008B5E8C">
        <w:rPr>
          <w:rFonts w:cs="Times"/>
          <w:noProof/>
        </w:rPr>
        <w:t xml:space="preserve"> C.B.</w:t>
      </w:r>
      <w:r>
        <w:rPr>
          <w:rFonts w:cs="Times"/>
          <w:noProof/>
        </w:rPr>
        <w:t xml:space="preserve"> </w:t>
      </w:r>
      <w:r w:rsidRPr="008B5E8C">
        <w:rPr>
          <w:rFonts w:cs="Times"/>
          <w:noProof/>
        </w:rPr>
        <w:t>Sawyer, R. Magaw</w:t>
      </w:r>
      <w:r>
        <w:rPr>
          <w:rFonts w:cs="Times"/>
          <w:noProof/>
        </w:rPr>
        <w:t>,</w:t>
      </w:r>
      <w:r w:rsidRPr="008B5E8C">
        <w:rPr>
          <w:rFonts w:cs="Times"/>
          <w:noProof/>
        </w:rPr>
        <w:t xml:space="preserve"> G.M.</w:t>
      </w:r>
      <w:r>
        <w:rPr>
          <w:rFonts w:cs="Times"/>
          <w:noProof/>
        </w:rPr>
        <w:t xml:space="preserve"> </w:t>
      </w:r>
      <w:r w:rsidRPr="008B5E8C">
        <w:rPr>
          <w:rFonts w:cs="Times"/>
          <w:noProof/>
        </w:rPr>
        <w:t>Backman, M. de Veciana</w:t>
      </w:r>
      <w:r>
        <w:rPr>
          <w:rFonts w:cs="Times"/>
          <w:noProof/>
        </w:rPr>
        <w:t>, R.</w:t>
      </w:r>
      <w:r w:rsidRPr="008B5E8C">
        <w:rPr>
          <w:rFonts w:cs="Times"/>
          <w:noProof/>
        </w:rPr>
        <w:t xml:space="preserve"> </w:t>
      </w:r>
      <w:r>
        <w:rPr>
          <w:rFonts w:cs="Times"/>
          <w:noProof/>
        </w:rPr>
        <w:t>Levinson</w:t>
      </w:r>
      <w:r w:rsidRPr="008B5E8C">
        <w:rPr>
          <w:rFonts w:cs="Times"/>
          <w:noProof/>
        </w:rPr>
        <w:t xml:space="preserve">, </w:t>
      </w:r>
      <w:r>
        <w:rPr>
          <w:rFonts w:cs="Times"/>
          <w:noProof/>
        </w:rPr>
        <w:t xml:space="preserve">N. K. Hooper, </w:t>
      </w:r>
      <w:r w:rsidRPr="008B5E8C">
        <w:rPr>
          <w:rFonts w:cs="Times"/>
          <w:noProof/>
        </w:rPr>
        <w:t>W.R.</w:t>
      </w:r>
      <w:r>
        <w:rPr>
          <w:rFonts w:cs="Times"/>
          <w:noProof/>
        </w:rPr>
        <w:t xml:space="preserve"> </w:t>
      </w:r>
      <w:r w:rsidRPr="008B5E8C">
        <w:rPr>
          <w:rFonts w:cs="Times"/>
          <w:noProof/>
        </w:rPr>
        <w:t>Havender, L.</w:t>
      </w:r>
      <w:r>
        <w:rPr>
          <w:rFonts w:cs="Times"/>
          <w:noProof/>
        </w:rPr>
        <w:t xml:space="preserve"> </w:t>
      </w:r>
      <w:r w:rsidRPr="008B5E8C">
        <w:rPr>
          <w:rFonts w:cs="Times"/>
          <w:noProof/>
        </w:rPr>
        <w:t>Bernstein, R.</w:t>
      </w:r>
      <w:r>
        <w:rPr>
          <w:rFonts w:cs="Times"/>
          <w:noProof/>
        </w:rPr>
        <w:t xml:space="preserve"> </w:t>
      </w:r>
      <w:r w:rsidRPr="008B5E8C">
        <w:rPr>
          <w:rFonts w:cs="Times"/>
          <w:noProof/>
        </w:rPr>
        <w:t xml:space="preserve">Peto, </w:t>
      </w:r>
      <w:r>
        <w:rPr>
          <w:rFonts w:cs="Times"/>
          <w:noProof/>
        </w:rPr>
        <w:t>M.C.</w:t>
      </w:r>
      <w:r w:rsidRPr="008B5E8C">
        <w:rPr>
          <w:rFonts w:cs="Times"/>
          <w:noProof/>
        </w:rPr>
        <w:t xml:space="preserve"> Pike</w:t>
      </w:r>
      <w:r>
        <w:rPr>
          <w:rFonts w:cs="Times"/>
          <w:noProof/>
        </w:rPr>
        <w:t>,</w:t>
      </w:r>
      <w:r w:rsidRPr="008B5E8C">
        <w:rPr>
          <w:rFonts w:cs="Times"/>
          <w:noProof/>
        </w:rPr>
        <w:t xml:space="preserve"> </w:t>
      </w:r>
      <w:r>
        <w:rPr>
          <w:rFonts w:cs="Times"/>
          <w:noProof/>
        </w:rPr>
        <w:t>B.N.</w:t>
      </w:r>
      <w:r w:rsidRPr="008B5E8C">
        <w:rPr>
          <w:rFonts w:cs="Times"/>
          <w:noProof/>
        </w:rPr>
        <w:t xml:space="preserve"> Ames</w:t>
      </w:r>
      <w:r>
        <w:rPr>
          <w:rFonts w:cs="Times"/>
          <w:noProof/>
        </w:rPr>
        <w:t>,</w:t>
      </w:r>
      <w:r w:rsidRPr="008B5E8C">
        <w:rPr>
          <w:rFonts w:cs="Times"/>
          <w:noProof/>
        </w:rPr>
        <w:t xml:space="preserve"> </w:t>
      </w:r>
      <w:r w:rsidR="001D6E04" w:rsidRPr="001D6E04">
        <w:rPr>
          <w:rFonts w:cs="Times"/>
          <w:i/>
          <w:noProof/>
        </w:rPr>
        <w:t>Environ. Health Perspect.</w:t>
      </w:r>
      <w:r w:rsidR="001D6E04" w:rsidRPr="001D6E04">
        <w:rPr>
          <w:rFonts w:cs="Times"/>
          <w:noProof/>
        </w:rPr>
        <w:t xml:space="preserve"> </w:t>
      </w:r>
      <w:r w:rsidR="001D6E04" w:rsidRPr="001D6E04">
        <w:rPr>
          <w:rFonts w:cs="Times"/>
          <w:b/>
          <w:noProof/>
        </w:rPr>
        <w:t>1984</w:t>
      </w:r>
      <w:r w:rsidR="001D6E04">
        <w:rPr>
          <w:rFonts w:cs="Times"/>
          <w:noProof/>
        </w:rPr>
        <w:t xml:space="preserve">, </w:t>
      </w:r>
      <w:r w:rsidR="001D6E04" w:rsidRPr="00F9261A">
        <w:rPr>
          <w:rFonts w:cs="Times"/>
          <w:i/>
          <w:noProof/>
        </w:rPr>
        <w:t>58</w:t>
      </w:r>
      <w:r w:rsidR="001D6E04">
        <w:rPr>
          <w:rFonts w:cs="Times"/>
          <w:noProof/>
        </w:rPr>
        <w:t>, 9-319</w:t>
      </w:r>
      <w:r w:rsidRPr="008B5E8C">
        <w:rPr>
          <w:rFonts w:cs="Times"/>
          <w:noProof/>
        </w:rPr>
        <w:t>.</w:t>
      </w:r>
    </w:p>
    <w:p w:rsidR="001D6E04" w:rsidRPr="00306E8D" w:rsidRDefault="001D6E04" w:rsidP="001D6E04">
      <w:pPr>
        <w:pStyle w:val="TFReferencesSection"/>
        <w:spacing w:after="0" w:line="360" w:lineRule="auto"/>
        <w:ind w:firstLine="0"/>
        <w:jc w:val="left"/>
        <w:rPr>
          <w:rFonts w:cs="Times"/>
          <w:noProof/>
        </w:rPr>
      </w:pPr>
      <w:r w:rsidRPr="0073533C">
        <w:rPr>
          <w:rFonts w:cs="Times"/>
          <w:noProof/>
        </w:rPr>
        <w:t xml:space="preserve">17. I.C. Munro, </w:t>
      </w:r>
      <w:r w:rsidRPr="0073533C">
        <w:rPr>
          <w:rFonts w:cs="Times"/>
          <w:i/>
          <w:noProof/>
        </w:rPr>
        <w:t xml:space="preserve">Regul. Toxicol. </w:t>
      </w:r>
      <w:r w:rsidRPr="001D6E04">
        <w:rPr>
          <w:rFonts w:cs="Times"/>
          <w:i/>
          <w:noProof/>
        </w:rPr>
        <w:t>Pharmacol.</w:t>
      </w:r>
      <w:r w:rsidRPr="001D6E04">
        <w:rPr>
          <w:rFonts w:cs="Times"/>
          <w:noProof/>
        </w:rPr>
        <w:t xml:space="preserve"> </w:t>
      </w:r>
      <w:r w:rsidRPr="001D6E04">
        <w:rPr>
          <w:rFonts w:cs="Times"/>
          <w:b/>
          <w:noProof/>
        </w:rPr>
        <w:t>1990</w:t>
      </w:r>
      <w:r>
        <w:rPr>
          <w:rFonts w:cs="Times"/>
          <w:noProof/>
        </w:rPr>
        <w:t xml:space="preserve">, </w:t>
      </w:r>
      <w:r w:rsidRPr="00F9261A">
        <w:rPr>
          <w:rFonts w:cs="Times"/>
          <w:i/>
          <w:noProof/>
        </w:rPr>
        <w:t>12</w:t>
      </w:r>
      <w:r>
        <w:rPr>
          <w:rFonts w:cs="Times"/>
          <w:noProof/>
        </w:rPr>
        <w:t>, 2-12</w:t>
      </w:r>
      <w:r w:rsidRPr="001D6E04">
        <w:rPr>
          <w:rFonts w:cs="Times"/>
          <w:noProof/>
        </w:rPr>
        <w:t>.</w:t>
      </w:r>
    </w:p>
    <w:p w:rsidR="00530DEB" w:rsidRDefault="001D6E04" w:rsidP="00530DEB">
      <w:pPr>
        <w:pStyle w:val="TFReferencesSection"/>
        <w:spacing w:after="0" w:line="360" w:lineRule="auto"/>
        <w:ind w:firstLine="0"/>
      </w:pPr>
      <w:r>
        <w:t xml:space="preserve">18. M.A. Cheeseman, E.J. </w:t>
      </w:r>
      <w:proofErr w:type="spellStart"/>
      <w:r>
        <w:t>Machuga</w:t>
      </w:r>
      <w:proofErr w:type="spellEnd"/>
      <w:r>
        <w:t xml:space="preserve">, A.B. Bailey, </w:t>
      </w:r>
      <w:r w:rsidRPr="00110C04">
        <w:rPr>
          <w:rFonts w:cs="Times"/>
          <w:i/>
          <w:noProof/>
        </w:rPr>
        <w:t>Food Chem. Toxicol.</w:t>
      </w:r>
      <w:r w:rsidRPr="00110C04">
        <w:rPr>
          <w:rFonts w:cs="Times"/>
          <w:noProof/>
        </w:rPr>
        <w:t xml:space="preserve"> </w:t>
      </w:r>
      <w:r w:rsidRPr="00CE2A26">
        <w:rPr>
          <w:b/>
        </w:rPr>
        <w:t>1999</w:t>
      </w:r>
      <w:r>
        <w:t xml:space="preserve">, </w:t>
      </w:r>
      <w:r w:rsidRPr="00F9261A">
        <w:rPr>
          <w:i/>
        </w:rPr>
        <w:t>37</w:t>
      </w:r>
      <w:r>
        <w:t>, 387-412.</w:t>
      </w:r>
    </w:p>
    <w:p w:rsidR="00DE3682" w:rsidRPr="00F52654" w:rsidRDefault="00530DEB" w:rsidP="00530DEB">
      <w:pPr>
        <w:pStyle w:val="TFReferencesSection"/>
        <w:spacing w:after="0" w:line="360" w:lineRule="auto"/>
        <w:ind w:firstLine="0"/>
      </w:pPr>
      <w:r>
        <w:t xml:space="preserve">19. R. </w:t>
      </w:r>
      <w:proofErr w:type="spellStart"/>
      <w:r>
        <w:t>Kroes</w:t>
      </w:r>
      <w:proofErr w:type="spellEnd"/>
      <w:r>
        <w:t xml:space="preserve">, A.G. Renwick, M. Cheeseman, J. </w:t>
      </w:r>
      <w:proofErr w:type="spellStart"/>
      <w:r>
        <w:t>Kleiner</w:t>
      </w:r>
      <w:proofErr w:type="spellEnd"/>
      <w:r>
        <w:t xml:space="preserve"> , I. </w:t>
      </w:r>
      <w:proofErr w:type="spellStart"/>
      <w:r>
        <w:t>Mangelsdorf</w:t>
      </w:r>
      <w:proofErr w:type="spellEnd"/>
      <w:r>
        <w:t xml:space="preserve">, A. </w:t>
      </w:r>
      <w:proofErr w:type="spellStart"/>
      <w:r>
        <w:t>Piersma</w:t>
      </w:r>
      <w:proofErr w:type="spellEnd"/>
      <w:r>
        <w:t xml:space="preserve">, B. </w:t>
      </w:r>
      <w:proofErr w:type="spellStart"/>
      <w:r>
        <w:t>Schilter</w:t>
      </w:r>
      <w:proofErr w:type="spellEnd"/>
      <w:r>
        <w:t xml:space="preserve">, J. </w:t>
      </w:r>
      <w:proofErr w:type="spellStart"/>
      <w:r>
        <w:t>Schlatter</w:t>
      </w:r>
      <w:proofErr w:type="spellEnd"/>
      <w:r>
        <w:t xml:space="preserve">, F. van </w:t>
      </w:r>
      <w:proofErr w:type="spellStart"/>
      <w:r>
        <w:t>Schothorst</w:t>
      </w:r>
      <w:proofErr w:type="spellEnd"/>
      <w:r>
        <w:t>, J.G.</w:t>
      </w:r>
      <w:r w:rsidRPr="00530DEB">
        <w:t xml:space="preserve"> </w:t>
      </w:r>
      <w:proofErr w:type="spellStart"/>
      <w:r>
        <w:t>Vos</w:t>
      </w:r>
      <w:proofErr w:type="spellEnd"/>
      <w:r>
        <w:t>, G.</w:t>
      </w:r>
      <w:r w:rsidRPr="00530DEB">
        <w:t xml:space="preserve"> </w:t>
      </w:r>
      <w:proofErr w:type="spellStart"/>
      <w:r>
        <w:t>Würtzen</w:t>
      </w:r>
      <w:proofErr w:type="spellEnd"/>
      <w:r>
        <w:t xml:space="preserve">, </w:t>
      </w:r>
      <w:r w:rsidRPr="00110C04">
        <w:rPr>
          <w:rFonts w:cs="Times"/>
          <w:i/>
          <w:noProof/>
        </w:rPr>
        <w:t>Food Chem. Toxicol.</w:t>
      </w:r>
      <w:r>
        <w:rPr>
          <w:rFonts w:cs="Times"/>
          <w:i/>
          <w:noProof/>
        </w:rPr>
        <w:t xml:space="preserve"> </w:t>
      </w:r>
      <w:r w:rsidRPr="00530DEB">
        <w:rPr>
          <w:b/>
        </w:rPr>
        <w:t>2004</w:t>
      </w:r>
      <w:r>
        <w:t xml:space="preserve">, </w:t>
      </w:r>
      <w:r w:rsidRPr="00F9261A">
        <w:rPr>
          <w:i/>
        </w:rPr>
        <w:t>42</w:t>
      </w:r>
      <w:r>
        <w:t>, 65-83.</w:t>
      </w:r>
      <w:r w:rsidR="001D6E04">
        <w:t xml:space="preserve"> </w:t>
      </w:r>
    </w:p>
    <w:p w:rsidR="00530DEB" w:rsidRDefault="00AD4204" w:rsidP="00175541">
      <w:pPr>
        <w:pStyle w:val="TFReferencesSection"/>
        <w:spacing w:after="0" w:line="360" w:lineRule="auto"/>
        <w:ind w:firstLine="0"/>
        <w:jc w:val="left"/>
      </w:pPr>
      <w:r>
        <w:t xml:space="preserve">20. </w:t>
      </w:r>
      <w:r w:rsidR="00C82DE7">
        <w:t>EMEA/CHMP.</w:t>
      </w:r>
      <w:r w:rsidRPr="00AD4204">
        <w:t xml:space="preserve"> Questions and Answers on the CHMP Guideline on the Limits of Genotoxic Impurities, </w:t>
      </w:r>
      <w:r w:rsidR="00F9261A" w:rsidRPr="00AD4204">
        <w:rPr>
          <w:b/>
        </w:rPr>
        <w:t>200</w:t>
      </w:r>
      <w:r w:rsidR="00C82DE7">
        <w:rPr>
          <w:b/>
        </w:rPr>
        <w:t>8.</w:t>
      </w:r>
      <w:r w:rsidR="00F9261A">
        <w:rPr>
          <w:b/>
        </w:rPr>
        <w:t xml:space="preserve"> </w:t>
      </w:r>
      <w:proofErr w:type="gramStart"/>
      <w:r w:rsidRPr="00AD4204">
        <w:t>EMEA/CHMP/SWP/431994.</w:t>
      </w:r>
      <w:proofErr w:type="gramEnd"/>
    </w:p>
    <w:p w:rsidR="00530DEB" w:rsidRDefault="000D6374" w:rsidP="00175541">
      <w:pPr>
        <w:pStyle w:val="TFReferencesSection"/>
        <w:spacing w:after="0" w:line="360" w:lineRule="auto"/>
        <w:ind w:firstLine="0"/>
        <w:jc w:val="left"/>
      </w:pPr>
      <w:r>
        <w:lastRenderedPageBreak/>
        <w:t>21. L. Muller,</w:t>
      </w:r>
      <w:r w:rsidRPr="000D6374">
        <w:t xml:space="preserve"> R. J. </w:t>
      </w:r>
      <w:proofErr w:type="spellStart"/>
      <w:r>
        <w:t>Mauthe</w:t>
      </w:r>
      <w:proofErr w:type="spellEnd"/>
      <w:r>
        <w:t>,</w:t>
      </w:r>
      <w:r w:rsidRPr="000D6374">
        <w:t xml:space="preserve"> C. M. </w:t>
      </w:r>
      <w:r>
        <w:t>Riley,</w:t>
      </w:r>
      <w:r w:rsidRPr="000D6374">
        <w:t xml:space="preserve"> M. M.</w:t>
      </w:r>
      <w:r>
        <w:t xml:space="preserve"> </w:t>
      </w:r>
      <w:proofErr w:type="spellStart"/>
      <w:r>
        <w:t>Andino</w:t>
      </w:r>
      <w:proofErr w:type="spellEnd"/>
      <w:r w:rsidRPr="000D6374">
        <w:t xml:space="preserve">, D. D. </w:t>
      </w:r>
      <w:proofErr w:type="spellStart"/>
      <w:r w:rsidRPr="000D6374">
        <w:t>Antonis</w:t>
      </w:r>
      <w:proofErr w:type="spellEnd"/>
      <w:r>
        <w:t xml:space="preserve">, </w:t>
      </w:r>
      <w:r w:rsidRPr="000D6374">
        <w:t>C.</w:t>
      </w:r>
      <w:r>
        <w:t xml:space="preserve"> </w:t>
      </w:r>
      <w:proofErr w:type="spellStart"/>
      <w:r w:rsidRPr="000D6374">
        <w:t>Beels</w:t>
      </w:r>
      <w:proofErr w:type="spellEnd"/>
      <w:r w:rsidRPr="000D6374">
        <w:t xml:space="preserve">, </w:t>
      </w:r>
      <w:r>
        <w:t xml:space="preserve">J. </w:t>
      </w:r>
      <w:proofErr w:type="spellStart"/>
      <w:r>
        <w:t>DeGeorge</w:t>
      </w:r>
      <w:proofErr w:type="spellEnd"/>
      <w:r>
        <w:t>,</w:t>
      </w:r>
      <w:r w:rsidRPr="000D6374">
        <w:t xml:space="preserve"> </w:t>
      </w:r>
      <w:r>
        <w:t xml:space="preserve">A.G. De </w:t>
      </w:r>
      <w:proofErr w:type="spellStart"/>
      <w:r>
        <w:t>Knaep</w:t>
      </w:r>
      <w:proofErr w:type="spellEnd"/>
      <w:r>
        <w:t xml:space="preserve">, D. </w:t>
      </w:r>
      <w:r w:rsidRPr="000D6374">
        <w:t xml:space="preserve">Ellison, </w:t>
      </w:r>
      <w:r>
        <w:t xml:space="preserve">J.A. </w:t>
      </w:r>
      <w:proofErr w:type="spellStart"/>
      <w:r w:rsidRPr="000D6374">
        <w:t>Fagerland</w:t>
      </w:r>
      <w:proofErr w:type="spellEnd"/>
      <w:r w:rsidRPr="000D6374">
        <w:t xml:space="preserve">, </w:t>
      </w:r>
      <w:r>
        <w:t>R. Frank,</w:t>
      </w:r>
      <w:r w:rsidRPr="000D6374">
        <w:t xml:space="preserve"> </w:t>
      </w:r>
      <w:r>
        <w:t xml:space="preserve">B. </w:t>
      </w:r>
      <w:proofErr w:type="spellStart"/>
      <w:r>
        <w:t>Fritschel</w:t>
      </w:r>
      <w:proofErr w:type="spellEnd"/>
      <w:r>
        <w:t>,</w:t>
      </w:r>
      <w:r w:rsidRPr="000D6374">
        <w:t xml:space="preserve"> </w:t>
      </w:r>
      <w:r>
        <w:t>S. Galloway,</w:t>
      </w:r>
      <w:r w:rsidRPr="000D6374">
        <w:t xml:space="preserve"> </w:t>
      </w:r>
      <w:r>
        <w:t xml:space="preserve">E. </w:t>
      </w:r>
      <w:proofErr w:type="spellStart"/>
      <w:r w:rsidRPr="000D6374">
        <w:t>Harpur</w:t>
      </w:r>
      <w:proofErr w:type="spellEnd"/>
      <w:r w:rsidRPr="000D6374">
        <w:t xml:space="preserve">, </w:t>
      </w:r>
      <w:r>
        <w:t xml:space="preserve">C.D- </w:t>
      </w:r>
      <w:proofErr w:type="spellStart"/>
      <w:r>
        <w:t>Humfrey</w:t>
      </w:r>
      <w:proofErr w:type="spellEnd"/>
      <w:r>
        <w:t>,</w:t>
      </w:r>
      <w:r w:rsidRPr="000D6374">
        <w:t xml:space="preserve"> </w:t>
      </w:r>
      <w:r>
        <w:t>A.S. Jacks,</w:t>
      </w:r>
      <w:r w:rsidRPr="000D6374">
        <w:t xml:space="preserve"> </w:t>
      </w:r>
      <w:r>
        <w:t xml:space="preserve">N. </w:t>
      </w:r>
      <w:proofErr w:type="spellStart"/>
      <w:r w:rsidRPr="000D6374">
        <w:t>Ja</w:t>
      </w:r>
      <w:r>
        <w:t>gota</w:t>
      </w:r>
      <w:proofErr w:type="spellEnd"/>
      <w:r>
        <w:t>,</w:t>
      </w:r>
      <w:r w:rsidRPr="000D6374">
        <w:t xml:space="preserve"> </w:t>
      </w:r>
      <w:r>
        <w:t xml:space="preserve">J. Mackinnon, G. Mohan, D.K. Ness, </w:t>
      </w:r>
      <w:r w:rsidRPr="000D6374">
        <w:t>M. R.</w:t>
      </w:r>
      <w:r>
        <w:t xml:space="preserve"> </w:t>
      </w:r>
      <w:r w:rsidRPr="000D6374">
        <w:t xml:space="preserve">O'Donovan, </w:t>
      </w:r>
      <w:r>
        <w:t>M.D. Smith,</w:t>
      </w:r>
      <w:r w:rsidRPr="000D6374">
        <w:t xml:space="preserve"> </w:t>
      </w:r>
      <w:r>
        <w:t xml:space="preserve">G. </w:t>
      </w:r>
      <w:proofErr w:type="spellStart"/>
      <w:r>
        <w:t>Vudathala</w:t>
      </w:r>
      <w:proofErr w:type="spellEnd"/>
      <w:r>
        <w:t xml:space="preserve">, L. </w:t>
      </w:r>
      <w:proofErr w:type="spellStart"/>
      <w:r>
        <w:t>Yotti</w:t>
      </w:r>
      <w:proofErr w:type="spellEnd"/>
      <w:r>
        <w:t>,</w:t>
      </w:r>
      <w:r w:rsidRPr="000D6374">
        <w:t xml:space="preserve"> </w:t>
      </w:r>
      <w:proofErr w:type="spellStart"/>
      <w:r w:rsidRPr="000D6374">
        <w:rPr>
          <w:i/>
        </w:rPr>
        <w:t>Regul</w:t>
      </w:r>
      <w:proofErr w:type="spellEnd"/>
      <w:r w:rsidRPr="000D6374">
        <w:rPr>
          <w:i/>
        </w:rPr>
        <w:t xml:space="preserve">. </w:t>
      </w:r>
      <w:proofErr w:type="spellStart"/>
      <w:r w:rsidRPr="000D6374">
        <w:rPr>
          <w:i/>
        </w:rPr>
        <w:t>Toxicol</w:t>
      </w:r>
      <w:proofErr w:type="spellEnd"/>
      <w:r w:rsidRPr="000D6374">
        <w:rPr>
          <w:i/>
        </w:rPr>
        <w:t xml:space="preserve">. </w:t>
      </w:r>
      <w:proofErr w:type="spellStart"/>
      <w:r w:rsidRPr="000D6374">
        <w:rPr>
          <w:i/>
        </w:rPr>
        <w:t>Pharmacol</w:t>
      </w:r>
      <w:proofErr w:type="spellEnd"/>
      <w:r w:rsidRPr="000D6374">
        <w:rPr>
          <w:i/>
        </w:rPr>
        <w:t>.</w:t>
      </w:r>
      <w:r w:rsidRPr="000D6374">
        <w:t xml:space="preserve"> </w:t>
      </w:r>
      <w:r w:rsidRPr="000D6374">
        <w:rPr>
          <w:b/>
        </w:rPr>
        <w:t>2006</w:t>
      </w:r>
      <w:r w:rsidRPr="000D6374">
        <w:t xml:space="preserve">, </w:t>
      </w:r>
      <w:r w:rsidRPr="00F9261A">
        <w:rPr>
          <w:i/>
        </w:rPr>
        <w:t>44</w:t>
      </w:r>
      <w:r w:rsidRPr="000D6374">
        <w:t>, 198-211.</w:t>
      </w:r>
    </w:p>
    <w:p w:rsidR="00A90A14" w:rsidRDefault="00A90A14" w:rsidP="00EE29B6">
      <w:pPr>
        <w:pStyle w:val="TFReferencesSection"/>
        <w:spacing w:after="0" w:line="360" w:lineRule="auto"/>
        <w:ind w:firstLine="0"/>
        <w:jc w:val="left"/>
      </w:pPr>
      <w:r>
        <w:t xml:space="preserve">22. </w:t>
      </w:r>
      <w:r w:rsidR="00EE29B6">
        <w:t>FDA, Center for Drug Evaluation and Research. Genotoxic and Carcinogenic Impurities in Drug Substances and Products:</w:t>
      </w:r>
      <w:r w:rsidR="00F9261A">
        <w:t xml:space="preserve"> Recommended Approaches (Draft),</w:t>
      </w:r>
      <w:r w:rsidR="00EE29B6">
        <w:t xml:space="preserve"> </w:t>
      </w:r>
      <w:r w:rsidR="00EE29B6" w:rsidRPr="00EE29B6">
        <w:rPr>
          <w:b/>
        </w:rPr>
        <w:t>2008</w:t>
      </w:r>
      <w:r w:rsidR="00EE29B6">
        <w:t>.</w:t>
      </w:r>
    </w:p>
    <w:p w:rsidR="001134AF" w:rsidRDefault="001134AF" w:rsidP="00EE29B6">
      <w:pPr>
        <w:pStyle w:val="TFReferencesSection"/>
        <w:spacing w:after="0" w:line="360" w:lineRule="auto"/>
        <w:ind w:firstLine="0"/>
        <w:jc w:val="left"/>
        <w:rPr>
          <w:rFonts w:cs="Times"/>
          <w:noProof/>
        </w:rPr>
      </w:pPr>
      <w:r>
        <w:t xml:space="preserve">23. </w:t>
      </w:r>
      <w:r>
        <w:rPr>
          <w:rFonts w:cs="Times"/>
          <w:noProof/>
        </w:rPr>
        <w:t>I</w:t>
      </w:r>
      <w:r w:rsidRPr="00306E8D">
        <w:rPr>
          <w:rFonts w:cs="Times"/>
          <w:noProof/>
        </w:rPr>
        <w:t xml:space="preserve">nternational Conference on Harmonisation (ICH) M7 </w:t>
      </w:r>
      <w:r w:rsidRPr="001134AF">
        <w:t xml:space="preserve">(R1) Addendum: </w:t>
      </w:r>
      <w:r w:rsidR="0062403A" w:rsidRPr="0062403A">
        <w:rPr>
          <w:i/>
        </w:rPr>
        <w:t>Application of the principles of the ICH M7 guideline to calculation of compo</w:t>
      </w:r>
      <w:r w:rsidR="0062403A">
        <w:rPr>
          <w:i/>
        </w:rPr>
        <w:t>und-specific acceptable intake</w:t>
      </w:r>
      <w:r>
        <w:rPr>
          <w:i/>
        </w:rPr>
        <w:t>,</w:t>
      </w:r>
      <w:r w:rsidRPr="001134AF">
        <w:rPr>
          <w:rFonts w:cs="Times"/>
          <w:noProof/>
        </w:rPr>
        <w:t xml:space="preserve"> </w:t>
      </w:r>
      <w:r>
        <w:rPr>
          <w:rFonts w:cs="Times"/>
          <w:noProof/>
        </w:rPr>
        <w:t>Current Step 2 version,</w:t>
      </w:r>
      <w:r w:rsidRPr="00306E8D">
        <w:rPr>
          <w:rFonts w:cs="Times"/>
          <w:noProof/>
        </w:rPr>
        <w:t xml:space="preserve"> June </w:t>
      </w:r>
      <w:r w:rsidRPr="008B082A">
        <w:rPr>
          <w:rFonts w:cs="Times"/>
          <w:b/>
          <w:noProof/>
        </w:rPr>
        <w:t>201</w:t>
      </w:r>
      <w:r>
        <w:rPr>
          <w:rFonts w:cs="Times"/>
          <w:b/>
          <w:noProof/>
        </w:rPr>
        <w:t>5</w:t>
      </w:r>
      <w:r w:rsidRPr="00306E8D">
        <w:rPr>
          <w:rFonts w:cs="Times"/>
          <w:noProof/>
        </w:rPr>
        <w:t>.</w:t>
      </w:r>
    </w:p>
    <w:p w:rsidR="005C4C90" w:rsidRDefault="005C4C90" w:rsidP="00EE29B6">
      <w:pPr>
        <w:pStyle w:val="TFReferencesSection"/>
        <w:spacing w:after="0" w:line="360" w:lineRule="auto"/>
        <w:ind w:firstLine="0"/>
        <w:jc w:val="left"/>
        <w:rPr>
          <w:rFonts w:cs="Times"/>
          <w:noProof/>
        </w:rPr>
      </w:pPr>
      <w:r w:rsidRPr="00BD208B">
        <w:rPr>
          <w:rFonts w:cs="Times"/>
          <w:noProof/>
        </w:rPr>
        <w:t xml:space="preserve">24. </w:t>
      </w:r>
      <w:r w:rsidR="00BD208B" w:rsidRPr="00BD208B">
        <w:rPr>
          <w:rFonts w:cs="Times"/>
          <w:noProof/>
        </w:rPr>
        <w:t xml:space="preserve">G. Szekely, M. C. Amores de Sousa, M. Gil, F. C. Ferreira, W. Heggie, </w:t>
      </w:r>
      <w:r w:rsidR="00BD208B" w:rsidRPr="00BD208B">
        <w:rPr>
          <w:rFonts w:cs="Times"/>
          <w:i/>
          <w:noProof/>
        </w:rPr>
        <w:t xml:space="preserve">Chem. Rev. </w:t>
      </w:r>
      <w:r w:rsidR="00BD208B">
        <w:rPr>
          <w:rFonts w:cs="Times"/>
          <w:b/>
          <w:noProof/>
        </w:rPr>
        <w:t>2015</w:t>
      </w:r>
      <w:r w:rsidR="00BD208B">
        <w:rPr>
          <w:rFonts w:cs="Times"/>
          <w:noProof/>
        </w:rPr>
        <w:t xml:space="preserve">, </w:t>
      </w:r>
      <w:r w:rsidR="00BD208B" w:rsidRPr="00F9261A">
        <w:rPr>
          <w:rFonts w:cs="Times"/>
          <w:i/>
          <w:noProof/>
        </w:rPr>
        <w:t>115</w:t>
      </w:r>
      <w:r w:rsidR="00BD208B">
        <w:rPr>
          <w:rFonts w:cs="Times"/>
          <w:noProof/>
        </w:rPr>
        <w:t>, 8182-8229.</w:t>
      </w:r>
    </w:p>
    <w:p w:rsidR="00047E76" w:rsidRPr="00774AD6" w:rsidRDefault="00047E76" w:rsidP="00EE29B6">
      <w:pPr>
        <w:pStyle w:val="TFReferencesSection"/>
        <w:spacing w:after="0" w:line="360" w:lineRule="auto"/>
        <w:ind w:firstLine="0"/>
        <w:jc w:val="left"/>
        <w:rPr>
          <w:rFonts w:cs="Times"/>
          <w:noProof/>
          <w:lang w:val="it-IT"/>
        </w:rPr>
      </w:pPr>
      <w:r>
        <w:rPr>
          <w:rFonts w:cs="Times"/>
          <w:noProof/>
        </w:rPr>
        <w:t xml:space="preserve">25. </w:t>
      </w:r>
      <w:r w:rsidRPr="00047E76">
        <w:rPr>
          <w:rFonts w:cs="Times"/>
          <w:noProof/>
        </w:rPr>
        <w:t xml:space="preserve">N. V. V. S. S.Raman, A. V. S. S.Prasad, K. J. Ratnakar Reddy, </w:t>
      </w:r>
      <w:r w:rsidRPr="00047E76">
        <w:rPr>
          <w:rFonts w:cs="Times"/>
          <w:i/>
          <w:noProof/>
        </w:rPr>
        <w:t xml:space="preserve">Pharm. </w:t>
      </w:r>
      <w:r w:rsidRPr="00774AD6">
        <w:rPr>
          <w:rFonts w:cs="Times"/>
          <w:i/>
          <w:noProof/>
          <w:lang w:val="it-IT"/>
        </w:rPr>
        <w:t>Biomed. Anal</w:t>
      </w:r>
      <w:r w:rsidRPr="00774AD6">
        <w:rPr>
          <w:rFonts w:cs="Times"/>
          <w:noProof/>
          <w:lang w:val="it-IT"/>
        </w:rPr>
        <w:t xml:space="preserve">. </w:t>
      </w:r>
      <w:r w:rsidRPr="00774AD6">
        <w:rPr>
          <w:rFonts w:cs="Times"/>
          <w:b/>
          <w:noProof/>
          <w:lang w:val="it-IT"/>
        </w:rPr>
        <w:t>2011</w:t>
      </w:r>
      <w:r w:rsidRPr="00774AD6">
        <w:rPr>
          <w:rFonts w:cs="Times"/>
          <w:noProof/>
          <w:lang w:val="it-IT"/>
        </w:rPr>
        <w:t xml:space="preserve">, </w:t>
      </w:r>
      <w:r w:rsidRPr="00F9261A">
        <w:rPr>
          <w:rFonts w:cs="Times"/>
          <w:i/>
          <w:noProof/>
          <w:lang w:val="it-IT"/>
        </w:rPr>
        <w:t>55</w:t>
      </w:r>
      <w:r w:rsidRPr="00774AD6">
        <w:rPr>
          <w:rFonts w:cs="Times"/>
          <w:noProof/>
          <w:lang w:val="it-IT"/>
        </w:rPr>
        <w:t>, 662-667.</w:t>
      </w:r>
    </w:p>
    <w:p w:rsidR="001E7B70" w:rsidRPr="00774AD6" w:rsidRDefault="001C4F7A" w:rsidP="001E7B70">
      <w:pPr>
        <w:pStyle w:val="TFReferencesSection"/>
        <w:spacing w:after="0" w:line="360" w:lineRule="auto"/>
        <w:ind w:firstLine="0"/>
        <w:jc w:val="left"/>
        <w:rPr>
          <w:lang w:val="fr-FR"/>
        </w:rPr>
      </w:pPr>
      <w:r w:rsidRPr="00774AD6">
        <w:rPr>
          <w:rFonts w:cs="Times"/>
          <w:noProof/>
          <w:lang w:val="it-IT"/>
        </w:rPr>
        <w:t>26. Z. Cimarosti</w:t>
      </w:r>
      <w:r w:rsidR="001E7B70" w:rsidRPr="00774AD6">
        <w:rPr>
          <w:rFonts w:cs="Times"/>
          <w:noProof/>
          <w:lang w:val="it-IT"/>
        </w:rPr>
        <w:t xml:space="preserve">, F. Bravo, P. Stonestreet, F. Tinazzi, O. Vecchi, G. Camurri, </w:t>
      </w:r>
      <w:proofErr w:type="spellStart"/>
      <w:r w:rsidR="001E7B70" w:rsidRPr="00774AD6">
        <w:rPr>
          <w:i/>
          <w:lang w:val="it-IT"/>
        </w:rPr>
        <w:t>Org</w:t>
      </w:r>
      <w:proofErr w:type="spellEnd"/>
      <w:r w:rsidR="001E7B70" w:rsidRPr="00774AD6">
        <w:rPr>
          <w:i/>
          <w:lang w:val="it-IT"/>
        </w:rPr>
        <w:t xml:space="preserve">. </w:t>
      </w:r>
      <w:proofErr w:type="spellStart"/>
      <w:r w:rsidR="001E7B70" w:rsidRPr="00774AD6">
        <w:rPr>
          <w:i/>
          <w:lang w:val="fr-FR"/>
        </w:rPr>
        <w:t>Process</w:t>
      </w:r>
      <w:proofErr w:type="spellEnd"/>
      <w:r w:rsidR="001E7B70" w:rsidRPr="00774AD6">
        <w:rPr>
          <w:i/>
          <w:lang w:val="fr-FR"/>
        </w:rPr>
        <w:t xml:space="preserve"> </w:t>
      </w:r>
      <w:proofErr w:type="spellStart"/>
      <w:r w:rsidR="001E7B70" w:rsidRPr="00774AD6">
        <w:rPr>
          <w:i/>
          <w:lang w:val="fr-FR"/>
        </w:rPr>
        <w:t>Res</w:t>
      </w:r>
      <w:proofErr w:type="spellEnd"/>
      <w:r w:rsidR="001E7B70" w:rsidRPr="00774AD6">
        <w:rPr>
          <w:i/>
          <w:lang w:val="fr-FR"/>
        </w:rPr>
        <w:t>. Dev.</w:t>
      </w:r>
      <w:r w:rsidR="001E7B70" w:rsidRPr="00774AD6">
        <w:rPr>
          <w:lang w:val="fr-FR"/>
        </w:rPr>
        <w:t xml:space="preserve"> </w:t>
      </w:r>
      <w:r w:rsidR="001E7B70" w:rsidRPr="00774AD6">
        <w:rPr>
          <w:b/>
          <w:lang w:val="fr-FR"/>
        </w:rPr>
        <w:t>2010</w:t>
      </w:r>
      <w:r w:rsidR="001E7B70" w:rsidRPr="00774AD6">
        <w:rPr>
          <w:lang w:val="fr-FR"/>
        </w:rPr>
        <w:t xml:space="preserve">, </w:t>
      </w:r>
      <w:r w:rsidR="001E7B70" w:rsidRPr="00F9261A">
        <w:rPr>
          <w:i/>
          <w:lang w:val="fr-FR"/>
        </w:rPr>
        <w:t>14</w:t>
      </w:r>
      <w:r w:rsidR="001E7B70" w:rsidRPr="00774AD6">
        <w:rPr>
          <w:lang w:val="fr-FR"/>
        </w:rPr>
        <w:t>, 993-998.</w:t>
      </w:r>
    </w:p>
    <w:p w:rsidR="007E37FF" w:rsidRDefault="000F3832" w:rsidP="007E37FF">
      <w:pPr>
        <w:pStyle w:val="TFReferencesSection"/>
        <w:spacing w:after="0" w:line="360" w:lineRule="auto"/>
        <w:ind w:firstLine="0"/>
        <w:jc w:val="left"/>
      </w:pPr>
      <w:r w:rsidRPr="00774AD6">
        <w:rPr>
          <w:rFonts w:cs="Times"/>
          <w:noProof/>
          <w:lang w:val="fr-FR"/>
        </w:rPr>
        <w:t xml:space="preserve">27. </w:t>
      </w:r>
      <w:r w:rsidR="007E37FF" w:rsidRPr="00774AD6">
        <w:rPr>
          <w:rFonts w:cs="Times"/>
          <w:noProof/>
          <w:lang w:val="fr-FR"/>
        </w:rPr>
        <w:t xml:space="preserve">D. A. Pierson, B. A. Olsen, D. K. Robinson, K. M. DeVries, D. L. Varie, </w:t>
      </w:r>
      <w:proofErr w:type="spellStart"/>
      <w:r w:rsidR="007E37FF" w:rsidRPr="00774AD6">
        <w:rPr>
          <w:i/>
          <w:lang w:val="fr-FR"/>
        </w:rPr>
        <w:t>Org</w:t>
      </w:r>
      <w:proofErr w:type="spellEnd"/>
      <w:r w:rsidR="007E37FF" w:rsidRPr="00774AD6">
        <w:rPr>
          <w:i/>
          <w:lang w:val="fr-FR"/>
        </w:rPr>
        <w:t xml:space="preserve">. </w:t>
      </w:r>
      <w:r w:rsidR="007E37FF" w:rsidRPr="00CE5922">
        <w:rPr>
          <w:i/>
        </w:rPr>
        <w:t>Process Res. Dev.</w:t>
      </w:r>
      <w:r w:rsidR="007E37FF" w:rsidRPr="00CE5922">
        <w:t xml:space="preserve"> </w:t>
      </w:r>
      <w:r w:rsidR="007E37FF">
        <w:rPr>
          <w:b/>
        </w:rPr>
        <w:t>20</w:t>
      </w:r>
      <w:r w:rsidR="007E37FF" w:rsidRPr="00CE5922">
        <w:rPr>
          <w:b/>
        </w:rPr>
        <w:t>0</w:t>
      </w:r>
      <w:r w:rsidR="007E37FF">
        <w:rPr>
          <w:b/>
        </w:rPr>
        <w:t>9</w:t>
      </w:r>
      <w:r w:rsidR="007E37FF">
        <w:t>,</w:t>
      </w:r>
      <w:r w:rsidR="007E37FF" w:rsidRPr="00F9261A">
        <w:rPr>
          <w:i/>
        </w:rPr>
        <w:t xml:space="preserve"> 13</w:t>
      </w:r>
      <w:r w:rsidR="007E37FF">
        <w:t>, 285-291</w:t>
      </w:r>
      <w:r w:rsidR="007E37FF" w:rsidRPr="00CE5922">
        <w:t>.</w:t>
      </w:r>
    </w:p>
    <w:p w:rsidR="00A90A14" w:rsidRDefault="002130AF" w:rsidP="00175541">
      <w:pPr>
        <w:pStyle w:val="TFReferencesSection"/>
        <w:spacing w:after="0" w:line="360" w:lineRule="auto"/>
        <w:ind w:firstLine="0"/>
        <w:jc w:val="left"/>
      </w:pPr>
      <w:r>
        <w:t>28</w:t>
      </w:r>
      <w:r w:rsidR="00CE5922">
        <w:t>.</w:t>
      </w:r>
      <w:r w:rsidR="00CE5922" w:rsidRPr="00CE5922">
        <w:t xml:space="preserve"> A. Teasdale, S. </w:t>
      </w:r>
      <w:proofErr w:type="spellStart"/>
      <w:r w:rsidR="00CE5922" w:rsidRPr="00CE5922">
        <w:t>Fenner</w:t>
      </w:r>
      <w:proofErr w:type="spellEnd"/>
      <w:r w:rsidR="00CE5922" w:rsidRPr="00CE5922">
        <w:t xml:space="preserve">, A. Ray, A. Ford, A. </w:t>
      </w:r>
      <w:r w:rsidR="00CE5922">
        <w:t xml:space="preserve">Phillips, </w:t>
      </w:r>
      <w:r w:rsidR="00CE5922" w:rsidRPr="00CE5922">
        <w:rPr>
          <w:i/>
        </w:rPr>
        <w:t>Org. Process Res. Dev.</w:t>
      </w:r>
      <w:r w:rsidR="00CE5922" w:rsidRPr="00CE5922">
        <w:t xml:space="preserve"> </w:t>
      </w:r>
      <w:r w:rsidR="00CE5922" w:rsidRPr="00CE5922">
        <w:rPr>
          <w:b/>
        </w:rPr>
        <w:t>2010</w:t>
      </w:r>
      <w:r w:rsidR="00CE5922" w:rsidRPr="00CE5922">
        <w:t xml:space="preserve">, </w:t>
      </w:r>
      <w:r w:rsidR="00CE5922" w:rsidRPr="00F9261A">
        <w:rPr>
          <w:i/>
        </w:rPr>
        <w:t>14</w:t>
      </w:r>
      <w:r w:rsidR="00CE5922" w:rsidRPr="00CE5922">
        <w:t>, 943-945.</w:t>
      </w:r>
    </w:p>
    <w:p w:rsidR="00BC3F51" w:rsidRDefault="002130AF" w:rsidP="00175541">
      <w:pPr>
        <w:pStyle w:val="TFReferencesSection"/>
        <w:spacing w:after="0" w:line="360" w:lineRule="auto"/>
        <w:ind w:firstLine="0"/>
        <w:jc w:val="left"/>
      </w:pPr>
      <w:r>
        <w:t xml:space="preserve">29. N. Lapanja, B. </w:t>
      </w:r>
      <w:proofErr w:type="spellStart"/>
      <w:r>
        <w:t>Zupančič</w:t>
      </w:r>
      <w:proofErr w:type="spellEnd"/>
      <w:r>
        <w:t xml:space="preserve">, </w:t>
      </w:r>
      <w:proofErr w:type="spellStart"/>
      <w:r>
        <w:t>R.Toplak</w:t>
      </w:r>
      <w:proofErr w:type="spellEnd"/>
      <w:r>
        <w:t xml:space="preserve"> </w:t>
      </w:r>
      <w:proofErr w:type="spellStart"/>
      <w:r>
        <w:t>Časar</w:t>
      </w:r>
      <w:proofErr w:type="spellEnd"/>
      <w:r>
        <w:t xml:space="preserve">, D. </w:t>
      </w:r>
      <w:proofErr w:type="spellStart"/>
      <w:r>
        <w:t>O</w:t>
      </w:r>
      <w:r w:rsidR="00BC3F51">
        <w:t>rkič</w:t>
      </w:r>
      <w:proofErr w:type="spellEnd"/>
      <w:r w:rsidR="00BC3F51">
        <w:t xml:space="preserve">, M. </w:t>
      </w:r>
      <w:proofErr w:type="spellStart"/>
      <w:r w:rsidR="00BC3F51">
        <w:t>Uštar</w:t>
      </w:r>
      <w:proofErr w:type="spellEnd"/>
      <w:r w:rsidR="00BC3F51">
        <w:t xml:space="preserve">, A. Satler, S. Jurca, B. </w:t>
      </w:r>
      <w:proofErr w:type="spellStart"/>
      <w:r w:rsidR="00BC3F51">
        <w:t>Doljak</w:t>
      </w:r>
      <w:proofErr w:type="spellEnd"/>
      <w:r w:rsidR="00BC3F51">
        <w:t>,</w:t>
      </w:r>
      <w:r w:rsidR="00BC3F51" w:rsidRPr="00BC3F51">
        <w:rPr>
          <w:i/>
        </w:rPr>
        <w:t xml:space="preserve"> </w:t>
      </w:r>
      <w:r w:rsidR="00BC3F51" w:rsidRPr="00CE5922">
        <w:rPr>
          <w:i/>
        </w:rPr>
        <w:t>Org. Process Res. Dev.</w:t>
      </w:r>
      <w:r w:rsidR="00BC3F51" w:rsidRPr="00CE5922">
        <w:t xml:space="preserve"> </w:t>
      </w:r>
      <w:r w:rsidR="00BC3F51">
        <w:rPr>
          <w:b/>
        </w:rPr>
        <w:t>2015</w:t>
      </w:r>
      <w:r w:rsidR="00BC3F51" w:rsidRPr="00BC3F51">
        <w:t xml:space="preserve">, </w:t>
      </w:r>
      <w:r w:rsidR="00BC3F51" w:rsidRPr="00F9261A">
        <w:rPr>
          <w:i/>
        </w:rPr>
        <w:t>19</w:t>
      </w:r>
      <w:r w:rsidR="00BC3F51" w:rsidRPr="00BC3F51">
        <w:t>, 1524-1530.</w:t>
      </w:r>
      <w:r w:rsidR="00BC3F51">
        <w:t xml:space="preserve"> </w:t>
      </w:r>
    </w:p>
    <w:p w:rsidR="008036B1" w:rsidRPr="00BD208B" w:rsidRDefault="002130AF" w:rsidP="00175541">
      <w:pPr>
        <w:pStyle w:val="TFReferencesSection"/>
        <w:spacing w:after="0" w:line="360" w:lineRule="auto"/>
        <w:ind w:firstLine="0"/>
        <w:jc w:val="left"/>
      </w:pPr>
      <w:r>
        <w:t>30</w:t>
      </w:r>
      <w:r w:rsidR="008036B1">
        <w:t xml:space="preserve">. </w:t>
      </w:r>
      <w:r w:rsidR="008036B1" w:rsidRPr="008036B1">
        <w:t xml:space="preserve">A. Teasdale, D. Elder, </w:t>
      </w:r>
      <w:r w:rsidR="008036B1">
        <w:t>S.</w:t>
      </w:r>
      <w:r w:rsidR="008036B1" w:rsidRPr="008036B1">
        <w:t xml:space="preserve">J. Chang, S. Wang, R. Thompson, N. Benz, I. H. Sanchez Flores, </w:t>
      </w:r>
      <w:r w:rsidR="008036B1" w:rsidRPr="008036B1">
        <w:rPr>
          <w:i/>
        </w:rPr>
        <w:t>Org. Process Res. Dev.</w:t>
      </w:r>
      <w:r w:rsidR="008036B1" w:rsidRPr="008036B1">
        <w:t xml:space="preserve"> </w:t>
      </w:r>
      <w:r w:rsidR="008036B1" w:rsidRPr="008036B1">
        <w:rPr>
          <w:b/>
        </w:rPr>
        <w:t>2013</w:t>
      </w:r>
      <w:r w:rsidR="008036B1" w:rsidRPr="008036B1">
        <w:t xml:space="preserve">, </w:t>
      </w:r>
      <w:r w:rsidR="008036B1" w:rsidRPr="00F9261A">
        <w:rPr>
          <w:i/>
        </w:rPr>
        <w:t>17</w:t>
      </w:r>
      <w:r w:rsidR="008036B1" w:rsidRPr="008036B1">
        <w:t>, 221-230.</w:t>
      </w:r>
    </w:p>
    <w:p w:rsidR="00D33E2A" w:rsidRDefault="002130AF" w:rsidP="00CE5922">
      <w:pPr>
        <w:pStyle w:val="TFReferencesSection"/>
        <w:spacing w:after="0" w:line="360" w:lineRule="auto"/>
        <w:ind w:firstLine="0"/>
        <w:jc w:val="left"/>
        <w:rPr>
          <w:rFonts w:cs="Times"/>
          <w:noProof/>
        </w:rPr>
      </w:pPr>
      <w:r>
        <w:rPr>
          <w:rFonts w:cs="Times"/>
          <w:noProof/>
        </w:rPr>
        <w:t>31</w:t>
      </w:r>
      <w:r w:rsidR="004D4D36">
        <w:rPr>
          <w:rFonts w:cs="Times"/>
          <w:noProof/>
        </w:rPr>
        <w:t xml:space="preserve">. </w:t>
      </w:r>
      <w:r w:rsidR="004D4D36" w:rsidRPr="00F8037D">
        <w:rPr>
          <w:rFonts w:cs="Times"/>
          <w:noProof/>
        </w:rPr>
        <w:t>D. P.</w:t>
      </w:r>
      <w:r w:rsidR="004D4D36" w:rsidRPr="004D4D36">
        <w:rPr>
          <w:rFonts w:cs="Times"/>
          <w:noProof/>
        </w:rPr>
        <w:t xml:space="preserve"> </w:t>
      </w:r>
      <w:r w:rsidR="004D4D36" w:rsidRPr="00F8037D">
        <w:rPr>
          <w:rFonts w:cs="Times"/>
          <w:noProof/>
        </w:rPr>
        <w:t>Elder, G.</w:t>
      </w:r>
      <w:r w:rsidR="004D4D36" w:rsidRPr="004D4D36">
        <w:rPr>
          <w:rFonts w:cs="Times"/>
          <w:noProof/>
        </w:rPr>
        <w:t xml:space="preserve"> </w:t>
      </w:r>
      <w:r w:rsidR="004D4D36" w:rsidRPr="00F8037D">
        <w:rPr>
          <w:rFonts w:cs="Times"/>
          <w:noProof/>
        </w:rPr>
        <w:t>Okafo, M. McGuire,</w:t>
      </w:r>
      <w:r w:rsidR="004D4D36">
        <w:rPr>
          <w:rFonts w:cs="Times"/>
          <w:noProof/>
        </w:rPr>
        <w:t xml:space="preserve"> </w:t>
      </w:r>
      <w:r w:rsidR="004D4D36" w:rsidRPr="00F8037D">
        <w:rPr>
          <w:rFonts w:cs="Times"/>
          <w:i/>
          <w:noProof/>
        </w:rPr>
        <w:t xml:space="preserve">Org. Process Res. Dev. </w:t>
      </w:r>
      <w:r w:rsidR="004D4D36" w:rsidRPr="00F8037D">
        <w:rPr>
          <w:rFonts w:cs="Times"/>
          <w:b/>
          <w:noProof/>
        </w:rPr>
        <w:t>2013,</w:t>
      </w:r>
      <w:r w:rsidR="004D4D36" w:rsidRPr="00F8037D">
        <w:rPr>
          <w:rFonts w:cs="Times"/>
          <w:noProof/>
        </w:rPr>
        <w:t xml:space="preserve"> </w:t>
      </w:r>
      <w:r w:rsidR="004D4D36" w:rsidRPr="00F8037D">
        <w:rPr>
          <w:rFonts w:cs="Times"/>
          <w:i/>
          <w:noProof/>
        </w:rPr>
        <w:t>17</w:t>
      </w:r>
      <w:r w:rsidR="004D4D36" w:rsidRPr="00F8037D">
        <w:rPr>
          <w:rFonts w:cs="Times"/>
          <w:noProof/>
        </w:rPr>
        <w:t>, 1036-1041.</w:t>
      </w:r>
    </w:p>
    <w:p w:rsidR="00FF301E" w:rsidRDefault="002130AF" w:rsidP="00D33E2A">
      <w:pPr>
        <w:pStyle w:val="TFReferencesSection"/>
        <w:spacing w:after="0" w:line="360" w:lineRule="auto"/>
        <w:ind w:firstLine="0"/>
        <w:jc w:val="left"/>
        <w:rPr>
          <w:rFonts w:cs="Times"/>
          <w:noProof/>
        </w:rPr>
      </w:pPr>
      <w:r>
        <w:rPr>
          <w:rFonts w:cs="Times"/>
          <w:noProof/>
        </w:rPr>
        <w:t>32</w:t>
      </w:r>
      <w:r w:rsidR="00D33E2A">
        <w:rPr>
          <w:rFonts w:cs="Times"/>
          <w:noProof/>
        </w:rPr>
        <w:t xml:space="preserve">. </w:t>
      </w:r>
      <w:r w:rsidR="00D33E2A" w:rsidRPr="00D33E2A">
        <w:rPr>
          <w:rFonts w:cs="Times"/>
          <w:noProof/>
        </w:rPr>
        <w:t>D. Q. Liu,</w:t>
      </w:r>
      <w:r w:rsidR="00D33E2A">
        <w:rPr>
          <w:rFonts w:cs="Times"/>
          <w:noProof/>
        </w:rPr>
        <w:t xml:space="preserve"> </w:t>
      </w:r>
      <w:r w:rsidR="00D33E2A" w:rsidRPr="00D33E2A">
        <w:rPr>
          <w:rFonts w:cs="Times"/>
          <w:noProof/>
        </w:rPr>
        <w:t>T. Q. Chen, M. A. McGuire, A. S. J. Kord,</w:t>
      </w:r>
      <w:r w:rsidR="00D33E2A">
        <w:rPr>
          <w:rFonts w:cs="Times"/>
          <w:noProof/>
        </w:rPr>
        <w:t xml:space="preserve"> </w:t>
      </w:r>
      <w:r w:rsidR="00D33E2A" w:rsidRPr="00D33E2A">
        <w:rPr>
          <w:rFonts w:cs="Times"/>
          <w:i/>
          <w:noProof/>
        </w:rPr>
        <w:t>Pharm. Biomed. Anal.</w:t>
      </w:r>
      <w:r w:rsidR="00D33E2A" w:rsidRPr="00D33E2A">
        <w:rPr>
          <w:rFonts w:cs="Times"/>
          <w:noProof/>
        </w:rPr>
        <w:t xml:space="preserve"> </w:t>
      </w:r>
      <w:r w:rsidR="00D33E2A" w:rsidRPr="00D33E2A">
        <w:rPr>
          <w:rFonts w:cs="Times"/>
          <w:b/>
          <w:noProof/>
        </w:rPr>
        <w:t>2009</w:t>
      </w:r>
      <w:r w:rsidR="00D33E2A" w:rsidRPr="00D33E2A">
        <w:rPr>
          <w:rFonts w:cs="Times"/>
          <w:noProof/>
        </w:rPr>
        <w:t xml:space="preserve">, </w:t>
      </w:r>
      <w:r w:rsidR="00D33E2A" w:rsidRPr="00F9261A">
        <w:rPr>
          <w:rFonts w:cs="Times"/>
          <w:i/>
          <w:noProof/>
        </w:rPr>
        <w:t>50</w:t>
      </w:r>
      <w:r w:rsidR="00D33E2A" w:rsidRPr="00D33E2A">
        <w:rPr>
          <w:rFonts w:cs="Times"/>
          <w:noProof/>
        </w:rPr>
        <w:t>, 144−150.</w:t>
      </w:r>
    </w:p>
    <w:p w:rsidR="009246AD" w:rsidRPr="00D33E2A" w:rsidRDefault="002130AF" w:rsidP="00D33E2A">
      <w:pPr>
        <w:pStyle w:val="TFReferencesSection"/>
        <w:spacing w:after="0" w:line="360" w:lineRule="auto"/>
        <w:ind w:firstLine="0"/>
        <w:jc w:val="left"/>
        <w:rPr>
          <w:rFonts w:cs="Times"/>
          <w:noProof/>
        </w:rPr>
      </w:pPr>
      <w:r>
        <w:rPr>
          <w:rFonts w:cs="Times"/>
          <w:noProof/>
        </w:rPr>
        <w:t>33</w:t>
      </w:r>
      <w:r w:rsidR="00FF301E">
        <w:rPr>
          <w:rFonts w:cs="Times"/>
          <w:noProof/>
        </w:rPr>
        <w:t>.</w:t>
      </w:r>
      <w:r w:rsidR="00FF301E" w:rsidRPr="00FF301E">
        <w:t xml:space="preserve"> </w:t>
      </w:r>
      <w:r w:rsidR="00FF301E">
        <w:rPr>
          <w:rFonts w:cs="Times"/>
          <w:noProof/>
        </w:rPr>
        <w:t xml:space="preserve">M. McLaughlin, R. K. </w:t>
      </w:r>
      <w:r w:rsidR="00FF301E" w:rsidRPr="00FF301E">
        <w:rPr>
          <w:rFonts w:cs="Times"/>
          <w:noProof/>
        </w:rPr>
        <w:t xml:space="preserve">Dermenjian, </w:t>
      </w:r>
      <w:r w:rsidR="00FF301E">
        <w:rPr>
          <w:rFonts w:cs="Times"/>
          <w:noProof/>
        </w:rPr>
        <w:t xml:space="preserve">Y. </w:t>
      </w:r>
      <w:r w:rsidR="00FF301E" w:rsidRPr="00FF301E">
        <w:rPr>
          <w:rFonts w:cs="Times"/>
          <w:noProof/>
        </w:rPr>
        <w:t xml:space="preserve">Jin, </w:t>
      </w:r>
      <w:r w:rsidR="00FF301E">
        <w:rPr>
          <w:rFonts w:cs="Times"/>
          <w:noProof/>
        </w:rPr>
        <w:t xml:space="preserve">A. </w:t>
      </w:r>
      <w:r w:rsidR="00FF301E" w:rsidRPr="00FF301E">
        <w:rPr>
          <w:rFonts w:cs="Times"/>
          <w:noProof/>
        </w:rPr>
        <w:t xml:space="preserve">Klapars, </w:t>
      </w:r>
      <w:r w:rsidR="00FF301E">
        <w:rPr>
          <w:rFonts w:cs="Times"/>
          <w:noProof/>
        </w:rPr>
        <w:t xml:space="preserve">M. V. </w:t>
      </w:r>
      <w:r w:rsidR="00FF301E" w:rsidRPr="00FF301E">
        <w:rPr>
          <w:rFonts w:cs="Times"/>
          <w:noProof/>
        </w:rPr>
        <w:t xml:space="preserve">Reddy, </w:t>
      </w:r>
      <w:r w:rsidR="00FF301E">
        <w:rPr>
          <w:rFonts w:cs="Times"/>
          <w:noProof/>
        </w:rPr>
        <w:t xml:space="preserve">M. J. </w:t>
      </w:r>
      <w:r w:rsidR="00FF301E" w:rsidRPr="00FF301E">
        <w:rPr>
          <w:rFonts w:cs="Times"/>
          <w:noProof/>
        </w:rPr>
        <w:t xml:space="preserve">Williams, </w:t>
      </w:r>
      <w:r w:rsidR="00FF301E" w:rsidRPr="00F8037D">
        <w:rPr>
          <w:rFonts w:cs="Times"/>
          <w:i/>
          <w:noProof/>
        </w:rPr>
        <w:t>Org. Process Res. Dev.</w:t>
      </w:r>
      <w:r w:rsidR="00FF301E" w:rsidRPr="00FF301E">
        <w:rPr>
          <w:rFonts w:cs="Times"/>
          <w:noProof/>
        </w:rPr>
        <w:t xml:space="preserve"> </w:t>
      </w:r>
      <w:r w:rsidR="00FF301E" w:rsidRPr="00FF301E">
        <w:rPr>
          <w:rFonts w:cs="Times"/>
          <w:b/>
          <w:noProof/>
        </w:rPr>
        <w:t>2015</w:t>
      </w:r>
      <w:r w:rsidR="00FF301E" w:rsidRPr="00FF301E">
        <w:rPr>
          <w:rFonts w:cs="Times"/>
          <w:noProof/>
        </w:rPr>
        <w:t xml:space="preserve">, </w:t>
      </w:r>
      <w:r w:rsidR="007C5545" w:rsidRPr="00F9261A">
        <w:rPr>
          <w:rFonts w:cs="Times"/>
          <w:i/>
          <w:noProof/>
        </w:rPr>
        <w:t>19</w:t>
      </w:r>
      <w:r w:rsidR="007C5545">
        <w:rPr>
          <w:rFonts w:cs="Times"/>
          <w:noProof/>
        </w:rPr>
        <w:t>,</w:t>
      </w:r>
      <w:r w:rsidR="007C5545" w:rsidRPr="007C5545">
        <w:rPr>
          <w:rFonts w:cs="Times"/>
          <w:noProof/>
        </w:rPr>
        <w:t xml:space="preserve"> 1531–1535</w:t>
      </w:r>
      <w:r w:rsidR="007C5545">
        <w:rPr>
          <w:rFonts w:cs="Times"/>
          <w:noProof/>
        </w:rPr>
        <w:t>.</w:t>
      </w:r>
      <w:r w:rsidR="00446E3A">
        <w:fldChar w:fldCharType="begin"/>
      </w:r>
      <w:r w:rsidR="009229B7" w:rsidRPr="00BD208B">
        <w:instrText xml:space="preserve"> ADDIN EN.REFLIST </w:instrText>
      </w:r>
      <w:r w:rsidR="00446E3A">
        <w:fldChar w:fldCharType="end"/>
      </w:r>
    </w:p>
    <w:sectPr w:rsidR="009246AD" w:rsidRPr="00D33E2A" w:rsidSect="00D64401">
      <w:type w:val="continuous"/>
      <w:pgSz w:w="12240" w:h="15840"/>
      <w:pgMar w:top="1440" w:right="1440" w:bottom="1440" w:left="1440" w:header="0" w:footer="0" w:gutter="0"/>
      <w:lnNumType w:countBy="1" w:restart="continuous"/>
      <w:cols w:space="47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5D" w:rsidRDefault="0047595D">
      <w:r>
        <w:separator/>
      </w:r>
    </w:p>
  </w:endnote>
  <w:endnote w:type="continuationSeparator" w:id="0">
    <w:p w:rsidR="0047595D" w:rsidRDefault="0047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no Pro">
    <w:altName w:val="Constantia"/>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7F" w:rsidRDefault="00BD15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157F" w:rsidRDefault="00BD15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7F" w:rsidRDefault="00BD15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2ED6">
      <w:rPr>
        <w:rStyle w:val="PageNumber"/>
        <w:noProof/>
      </w:rPr>
      <w:t>25</w:t>
    </w:r>
    <w:r>
      <w:rPr>
        <w:rStyle w:val="PageNumber"/>
      </w:rPr>
      <w:fldChar w:fldCharType="end"/>
    </w:r>
  </w:p>
  <w:p w:rsidR="00BD157F" w:rsidRDefault="00BD15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5D" w:rsidRDefault="0047595D">
      <w:r>
        <w:separator/>
      </w:r>
    </w:p>
  </w:footnote>
  <w:footnote w:type="continuationSeparator" w:id="0">
    <w:p w:rsidR="0047595D" w:rsidRDefault="00475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479C"/>
    <w:multiLevelType w:val="hybridMultilevel"/>
    <w:tmpl w:val="2326F474"/>
    <w:lvl w:ilvl="0" w:tplc="04240001">
      <w:start w:val="3"/>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4D6E34"/>
    <w:multiLevelType w:val="hybridMultilevel"/>
    <w:tmpl w:val="545CE6B6"/>
    <w:lvl w:ilvl="0" w:tplc="9BA69FAE">
      <w:start w:val="2"/>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CC101C"/>
    <w:multiLevelType w:val="hybridMultilevel"/>
    <w:tmpl w:val="8646BC4E"/>
    <w:lvl w:ilvl="0" w:tplc="53C8B25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nsid w:val="45366EE6"/>
    <w:multiLevelType w:val="hybridMultilevel"/>
    <w:tmpl w:val="4AB4455A"/>
    <w:lvl w:ilvl="0" w:tplc="515A6E1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365911"/>
    <w:multiLevelType w:val="hybridMultilevel"/>
    <w:tmpl w:val="0E4019B2"/>
    <w:lvl w:ilvl="0" w:tplc="80DA9F0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D73C8E"/>
    <w:multiLevelType w:val="hybridMultilevel"/>
    <w:tmpl w:val="DCD09EF2"/>
    <w:lvl w:ilvl="0" w:tplc="9BDCDE62">
      <w:start w:val="1"/>
      <w:numFmt w:val="bullet"/>
      <w:lvlText w:val="-"/>
      <w:lvlJc w:val="left"/>
      <w:pPr>
        <w:ind w:left="420" w:hanging="360"/>
      </w:pPr>
      <w:rPr>
        <w:rFonts w:ascii="Times" w:eastAsia="Calibri" w:hAnsi="Times" w:cs="Times"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6"/>
  </w:num>
  <w:num w:numId="6">
    <w:abstractNumId w:val="5"/>
  </w:num>
  <w:num w:numId="7">
    <w:abstractNumId w:val="4"/>
  </w:num>
  <w:num w:numId="8">
    <w:abstractNumId w:val="3"/>
  </w:num>
  <w:num w:numId="9">
    <w:abstractNumId w:val="1"/>
  </w:num>
  <w:num w:numId="10">
    <w:abstractNumId w:val="13"/>
  </w:num>
  <w:num w:numId="11">
    <w:abstractNumId w:val="2"/>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Organic Process Res Dev (2) Copy&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9d2p2toavs2pepvvmxexwmsepv909sdrfx&quot;&gt;My EndNote Library&lt;record-ids&gt;&lt;item&gt;3&lt;/item&gt;&lt;item&gt;4&lt;/item&gt;&lt;/record-ids&gt;&lt;/item&gt;&lt;/Libraries&gt;"/>
  </w:docVars>
  <w:rsids>
    <w:rsidRoot w:val="00E902BD"/>
    <w:rsid w:val="000005FA"/>
    <w:rsid w:val="00000F69"/>
    <w:rsid w:val="00001A79"/>
    <w:rsid w:val="00003761"/>
    <w:rsid w:val="000055C3"/>
    <w:rsid w:val="00007BAD"/>
    <w:rsid w:val="00011DA9"/>
    <w:rsid w:val="00012F86"/>
    <w:rsid w:val="00016229"/>
    <w:rsid w:val="000172CA"/>
    <w:rsid w:val="00017F01"/>
    <w:rsid w:val="00020695"/>
    <w:rsid w:val="00022DAD"/>
    <w:rsid w:val="00023511"/>
    <w:rsid w:val="00024534"/>
    <w:rsid w:val="00024628"/>
    <w:rsid w:val="00027095"/>
    <w:rsid w:val="000273D5"/>
    <w:rsid w:val="00027F99"/>
    <w:rsid w:val="00030504"/>
    <w:rsid w:val="000334CA"/>
    <w:rsid w:val="0003464A"/>
    <w:rsid w:val="000348CD"/>
    <w:rsid w:val="00037564"/>
    <w:rsid w:val="00043EE8"/>
    <w:rsid w:val="0004450F"/>
    <w:rsid w:val="00044F9E"/>
    <w:rsid w:val="00045556"/>
    <w:rsid w:val="00047E76"/>
    <w:rsid w:val="00051FAD"/>
    <w:rsid w:val="0005330E"/>
    <w:rsid w:val="0005399C"/>
    <w:rsid w:val="00055A69"/>
    <w:rsid w:val="0005660F"/>
    <w:rsid w:val="000613E7"/>
    <w:rsid w:val="0006349E"/>
    <w:rsid w:val="00063A87"/>
    <w:rsid w:val="00063B05"/>
    <w:rsid w:val="000702AD"/>
    <w:rsid w:val="000716EB"/>
    <w:rsid w:val="00071A2D"/>
    <w:rsid w:val="00075383"/>
    <w:rsid w:val="00075AB1"/>
    <w:rsid w:val="000822B8"/>
    <w:rsid w:val="00082335"/>
    <w:rsid w:val="00083465"/>
    <w:rsid w:val="0008400B"/>
    <w:rsid w:val="00084622"/>
    <w:rsid w:val="00086C5E"/>
    <w:rsid w:val="00087CBD"/>
    <w:rsid w:val="00093F64"/>
    <w:rsid w:val="00094117"/>
    <w:rsid w:val="0009435B"/>
    <w:rsid w:val="000945B0"/>
    <w:rsid w:val="000965E8"/>
    <w:rsid w:val="00096CCE"/>
    <w:rsid w:val="000A10ED"/>
    <w:rsid w:val="000A13F5"/>
    <w:rsid w:val="000A1B70"/>
    <w:rsid w:val="000A26CE"/>
    <w:rsid w:val="000A3D2F"/>
    <w:rsid w:val="000A4628"/>
    <w:rsid w:val="000A74C1"/>
    <w:rsid w:val="000B194D"/>
    <w:rsid w:val="000B4D2A"/>
    <w:rsid w:val="000B5610"/>
    <w:rsid w:val="000B69F8"/>
    <w:rsid w:val="000C05CC"/>
    <w:rsid w:val="000C2373"/>
    <w:rsid w:val="000C68A3"/>
    <w:rsid w:val="000C746D"/>
    <w:rsid w:val="000D200D"/>
    <w:rsid w:val="000D2AA6"/>
    <w:rsid w:val="000D3100"/>
    <w:rsid w:val="000D45C8"/>
    <w:rsid w:val="000D6374"/>
    <w:rsid w:val="000E049C"/>
    <w:rsid w:val="000E06DA"/>
    <w:rsid w:val="000E12EE"/>
    <w:rsid w:val="000E4229"/>
    <w:rsid w:val="000E56D4"/>
    <w:rsid w:val="000E5766"/>
    <w:rsid w:val="000E5965"/>
    <w:rsid w:val="000E5FE1"/>
    <w:rsid w:val="000E6D77"/>
    <w:rsid w:val="000F038E"/>
    <w:rsid w:val="000F0AD0"/>
    <w:rsid w:val="000F1E89"/>
    <w:rsid w:val="000F3832"/>
    <w:rsid w:val="000F3F3F"/>
    <w:rsid w:val="000F48B9"/>
    <w:rsid w:val="0010279D"/>
    <w:rsid w:val="00102A12"/>
    <w:rsid w:val="00103D2E"/>
    <w:rsid w:val="0010425B"/>
    <w:rsid w:val="001061A0"/>
    <w:rsid w:val="0010652B"/>
    <w:rsid w:val="00106D4F"/>
    <w:rsid w:val="00107989"/>
    <w:rsid w:val="00110C04"/>
    <w:rsid w:val="001128A2"/>
    <w:rsid w:val="001134AF"/>
    <w:rsid w:val="001156E7"/>
    <w:rsid w:val="001163AF"/>
    <w:rsid w:val="00121A33"/>
    <w:rsid w:val="00122D4E"/>
    <w:rsid w:val="0012369C"/>
    <w:rsid w:val="001338CD"/>
    <w:rsid w:val="00134964"/>
    <w:rsid w:val="001353EE"/>
    <w:rsid w:val="00135766"/>
    <w:rsid w:val="001377F8"/>
    <w:rsid w:val="00141D2D"/>
    <w:rsid w:val="00141D83"/>
    <w:rsid w:val="0014220C"/>
    <w:rsid w:val="001423F8"/>
    <w:rsid w:val="00145EE8"/>
    <w:rsid w:val="001470EB"/>
    <w:rsid w:val="00150116"/>
    <w:rsid w:val="001516F2"/>
    <w:rsid w:val="00156771"/>
    <w:rsid w:val="00157A3B"/>
    <w:rsid w:val="0016561F"/>
    <w:rsid w:val="00174011"/>
    <w:rsid w:val="00175541"/>
    <w:rsid w:val="00176A9E"/>
    <w:rsid w:val="00180310"/>
    <w:rsid w:val="00181C4F"/>
    <w:rsid w:val="00185C38"/>
    <w:rsid w:val="00186950"/>
    <w:rsid w:val="00191729"/>
    <w:rsid w:val="00193A3F"/>
    <w:rsid w:val="00194968"/>
    <w:rsid w:val="00194E23"/>
    <w:rsid w:val="00195ACA"/>
    <w:rsid w:val="001961C4"/>
    <w:rsid w:val="001A1B06"/>
    <w:rsid w:val="001A30EF"/>
    <w:rsid w:val="001A7A90"/>
    <w:rsid w:val="001B53E4"/>
    <w:rsid w:val="001B5A85"/>
    <w:rsid w:val="001B647F"/>
    <w:rsid w:val="001C0892"/>
    <w:rsid w:val="001C4F7A"/>
    <w:rsid w:val="001C5734"/>
    <w:rsid w:val="001C58EB"/>
    <w:rsid w:val="001C5F26"/>
    <w:rsid w:val="001C61C1"/>
    <w:rsid w:val="001C6413"/>
    <w:rsid w:val="001D0FB8"/>
    <w:rsid w:val="001D47CA"/>
    <w:rsid w:val="001D6E04"/>
    <w:rsid w:val="001D7A24"/>
    <w:rsid w:val="001D7D38"/>
    <w:rsid w:val="001E003F"/>
    <w:rsid w:val="001E0706"/>
    <w:rsid w:val="001E3AC7"/>
    <w:rsid w:val="001E3BAB"/>
    <w:rsid w:val="001E4967"/>
    <w:rsid w:val="001E7B63"/>
    <w:rsid w:val="001E7B70"/>
    <w:rsid w:val="001F0312"/>
    <w:rsid w:val="001F0524"/>
    <w:rsid w:val="001F0E7B"/>
    <w:rsid w:val="001F5AFC"/>
    <w:rsid w:val="001F7DEF"/>
    <w:rsid w:val="001F7E20"/>
    <w:rsid w:val="00202407"/>
    <w:rsid w:val="00202756"/>
    <w:rsid w:val="00203E0E"/>
    <w:rsid w:val="00205FD3"/>
    <w:rsid w:val="002105B2"/>
    <w:rsid w:val="00210D02"/>
    <w:rsid w:val="00211134"/>
    <w:rsid w:val="00212B1D"/>
    <w:rsid w:val="002130AF"/>
    <w:rsid w:val="0021336F"/>
    <w:rsid w:val="00213ACE"/>
    <w:rsid w:val="00213E52"/>
    <w:rsid w:val="00214049"/>
    <w:rsid w:val="0021434A"/>
    <w:rsid w:val="0021587C"/>
    <w:rsid w:val="00217F05"/>
    <w:rsid w:val="00222294"/>
    <w:rsid w:val="0022318C"/>
    <w:rsid w:val="00227F4A"/>
    <w:rsid w:val="00230769"/>
    <w:rsid w:val="00230925"/>
    <w:rsid w:val="0023095E"/>
    <w:rsid w:val="00233780"/>
    <w:rsid w:val="002341A1"/>
    <w:rsid w:val="002363AE"/>
    <w:rsid w:val="00237361"/>
    <w:rsid w:val="00240240"/>
    <w:rsid w:val="00240DA0"/>
    <w:rsid w:val="002442E5"/>
    <w:rsid w:val="002474A9"/>
    <w:rsid w:val="00251200"/>
    <w:rsid w:val="00253951"/>
    <w:rsid w:val="00254262"/>
    <w:rsid w:val="00255D78"/>
    <w:rsid w:val="002577A1"/>
    <w:rsid w:val="0026047E"/>
    <w:rsid w:val="002617FC"/>
    <w:rsid w:val="002628A6"/>
    <w:rsid w:val="00262A3C"/>
    <w:rsid w:val="00262F09"/>
    <w:rsid w:val="0026461F"/>
    <w:rsid w:val="00265C85"/>
    <w:rsid w:val="00271A02"/>
    <w:rsid w:val="00273AED"/>
    <w:rsid w:val="00273BAE"/>
    <w:rsid w:val="00273E77"/>
    <w:rsid w:val="002766AD"/>
    <w:rsid w:val="00276775"/>
    <w:rsid w:val="00277413"/>
    <w:rsid w:val="00280519"/>
    <w:rsid w:val="00280592"/>
    <w:rsid w:val="00280A34"/>
    <w:rsid w:val="0028119C"/>
    <w:rsid w:val="00284706"/>
    <w:rsid w:val="00284825"/>
    <w:rsid w:val="00285100"/>
    <w:rsid w:val="002864BC"/>
    <w:rsid w:val="00292DF6"/>
    <w:rsid w:val="002932A8"/>
    <w:rsid w:val="00294E6C"/>
    <w:rsid w:val="00295BB7"/>
    <w:rsid w:val="00295D73"/>
    <w:rsid w:val="00296298"/>
    <w:rsid w:val="0029739C"/>
    <w:rsid w:val="002976A3"/>
    <w:rsid w:val="00297D41"/>
    <w:rsid w:val="002A255E"/>
    <w:rsid w:val="002A25AD"/>
    <w:rsid w:val="002A7493"/>
    <w:rsid w:val="002B0BCE"/>
    <w:rsid w:val="002B1327"/>
    <w:rsid w:val="002B23F2"/>
    <w:rsid w:val="002B2DA2"/>
    <w:rsid w:val="002B34E8"/>
    <w:rsid w:val="002B5F93"/>
    <w:rsid w:val="002B6B77"/>
    <w:rsid w:val="002B6CB4"/>
    <w:rsid w:val="002B6CE9"/>
    <w:rsid w:val="002C0849"/>
    <w:rsid w:val="002C1707"/>
    <w:rsid w:val="002C2FC9"/>
    <w:rsid w:val="002C3431"/>
    <w:rsid w:val="002C68B4"/>
    <w:rsid w:val="002D4067"/>
    <w:rsid w:val="002D72D9"/>
    <w:rsid w:val="002D7A6C"/>
    <w:rsid w:val="002D7B87"/>
    <w:rsid w:val="002E2F4A"/>
    <w:rsid w:val="002E3CA1"/>
    <w:rsid w:val="002E4CB5"/>
    <w:rsid w:val="002E6250"/>
    <w:rsid w:val="002E6ECC"/>
    <w:rsid w:val="002F0BEF"/>
    <w:rsid w:val="002F2127"/>
    <w:rsid w:val="002F214F"/>
    <w:rsid w:val="002F3339"/>
    <w:rsid w:val="002F51BE"/>
    <w:rsid w:val="002F54ED"/>
    <w:rsid w:val="002F5671"/>
    <w:rsid w:val="002F6594"/>
    <w:rsid w:val="002F665A"/>
    <w:rsid w:val="002F694C"/>
    <w:rsid w:val="00300491"/>
    <w:rsid w:val="00302426"/>
    <w:rsid w:val="00302667"/>
    <w:rsid w:val="003064B0"/>
    <w:rsid w:val="00306E8D"/>
    <w:rsid w:val="00316CB9"/>
    <w:rsid w:val="00317470"/>
    <w:rsid w:val="00317EAA"/>
    <w:rsid w:val="003210EC"/>
    <w:rsid w:val="00321141"/>
    <w:rsid w:val="003215C2"/>
    <w:rsid w:val="00324128"/>
    <w:rsid w:val="00325167"/>
    <w:rsid w:val="00325979"/>
    <w:rsid w:val="003303BB"/>
    <w:rsid w:val="0033138C"/>
    <w:rsid w:val="003313E6"/>
    <w:rsid w:val="00333951"/>
    <w:rsid w:val="00334EC2"/>
    <w:rsid w:val="00335A61"/>
    <w:rsid w:val="003367A9"/>
    <w:rsid w:val="003401B4"/>
    <w:rsid w:val="00341871"/>
    <w:rsid w:val="00341AA0"/>
    <w:rsid w:val="0034247E"/>
    <w:rsid w:val="003434BB"/>
    <w:rsid w:val="00353685"/>
    <w:rsid w:val="003543B5"/>
    <w:rsid w:val="00354E05"/>
    <w:rsid w:val="00355418"/>
    <w:rsid w:val="003567D4"/>
    <w:rsid w:val="00360EB4"/>
    <w:rsid w:val="00361ABD"/>
    <w:rsid w:val="00363640"/>
    <w:rsid w:val="00363C57"/>
    <w:rsid w:val="00364507"/>
    <w:rsid w:val="00364A16"/>
    <w:rsid w:val="003658A3"/>
    <w:rsid w:val="003664E9"/>
    <w:rsid w:val="00367020"/>
    <w:rsid w:val="003676EA"/>
    <w:rsid w:val="003679A1"/>
    <w:rsid w:val="00370C64"/>
    <w:rsid w:val="00371C2D"/>
    <w:rsid w:val="00372B5A"/>
    <w:rsid w:val="00372F9A"/>
    <w:rsid w:val="003735F9"/>
    <w:rsid w:val="00373FFA"/>
    <w:rsid w:val="00375D0B"/>
    <w:rsid w:val="00377825"/>
    <w:rsid w:val="00381407"/>
    <w:rsid w:val="003834CF"/>
    <w:rsid w:val="003908AF"/>
    <w:rsid w:val="0039103B"/>
    <w:rsid w:val="00391499"/>
    <w:rsid w:val="00394E03"/>
    <w:rsid w:val="00395352"/>
    <w:rsid w:val="003A2845"/>
    <w:rsid w:val="003A400B"/>
    <w:rsid w:val="003A603F"/>
    <w:rsid w:val="003A644F"/>
    <w:rsid w:val="003A79A8"/>
    <w:rsid w:val="003B2382"/>
    <w:rsid w:val="003B3E9A"/>
    <w:rsid w:val="003B4AF3"/>
    <w:rsid w:val="003B4DE3"/>
    <w:rsid w:val="003B6F77"/>
    <w:rsid w:val="003C0379"/>
    <w:rsid w:val="003C1945"/>
    <w:rsid w:val="003C1AFF"/>
    <w:rsid w:val="003C1BE9"/>
    <w:rsid w:val="003C48EC"/>
    <w:rsid w:val="003C66F8"/>
    <w:rsid w:val="003C7103"/>
    <w:rsid w:val="003C73F1"/>
    <w:rsid w:val="003D233B"/>
    <w:rsid w:val="003D3556"/>
    <w:rsid w:val="003D3EFA"/>
    <w:rsid w:val="003D726C"/>
    <w:rsid w:val="003E1F76"/>
    <w:rsid w:val="003E37E6"/>
    <w:rsid w:val="003E393F"/>
    <w:rsid w:val="003E3B1C"/>
    <w:rsid w:val="003E3E90"/>
    <w:rsid w:val="003E3ED3"/>
    <w:rsid w:val="003F140F"/>
    <w:rsid w:val="003F2253"/>
    <w:rsid w:val="003F57CA"/>
    <w:rsid w:val="003F61D6"/>
    <w:rsid w:val="004008E4"/>
    <w:rsid w:val="00401BAD"/>
    <w:rsid w:val="004026FD"/>
    <w:rsid w:val="0040294B"/>
    <w:rsid w:val="00403EB5"/>
    <w:rsid w:val="00405338"/>
    <w:rsid w:val="0040678D"/>
    <w:rsid w:val="00406E1E"/>
    <w:rsid w:val="00407190"/>
    <w:rsid w:val="0040785B"/>
    <w:rsid w:val="0041244A"/>
    <w:rsid w:val="00412CB7"/>
    <w:rsid w:val="00413A52"/>
    <w:rsid w:val="00417454"/>
    <w:rsid w:val="00420E9E"/>
    <w:rsid w:val="004214A7"/>
    <w:rsid w:val="0042231B"/>
    <w:rsid w:val="00422B5A"/>
    <w:rsid w:val="00422BC4"/>
    <w:rsid w:val="0042367D"/>
    <w:rsid w:val="00430AAE"/>
    <w:rsid w:val="00433580"/>
    <w:rsid w:val="00437E36"/>
    <w:rsid w:val="00446E3A"/>
    <w:rsid w:val="0044704D"/>
    <w:rsid w:val="00450E65"/>
    <w:rsid w:val="00456B7E"/>
    <w:rsid w:val="00457FE8"/>
    <w:rsid w:val="0046266E"/>
    <w:rsid w:val="0046424E"/>
    <w:rsid w:val="004642CD"/>
    <w:rsid w:val="00464EBE"/>
    <w:rsid w:val="00466AD7"/>
    <w:rsid w:val="004716CF"/>
    <w:rsid w:val="00471D60"/>
    <w:rsid w:val="0047221E"/>
    <w:rsid w:val="00472745"/>
    <w:rsid w:val="0047595D"/>
    <w:rsid w:val="00475FD2"/>
    <w:rsid w:val="004760B5"/>
    <w:rsid w:val="00476218"/>
    <w:rsid w:val="00480E5E"/>
    <w:rsid w:val="0048261F"/>
    <w:rsid w:val="0048315F"/>
    <w:rsid w:val="00484E21"/>
    <w:rsid w:val="00484EF1"/>
    <w:rsid w:val="00486230"/>
    <w:rsid w:val="00486C0B"/>
    <w:rsid w:val="004979D4"/>
    <w:rsid w:val="00497C45"/>
    <w:rsid w:val="004A04BD"/>
    <w:rsid w:val="004A0BB5"/>
    <w:rsid w:val="004A143A"/>
    <w:rsid w:val="004A44E8"/>
    <w:rsid w:val="004A7203"/>
    <w:rsid w:val="004A7915"/>
    <w:rsid w:val="004B2B70"/>
    <w:rsid w:val="004B5EA3"/>
    <w:rsid w:val="004D0F5F"/>
    <w:rsid w:val="004D4649"/>
    <w:rsid w:val="004D4C7E"/>
    <w:rsid w:val="004D4D36"/>
    <w:rsid w:val="004D7489"/>
    <w:rsid w:val="004E1307"/>
    <w:rsid w:val="004E16A2"/>
    <w:rsid w:val="004E3754"/>
    <w:rsid w:val="004E37BD"/>
    <w:rsid w:val="004E64CA"/>
    <w:rsid w:val="004E7185"/>
    <w:rsid w:val="004E7D84"/>
    <w:rsid w:val="004F0D64"/>
    <w:rsid w:val="004F4319"/>
    <w:rsid w:val="004F5215"/>
    <w:rsid w:val="004F63F7"/>
    <w:rsid w:val="004F717B"/>
    <w:rsid w:val="0050007F"/>
    <w:rsid w:val="005012E1"/>
    <w:rsid w:val="00502812"/>
    <w:rsid w:val="005036FF"/>
    <w:rsid w:val="005037FC"/>
    <w:rsid w:val="00505FB3"/>
    <w:rsid w:val="00507C28"/>
    <w:rsid w:val="005121C1"/>
    <w:rsid w:val="005211ED"/>
    <w:rsid w:val="005233DD"/>
    <w:rsid w:val="00525C22"/>
    <w:rsid w:val="00530DEB"/>
    <w:rsid w:val="005323AF"/>
    <w:rsid w:val="005338EF"/>
    <w:rsid w:val="00535224"/>
    <w:rsid w:val="00535BA6"/>
    <w:rsid w:val="00536521"/>
    <w:rsid w:val="005375CC"/>
    <w:rsid w:val="005520FB"/>
    <w:rsid w:val="005553EF"/>
    <w:rsid w:val="0056147A"/>
    <w:rsid w:val="0057483E"/>
    <w:rsid w:val="00574BD4"/>
    <w:rsid w:val="00577380"/>
    <w:rsid w:val="0058239B"/>
    <w:rsid w:val="00583B04"/>
    <w:rsid w:val="00585B77"/>
    <w:rsid w:val="00591A57"/>
    <w:rsid w:val="00593532"/>
    <w:rsid w:val="00593E20"/>
    <w:rsid w:val="00594B10"/>
    <w:rsid w:val="00595479"/>
    <w:rsid w:val="005A15BC"/>
    <w:rsid w:val="005A2ECB"/>
    <w:rsid w:val="005A31B8"/>
    <w:rsid w:val="005A4137"/>
    <w:rsid w:val="005A4CA3"/>
    <w:rsid w:val="005A5105"/>
    <w:rsid w:val="005A56E4"/>
    <w:rsid w:val="005A640B"/>
    <w:rsid w:val="005A6D9C"/>
    <w:rsid w:val="005A71F4"/>
    <w:rsid w:val="005A79F4"/>
    <w:rsid w:val="005B0FB1"/>
    <w:rsid w:val="005B1F37"/>
    <w:rsid w:val="005B20F7"/>
    <w:rsid w:val="005B25C2"/>
    <w:rsid w:val="005B2BBD"/>
    <w:rsid w:val="005B325C"/>
    <w:rsid w:val="005B3997"/>
    <w:rsid w:val="005B4009"/>
    <w:rsid w:val="005B5822"/>
    <w:rsid w:val="005B7419"/>
    <w:rsid w:val="005B7FE4"/>
    <w:rsid w:val="005C03D3"/>
    <w:rsid w:val="005C0701"/>
    <w:rsid w:val="005C1E63"/>
    <w:rsid w:val="005C3570"/>
    <w:rsid w:val="005C43A0"/>
    <w:rsid w:val="005C4704"/>
    <w:rsid w:val="005C4C90"/>
    <w:rsid w:val="005C5663"/>
    <w:rsid w:val="005C5E47"/>
    <w:rsid w:val="005D0C10"/>
    <w:rsid w:val="005D0EFF"/>
    <w:rsid w:val="005D19DA"/>
    <w:rsid w:val="005D2DFF"/>
    <w:rsid w:val="005D5AE3"/>
    <w:rsid w:val="005D5F74"/>
    <w:rsid w:val="005E4155"/>
    <w:rsid w:val="005E41CA"/>
    <w:rsid w:val="005E61BE"/>
    <w:rsid w:val="005E65B1"/>
    <w:rsid w:val="005E676B"/>
    <w:rsid w:val="005E69F0"/>
    <w:rsid w:val="005F034E"/>
    <w:rsid w:val="005F157B"/>
    <w:rsid w:val="005F1FFB"/>
    <w:rsid w:val="005F240D"/>
    <w:rsid w:val="005F3116"/>
    <w:rsid w:val="005F3352"/>
    <w:rsid w:val="005F3BA3"/>
    <w:rsid w:val="005F426F"/>
    <w:rsid w:val="005F7245"/>
    <w:rsid w:val="006027FB"/>
    <w:rsid w:val="00604B77"/>
    <w:rsid w:val="006079EA"/>
    <w:rsid w:val="00611B47"/>
    <w:rsid w:val="00612732"/>
    <w:rsid w:val="00612993"/>
    <w:rsid w:val="0061349A"/>
    <w:rsid w:val="00616F66"/>
    <w:rsid w:val="006178CB"/>
    <w:rsid w:val="00617BC1"/>
    <w:rsid w:val="00620EDD"/>
    <w:rsid w:val="0062299E"/>
    <w:rsid w:val="0062403A"/>
    <w:rsid w:val="0062492F"/>
    <w:rsid w:val="00626DBB"/>
    <w:rsid w:val="00631024"/>
    <w:rsid w:val="00631BF1"/>
    <w:rsid w:val="00632497"/>
    <w:rsid w:val="00632F24"/>
    <w:rsid w:val="00634D32"/>
    <w:rsid w:val="006350C7"/>
    <w:rsid w:val="00636CB1"/>
    <w:rsid w:val="00641ADA"/>
    <w:rsid w:val="00641F23"/>
    <w:rsid w:val="0064264C"/>
    <w:rsid w:val="006455A5"/>
    <w:rsid w:val="0064670D"/>
    <w:rsid w:val="00647A55"/>
    <w:rsid w:val="006537AE"/>
    <w:rsid w:val="00656D53"/>
    <w:rsid w:val="00657E22"/>
    <w:rsid w:val="00660CFC"/>
    <w:rsid w:val="00661954"/>
    <w:rsid w:val="00662181"/>
    <w:rsid w:val="0066360B"/>
    <w:rsid w:val="006646E0"/>
    <w:rsid w:val="00664FFE"/>
    <w:rsid w:val="00670B30"/>
    <w:rsid w:val="00672BEA"/>
    <w:rsid w:val="006733A6"/>
    <w:rsid w:val="006759DD"/>
    <w:rsid w:val="006761B3"/>
    <w:rsid w:val="006800DE"/>
    <w:rsid w:val="00682BD9"/>
    <w:rsid w:val="0068387A"/>
    <w:rsid w:val="00683AFF"/>
    <w:rsid w:val="00684973"/>
    <w:rsid w:val="00686907"/>
    <w:rsid w:val="00686C8C"/>
    <w:rsid w:val="006914FA"/>
    <w:rsid w:val="00691716"/>
    <w:rsid w:val="00692CFC"/>
    <w:rsid w:val="006934FD"/>
    <w:rsid w:val="006A09E6"/>
    <w:rsid w:val="006A3199"/>
    <w:rsid w:val="006A477B"/>
    <w:rsid w:val="006A4D16"/>
    <w:rsid w:val="006A7BE8"/>
    <w:rsid w:val="006B1BC7"/>
    <w:rsid w:val="006B2581"/>
    <w:rsid w:val="006B2B0A"/>
    <w:rsid w:val="006B3609"/>
    <w:rsid w:val="006B4298"/>
    <w:rsid w:val="006B474C"/>
    <w:rsid w:val="006B7062"/>
    <w:rsid w:val="006C1B83"/>
    <w:rsid w:val="006C3C0E"/>
    <w:rsid w:val="006C4801"/>
    <w:rsid w:val="006C664F"/>
    <w:rsid w:val="006C7B81"/>
    <w:rsid w:val="006E2140"/>
    <w:rsid w:val="006E472D"/>
    <w:rsid w:val="006E4E13"/>
    <w:rsid w:val="006E6478"/>
    <w:rsid w:val="006F2C79"/>
    <w:rsid w:val="00701249"/>
    <w:rsid w:val="00703337"/>
    <w:rsid w:val="0070353F"/>
    <w:rsid w:val="007045E4"/>
    <w:rsid w:val="00710CF8"/>
    <w:rsid w:val="007145D6"/>
    <w:rsid w:val="00717D70"/>
    <w:rsid w:val="007203AE"/>
    <w:rsid w:val="007215E9"/>
    <w:rsid w:val="00721C35"/>
    <w:rsid w:val="00722A4A"/>
    <w:rsid w:val="00722FD1"/>
    <w:rsid w:val="007241BC"/>
    <w:rsid w:val="00724F64"/>
    <w:rsid w:val="00726EC6"/>
    <w:rsid w:val="00731A03"/>
    <w:rsid w:val="00732C8D"/>
    <w:rsid w:val="007345A2"/>
    <w:rsid w:val="007350D9"/>
    <w:rsid w:val="0073533C"/>
    <w:rsid w:val="00740253"/>
    <w:rsid w:val="007404CB"/>
    <w:rsid w:val="007404D3"/>
    <w:rsid w:val="00742B13"/>
    <w:rsid w:val="00744BBB"/>
    <w:rsid w:val="007454BE"/>
    <w:rsid w:val="007455F0"/>
    <w:rsid w:val="007456CB"/>
    <w:rsid w:val="00745FDC"/>
    <w:rsid w:val="00746159"/>
    <w:rsid w:val="007464BF"/>
    <w:rsid w:val="00746B19"/>
    <w:rsid w:val="007513AD"/>
    <w:rsid w:val="00752B9B"/>
    <w:rsid w:val="007548AA"/>
    <w:rsid w:val="00757BF9"/>
    <w:rsid w:val="00757DE1"/>
    <w:rsid w:val="007629D3"/>
    <w:rsid w:val="007642C7"/>
    <w:rsid w:val="007670CB"/>
    <w:rsid w:val="00771311"/>
    <w:rsid w:val="00774AD6"/>
    <w:rsid w:val="007754B9"/>
    <w:rsid w:val="00775EC7"/>
    <w:rsid w:val="00777856"/>
    <w:rsid w:val="00777A5D"/>
    <w:rsid w:val="007814DE"/>
    <w:rsid w:val="007817AD"/>
    <w:rsid w:val="00782829"/>
    <w:rsid w:val="00782F49"/>
    <w:rsid w:val="00783021"/>
    <w:rsid w:val="00783587"/>
    <w:rsid w:val="00783E68"/>
    <w:rsid w:val="0078540A"/>
    <w:rsid w:val="0078596A"/>
    <w:rsid w:val="00786248"/>
    <w:rsid w:val="00787F3C"/>
    <w:rsid w:val="00790295"/>
    <w:rsid w:val="00791109"/>
    <w:rsid w:val="0079333A"/>
    <w:rsid w:val="007933A4"/>
    <w:rsid w:val="0079398B"/>
    <w:rsid w:val="00794616"/>
    <w:rsid w:val="00795E82"/>
    <w:rsid w:val="00797D2C"/>
    <w:rsid w:val="007A1A3B"/>
    <w:rsid w:val="007A28D2"/>
    <w:rsid w:val="007A3248"/>
    <w:rsid w:val="007A4F38"/>
    <w:rsid w:val="007A63F6"/>
    <w:rsid w:val="007A7152"/>
    <w:rsid w:val="007B0FB1"/>
    <w:rsid w:val="007B194E"/>
    <w:rsid w:val="007B1DD4"/>
    <w:rsid w:val="007B32C9"/>
    <w:rsid w:val="007B4F92"/>
    <w:rsid w:val="007B6AC5"/>
    <w:rsid w:val="007B761D"/>
    <w:rsid w:val="007C1872"/>
    <w:rsid w:val="007C2398"/>
    <w:rsid w:val="007C4290"/>
    <w:rsid w:val="007C4B95"/>
    <w:rsid w:val="007C53E1"/>
    <w:rsid w:val="007C5545"/>
    <w:rsid w:val="007D3500"/>
    <w:rsid w:val="007D371B"/>
    <w:rsid w:val="007D5714"/>
    <w:rsid w:val="007D71C6"/>
    <w:rsid w:val="007D7C0C"/>
    <w:rsid w:val="007E03FF"/>
    <w:rsid w:val="007E1018"/>
    <w:rsid w:val="007E29B2"/>
    <w:rsid w:val="007E3436"/>
    <w:rsid w:val="007E37FF"/>
    <w:rsid w:val="007F36DA"/>
    <w:rsid w:val="007F5423"/>
    <w:rsid w:val="007F543C"/>
    <w:rsid w:val="00800E80"/>
    <w:rsid w:val="0080112C"/>
    <w:rsid w:val="008018DE"/>
    <w:rsid w:val="00802B87"/>
    <w:rsid w:val="008036B1"/>
    <w:rsid w:val="00804298"/>
    <w:rsid w:val="008047DE"/>
    <w:rsid w:val="0080524D"/>
    <w:rsid w:val="008061F1"/>
    <w:rsid w:val="00807B6A"/>
    <w:rsid w:val="0081063F"/>
    <w:rsid w:val="00811C45"/>
    <w:rsid w:val="008143D0"/>
    <w:rsid w:val="00817497"/>
    <w:rsid w:val="008213CD"/>
    <w:rsid w:val="008216E5"/>
    <w:rsid w:val="00822BA6"/>
    <w:rsid w:val="00823889"/>
    <w:rsid w:val="00824D9F"/>
    <w:rsid w:val="00830AAE"/>
    <w:rsid w:val="00831EC8"/>
    <w:rsid w:val="00837DFD"/>
    <w:rsid w:val="0084030F"/>
    <w:rsid w:val="00841019"/>
    <w:rsid w:val="00846A4C"/>
    <w:rsid w:val="00846DFF"/>
    <w:rsid w:val="00847654"/>
    <w:rsid w:val="00847AAE"/>
    <w:rsid w:val="00852E4D"/>
    <w:rsid w:val="00856421"/>
    <w:rsid w:val="00857EF1"/>
    <w:rsid w:val="0086144B"/>
    <w:rsid w:val="00861D2C"/>
    <w:rsid w:val="00864866"/>
    <w:rsid w:val="008655C0"/>
    <w:rsid w:val="00866CBA"/>
    <w:rsid w:val="00870460"/>
    <w:rsid w:val="00871BBE"/>
    <w:rsid w:val="00872F67"/>
    <w:rsid w:val="00875971"/>
    <w:rsid w:val="00876A5C"/>
    <w:rsid w:val="008771D0"/>
    <w:rsid w:val="0088447D"/>
    <w:rsid w:val="008844C8"/>
    <w:rsid w:val="0088477A"/>
    <w:rsid w:val="00893C58"/>
    <w:rsid w:val="00895E08"/>
    <w:rsid w:val="008A32DC"/>
    <w:rsid w:val="008A3646"/>
    <w:rsid w:val="008A534A"/>
    <w:rsid w:val="008A7216"/>
    <w:rsid w:val="008A742D"/>
    <w:rsid w:val="008A7DB0"/>
    <w:rsid w:val="008B082A"/>
    <w:rsid w:val="008B15D0"/>
    <w:rsid w:val="008B49E7"/>
    <w:rsid w:val="008B5E8C"/>
    <w:rsid w:val="008B72F8"/>
    <w:rsid w:val="008B7797"/>
    <w:rsid w:val="008C2F4A"/>
    <w:rsid w:val="008D247B"/>
    <w:rsid w:val="008D2724"/>
    <w:rsid w:val="008D3CED"/>
    <w:rsid w:val="008D6A38"/>
    <w:rsid w:val="008E0616"/>
    <w:rsid w:val="008E70F9"/>
    <w:rsid w:val="008E7AFC"/>
    <w:rsid w:val="008E7B12"/>
    <w:rsid w:val="008E7C9B"/>
    <w:rsid w:val="008F14DE"/>
    <w:rsid w:val="008F3B01"/>
    <w:rsid w:val="008F4685"/>
    <w:rsid w:val="008F470C"/>
    <w:rsid w:val="008F4715"/>
    <w:rsid w:val="008F664E"/>
    <w:rsid w:val="008F749C"/>
    <w:rsid w:val="008F7D4B"/>
    <w:rsid w:val="00903F9A"/>
    <w:rsid w:val="00905157"/>
    <w:rsid w:val="00905211"/>
    <w:rsid w:val="00911207"/>
    <w:rsid w:val="00912169"/>
    <w:rsid w:val="00912629"/>
    <w:rsid w:val="0091330D"/>
    <w:rsid w:val="00914F0F"/>
    <w:rsid w:val="00914FE0"/>
    <w:rsid w:val="0092037A"/>
    <w:rsid w:val="009213FC"/>
    <w:rsid w:val="009227C5"/>
    <w:rsid w:val="009229B7"/>
    <w:rsid w:val="009246AD"/>
    <w:rsid w:val="00927474"/>
    <w:rsid w:val="00931557"/>
    <w:rsid w:val="00932116"/>
    <w:rsid w:val="00932D23"/>
    <w:rsid w:val="0093735B"/>
    <w:rsid w:val="00937C46"/>
    <w:rsid w:val="0094106E"/>
    <w:rsid w:val="00941BA3"/>
    <w:rsid w:val="00943294"/>
    <w:rsid w:val="009440B9"/>
    <w:rsid w:val="00944D6B"/>
    <w:rsid w:val="00946252"/>
    <w:rsid w:val="00951C48"/>
    <w:rsid w:val="00952E7F"/>
    <w:rsid w:val="009530DF"/>
    <w:rsid w:val="00953974"/>
    <w:rsid w:val="00957C37"/>
    <w:rsid w:val="00960888"/>
    <w:rsid w:val="00961FBF"/>
    <w:rsid w:val="00964CBB"/>
    <w:rsid w:val="0096598E"/>
    <w:rsid w:val="00971931"/>
    <w:rsid w:val="0097251E"/>
    <w:rsid w:val="009728A2"/>
    <w:rsid w:val="00972E3C"/>
    <w:rsid w:val="00973713"/>
    <w:rsid w:val="0097524B"/>
    <w:rsid w:val="00976E7A"/>
    <w:rsid w:val="00977936"/>
    <w:rsid w:val="0098076E"/>
    <w:rsid w:val="00981D15"/>
    <w:rsid w:val="00984781"/>
    <w:rsid w:val="00990343"/>
    <w:rsid w:val="00990357"/>
    <w:rsid w:val="009905BD"/>
    <w:rsid w:val="0099228C"/>
    <w:rsid w:val="00995CD5"/>
    <w:rsid w:val="009967BE"/>
    <w:rsid w:val="009979AA"/>
    <w:rsid w:val="00997B8F"/>
    <w:rsid w:val="009A0E14"/>
    <w:rsid w:val="009A4075"/>
    <w:rsid w:val="009A46A8"/>
    <w:rsid w:val="009A4A60"/>
    <w:rsid w:val="009A5DA1"/>
    <w:rsid w:val="009B1D38"/>
    <w:rsid w:val="009B1EE1"/>
    <w:rsid w:val="009B2F0F"/>
    <w:rsid w:val="009B32AA"/>
    <w:rsid w:val="009B6820"/>
    <w:rsid w:val="009C0EDE"/>
    <w:rsid w:val="009C169D"/>
    <w:rsid w:val="009C2786"/>
    <w:rsid w:val="009C68BB"/>
    <w:rsid w:val="009D0EDC"/>
    <w:rsid w:val="009D172C"/>
    <w:rsid w:val="009D61CB"/>
    <w:rsid w:val="009D7DDE"/>
    <w:rsid w:val="009E1B9C"/>
    <w:rsid w:val="009E3662"/>
    <w:rsid w:val="009E4F2B"/>
    <w:rsid w:val="009E5777"/>
    <w:rsid w:val="009F0AFB"/>
    <w:rsid w:val="009F1697"/>
    <w:rsid w:val="009F1846"/>
    <w:rsid w:val="009F2E7E"/>
    <w:rsid w:val="009F4639"/>
    <w:rsid w:val="009F5CDB"/>
    <w:rsid w:val="009F6EF7"/>
    <w:rsid w:val="00A001AF"/>
    <w:rsid w:val="00A02D62"/>
    <w:rsid w:val="00A03385"/>
    <w:rsid w:val="00A035EA"/>
    <w:rsid w:val="00A03BA6"/>
    <w:rsid w:val="00A043F2"/>
    <w:rsid w:val="00A06720"/>
    <w:rsid w:val="00A10E5E"/>
    <w:rsid w:val="00A1161B"/>
    <w:rsid w:val="00A137EC"/>
    <w:rsid w:val="00A16ABF"/>
    <w:rsid w:val="00A173B7"/>
    <w:rsid w:val="00A17498"/>
    <w:rsid w:val="00A2008C"/>
    <w:rsid w:val="00A20688"/>
    <w:rsid w:val="00A20CAA"/>
    <w:rsid w:val="00A20EB5"/>
    <w:rsid w:val="00A210DE"/>
    <w:rsid w:val="00A2166E"/>
    <w:rsid w:val="00A23C90"/>
    <w:rsid w:val="00A24C2B"/>
    <w:rsid w:val="00A25906"/>
    <w:rsid w:val="00A263BE"/>
    <w:rsid w:val="00A3436E"/>
    <w:rsid w:val="00A3484A"/>
    <w:rsid w:val="00A4095E"/>
    <w:rsid w:val="00A40DA4"/>
    <w:rsid w:val="00A40FD0"/>
    <w:rsid w:val="00A45213"/>
    <w:rsid w:val="00A5009B"/>
    <w:rsid w:val="00A52207"/>
    <w:rsid w:val="00A5302F"/>
    <w:rsid w:val="00A57030"/>
    <w:rsid w:val="00A57A74"/>
    <w:rsid w:val="00A57A96"/>
    <w:rsid w:val="00A57BCB"/>
    <w:rsid w:val="00A60BB1"/>
    <w:rsid w:val="00A62826"/>
    <w:rsid w:val="00A6439B"/>
    <w:rsid w:val="00A6441D"/>
    <w:rsid w:val="00A64768"/>
    <w:rsid w:val="00A6729E"/>
    <w:rsid w:val="00A6734B"/>
    <w:rsid w:val="00A6758C"/>
    <w:rsid w:val="00A70234"/>
    <w:rsid w:val="00A763DC"/>
    <w:rsid w:val="00A764EF"/>
    <w:rsid w:val="00A76832"/>
    <w:rsid w:val="00A77389"/>
    <w:rsid w:val="00A81C4A"/>
    <w:rsid w:val="00A84631"/>
    <w:rsid w:val="00A85256"/>
    <w:rsid w:val="00A90A14"/>
    <w:rsid w:val="00A92622"/>
    <w:rsid w:val="00A93591"/>
    <w:rsid w:val="00A94451"/>
    <w:rsid w:val="00A95F5E"/>
    <w:rsid w:val="00A9690D"/>
    <w:rsid w:val="00A97479"/>
    <w:rsid w:val="00A97C4D"/>
    <w:rsid w:val="00AA2401"/>
    <w:rsid w:val="00AA28D5"/>
    <w:rsid w:val="00AA2EC5"/>
    <w:rsid w:val="00AA7A69"/>
    <w:rsid w:val="00AA7AE1"/>
    <w:rsid w:val="00AB0E0A"/>
    <w:rsid w:val="00AB1EAD"/>
    <w:rsid w:val="00AB345E"/>
    <w:rsid w:val="00AB34C5"/>
    <w:rsid w:val="00AB3A0B"/>
    <w:rsid w:val="00AB3BD2"/>
    <w:rsid w:val="00AC0CA4"/>
    <w:rsid w:val="00AC464F"/>
    <w:rsid w:val="00AC5140"/>
    <w:rsid w:val="00AC56F7"/>
    <w:rsid w:val="00AC69C8"/>
    <w:rsid w:val="00AC712E"/>
    <w:rsid w:val="00AD155E"/>
    <w:rsid w:val="00AD23B1"/>
    <w:rsid w:val="00AD3CD4"/>
    <w:rsid w:val="00AD4204"/>
    <w:rsid w:val="00AD4CA2"/>
    <w:rsid w:val="00AD4D29"/>
    <w:rsid w:val="00AD581A"/>
    <w:rsid w:val="00AE11CA"/>
    <w:rsid w:val="00AE2363"/>
    <w:rsid w:val="00AE4997"/>
    <w:rsid w:val="00AF0571"/>
    <w:rsid w:val="00AF1F37"/>
    <w:rsid w:val="00AF2B25"/>
    <w:rsid w:val="00AF3BEE"/>
    <w:rsid w:val="00AF43E0"/>
    <w:rsid w:val="00AF46C4"/>
    <w:rsid w:val="00AF5A7E"/>
    <w:rsid w:val="00AF7F6A"/>
    <w:rsid w:val="00B003F8"/>
    <w:rsid w:val="00B0169A"/>
    <w:rsid w:val="00B05A88"/>
    <w:rsid w:val="00B0752E"/>
    <w:rsid w:val="00B12464"/>
    <w:rsid w:val="00B13484"/>
    <w:rsid w:val="00B152C5"/>
    <w:rsid w:val="00B15B2A"/>
    <w:rsid w:val="00B16CE2"/>
    <w:rsid w:val="00B16F2C"/>
    <w:rsid w:val="00B219FC"/>
    <w:rsid w:val="00B21FC1"/>
    <w:rsid w:val="00B226F3"/>
    <w:rsid w:val="00B22B93"/>
    <w:rsid w:val="00B230F8"/>
    <w:rsid w:val="00B24EF0"/>
    <w:rsid w:val="00B24F65"/>
    <w:rsid w:val="00B304D6"/>
    <w:rsid w:val="00B30965"/>
    <w:rsid w:val="00B30A1E"/>
    <w:rsid w:val="00B30ADF"/>
    <w:rsid w:val="00B35B8D"/>
    <w:rsid w:val="00B36291"/>
    <w:rsid w:val="00B37C8B"/>
    <w:rsid w:val="00B43349"/>
    <w:rsid w:val="00B47570"/>
    <w:rsid w:val="00B53943"/>
    <w:rsid w:val="00B549D2"/>
    <w:rsid w:val="00B5694E"/>
    <w:rsid w:val="00B56BA9"/>
    <w:rsid w:val="00B60076"/>
    <w:rsid w:val="00B62B39"/>
    <w:rsid w:val="00B62EF8"/>
    <w:rsid w:val="00B63570"/>
    <w:rsid w:val="00B65E8B"/>
    <w:rsid w:val="00B67B4A"/>
    <w:rsid w:val="00B73677"/>
    <w:rsid w:val="00B73F61"/>
    <w:rsid w:val="00B7514F"/>
    <w:rsid w:val="00B7618D"/>
    <w:rsid w:val="00B76486"/>
    <w:rsid w:val="00B81F22"/>
    <w:rsid w:val="00B837F9"/>
    <w:rsid w:val="00B83E7F"/>
    <w:rsid w:val="00B844BB"/>
    <w:rsid w:val="00B847A4"/>
    <w:rsid w:val="00B85EA8"/>
    <w:rsid w:val="00B93F6F"/>
    <w:rsid w:val="00B94DB0"/>
    <w:rsid w:val="00B96AFC"/>
    <w:rsid w:val="00B97F9F"/>
    <w:rsid w:val="00BA0E2E"/>
    <w:rsid w:val="00BA0EED"/>
    <w:rsid w:val="00BA2238"/>
    <w:rsid w:val="00BB05E3"/>
    <w:rsid w:val="00BB15FD"/>
    <w:rsid w:val="00BB36B2"/>
    <w:rsid w:val="00BC269C"/>
    <w:rsid w:val="00BC3F51"/>
    <w:rsid w:val="00BC41FF"/>
    <w:rsid w:val="00BC4C2E"/>
    <w:rsid w:val="00BC6504"/>
    <w:rsid w:val="00BC6756"/>
    <w:rsid w:val="00BC6B43"/>
    <w:rsid w:val="00BD157F"/>
    <w:rsid w:val="00BD208B"/>
    <w:rsid w:val="00BD2C44"/>
    <w:rsid w:val="00BD2F3E"/>
    <w:rsid w:val="00BD67BE"/>
    <w:rsid w:val="00BD71AA"/>
    <w:rsid w:val="00BE2CA9"/>
    <w:rsid w:val="00BE2F91"/>
    <w:rsid w:val="00BE336A"/>
    <w:rsid w:val="00BE558D"/>
    <w:rsid w:val="00BE69B7"/>
    <w:rsid w:val="00BF2D01"/>
    <w:rsid w:val="00BF2F24"/>
    <w:rsid w:val="00BF35A4"/>
    <w:rsid w:val="00BF3D4E"/>
    <w:rsid w:val="00BF471A"/>
    <w:rsid w:val="00BF4DCD"/>
    <w:rsid w:val="00C00964"/>
    <w:rsid w:val="00C0479C"/>
    <w:rsid w:val="00C0538E"/>
    <w:rsid w:val="00C06818"/>
    <w:rsid w:val="00C071AA"/>
    <w:rsid w:val="00C109AB"/>
    <w:rsid w:val="00C10EE0"/>
    <w:rsid w:val="00C11A60"/>
    <w:rsid w:val="00C12556"/>
    <w:rsid w:val="00C129D3"/>
    <w:rsid w:val="00C135D0"/>
    <w:rsid w:val="00C17CE7"/>
    <w:rsid w:val="00C22169"/>
    <w:rsid w:val="00C2244F"/>
    <w:rsid w:val="00C23174"/>
    <w:rsid w:val="00C255B2"/>
    <w:rsid w:val="00C259C7"/>
    <w:rsid w:val="00C2697F"/>
    <w:rsid w:val="00C26DD1"/>
    <w:rsid w:val="00C27774"/>
    <w:rsid w:val="00C32C67"/>
    <w:rsid w:val="00C45300"/>
    <w:rsid w:val="00C456DA"/>
    <w:rsid w:val="00C467D0"/>
    <w:rsid w:val="00C506D5"/>
    <w:rsid w:val="00C54CA4"/>
    <w:rsid w:val="00C55AD1"/>
    <w:rsid w:val="00C606ED"/>
    <w:rsid w:val="00C6170A"/>
    <w:rsid w:val="00C6512C"/>
    <w:rsid w:val="00C674A7"/>
    <w:rsid w:val="00C7163B"/>
    <w:rsid w:val="00C74D67"/>
    <w:rsid w:val="00C82DE7"/>
    <w:rsid w:val="00C835B4"/>
    <w:rsid w:val="00C83B55"/>
    <w:rsid w:val="00C83CB2"/>
    <w:rsid w:val="00C86F1A"/>
    <w:rsid w:val="00C86FCD"/>
    <w:rsid w:val="00C87500"/>
    <w:rsid w:val="00C91717"/>
    <w:rsid w:val="00C917DC"/>
    <w:rsid w:val="00C9266A"/>
    <w:rsid w:val="00C97D54"/>
    <w:rsid w:val="00CA31F8"/>
    <w:rsid w:val="00CA3B2E"/>
    <w:rsid w:val="00CB14E5"/>
    <w:rsid w:val="00CB1FE2"/>
    <w:rsid w:val="00CB2C56"/>
    <w:rsid w:val="00CB4A66"/>
    <w:rsid w:val="00CB7160"/>
    <w:rsid w:val="00CB7DA4"/>
    <w:rsid w:val="00CC62B2"/>
    <w:rsid w:val="00CC6415"/>
    <w:rsid w:val="00CE252C"/>
    <w:rsid w:val="00CE2A26"/>
    <w:rsid w:val="00CE2C6B"/>
    <w:rsid w:val="00CE5922"/>
    <w:rsid w:val="00CF05B6"/>
    <w:rsid w:val="00CF14E0"/>
    <w:rsid w:val="00CF4777"/>
    <w:rsid w:val="00CF63EA"/>
    <w:rsid w:val="00CF64E8"/>
    <w:rsid w:val="00CF6F18"/>
    <w:rsid w:val="00CF76B9"/>
    <w:rsid w:val="00CF7BDC"/>
    <w:rsid w:val="00D01E3C"/>
    <w:rsid w:val="00D02C4E"/>
    <w:rsid w:val="00D03454"/>
    <w:rsid w:val="00D06BCC"/>
    <w:rsid w:val="00D12822"/>
    <w:rsid w:val="00D141CE"/>
    <w:rsid w:val="00D14763"/>
    <w:rsid w:val="00D152EE"/>
    <w:rsid w:val="00D1595A"/>
    <w:rsid w:val="00D1607C"/>
    <w:rsid w:val="00D16BF7"/>
    <w:rsid w:val="00D17EBA"/>
    <w:rsid w:val="00D21CCB"/>
    <w:rsid w:val="00D21F40"/>
    <w:rsid w:val="00D227EF"/>
    <w:rsid w:val="00D2311D"/>
    <w:rsid w:val="00D2412A"/>
    <w:rsid w:val="00D251D3"/>
    <w:rsid w:val="00D25CF6"/>
    <w:rsid w:val="00D27729"/>
    <w:rsid w:val="00D30F06"/>
    <w:rsid w:val="00D32516"/>
    <w:rsid w:val="00D32E24"/>
    <w:rsid w:val="00D33E2A"/>
    <w:rsid w:val="00D34D20"/>
    <w:rsid w:val="00D3729F"/>
    <w:rsid w:val="00D375B3"/>
    <w:rsid w:val="00D40F6A"/>
    <w:rsid w:val="00D446B0"/>
    <w:rsid w:val="00D44CBF"/>
    <w:rsid w:val="00D51584"/>
    <w:rsid w:val="00D51DD1"/>
    <w:rsid w:val="00D53957"/>
    <w:rsid w:val="00D54BC4"/>
    <w:rsid w:val="00D60610"/>
    <w:rsid w:val="00D61539"/>
    <w:rsid w:val="00D616AA"/>
    <w:rsid w:val="00D6183E"/>
    <w:rsid w:val="00D63AB2"/>
    <w:rsid w:val="00D64401"/>
    <w:rsid w:val="00D66049"/>
    <w:rsid w:val="00D66AFA"/>
    <w:rsid w:val="00D678AF"/>
    <w:rsid w:val="00D71D5E"/>
    <w:rsid w:val="00D71D95"/>
    <w:rsid w:val="00D732EB"/>
    <w:rsid w:val="00D73E26"/>
    <w:rsid w:val="00D77917"/>
    <w:rsid w:val="00D81907"/>
    <w:rsid w:val="00D83A8A"/>
    <w:rsid w:val="00D85C0B"/>
    <w:rsid w:val="00D860FE"/>
    <w:rsid w:val="00D925EB"/>
    <w:rsid w:val="00D93034"/>
    <w:rsid w:val="00D963C0"/>
    <w:rsid w:val="00D9684D"/>
    <w:rsid w:val="00D96E6D"/>
    <w:rsid w:val="00D96FFF"/>
    <w:rsid w:val="00D97BF5"/>
    <w:rsid w:val="00DA026C"/>
    <w:rsid w:val="00DA2A6B"/>
    <w:rsid w:val="00DA5C72"/>
    <w:rsid w:val="00DA6041"/>
    <w:rsid w:val="00DA73BD"/>
    <w:rsid w:val="00DA7C2A"/>
    <w:rsid w:val="00DB3110"/>
    <w:rsid w:val="00DB3ACF"/>
    <w:rsid w:val="00DB6ABD"/>
    <w:rsid w:val="00DC0C83"/>
    <w:rsid w:val="00DC3B8D"/>
    <w:rsid w:val="00DC78E6"/>
    <w:rsid w:val="00DD1FBE"/>
    <w:rsid w:val="00DD238A"/>
    <w:rsid w:val="00DD2890"/>
    <w:rsid w:val="00DD3430"/>
    <w:rsid w:val="00DD508A"/>
    <w:rsid w:val="00DD55D2"/>
    <w:rsid w:val="00DD6012"/>
    <w:rsid w:val="00DD6DBB"/>
    <w:rsid w:val="00DD7489"/>
    <w:rsid w:val="00DE2D46"/>
    <w:rsid w:val="00DE3682"/>
    <w:rsid w:val="00DE7745"/>
    <w:rsid w:val="00DE7D56"/>
    <w:rsid w:val="00DF4AE9"/>
    <w:rsid w:val="00E005EE"/>
    <w:rsid w:val="00E069FA"/>
    <w:rsid w:val="00E074F2"/>
    <w:rsid w:val="00E11005"/>
    <w:rsid w:val="00E152D8"/>
    <w:rsid w:val="00E16342"/>
    <w:rsid w:val="00E16AF2"/>
    <w:rsid w:val="00E17B27"/>
    <w:rsid w:val="00E21625"/>
    <w:rsid w:val="00E21BBB"/>
    <w:rsid w:val="00E22513"/>
    <w:rsid w:val="00E23D51"/>
    <w:rsid w:val="00E25804"/>
    <w:rsid w:val="00E26C2E"/>
    <w:rsid w:val="00E27193"/>
    <w:rsid w:val="00E31F88"/>
    <w:rsid w:val="00E32071"/>
    <w:rsid w:val="00E34030"/>
    <w:rsid w:val="00E3615E"/>
    <w:rsid w:val="00E36C09"/>
    <w:rsid w:val="00E37B96"/>
    <w:rsid w:val="00E404B3"/>
    <w:rsid w:val="00E44E5C"/>
    <w:rsid w:val="00E47117"/>
    <w:rsid w:val="00E4763B"/>
    <w:rsid w:val="00E50EF2"/>
    <w:rsid w:val="00E51AB7"/>
    <w:rsid w:val="00E52FBC"/>
    <w:rsid w:val="00E537DE"/>
    <w:rsid w:val="00E54649"/>
    <w:rsid w:val="00E55F0F"/>
    <w:rsid w:val="00E5757C"/>
    <w:rsid w:val="00E617EB"/>
    <w:rsid w:val="00E62AEB"/>
    <w:rsid w:val="00E62B93"/>
    <w:rsid w:val="00E6673B"/>
    <w:rsid w:val="00E67E1D"/>
    <w:rsid w:val="00E70852"/>
    <w:rsid w:val="00E71AFE"/>
    <w:rsid w:val="00E750C0"/>
    <w:rsid w:val="00E77E05"/>
    <w:rsid w:val="00E82142"/>
    <w:rsid w:val="00E902BD"/>
    <w:rsid w:val="00E90F3D"/>
    <w:rsid w:val="00E91482"/>
    <w:rsid w:val="00E93D5F"/>
    <w:rsid w:val="00E958F1"/>
    <w:rsid w:val="00E96302"/>
    <w:rsid w:val="00E968F7"/>
    <w:rsid w:val="00E975A1"/>
    <w:rsid w:val="00EA0980"/>
    <w:rsid w:val="00EA154B"/>
    <w:rsid w:val="00EA2ED6"/>
    <w:rsid w:val="00EA46B3"/>
    <w:rsid w:val="00EA5D3E"/>
    <w:rsid w:val="00EA6FF0"/>
    <w:rsid w:val="00EA7287"/>
    <w:rsid w:val="00EB0345"/>
    <w:rsid w:val="00EB0533"/>
    <w:rsid w:val="00EB0641"/>
    <w:rsid w:val="00EB22E7"/>
    <w:rsid w:val="00EC36F6"/>
    <w:rsid w:val="00EC457E"/>
    <w:rsid w:val="00EC678D"/>
    <w:rsid w:val="00ED1A8C"/>
    <w:rsid w:val="00ED4365"/>
    <w:rsid w:val="00EE1784"/>
    <w:rsid w:val="00EE29B6"/>
    <w:rsid w:val="00EE547D"/>
    <w:rsid w:val="00EF18AC"/>
    <w:rsid w:val="00EF1AEC"/>
    <w:rsid w:val="00EF218A"/>
    <w:rsid w:val="00EF2AA7"/>
    <w:rsid w:val="00EF5376"/>
    <w:rsid w:val="00F008C6"/>
    <w:rsid w:val="00F02586"/>
    <w:rsid w:val="00F037D0"/>
    <w:rsid w:val="00F05B68"/>
    <w:rsid w:val="00F07643"/>
    <w:rsid w:val="00F10520"/>
    <w:rsid w:val="00F1193C"/>
    <w:rsid w:val="00F134F5"/>
    <w:rsid w:val="00F16B70"/>
    <w:rsid w:val="00F177E7"/>
    <w:rsid w:val="00F17D60"/>
    <w:rsid w:val="00F17D72"/>
    <w:rsid w:val="00F20FB6"/>
    <w:rsid w:val="00F23CE7"/>
    <w:rsid w:val="00F24CD4"/>
    <w:rsid w:val="00F27A02"/>
    <w:rsid w:val="00F32B2A"/>
    <w:rsid w:val="00F34882"/>
    <w:rsid w:val="00F40033"/>
    <w:rsid w:val="00F40FF2"/>
    <w:rsid w:val="00F46D0B"/>
    <w:rsid w:val="00F47B85"/>
    <w:rsid w:val="00F502FF"/>
    <w:rsid w:val="00F50E78"/>
    <w:rsid w:val="00F519AE"/>
    <w:rsid w:val="00F523E1"/>
    <w:rsid w:val="00F52654"/>
    <w:rsid w:val="00F52E63"/>
    <w:rsid w:val="00F534C1"/>
    <w:rsid w:val="00F536D8"/>
    <w:rsid w:val="00F542B1"/>
    <w:rsid w:val="00F54C4D"/>
    <w:rsid w:val="00F5645C"/>
    <w:rsid w:val="00F61ED4"/>
    <w:rsid w:val="00F6282E"/>
    <w:rsid w:val="00F62834"/>
    <w:rsid w:val="00F628D9"/>
    <w:rsid w:val="00F64915"/>
    <w:rsid w:val="00F64A69"/>
    <w:rsid w:val="00F64B8F"/>
    <w:rsid w:val="00F64CCE"/>
    <w:rsid w:val="00F65E43"/>
    <w:rsid w:val="00F65E4B"/>
    <w:rsid w:val="00F67085"/>
    <w:rsid w:val="00F70A40"/>
    <w:rsid w:val="00F73E67"/>
    <w:rsid w:val="00F762D4"/>
    <w:rsid w:val="00F77960"/>
    <w:rsid w:val="00F8018C"/>
    <w:rsid w:val="00F816CB"/>
    <w:rsid w:val="00F81714"/>
    <w:rsid w:val="00F82646"/>
    <w:rsid w:val="00F8282F"/>
    <w:rsid w:val="00F85554"/>
    <w:rsid w:val="00F85C7E"/>
    <w:rsid w:val="00F864BB"/>
    <w:rsid w:val="00F87735"/>
    <w:rsid w:val="00F877CD"/>
    <w:rsid w:val="00F87EFC"/>
    <w:rsid w:val="00F902B1"/>
    <w:rsid w:val="00F918FA"/>
    <w:rsid w:val="00F920DD"/>
    <w:rsid w:val="00F9261A"/>
    <w:rsid w:val="00F9322E"/>
    <w:rsid w:val="00F94F41"/>
    <w:rsid w:val="00FA3191"/>
    <w:rsid w:val="00FA4653"/>
    <w:rsid w:val="00FA5502"/>
    <w:rsid w:val="00FA5A72"/>
    <w:rsid w:val="00FA7D5D"/>
    <w:rsid w:val="00FB0FC3"/>
    <w:rsid w:val="00FB19BB"/>
    <w:rsid w:val="00FB25B9"/>
    <w:rsid w:val="00FB394E"/>
    <w:rsid w:val="00FB428C"/>
    <w:rsid w:val="00FB4432"/>
    <w:rsid w:val="00FB471B"/>
    <w:rsid w:val="00FB496E"/>
    <w:rsid w:val="00FB5327"/>
    <w:rsid w:val="00FB61A6"/>
    <w:rsid w:val="00FC1C9B"/>
    <w:rsid w:val="00FC3ECA"/>
    <w:rsid w:val="00FC40E3"/>
    <w:rsid w:val="00FC5D43"/>
    <w:rsid w:val="00FC6FD8"/>
    <w:rsid w:val="00FC72BC"/>
    <w:rsid w:val="00FD13BF"/>
    <w:rsid w:val="00FD164A"/>
    <w:rsid w:val="00FD1B88"/>
    <w:rsid w:val="00FD3220"/>
    <w:rsid w:val="00FD398E"/>
    <w:rsid w:val="00FD3A17"/>
    <w:rsid w:val="00FD3FDF"/>
    <w:rsid w:val="00FD4045"/>
    <w:rsid w:val="00FD45BC"/>
    <w:rsid w:val="00FD5538"/>
    <w:rsid w:val="00FD5C92"/>
    <w:rsid w:val="00FE496E"/>
    <w:rsid w:val="00FE6219"/>
    <w:rsid w:val="00FE63F1"/>
    <w:rsid w:val="00FE7B10"/>
    <w:rsid w:val="00FF1E0E"/>
    <w:rsid w:val="00FF2D4B"/>
    <w:rsid w:val="00FF301E"/>
    <w:rsid w:val="00FF32F2"/>
    <w:rsid w:val="00FF3889"/>
    <w:rsid w:val="00FF54E2"/>
    <w:rsid w:val="00FF6795"/>
    <w:rsid w:val="00FF6809"/>
    <w:rsid w:val="00FF6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3A"/>
    <w:pPr>
      <w:spacing w:after="200"/>
      <w:jc w:val="both"/>
    </w:pPr>
    <w:rPr>
      <w:rFonts w:ascii="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446E3A"/>
    <w:rPr>
      <w:color w:val="800080"/>
      <w:u w:val="single"/>
    </w:rPr>
  </w:style>
  <w:style w:type="paragraph" w:styleId="BodyText">
    <w:name w:val="Body Text"/>
    <w:basedOn w:val="Normal"/>
    <w:rsid w:val="00446E3A"/>
    <w:pPr>
      <w:jc w:val="center"/>
    </w:pPr>
    <w:rPr>
      <w:b/>
      <w:sz w:val="40"/>
    </w:rPr>
  </w:style>
  <w:style w:type="paragraph" w:styleId="FootnoteText">
    <w:name w:val="footnote text"/>
    <w:basedOn w:val="Normal"/>
    <w:next w:val="TFReferencesSection"/>
    <w:semiHidden/>
    <w:rsid w:val="00446E3A"/>
  </w:style>
  <w:style w:type="paragraph" w:customStyle="1" w:styleId="TFReferencesSection">
    <w:name w:val="TF_References_Section"/>
    <w:basedOn w:val="Normal"/>
    <w:rsid w:val="00446E3A"/>
    <w:pPr>
      <w:spacing w:line="480" w:lineRule="auto"/>
      <w:ind w:firstLine="187"/>
    </w:pPr>
  </w:style>
  <w:style w:type="paragraph" w:customStyle="1" w:styleId="TAMainText">
    <w:name w:val="TA_Main_Text"/>
    <w:basedOn w:val="Normal"/>
    <w:link w:val="TAMainTextChar"/>
    <w:rsid w:val="00446E3A"/>
    <w:pPr>
      <w:spacing w:after="0" w:line="480" w:lineRule="auto"/>
      <w:ind w:firstLine="202"/>
    </w:pPr>
  </w:style>
  <w:style w:type="paragraph" w:customStyle="1" w:styleId="BATitle">
    <w:name w:val="BA_Title"/>
    <w:basedOn w:val="Normal"/>
    <w:next w:val="BBAuthorName"/>
    <w:rsid w:val="00446E3A"/>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446E3A"/>
    <w:pPr>
      <w:spacing w:after="240" w:line="480" w:lineRule="auto"/>
      <w:jc w:val="center"/>
    </w:pPr>
    <w:rPr>
      <w:i/>
    </w:rPr>
  </w:style>
  <w:style w:type="paragraph" w:customStyle="1" w:styleId="BCAuthorAddress">
    <w:name w:val="BC_Author_Address"/>
    <w:basedOn w:val="Normal"/>
    <w:next w:val="BIEmailAddress"/>
    <w:rsid w:val="00446E3A"/>
    <w:pPr>
      <w:spacing w:after="240" w:line="480" w:lineRule="auto"/>
      <w:jc w:val="center"/>
    </w:pPr>
  </w:style>
  <w:style w:type="paragraph" w:customStyle="1" w:styleId="BIEmailAddress">
    <w:name w:val="BI_Email_Address"/>
    <w:basedOn w:val="Normal"/>
    <w:next w:val="AIReceivedDate"/>
    <w:rsid w:val="00446E3A"/>
    <w:pPr>
      <w:spacing w:line="480" w:lineRule="auto"/>
    </w:pPr>
  </w:style>
  <w:style w:type="paragraph" w:customStyle="1" w:styleId="AIReceivedDate">
    <w:name w:val="AI_Received_Date"/>
    <w:basedOn w:val="Normal"/>
    <w:next w:val="BDAbstract"/>
    <w:rsid w:val="00446E3A"/>
    <w:pPr>
      <w:spacing w:after="240" w:line="480" w:lineRule="auto"/>
    </w:pPr>
    <w:rPr>
      <w:b/>
    </w:rPr>
  </w:style>
  <w:style w:type="paragraph" w:customStyle="1" w:styleId="BDAbstract">
    <w:name w:val="BD_Abstract"/>
    <w:basedOn w:val="Normal"/>
    <w:next w:val="TAMainText"/>
    <w:rsid w:val="00446E3A"/>
    <w:pPr>
      <w:spacing w:before="360" w:after="360" w:line="480" w:lineRule="auto"/>
    </w:pPr>
  </w:style>
  <w:style w:type="paragraph" w:customStyle="1" w:styleId="TDAcknowledgments">
    <w:name w:val="TD_Acknowledgments"/>
    <w:basedOn w:val="Normal"/>
    <w:next w:val="Normal"/>
    <w:rsid w:val="00446E3A"/>
    <w:pPr>
      <w:spacing w:before="200" w:line="480" w:lineRule="auto"/>
      <w:ind w:firstLine="202"/>
    </w:pPr>
  </w:style>
  <w:style w:type="paragraph" w:customStyle="1" w:styleId="TESupportingInformation">
    <w:name w:val="TE_Supporting_Information"/>
    <w:basedOn w:val="Normal"/>
    <w:next w:val="Normal"/>
    <w:rsid w:val="00446E3A"/>
    <w:pPr>
      <w:spacing w:line="480" w:lineRule="auto"/>
      <w:ind w:firstLine="187"/>
    </w:pPr>
  </w:style>
  <w:style w:type="paragraph" w:customStyle="1" w:styleId="VCSchemeTitle">
    <w:name w:val="VC_Scheme_Title"/>
    <w:basedOn w:val="Normal"/>
    <w:next w:val="Normal"/>
    <w:rsid w:val="00446E3A"/>
    <w:pPr>
      <w:spacing w:line="480" w:lineRule="auto"/>
    </w:pPr>
  </w:style>
  <w:style w:type="paragraph" w:customStyle="1" w:styleId="VDTableTitle">
    <w:name w:val="VD_Table_Title"/>
    <w:basedOn w:val="Normal"/>
    <w:next w:val="Normal"/>
    <w:rsid w:val="00446E3A"/>
    <w:pPr>
      <w:spacing w:line="480" w:lineRule="auto"/>
    </w:pPr>
  </w:style>
  <w:style w:type="paragraph" w:customStyle="1" w:styleId="VAFigureCaption">
    <w:name w:val="VA_Figure_Caption"/>
    <w:basedOn w:val="Normal"/>
    <w:next w:val="Normal"/>
    <w:rsid w:val="00446E3A"/>
    <w:pPr>
      <w:spacing w:line="480" w:lineRule="auto"/>
    </w:pPr>
  </w:style>
  <w:style w:type="paragraph" w:customStyle="1" w:styleId="VBChartTitle">
    <w:name w:val="VB_Chart_Title"/>
    <w:basedOn w:val="Normal"/>
    <w:next w:val="Normal"/>
    <w:rsid w:val="00446E3A"/>
    <w:pPr>
      <w:spacing w:line="480" w:lineRule="auto"/>
    </w:pPr>
  </w:style>
  <w:style w:type="paragraph" w:customStyle="1" w:styleId="FETableFootnote">
    <w:name w:val="FE_Table_Footnote"/>
    <w:basedOn w:val="Normal"/>
    <w:next w:val="Normal"/>
    <w:rsid w:val="00446E3A"/>
    <w:pPr>
      <w:ind w:firstLine="187"/>
    </w:pPr>
  </w:style>
  <w:style w:type="paragraph" w:customStyle="1" w:styleId="FCChartFootnote">
    <w:name w:val="FC_Chart_Footnote"/>
    <w:basedOn w:val="Normal"/>
    <w:next w:val="Normal"/>
    <w:rsid w:val="00446E3A"/>
    <w:pPr>
      <w:ind w:firstLine="187"/>
    </w:pPr>
  </w:style>
  <w:style w:type="paragraph" w:customStyle="1" w:styleId="FDSchemeFootnote">
    <w:name w:val="FD_Scheme_Footnote"/>
    <w:basedOn w:val="Normal"/>
    <w:next w:val="Normal"/>
    <w:rsid w:val="00446E3A"/>
    <w:pPr>
      <w:ind w:firstLine="187"/>
    </w:pPr>
  </w:style>
  <w:style w:type="paragraph" w:customStyle="1" w:styleId="TCTableBody">
    <w:name w:val="TC_Table_Body"/>
    <w:basedOn w:val="Normal"/>
    <w:rsid w:val="00446E3A"/>
  </w:style>
  <w:style w:type="paragraph" w:customStyle="1" w:styleId="AFTitleRunningHead">
    <w:name w:val="AF_Title_Running_Head"/>
    <w:basedOn w:val="Normal"/>
    <w:next w:val="TAMainText"/>
    <w:rsid w:val="00446E3A"/>
    <w:pPr>
      <w:spacing w:line="480" w:lineRule="auto"/>
    </w:pPr>
  </w:style>
  <w:style w:type="paragraph" w:customStyle="1" w:styleId="BEAuthorBiography">
    <w:name w:val="BE_Author_Biography"/>
    <w:basedOn w:val="Normal"/>
    <w:rsid w:val="00446E3A"/>
    <w:pPr>
      <w:spacing w:line="480" w:lineRule="auto"/>
    </w:pPr>
  </w:style>
  <w:style w:type="paragraph" w:customStyle="1" w:styleId="FACorrespondingAuthorFootnote">
    <w:name w:val="FA_Corresponding_Author_Footnote"/>
    <w:basedOn w:val="Normal"/>
    <w:next w:val="TAMainText"/>
    <w:rsid w:val="00446E3A"/>
    <w:pPr>
      <w:spacing w:line="480" w:lineRule="auto"/>
    </w:pPr>
  </w:style>
  <w:style w:type="paragraph" w:customStyle="1" w:styleId="SNSynopsisTOC">
    <w:name w:val="SN_Synopsis_TOC"/>
    <w:basedOn w:val="Normal"/>
    <w:rsid w:val="00446E3A"/>
    <w:pPr>
      <w:spacing w:line="480" w:lineRule="auto"/>
    </w:pPr>
  </w:style>
  <w:style w:type="character" w:styleId="Hyperlink">
    <w:name w:val="Hyperlink"/>
    <w:rsid w:val="00446E3A"/>
    <w:rPr>
      <w:color w:val="0000FF"/>
      <w:u w:val="single"/>
    </w:rPr>
  </w:style>
  <w:style w:type="paragraph" w:styleId="Footer">
    <w:name w:val="footer"/>
    <w:basedOn w:val="Normal"/>
    <w:rsid w:val="00446E3A"/>
    <w:pPr>
      <w:tabs>
        <w:tab w:val="center" w:pos="4320"/>
        <w:tab w:val="right" w:pos="8640"/>
      </w:tabs>
    </w:pPr>
  </w:style>
  <w:style w:type="paragraph" w:customStyle="1" w:styleId="BGKeywords">
    <w:name w:val="BG_Keywords"/>
    <w:basedOn w:val="Normal"/>
    <w:rsid w:val="00446E3A"/>
    <w:pPr>
      <w:spacing w:line="480" w:lineRule="auto"/>
    </w:pPr>
  </w:style>
  <w:style w:type="paragraph" w:customStyle="1" w:styleId="BHBriefs">
    <w:name w:val="BH_Briefs"/>
    <w:basedOn w:val="Normal"/>
    <w:rsid w:val="00446E3A"/>
    <w:pPr>
      <w:spacing w:line="480" w:lineRule="auto"/>
    </w:pPr>
  </w:style>
  <w:style w:type="character" w:styleId="PageNumber">
    <w:name w:val="page number"/>
    <w:basedOn w:val="DefaultParagraphFont"/>
    <w:rsid w:val="00446E3A"/>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lang w:eastAsia="en-US"/>
    </w:rPr>
  </w:style>
  <w:style w:type="paragraph" w:styleId="EndnoteText">
    <w:name w:val="endnote text"/>
    <w:basedOn w:val="Normal"/>
    <w:link w:val="EndnoteTextChar"/>
    <w:rsid w:val="00A3484A"/>
    <w:pPr>
      <w:spacing w:after="0"/>
    </w:pPr>
    <w:rPr>
      <w:sz w:val="20"/>
    </w:rPr>
  </w:style>
  <w:style w:type="character" w:customStyle="1" w:styleId="EndnoteTextChar">
    <w:name w:val="Endnote Text Char"/>
    <w:link w:val="EndnoteText"/>
    <w:rsid w:val="00A3484A"/>
    <w:rPr>
      <w:rFonts w:ascii="Times" w:hAnsi="Times"/>
    </w:rPr>
  </w:style>
  <w:style w:type="character" w:styleId="EndnoteReference">
    <w:name w:val="endnote reference"/>
    <w:rsid w:val="00A3484A"/>
    <w:rPr>
      <w:vertAlign w:val="superscript"/>
    </w:rPr>
  </w:style>
  <w:style w:type="character" w:styleId="FootnoteReference">
    <w:name w:val="footnote reference"/>
    <w:rsid w:val="00A3484A"/>
    <w:rPr>
      <w:vertAlign w:val="superscript"/>
    </w:rPr>
  </w:style>
  <w:style w:type="table" w:styleId="TableGrid">
    <w:name w:val="Table Grid"/>
    <w:basedOn w:val="TableNormal"/>
    <w:uiPriority w:val="59"/>
    <w:rsid w:val="006A477B"/>
    <w:rPr>
      <w:rFonts w:ascii="Calibri" w:eastAsia="Calibri" w:hAnsi="Calibr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86907"/>
    <w:rPr>
      <w:sz w:val="16"/>
      <w:szCs w:val="16"/>
    </w:rPr>
  </w:style>
  <w:style w:type="paragraph" w:styleId="CommentText">
    <w:name w:val="annotation text"/>
    <w:basedOn w:val="Normal"/>
    <w:link w:val="CommentTextChar"/>
    <w:rsid w:val="00686907"/>
    <w:rPr>
      <w:sz w:val="20"/>
    </w:rPr>
  </w:style>
  <w:style w:type="character" w:customStyle="1" w:styleId="CommentTextChar">
    <w:name w:val="Comment Text Char"/>
    <w:link w:val="CommentText"/>
    <w:rsid w:val="00686907"/>
    <w:rPr>
      <w:rFonts w:ascii="Times" w:hAnsi="Times"/>
    </w:rPr>
  </w:style>
  <w:style w:type="paragraph" w:styleId="CommentSubject">
    <w:name w:val="annotation subject"/>
    <w:basedOn w:val="CommentText"/>
    <w:next w:val="CommentText"/>
    <w:link w:val="CommentSubjectChar"/>
    <w:rsid w:val="00686907"/>
    <w:rPr>
      <w:b/>
      <w:bCs/>
    </w:rPr>
  </w:style>
  <w:style w:type="character" w:customStyle="1" w:styleId="CommentSubjectChar">
    <w:name w:val="Comment Subject Char"/>
    <w:link w:val="CommentSubject"/>
    <w:rsid w:val="00686907"/>
    <w:rPr>
      <w:rFonts w:ascii="Times" w:hAnsi="Times"/>
      <w:b/>
      <w:bCs/>
    </w:rPr>
  </w:style>
  <w:style w:type="table" w:customStyle="1" w:styleId="TableGrid1">
    <w:name w:val="Table Grid1"/>
    <w:basedOn w:val="TableNormal"/>
    <w:next w:val="TableGrid"/>
    <w:uiPriority w:val="59"/>
    <w:rsid w:val="00AB3A0B"/>
    <w:rPr>
      <w:rFonts w:ascii="Calibri" w:eastAsia="MS Mincho"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ormal"/>
    <w:uiPriority w:val="34"/>
    <w:qFormat/>
    <w:rsid w:val="00DA2A6B"/>
    <w:pPr>
      <w:spacing w:after="0"/>
      <w:ind w:left="720"/>
      <w:contextualSpacing/>
      <w:jc w:val="left"/>
    </w:pPr>
    <w:rPr>
      <w:rFonts w:ascii="Calibri" w:eastAsia="MS Mincho" w:hAnsi="Calibri"/>
      <w:sz w:val="22"/>
      <w:szCs w:val="22"/>
      <w:lang w:eastAsia="zh-TW"/>
    </w:rPr>
  </w:style>
  <w:style w:type="paragraph" w:customStyle="1" w:styleId="EndNoteBibliographyTitle">
    <w:name w:val="EndNote Bibliography Title"/>
    <w:basedOn w:val="Normal"/>
    <w:link w:val="EndNoteBibliographyTitleChar"/>
    <w:rsid w:val="00616F66"/>
    <w:pPr>
      <w:spacing w:after="0"/>
      <w:jc w:val="center"/>
    </w:pPr>
    <w:rPr>
      <w:rFonts w:cs="Times"/>
      <w:noProof/>
    </w:rPr>
  </w:style>
  <w:style w:type="character" w:customStyle="1" w:styleId="TAMainTextChar">
    <w:name w:val="TA_Main_Text Char"/>
    <w:link w:val="TAMainText"/>
    <w:rsid w:val="00616F66"/>
    <w:rPr>
      <w:rFonts w:ascii="Times" w:hAnsi="Times"/>
      <w:sz w:val="24"/>
    </w:rPr>
  </w:style>
  <w:style w:type="character" w:customStyle="1" w:styleId="EndNoteBibliographyTitleChar">
    <w:name w:val="EndNote Bibliography Title Char"/>
    <w:link w:val="EndNoteBibliographyTitle"/>
    <w:rsid w:val="00616F66"/>
    <w:rPr>
      <w:rFonts w:ascii="Times" w:hAnsi="Times" w:cs="Times"/>
      <w:noProof/>
      <w:sz w:val="24"/>
    </w:rPr>
  </w:style>
  <w:style w:type="paragraph" w:customStyle="1" w:styleId="EndNoteBibliography">
    <w:name w:val="EndNote Bibliography"/>
    <w:basedOn w:val="Normal"/>
    <w:link w:val="EndNoteBibliographyChar"/>
    <w:rsid w:val="00616F66"/>
    <w:pPr>
      <w:jc w:val="left"/>
    </w:pPr>
    <w:rPr>
      <w:rFonts w:cs="Times"/>
      <w:noProof/>
    </w:rPr>
  </w:style>
  <w:style w:type="character" w:customStyle="1" w:styleId="EndNoteBibliographyChar">
    <w:name w:val="EndNote Bibliography Char"/>
    <w:link w:val="EndNoteBibliography"/>
    <w:rsid w:val="00616F66"/>
    <w:rPr>
      <w:rFonts w:ascii="Times" w:hAnsi="Times" w:cs="Times"/>
      <w:noProof/>
      <w:sz w:val="24"/>
    </w:rPr>
  </w:style>
  <w:style w:type="paragraph" w:styleId="Header">
    <w:name w:val="header"/>
    <w:basedOn w:val="Normal"/>
    <w:link w:val="HeaderChar"/>
    <w:rsid w:val="003D3EFA"/>
    <w:pPr>
      <w:tabs>
        <w:tab w:val="center" w:pos="4536"/>
        <w:tab w:val="right" w:pos="9072"/>
      </w:tabs>
      <w:spacing w:after="0"/>
    </w:pPr>
  </w:style>
  <w:style w:type="character" w:customStyle="1" w:styleId="HeaderChar">
    <w:name w:val="Header Char"/>
    <w:link w:val="Header"/>
    <w:rsid w:val="003D3EFA"/>
    <w:rPr>
      <w:rFonts w:ascii="Times" w:hAnsi="Times"/>
      <w:sz w:val="24"/>
    </w:rPr>
  </w:style>
  <w:style w:type="character" w:customStyle="1" w:styleId="apple-converted-space">
    <w:name w:val="apple-converted-space"/>
    <w:rsid w:val="0044704D"/>
  </w:style>
  <w:style w:type="character" w:customStyle="1" w:styleId="ref-journal">
    <w:name w:val="ref-journal"/>
    <w:rsid w:val="0044704D"/>
  </w:style>
  <w:style w:type="character" w:customStyle="1" w:styleId="ref-vol">
    <w:name w:val="ref-vol"/>
    <w:rsid w:val="0044704D"/>
  </w:style>
  <w:style w:type="paragraph" w:styleId="ListParagraph">
    <w:name w:val="List Paragraph"/>
    <w:basedOn w:val="Normal"/>
    <w:uiPriority w:val="34"/>
    <w:qFormat/>
    <w:rsid w:val="00932D23"/>
    <w:pPr>
      <w:ind w:left="720"/>
      <w:contextualSpacing/>
    </w:pPr>
  </w:style>
  <w:style w:type="character" w:styleId="LineNumber">
    <w:name w:val="line number"/>
    <w:basedOn w:val="DefaultParagraphFont"/>
    <w:semiHidden/>
    <w:unhideWhenUsed/>
    <w:rsid w:val="00D64401"/>
  </w:style>
  <w:style w:type="character" w:customStyle="1" w:styleId="article-doi-value">
    <w:name w:val="article-doi-value"/>
    <w:basedOn w:val="DefaultParagraphFont"/>
    <w:rsid w:val="00A57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3A"/>
    <w:pPr>
      <w:spacing w:after="200"/>
      <w:jc w:val="both"/>
    </w:pPr>
    <w:rPr>
      <w:rFonts w:ascii="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446E3A"/>
    <w:rPr>
      <w:color w:val="800080"/>
      <w:u w:val="single"/>
    </w:rPr>
  </w:style>
  <w:style w:type="paragraph" w:styleId="BodyText">
    <w:name w:val="Body Text"/>
    <w:basedOn w:val="Normal"/>
    <w:rsid w:val="00446E3A"/>
    <w:pPr>
      <w:jc w:val="center"/>
    </w:pPr>
    <w:rPr>
      <w:b/>
      <w:sz w:val="40"/>
    </w:rPr>
  </w:style>
  <w:style w:type="paragraph" w:styleId="FootnoteText">
    <w:name w:val="footnote text"/>
    <w:basedOn w:val="Normal"/>
    <w:next w:val="TFReferencesSection"/>
    <w:semiHidden/>
    <w:rsid w:val="00446E3A"/>
  </w:style>
  <w:style w:type="paragraph" w:customStyle="1" w:styleId="TFReferencesSection">
    <w:name w:val="TF_References_Section"/>
    <w:basedOn w:val="Normal"/>
    <w:rsid w:val="00446E3A"/>
    <w:pPr>
      <w:spacing w:line="480" w:lineRule="auto"/>
      <w:ind w:firstLine="187"/>
    </w:pPr>
  </w:style>
  <w:style w:type="paragraph" w:customStyle="1" w:styleId="TAMainText">
    <w:name w:val="TA_Main_Text"/>
    <w:basedOn w:val="Normal"/>
    <w:link w:val="TAMainTextChar"/>
    <w:rsid w:val="00446E3A"/>
    <w:pPr>
      <w:spacing w:after="0" w:line="480" w:lineRule="auto"/>
      <w:ind w:firstLine="202"/>
    </w:pPr>
  </w:style>
  <w:style w:type="paragraph" w:customStyle="1" w:styleId="BATitle">
    <w:name w:val="BA_Title"/>
    <w:basedOn w:val="Normal"/>
    <w:next w:val="BBAuthorName"/>
    <w:rsid w:val="00446E3A"/>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446E3A"/>
    <w:pPr>
      <w:spacing w:after="240" w:line="480" w:lineRule="auto"/>
      <w:jc w:val="center"/>
    </w:pPr>
    <w:rPr>
      <w:i/>
    </w:rPr>
  </w:style>
  <w:style w:type="paragraph" w:customStyle="1" w:styleId="BCAuthorAddress">
    <w:name w:val="BC_Author_Address"/>
    <w:basedOn w:val="Normal"/>
    <w:next w:val="BIEmailAddress"/>
    <w:rsid w:val="00446E3A"/>
    <w:pPr>
      <w:spacing w:after="240" w:line="480" w:lineRule="auto"/>
      <w:jc w:val="center"/>
    </w:pPr>
  </w:style>
  <w:style w:type="paragraph" w:customStyle="1" w:styleId="BIEmailAddress">
    <w:name w:val="BI_Email_Address"/>
    <w:basedOn w:val="Normal"/>
    <w:next w:val="AIReceivedDate"/>
    <w:rsid w:val="00446E3A"/>
    <w:pPr>
      <w:spacing w:line="480" w:lineRule="auto"/>
    </w:pPr>
  </w:style>
  <w:style w:type="paragraph" w:customStyle="1" w:styleId="AIReceivedDate">
    <w:name w:val="AI_Received_Date"/>
    <w:basedOn w:val="Normal"/>
    <w:next w:val="BDAbstract"/>
    <w:rsid w:val="00446E3A"/>
    <w:pPr>
      <w:spacing w:after="240" w:line="480" w:lineRule="auto"/>
    </w:pPr>
    <w:rPr>
      <w:b/>
    </w:rPr>
  </w:style>
  <w:style w:type="paragraph" w:customStyle="1" w:styleId="BDAbstract">
    <w:name w:val="BD_Abstract"/>
    <w:basedOn w:val="Normal"/>
    <w:next w:val="TAMainText"/>
    <w:rsid w:val="00446E3A"/>
    <w:pPr>
      <w:spacing w:before="360" w:after="360" w:line="480" w:lineRule="auto"/>
    </w:pPr>
  </w:style>
  <w:style w:type="paragraph" w:customStyle="1" w:styleId="TDAcknowledgments">
    <w:name w:val="TD_Acknowledgments"/>
    <w:basedOn w:val="Normal"/>
    <w:next w:val="Normal"/>
    <w:rsid w:val="00446E3A"/>
    <w:pPr>
      <w:spacing w:before="200" w:line="480" w:lineRule="auto"/>
      <w:ind w:firstLine="202"/>
    </w:pPr>
  </w:style>
  <w:style w:type="paragraph" w:customStyle="1" w:styleId="TESupportingInformation">
    <w:name w:val="TE_Supporting_Information"/>
    <w:basedOn w:val="Normal"/>
    <w:next w:val="Normal"/>
    <w:rsid w:val="00446E3A"/>
    <w:pPr>
      <w:spacing w:line="480" w:lineRule="auto"/>
      <w:ind w:firstLine="187"/>
    </w:pPr>
  </w:style>
  <w:style w:type="paragraph" w:customStyle="1" w:styleId="VCSchemeTitle">
    <w:name w:val="VC_Scheme_Title"/>
    <w:basedOn w:val="Normal"/>
    <w:next w:val="Normal"/>
    <w:rsid w:val="00446E3A"/>
    <w:pPr>
      <w:spacing w:line="480" w:lineRule="auto"/>
    </w:pPr>
  </w:style>
  <w:style w:type="paragraph" w:customStyle="1" w:styleId="VDTableTitle">
    <w:name w:val="VD_Table_Title"/>
    <w:basedOn w:val="Normal"/>
    <w:next w:val="Normal"/>
    <w:rsid w:val="00446E3A"/>
    <w:pPr>
      <w:spacing w:line="480" w:lineRule="auto"/>
    </w:pPr>
  </w:style>
  <w:style w:type="paragraph" w:customStyle="1" w:styleId="VAFigureCaption">
    <w:name w:val="VA_Figure_Caption"/>
    <w:basedOn w:val="Normal"/>
    <w:next w:val="Normal"/>
    <w:rsid w:val="00446E3A"/>
    <w:pPr>
      <w:spacing w:line="480" w:lineRule="auto"/>
    </w:pPr>
  </w:style>
  <w:style w:type="paragraph" w:customStyle="1" w:styleId="VBChartTitle">
    <w:name w:val="VB_Chart_Title"/>
    <w:basedOn w:val="Normal"/>
    <w:next w:val="Normal"/>
    <w:rsid w:val="00446E3A"/>
    <w:pPr>
      <w:spacing w:line="480" w:lineRule="auto"/>
    </w:pPr>
  </w:style>
  <w:style w:type="paragraph" w:customStyle="1" w:styleId="FETableFootnote">
    <w:name w:val="FE_Table_Footnote"/>
    <w:basedOn w:val="Normal"/>
    <w:next w:val="Normal"/>
    <w:rsid w:val="00446E3A"/>
    <w:pPr>
      <w:ind w:firstLine="187"/>
    </w:pPr>
  </w:style>
  <w:style w:type="paragraph" w:customStyle="1" w:styleId="FCChartFootnote">
    <w:name w:val="FC_Chart_Footnote"/>
    <w:basedOn w:val="Normal"/>
    <w:next w:val="Normal"/>
    <w:rsid w:val="00446E3A"/>
    <w:pPr>
      <w:ind w:firstLine="187"/>
    </w:pPr>
  </w:style>
  <w:style w:type="paragraph" w:customStyle="1" w:styleId="FDSchemeFootnote">
    <w:name w:val="FD_Scheme_Footnote"/>
    <w:basedOn w:val="Normal"/>
    <w:next w:val="Normal"/>
    <w:rsid w:val="00446E3A"/>
    <w:pPr>
      <w:ind w:firstLine="187"/>
    </w:pPr>
  </w:style>
  <w:style w:type="paragraph" w:customStyle="1" w:styleId="TCTableBody">
    <w:name w:val="TC_Table_Body"/>
    <w:basedOn w:val="Normal"/>
    <w:rsid w:val="00446E3A"/>
  </w:style>
  <w:style w:type="paragraph" w:customStyle="1" w:styleId="AFTitleRunningHead">
    <w:name w:val="AF_Title_Running_Head"/>
    <w:basedOn w:val="Normal"/>
    <w:next w:val="TAMainText"/>
    <w:rsid w:val="00446E3A"/>
    <w:pPr>
      <w:spacing w:line="480" w:lineRule="auto"/>
    </w:pPr>
  </w:style>
  <w:style w:type="paragraph" w:customStyle="1" w:styleId="BEAuthorBiography">
    <w:name w:val="BE_Author_Biography"/>
    <w:basedOn w:val="Normal"/>
    <w:rsid w:val="00446E3A"/>
    <w:pPr>
      <w:spacing w:line="480" w:lineRule="auto"/>
    </w:pPr>
  </w:style>
  <w:style w:type="paragraph" w:customStyle="1" w:styleId="FACorrespondingAuthorFootnote">
    <w:name w:val="FA_Corresponding_Author_Footnote"/>
    <w:basedOn w:val="Normal"/>
    <w:next w:val="TAMainText"/>
    <w:rsid w:val="00446E3A"/>
    <w:pPr>
      <w:spacing w:line="480" w:lineRule="auto"/>
    </w:pPr>
  </w:style>
  <w:style w:type="paragraph" w:customStyle="1" w:styleId="SNSynopsisTOC">
    <w:name w:val="SN_Synopsis_TOC"/>
    <w:basedOn w:val="Normal"/>
    <w:rsid w:val="00446E3A"/>
    <w:pPr>
      <w:spacing w:line="480" w:lineRule="auto"/>
    </w:pPr>
  </w:style>
  <w:style w:type="character" w:styleId="Hyperlink">
    <w:name w:val="Hyperlink"/>
    <w:rsid w:val="00446E3A"/>
    <w:rPr>
      <w:color w:val="0000FF"/>
      <w:u w:val="single"/>
    </w:rPr>
  </w:style>
  <w:style w:type="paragraph" w:styleId="Footer">
    <w:name w:val="footer"/>
    <w:basedOn w:val="Normal"/>
    <w:rsid w:val="00446E3A"/>
    <w:pPr>
      <w:tabs>
        <w:tab w:val="center" w:pos="4320"/>
        <w:tab w:val="right" w:pos="8640"/>
      </w:tabs>
    </w:pPr>
  </w:style>
  <w:style w:type="paragraph" w:customStyle="1" w:styleId="BGKeywords">
    <w:name w:val="BG_Keywords"/>
    <w:basedOn w:val="Normal"/>
    <w:rsid w:val="00446E3A"/>
    <w:pPr>
      <w:spacing w:line="480" w:lineRule="auto"/>
    </w:pPr>
  </w:style>
  <w:style w:type="paragraph" w:customStyle="1" w:styleId="BHBriefs">
    <w:name w:val="BH_Briefs"/>
    <w:basedOn w:val="Normal"/>
    <w:rsid w:val="00446E3A"/>
    <w:pPr>
      <w:spacing w:line="480" w:lineRule="auto"/>
    </w:pPr>
  </w:style>
  <w:style w:type="character" w:styleId="PageNumber">
    <w:name w:val="page number"/>
    <w:basedOn w:val="DefaultParagraphFont"/>
    <w:rsid w:val="00446E3A"/>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lang w:eastAsia="en-US"/>
    </w:rPr>
  </w:style>
  <w:style w:type="paragraph" w:styleId="EndnoteText">
    <w:name w:val="endnote text"/>
    <w:basedOn w:val="Normal"/>
    <w:link w:val="EndnoteTextChar"/>
    <w:rsid w:val="00A3484A"/>
    <w:pPr>
      <w:spacing w:after="0"/>
    </w:pPr>
    <w:rPr>
      <w:sz w:val="20"/>
    </w:rPr>
  </w:style>
  <w:style w:type="character" w:customStyle="1" w:styleId="EndnoteTextChar">
    <w:name w:val="Endnote Text Char"/>
    <w:link w:val="EndnoteText"/>
    <w:rsid w:val="00A3484A"/>
    <w:rPr>
      <w:rFonts w:ascii="Times" w:hAnsi="Times"/>
    </w:rPr>
  </w:style>
  <w:style w:type="character" w:styleId="EndnoteReference">
    <w:name w:val="endnote reference"/>
    <w:rsid w:val="00A3484A"/>
    <w:rPr>
      <w:vertAlign w:val="superscript"/>
    </w:rPr>
  </w:style>
  <w:style w:type="character" w:styleId="FootnoteReference">
    <w:name w:val="footnote reference"/>
    <w:rsid w:val="00A3484A"/>
    <w:rPr>
      <w:vertAlign w:val="superscript"/>
    </w:rPr>
  </w:style>
  <w:style w:type="table" w:styleId="TableGrid">
    <w:name w:val="Table Grid"/>
    <w:basedOn w:val="TableNormal"/>
    <w:uiPriority w:val="59"/>
    <w:rsid w:val="006A477B"/>
    <w:rPr>
      <w:rFonts w:ascii="Calibri" w:eastAsia="Calibri" w:hAnsi="Calibr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86907"/>
    <w:rPr>
      <w:sz w:val="16"/>
      <w:szCs w:val="16"/>
    </w:rPr>
  </w:style>
  <w:style w:type="paragraph" w:styleId="CommentText">
    <w:name w:val="annotation text"/>
    <w:basedOn w:val="Normal"/>
    <w:link w:val="CommentTextChar"/>
    <w:rsid w:val="00686907"/>
    <w:rPr>
      <w:sz w:val="20"/>
    </w:rPr>
  </w:style>
  <w:style w:type="character" w:customStyle="1" w:styleId="CommentTextChar">
    <w:name w:val="Comment Text Char"/>
    <w:link w:val="CommentText"/>
    <w:rsid w:val="00686907"/>
    <w:rPr>
      <w:rFonts w:ascii="Times" w:hAnsi="Times"/>
    </w:rPr>
  </w:style>
  <w:style w:type="paragraph" w:styleId="CommentSubject">
    <w:name w:val="annotation subject"/>
    <w:basedOn w:val="CommentText"/>
    <w:next w:val="CommentText"/>
    <w:link w:val="CommentSubjectChar"/>
    <w:rsid w:val="00686907"/>
    <w:rPr>
      <w:b/>
      <w:bCs/>
    </w:rPr>
  </w:style>
  <w:style w:type="character" w:customStyle="1" w:styleId="CommentSubjectChar">
    <w:name w:val="Comment Subject Char"/>
    <w:link w:val="CommentSubject"/>
    <w:rsid w:val="00686907"/>
    <w:rPr>
      <w:rFonts w:ascii="Times" w:hAnsi="Times"/>
      <w:b/>
      <w:bCs/>
    </w:rPr>
  </w:style>
  <w:style w:type="table" w:customStyle="1" w:styleId="TableGrid1">
    <w:name w:val="Table Grid1"/>
    <w:basedOn w:val="TableNormal"/>
    <w:next w:val="TableGrid"/>
    <w:uiPriority w:val="59"/>
    <w:rsid w:val="00AB3A0B"/>
    <w:rPr>
      <w:rFonts w:ascii="Calibri" w:eastAsia="MS Mincho"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ormal"/>
    <w:uiPriority w:val="34"/>
    <w:qFormat/>
    <w:rsid w:val="00DA2A6B"/>
    <w:pPr>
      <w:spacing w:after="0"/>
      <w:ind w:left="720"/>
      <w:contextualSpacing/>
      <w:jc w:val="left"/>
    </w:pPr>
    <w:rPr>
      <w:rFonts w:ascii="Calibri" w:eastAsia="MS Mincho" w:hAnsi="Calibri"/>
      <w:sz w:val="22"/>
      <w:szCs w:val="22"/>
      <w:lang w:eastAsia="zh-TW"/>
    </w:rPr>
  </w:style>
  <w:style w:type="paragraph" w:customStyle="1" w:styleId="EndNoteBibliographyTitle">
    <w:name w:val="EndNote Bibliography Title"/>
    <w:basedOn w:val="Normal"/>
    <w:link w:val="EndNoteBibliographyTitleChar"/>
    <w:rsid w:val="00616F66"/>
    <w:pPr>
      <w:spacing w:after="0"/>
      <w:jc w:val="center"/>
    </w:pPr>
    <w:rPr>
      <w:rFonts w:cs="Times"/>
      <w:noProof/>
    </w:rPr>
  </w:style>
  <w:style w:type="character" w:customStyle="1" w:styleId="TAMainTextChar">
    <w:name w:val="TA_Main_Text Char"/>
    <w:link w:val="TAMainText"/>
    <w:rsid w:val="00616F66"/>
    <w:rPr>
      <w:rFonts w:ascii="Times" w:hAnsi="Times"/>
      <w:sz w:val="24"/>
    </w:rPr>
  </w:style>
  <w:style w:type="character" w:customStyle="1" w:styleId="EndNoteBibliographyTitleChar">
    <w:name w:val="EndNote Bibliography Title Char"/>
    <w:link w:val="EndNoteBibliographyTitle"/>
    <w:rsid w:val="00616F66"/>
    <w:rPr>
      <w:rFonts w:ascii="Times" w:hAnsi="Times" w:cs="Times"/>
      <w:noProof/>
      <w:sz w:val="24"/>
    </w:rPr>
  </w:style>
  <w:style w:type="paragraph" w:customStyle="1" w:styleId="EndNoteBibliography">
    <w:name w:val="EndNote Bibliography"/>
    <w:basedOn w:val="Normal"/>
    <w:link w:val="EndNoteBibliographyChar"/>
    <w:rsid w:val="00616F66"/>
    <w:pPr>
      <w:jc w:val="left"/>
    </w:pPr>
    <w:rPr>
      <w:rFonts w:cs="Times"/>
      <w:noProof/>
    </w:rPr>
  </w:style>
  <w:style w:type="character" w:customStyle="1" w:styleId="EndNoteBibliographyChar">
    <w:name w:val="EndNote Bibliography Char"/>
    <w:link w:val="EndNoteBibliography"/>
    <w:rsid w:val="00616F66"/>
    <w:rPr>
      <w:rFonts w:ascii="Times" w:hAnsi="Times" w:cs="Times"/>
      <w:noProof/>
      <w:sz w:val="24"/>
    </w:rPr>
  </w:style>
  <w:style w:type="paragraph" w:styleId="Header">
    <w:name w:val="header"/>
    <w:basedOn w:val="Normal"/>
    <w:link w:val="HeaderChar"/>
    <w:rsid w:val="003D3EFA"/>
    <w:pPr>
      <w:tabs>
        <w:tab w:val="center" w:pos="4536"/>
        <w:tab w:val="right" w:pos="9072"/>
      </w:tabs>
      <w:spacing w:after="0"/>
    </w:pPr>
  </w:style>
  <w:style w:type="character" w:customStyle="1" w:styleId="HeaderChar">
    <w:name w:val="Header Char"/>
    <w:link w:val="Header"/>
    <w:rsid w:val="003D3EFA"/>
    <w:rPr>
      <w:rFonts w:ascii="Times" w:hAnsi="Times"/>
      <w:sz w:val="24"/>
    </w:rPr>
  </w:style>
  <w:style w:type="character" w:customStyle="1" w:styleId="apple-converted-space">
    <w:name w:val="apple-converted-space"/>
    <w:rsid w:val="0044704D"/>
  </w:style>
  <w:style w:type="character" w:customStyle="1" w:styleId="ref-journal">
    <w:name w:val="ref-journal"/>
    <w:rsid w:val="0044704D"/>
  </w:style>
  <w:style w:type="character" w:customStyle="1" w:styleId="ref-vol">
    <w:name w:val="ref-vol"/>
    <w:rsid w:val="0044704D"/>
  </w:style>
  <w:style w:type="paragraph" w:styleId="ListParagraph">
    <w:name w:val="List Paragraph"/>
    <w:basedOn w:val="Normal"/>
    <w:uiPriority w:val="34"/>
    <w:qFormat/>
    <w:rsid w:val="00932D23"/>
    <w:pPr>
      <w:ind w:left="720"/>
      <w:contextualSpacing/>
    </w:pPr>
  </w:style>
  <w:style w:type="character" w:styleId="LineNumber">
    <w:name w:val="line number"/>
    <w:basedOn w:val="DefaultParagraphFont"/>
    <w:semiHidden/>
    <w:unhideWhenUsed/>
    <w:rsid w:val="00D64401"/>
  </w:style>
  <w:style w:type="character" w:customStyle="1" w:styleId="article-doi-value">
    <w:name w:val="article-doi-value"/>
    <w:basedOn w:val="DefaultParagraphFont"/>
    <w:rsid w:val="00A5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7037">
      <w:bodyDiv w:val="1"/>
      <w:marLeft w:val="0"/>
      <w:marRight w:val="0"/>
      <w:marTop w:val="0"/>
      <w:marBottom w:val="0"/>
      <w:divBdr>
        <w:top w:val="none" w:sz="0" w:space="0" w:color="auto"/>
        <w:left w:val="none" w:sz="0" w:space="0" w:color="auto"/>
        <w:bottom w:val="none" w:sz="0" w:space="0" w:color="auto"/>
        <w:right w:val="none" w:sz="0" w:space="0" w:color="auto"/>
      </w:divBdr>
      <w:divsChild>
        <w:div w:id="1103574111">
          <w:marLeft w:val="0"/>
          <w:marRight w:val="0"/>
          <w:marTop w:val="0"/>
          <w:marBottom w:val="0"/>
          <w:divBdr>
            <w:top w:val="none" w:sz="0" w:space="0" w:color="auto"/>
            <w:left w:val="none" w:sz="0" w:space="0" w:color="auto"/>
            <w:bottom w:val="none" w:sz="0" w:space="0" w:color="auto"/>
            <w:right w:val="none" w:sz="0" w:space="0" w:color="auto"/>
          </w:divBdr>
          <w:divsChild>
            <w:div w:id="953053530">
              <w:marLeft w:val="0"/>
              <w:marRight w:val="0"/>
              <w:marTop w:val="0"/>
              <w:marBottom w:val="0"/>
              <w:divBdr>
                <w:top w:val="none" w:sz="0" w:space="0" w:color="auto"/>
                <w:left w:val="none" w:sz="0" w:space="0" w:color="auto"/>
                <w:bottom w:val="none" w:sz="0" w:space="0" w:color="auto"/>
                <w:right w:val="none" w:sz="0" w:space="0" w:color="auto"/>
              </w:divBdr>
              <w:divsChild>
                <w:div w:id="1954480206">
                  <w:marLeft w:val="0"/>
                  <w:marRight w:val="0"/>
                  <w:marTop w:val="0"/>
                  <w:marBottom w:val="0"/>
                  <w:divBdr>
                    <w:top w:val="none" w:sz="0" w:space="0" w:color="auto"/>
                    <w:left w:val="none" w:sz="0" w:space="0" w:color="auto"/>
                    <w:bottom w:val="none" w:sz="0" w:space="0" w:color="auto"/>
                    <w:right w:val="none" w:sz="0" w:space="0" w:color="auto"/>
                  </w:divBdr>
                  <w:divsChild>
                    <w:div w:id="17057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4329">
      <w:bodyDiv w:val="1"/>
      <w:marLeft w:val="0"/>
      <w:marRight w:val="0"/>
      <w:marTop w:val="0"/>
      <w:marBottom w:val="0"/>
      <w:divBdr>
        <w:top w:val="none" w:sz="0" w:space="0" w:color="auto"/>
        <w:left w:val="none" w:sz="0" w:space="0" w:color="auto"/>
        <w:bottom w:val="none" w:sz="0" w:space="0" w:color="auto"/>
        <w:right w:val="none" w:sz="0" w:space="0" w:color="auto"/>
      </w:divBdr>
    </w:div>
    <w:div w:id="1428304885">
      <w:bodyDiv w:val="1"/>
      <w:marLeft w:val="0"/>
      <w:marRight w:val="0"/>
      <w:marTop w:val="0"/>
      <w:marBottom w:val="0"/>
      <w:divBdr>
        <w:top w:val="none" w:sz="0" w:space="0" w:color="auto"/>
        <w:left w:val="none" w:sz="0" w:space="0" w:color="auto"/>
        <w:bottom w:val="none" w:sz="0" w:space="0" w:color="auto"/>
        <w:right w:val="none" w:sz="0" w:space="0" w:color="auto"/>
      </w:divBdr>
    </w:div>
    <w:div w:id="1812594782">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3.emf"/><Relationship Id="rId42" Type="http://schemas.openxmlformats.org/officeDocument/2006/relationships/footer" Target="footer1.xml"/><Relationship Id="rId47" Type="http://schemas.openxmlformats.org/officeDocument/2006/relationships/oleObject" Target="embeddings/oleObject18.bin"/><Relationship Id="rId50" Type="http://schemas.openxmlformats.org/officeDocument/2006/relationships/image" Target="media/image20.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emf"/><Relationship Id="rId46"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oleObject14.bin"/><Relationship Id="rId40" Type="http://schemas.openxmlformats.org/officeDocument/2006/relationships/image" Target="media/image16.emf"/><Relationship Id="rId45" Type="http://schemas.openxmlformats.org/officeDocument/2006/relationships/oleObject" Target="embeddings/oleObject17.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oleObject19.bin"/><Relationship Id="rId10" Type="http://schemas.openxmlformats.org/officeDocument/2006/relationships/image" Target="media/image1.e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7.emf"/><Relationship Id="rId52" Type="http://schemas.openxmlformats.org/officeDocument/2006/relationships/hyperlink" Target="http://dx.doi.org/10.1036/1097-8542.441100" TargetMode="External"/><Relationship Id="rId4" Type="http://schemas.microsoft.com/office/2007/relationships/stylesWithEffects" Target="stylesWithEffects.xml"/><Relationship Id="rId9" Type="http://schemas.openxmlformats.org/officeDocument/2006/relationships/hyperlink" Target="mailto:nevenka.lapanja@sandoz.co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9.bin"/><Relationship Id="rId30" Type="http://schemas.openxmlformats.org/officeDocument/2006/relationships/image" Target="media/image11.emf"/><Relationship Id="rId35" Type="http://schemas.openxmlformats.org/officeDocument/2006/relationships/oleObject" Target="embeddings/oleObject13.bin"/><Relationship Id="rId43" Type="http://schemas.openxmlformats.org/officeDocument/2006/relationships/footer" Target="footer2.xml"/><Relationship Id="rId48" Type="http://schemas.openxmlformats.org/officeDocument/2006/relationships/image" Target="media/image19.emf"/><Relationship Id="rId8" Type="http://schemas.openxmlformats.org/officeDocument/2006/relationships/endnotes" Target="endnotes.xml"/><Relationship Id="rId51"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venka\AppData\Roaming\Microsoft\Templates\AC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25CB-EF17-42A7-9E89-B9C7EE7C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 template</Template>
  <TotalTime>385</TotalTime>
  <Pages>29</Pages>
  <Words>7487</Words>
  <Characters>42677</Characters>
  <Application>Microsoft Office Word</Application>
  <DocSecurity>0</DocSecurity>
  <Lines>355</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50064</CharactersWithSpaces>
  <SharedDoc>false</SharedDoc>
  <HLinks>
    <vt:vector size="12" baseType="variant">
      <vt:variant>
        <vt:i4>3866735</vt:i4>
      </vt:variant>
      <vt:variant>
        <vt:i4>153</vt:i4>
      </vt:variant>
      <vt:variant>
        <vt:i4>0</vt:i4>
      </vt:variant>
      <vt:variant>
        <vt:i4>5</vt:i4>
      </vt:variant>
      <vt:variant>
        <vt:lpwstr>http://toxnet.nlm.nih.gov/cpdb/</vt:lpwstr>
      </vt:variant>
      <vt:variant>
        <vt:lpwstr/>
      </vt:variant>
      <vt:variant>
        <vt:i4>5570617</vt:i4>
      </vt:variant>
      <vt:variant>
        <vt:i4>148</vt:i4>
      </vt:variant>
      <vt:variant>
        <vt:i4>0</vt:i4>
      </vt:variant>
      <vt:variant>
        <vt:i4>5</vt:i4>
      </vt:variant>
      <vt:variant>
        <vt:lpwstr>mailto:nevenka.lapanja@sandoz.com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Nevenka</dc:creator>
  <cp:lastModifiedBy>Lapanja, Nevenka (Ext)</cp:lastModifiedBy>
  <cp:revision>13</cp:revision>
  <cp:lastPrinted>2016-08-24T10:01:00Z</cp:lastPrinted>
  <dcterms:created xsi:type="dcterms:W3CDTF">2016-08-16T12:37:00Z</dcterms:created>
  <dcterms:modified xsi:type="dcterms:W3CDTF">2016-08-24T12:24:00Z</dcterms:modified>
</cp:coreProperties>
</file>