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55" w:rsidRPr="000D2B3E" w:rsidRDefault="00BA2955" w:rsidP="00056DC3">
      <w:pPr>
        <w:spacing w:before="120" w:line="360" w:lineRule="auto"/>
        <w:jc w:val="center"/>
        <w:rPr>
          <w:rFonts w:ascii="Times New Roman" w:hAnsi="Times New Roman" w:cs="Times New Roman"/>
          <w:b/>
          <w:sz w:val="24"/>
          <w:szCs w:val="24"/>
          <w:lang w:val="hr-HR"/>
        </w:rPr>
      </w:pPr>
      <w:r w:rsidRPr="000D2B3E">
        <w:rPr>
          <w:rFonts w:ascii="Times New Roman" w:hAnsi="Times New Roman" w:cs="Times New Roman"/>
          <w:b/>
          <w:sz w:val="24"/>
          <w:szCs w:val="24"/>
          <w:lang w:val="hr-HR"/>
        </w:rPr>
        <w:t>DETERMINATION OF MICROELEMENTS IN HUMAN MILK AND INFANT FORMULA WITHOUT DIGESTION BY ICP-OES</w:t>
      </w:r>
    </w:p>
    <w:p w:rsidR="00BA2955" w:rsidRPr="000D2B3E" w:rsidRDefault="00BA2955" w:rsidP="00056DC3">
      <w:pPr>
        <w:spacing w:before="120" w:line="360" w:lineRule="auto"/>
        <w:jc w:val="center"/>
        <w:rPr>
          <w:rFonts w:ascii="Times New Roman" w:hAnsi="Times New Roman" w:cs="Times New Roman"/>
          <w:sz w:val="24"/>
          <w:szCs w:val="24"/>
          <w:vertAlign w:val="superscript"/>
          <w:lang w:val="hr-HR"/>
        </w:rPr>
      </w:pPr>
      <w:r w:rsidRPr="000D2B3E">
        <w:rPr>
          <w:rFonts w:ascii="Times New Roman" w:hAnsi="Times New Roman" w:cs="Times New Roman"/>
          <w:sz w:val="24"/>
          <w:szCs w:val="24"/>
          <w:lang w:val="hr-HR"/>
        </w:rPr>
        <w:t>Dijana Đurović</w:t>
      </w:r>
      <w:r w:rsidRPr="000D2B3E">
        <w:rPr>
          <w:rFonts w:ascii="Times New Roman" w:hAnsi="Times New Roman" w:cs="Times New Roman"/>
          <w:sz w:val="24"/>
          <w:szCs w:val="24"/>
          <w:vertAlign w:val="superscript"/>
          <w:lang w:val="hr-HR"/>
        </w:rPr>
        <w:t>1</w:t>
      </w:r>
      <w:r w:rsidRPr="000D2B3E">
        <w:rPr>
          <w:rStyle w:val="FootnoteReference"/>
          <w:rFonts w:ascii="Times New Roman" w:hAnsi="Times New Roman"/>
          <w:sz w:val="24"/>
          <w:szCs w:val="24"/>
          <w:lang w:val="hr-HR"/>
        </w:rPr>
        <w:footnoteReference w:id="1"/>
      </w:r>
      <w:r w:rsidRPr="000D2B3E">
        <w:rPr>
          <w:rFonts w:ascii="Times New Roman" w:hAnsi="Times New Roman" w:cs="Times New Roman"/>
          <w:sz w:val="24"/>
          <w:szCs w:val="24"/>
          <w:lang w:val="hr-HR"/>
        </w:rPr>
        <w:t>, Branka Milisavljević</w:t>
      </w:r>
      <w:r w:rsidRPr="000D2B3E">
        <w:rPr>
          <w:rFonts w:ascii="Times New Roman" w:hAnsi="Times New Roman" w:cs="Times New Roman"/>
          <w:sz w:val="24"/>
          <w:szCs w:val="24"/>
          <w:vertAlign w:val="superscript"/>
          <w:lang w:val="hr-HR"/>
        </w:rPr>
        <w:t>2</w:t>
      </w:r>
      <w:r w:rsidRPr="000D2B3E">
        <w:rPr>
          <w:rFonts w:ascii="Times New Roman" w:hAnsi="Times New Roman" w:cs="Times New Roman"/>
          <w:sz w:val="24"/>
          <w:szCs w:val="24"/>
          <w:lang w:val="hr-HR"/>
        </w:rPr>
        <w:t>, Mirjana Nedović-Vuković</w:t>
      </w:r>
      <w:r w:rsidRPr="000D2B3E">
        <w:rPr>
          <w:rFonts w:ascii="Times New Roman" w:hAnsi="Times New Roman" w:cs="Times New Roman"/>
          <w:sz w:val="24"/>
          <w:szCs w:val="24"/>
          <w:vertAlign w:val="superscript"/>
          <w:lang w:val="hr-HR"/>
        </w:rPr>
        <w:t>1</w:t>
      </w:r>
      <w:r w:rsidRPr="000D2B3E">
        <w:rPr>
          <w:rFonts w:ascii="Times New Roman" w:hAnsi="Times New Roman" w:cs="Times New Roman"/>
          <w:sz w:val="24"/>
          <w:szCs w:val="24"/>
          <w:lang w:val="hr-HR"/>
        </w:rPr>
        <w:t>, Branislav Potkonjak</w:t>
      </w:r>
      <w:r w:rsidRPr="000D2B3E">
        <w:rPr>
          <w:rFonts w:ascii="Times New Roman" w:hAnsi="Times New Roman" w:cs="Times New Roman"/>
          <w:sz w:val="24"/>
          <w:szCs w:val="24"/>
          <w:vertAlign w:val="superscript"/>
          <w:lang w:val="hr-HR"/>
        </w:rPr>
        <w:t>3</w:t>
      </w:r>
      <w:r w:rsidRPr="000D2B3E">
        <w:rPr>
          <w:rFonts w:ascii="Times New Roman" w:hAnsi="Times New Roman" w:cs="Times New Roman"/>
          <w:sz w:val="24"/>
          <w:szCs w:val="24"/>
          <w:lang w:val="hr-HR"/>
        </w:rPr>
        <w:t>, Snežana Spasić</w:t>
      </w:r>
      <w:r w:rsidRPr="000D2B3E">
        <w:rPr>
          <w:rFonts w:ascii="Times New Roman" w:hAnsi="Times New Roman" w:cs="Times New Roman"/>
          <w:sz w:val="24"/>
          <w:szCs w:val="24"/>
          <w:vertAlign w:val="superscript"/>
          <w:lang w:val="hr-HR"/>
        </w:rPr>
        <w:t>3</w:t>
      </w:r>
      <w:r w:rsidRPr="000D2B3E">
        <w:rPr>
          <w:rFonts w:ascii="Times New Roman" w:hAnsi="Times New Roman" w:cs="Times New Roman"/>
          <w:sz w:val="24"/>
          <w:szCs w:val="24"/>
          <w:lang w:val="hr-HR"/>
        </w:rPr>
        <w:t>, Miroslav M. Vrvić</w:t>
      </w:r>
      <w:r w:rsidRPr="000D2B3E">
        <w:rPr>
          <w:rFonts w:ascii="Times New Roman" w:hAnsi="Times New Roman" w:cs="Times New Roman"/>
          <w:sz w:val="24"/>
          <w:szCs w:val="24"/>
          <w:vertAlign w:val="superscript"/>
          <w:lang w:val="hr-HR"/>
        </w:rPr>
        <w:t>4</w:t>
      </w:r>
    </w:p>
    <w:p w:rsidR="00BA2955" w:rsidRPr="000D2B3E" w:rsidRDefault="00BA2955" w:rsidP="00056DC3">
      <w:pPr>
        <w:autoSpaceDE w:val="0"/>
        <w:autoSpaceDN w:val="0"/>
        <w:adjustRightInd w:val="0"/>
        <w:spacing w:before="120" w:after="0" w:line="360" w:lineRule="auto"/>
        <w:jc w:val="center"/>
        <w:rPr>
          <w:rFonts w:ascii="Times New Roman" w:hAnsi="Times New Roman" w:cs="Times New Roman"/>
          <w:sz w:val="24"/>
          <w:szCs w:val="24"/>
        </w:rPr>
      </w:pPr>
      <w:r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xml:space="preserve">Institute of public health of Montenegro, </w:t>
      </w:r>
      <w:proofErr w:type="spellStart"/>
      <w:r w:rsidRPr="000D2B3E">
        <w:rPr>
          <w:rFonts w:ascii="Times New Roman" w:hAnsi="Times New Roman" w:cs="Times New Roman"/>
          <w:sz w:val="24"/>
          <w:szCs w:val="24"/>
        </w:rPr>
        <w:t>Džona</w:t>
      </w:r>
      <w:proofErr w:type="spellEnd"/>
      <w:r w:rsidRPr="000D2B3E">
        <w:rPr>
          <w:rFonts w:ascii="Times New Roman" w:hAnsi="Times New Roman" w:cs="Times New Roman"/>
          <w:sz w:val="24"/>
          <w:szCs w:val="24"/>
        </w:rPr>
        <w:t xml:space="preserve"> </w:t>
      </w:r>
      <w:proofErr w:type="spellStart"/>
      <w:r w:rsidRPr="000D2B3E">
        <w:rPr>
          <w:rFonts w:ascii="Times New Roman" w:hAnsi="Times New Roman" w:cs="Times New Roman"/>
          <w:sz w:val="24"/>
          <w:szCs w:val="24"/>
        </w:rPr>
        <w:t>Džeksona</w:t>
      </w:r>
      <w:proofErr w:type="spellEnd"/>
      <w:r w:rsidRPr="000D2B3E">
        <w:rPr>
          <w:rFonts w:ascii="Times New Roman" w:hAnsi="Times New Roman" w:cs="Times New Roman"/>
          <w:sz w:val="24"/>
          <w:szCs w:val="24"/>
        </w:rPr>
        <w:t xml:space="preserve"> bb, 81000 Podgorica, Montenegro, dil@t-com.me</w:t>
      </w:r>
    </w:p>
    <w:p w:rsidR="00BA2955" w:rsidRPr="000D2B3E" w:rsidRDefault="00BA2955" w:rsidP="00056DC3">
      <w:pPr>
        <w:spacing w:before="120" w:line="360" w:lineRule="auto"/>
        <w:jc w:val="center"/>
        <w:rPr>
          <w:rFonts w:ascii="Times New Roman" w:hAnsi="Times New Roman" w:cs="Times New Roman"/>
          <w:sz w:val="24"/>
          <w:szCs w:val="24"/>
        </w:rPr>
      </w:pPr>
      <w:r w:rsidRPr="000D2B3E">
        <w:rPr>
          <w:rFonts w:ascii="Times New Roman" w:hAnsi="Times New Roman" w:cs="Times New Roman"/>
          <w:sz w:val="24"/>
          <w:szCs w:val="24"/>
          <w:vertAlign w:val="superscript"/>
          <w:lang w:val="hr-HR"/>
        </w:rPr>
        <w:t>2</w:t>
      </w:r>
      <w:r w:rsidRPr="000D2B3E">
        <w:rPr>
          <w:rFonts w:ascii="Times New Roman" w:hAnsi="Times New Roman" w:cs="Times New Roman"/>
          <w:sz w:val="24"/>
          <w:szCs w:val="24"/>
          <w:lang w:val="hr-HR"/>
        </w:rPr>
        <w:t xml:space="preserve">Department of neonatology in Subotica Hospital, </w:t>
      </w:r>
      <w:proofErr w:type="spellStart"/>
      <w:r w:rsidRPr="000D2B3E">
        <w:rPr>
          <w:rFonts w:ascii="Times New Roman" w:eastAsia="Times New Roman" w:hAnsi="Times New Roman" w:cs="Times New Roman"/>
          <w:bCs/>
          <w:sz w:val="24"/>
          <w:szCs w:val="24"/>
        </w:rPr>
        <w:t>Izvorska</w:t>
      </w:r>
      <w:proofErr w:type="spellEnd"/>
      <w:r w:rsidRPr="000D2B3E">
        <w:rPr>
          <w:rFonts w:ascii="Times New Roman" w:eastAsia="Times New Roman" w:hAnsi="Times New Roman" w:cs="Times New Roman"/>
          <w:bCs/>
          <w:sz w:val="24"/>
          <w:szCs w:val="24"/>
        </w:rPr>
        <w:t xml:space="preserve"> 3,24000  Subotica</w:t>
      </w:r>
      <w:r w:rsidRPr="000D2B3E">
        <w:rPr>
          <w:rFonts w:ascii="Times New Roman" w:hAnsi="Times New Roman" w:cs="Times New Roman"/>
          <w:sz w:val="24"/>
          <w:szCs w:val="24"/>
          <w:lang w:val="hr-HR"/>
        </w:rPr>
        <w:t>, Serbia,</w:t>
      </w:r>
    </w:p>
    <w:p w:rsidR="00BA2955" w:rsidRPr="000D2B3E" w:rsidRDefault="00BA2955" w:rsidP="00056DC3">
      <w:pPr>
        <w:spacing w:before="120" w:line="360" w:lineRule="auto"/>
        <w:jc w:val="center"/>
        <w:rPr>
          <w:rFonts w:ascii="Times New Roman" w:hAnsi="Times New Roman" w:cs="Times New Roman"/>
          <w:sz w:val="24"/>
          <w:szCs w:val="24"/>
        </w:rPr>
      </w:pPr>
      <w:r w:rsidRPr="000D2B3E">
        <w:rPr>
          <w:rFonts w:ascii="Times New Roman" w:hAnsi="Times New Roman" w:cs="Times New Roman"/>
          <w:sz w:val="24"/>
          <w:szCs w:val="24"/>
          <w:vertAlign w:val="superscript"/>
        </w:rPr>
        <w:t>3</w:t>
      </w:r>
      <w:r w:rsidRPr="000D2B3E">
        <w:rPr>
          <w:rFonts w:ascii="Times New Roman" w:hAnsi="Times New Roman" w:cs="Times New Roman"/>
          <w:sz w:val="24"/>
          <w:szCs w:val="24"/>
        </w:rPr>
        <w:t xml:space="preserve">Department of Chemistry of the Institute of Chemistry, Technology and Metallurgy, University of Belgrade, </w:t>
      </w:r>
      <w:proofErr w:type="spellStart"/>
      <w:r w:rsidRPr="000D2B3E">
        <w:rPr>
          <w:rFonts w:ascii="Times New Roman" w:eastAsia="Times New Roman" w:hAnsi="Times New Roman" w:cs="Times New Roman"/>
          <w:bCs/>
          <w:sz w:val="24"/>
          <w:szCs w:val="24"/>
        </w:rPr>
        <w:t>Njegoševa</w:t>
      </w:r>
      <w:proofErr w:type="spellEnd"/>
      <w:r w:rsidRPr="000D2B3E">
        <w:rPr>
          <w:rFonts w:ascii="Times New Roman" w:eastAsia="Times New Roman" w:hAnsi="Times New Roman" w:cs="Times New Roman"/>
          <w:bCs/>
          <w:sz w:val="24"/>
          <w:szCs w:val="24"/>
        </w:rPr>
        <w:t xml:space="preserve"> 1,</w:t>
      </w:r>
      <w:r w:rsidRPr="000D2B3E">
        <w:rPr>
          <w:rFonts w:ascii="Times New Roman" w:hAnsi="Times New Roman" w:cs="Times New Roman"/>
          <w:sz w:val="24"/>
          <w:szCs w:val="24"/>
        </w:rPr>
        <w:t>Belgrade,Serbia,</w:t>
      </w:r>
    </w:p>
    <w:p w:rsidR="00BA2955" w:rsidRPr="000D2B3E" w:rsidRDefault="00BA2955" w:rsidP="00056DC3">
      <w:pPr>
        <w:spacing w:before="120" w:line="360" w:lineRule="auto"/>
        <w:jc w:val="center"/>
        <w:rPr>
          <w:rFonts w:ascii="Times New Roman" w:hAnsi="Times New Roman" w:cs="Times New Roman"/>
          <w:sz w:val="24"/>
          <w:szCs w:val="24"/>
          <w:lang w:val="hr-HR"/>
        </w:rPr>
      </w:pPr>
      <w:r w:rsidRPr="000D2B3E">
        <w:rPr>
          <w:rFonts w:ascii="Times New Roman" w:hAnsi="Times New Roman" w:cs="Times New Roman"/>
          <w:sz w:val="24"/>
          <w:szCs w:val="24"/>
          <w:vertAlign w:val="superscript"/>
          <w:lang w:val="hr-HR"/>
        </w:rPr>
        <w:t>4</w:t>
      </w:r>
      <w:r w:rsidRPr="000D2B3E">
        <w:rPr>
          <w:rFonts w:ascii="Times New Roman" w:hAnsi="Times New Roman" w:cs="Times New Roman"/>
          <w:sz w:val="24"/>
          <w:szCs w:val="24"/>
          <w:lang w:val="hr-HR"/>
        </w:rPr>
        <w:t>Faculty of Chemistry, University of Belgrade, Studentski trg 12-16, Belgrade,Serbia</w:t>
      </w:r>
    </w:p>
    <w:p w:rsidR="00BA2955" w:rsidRPr="000D2B3E" w:rsidRDefault="00BA2955" w:rsidP="00606E89">
      <w:pPr>
        <w:spacing w:before="120" w:after="0" w:line="360" w:lineRule="auto"/>
        <w:jc w:val="both"/>
        <w:rPr>
          <w:rFonts w:ascii="Times New Roman" w:hAnsi="Times New Roman" w:cs="Times New Roman"/>
          <w:b/>
          <w:sz w:val="24"/>
          <w:szCs w:val="24"/>
          <w:lang w:val="hr-HR"/>
        </w:rPr>
      </w:pPr>
      <w:r w:rsidRPr="000D2B3E">
        <w:rPr>
          <w:rFonts w:ascii="Times New Roman" w:hAnsi="Times New Roman" w:cs="Times New Roman"/>
          <w:b/>
          <w:sz w:val="24"/>
          <w:szCs w:val="24"/>
          <w:lang w:val="hr-HR"/>
        </w:rPr>
        <w:t xml:space="preserve">Abstract </w:t>
      </w:r>
    </w:p>
    <w:p w:rsidR="00BA2955" w:rsidRPr="000D2B3E" w:rsidRDefault="00BA2955" w:rsidP="00887415">
      <w:pPr>
        <w:spacing w:after="0" w:line="360" w:lineRule="auto"/>
        <w:jc w:val="both"/>
        <w:rPr>
          <w:rFonts w:ascii="Times New Roman" w:hAnsi="Times New Roman" w:cs="Times New Roman"/>
          <w:sz w:val="24"/>
          <w:szCs w:val="24"/>
          <w:lang w:val="hr-HR"/>
        </w:rPr>
      </w:pPr>
      <w:r w:rsidRPr="000D2B3E">
        <w:rPr>
          <w:rFonts w:ascii="Times New Roman" w:hAnsi="Times New Roman" w:cs="Times New Roman"/>
          <w:sz w:val="24"/>
          <w:szCs w:val="24"/>
          <w:lang w:val="hr-HR"/>
        </w:rPr>
        <w:t xml:space="preserve">Concentration of  </w:t>
      </w:r>
      <w:r w:rsidR="00A22583" w:rsidRPr="000D2B3E">
        <w:rPr>
          <w:rFonts w:ascii="Times New Roman" w:hAnsi="Times New Roman" w:cs="Times New Roman"/>
          <w:sz w:val="24"/>
          <w:szCs w:val="24"/>
          <w:lang w:val="hr-HR"/>
        </w:rPr>
        <w:t>Zn</w:t>
      </w:r>
      <w:r w:rsidRPr="000D2B3E">
        <w:rPr>
          <w:rFonts w:ascii="Times New Roman" w:hAnsi="Times New Roman" w:cs="Times New Roman"/>
          <w:sz w:val="24"/>
          <w:szCs w:val="24"/>
          <w:lang w:val="hr-HR"/>
        </w:rPr>
        <w:t xml:space="preserve">, </w:t>
      </w:r>
      <w:r w:rsidR="00A22583" w:rsidRPr="000D2B3E">
        <w:rPr>
          <w:rFonts w:ascii="Times New Roman" w:hAnsi="Times New Roman" w:cs="Times New Roman"/>
          <w:sz w:val="24"/>
          <w:szCs w:val="24"/>
          <w:lang w:val="hr-HR"/>
        </w:rPr>
        <w:t>Fe</w:t>
      </w:r>
      <w:r w:rsidRPr="000D2B3E">
        <w:rPr>
          <w:rFonts w:ascii="Times New Roman" w:hAnsi="Times New Roman" w:cs="Times New Roman"/>
          <w:sz w:val="24"/>
          <w:szCs w:val="24"/>
          <w:lang w:val="hr-HR"/>
        </w:rPr>
        <w:t xml:space="preserve"> and </w:t>
      </w:r>
      <w:r w:rsidR="00A22583" w:rsidRPr="000D2B3E">
        <w:rPr>
          <w:rFonts w:ascii="Times New Roman" w:hAnsi="Times New Roman" w:cs="Times New Roman"/>
          <w:sz w:val="24"/>
          <w:szCs w:val="24"/>
          <w:lang w:val="hr-HR"/>
        </w:rPr>
        <w:t xml:space="preserve">Cu </w:t>
      </w:r>
      <w:r w:rsidRPr="000D2B3E">
        <w:rPr>
          <w:rFonts w:ascii="Times New Roman" w:hAnsi="Times New Roman" w:cs="Times New Roman"/>
          <w:sz w:val="24"/>
          <w:szCs w:val="24"/>
          <w:lang w:val="hr-HR"/>
        </w:rPr>
        <w:t>in human milk and infant formula were determinated using a new sample preparation method. Human milk samples were diluted in Mili-Q water and Zn, Fe and Cu content was measured and compared by ICP-OES and FAAS. Infant formula powderd samples for infant aged 1-6 months from the market and SRM were prepared in a same way.</w:t>
      </w:r>
    </w:p>
    <w:p w:rsidR="00BA2955" w:rsidRPr="000D2B3E" w:rsidRDefault="00BA2955" w:rsidP="00887415">
      <w:pPr>
        <w:spacing w:after="0" w:line="360" w:lineRule="auto"/>
        <w:jc w:val="both"/>
        <w:rPr>
          <w:rFonts w:ascii="Times New Roman" w:hAnsi="Times New Roman" w:cs="Times New Roman"/>
          <w:b/>
          <w:sz w:val="24"/>
          <w:szCs w:val="24"/>
          <w:lang w:val="hr-HR"/>
        </w:rPr>
      </w:pPr>
      <w:r w:rsidRPr="000D2B3E">
        <w:rPr>
          <w:rFonts w:ascii="Times New Roman" w:hAnsi="Times New Roman" w:cs="Times New Roman"/>
          <w:sz w:val="24"/>
          <w:szCs w:val="24"/>
          <w:lang w:val="hr-HR"/>
        </w:rPr>
        <w:t xml:space="preserve">Results reveal that FAAS is more sensitive for iron determination in human milk samples while ICP-OES was more sensitive for </w:t>
      </w:r>
      <w:r w:rsidR="00A22583" w:rsidRPr="000D2B3E">
        <w:rPr>
          <w:rFonts w:ascii="Times New Roman" w:hAnsi="Times New Roman" w:cs="Times New Roman"/>
          <w:sz w:val="24"/>
          <w:szCs w:val="24"/>
          <w:lang w:val="hr-HR"/>
        </w:rPr>
        <w:t>Zn</w:t>
      </w:r>
      <w:r w:rsidRPr="000D2B3E">
        <w:rPr>
          <w:rFonts w:ascii="Times New Roman" w:hAnsi="Times New Roman" w:cs="Times New Roman"/>
          <w:sz w:val="24"/>
          <w:szCs w:val="24"/>
          <w:lang w:val="hr-HR"/>
        </w:rPr>
        <w:t xml:space="preserve"> and </w:t>
      </w:r>
      <w:r w:rsidR="00A22583" w:rsidRPr="000D2B3E">
        <w:rPr>
          <w:rFonts w:ascii="Times New Roman" w:hAnsi="Times New Roman" w:cs="Times New Roman"/>
          <w:sz w:val="24"/>
          <w:szCs w:val="24"/>
          <w:lang w:val="hr-HR"/>
        </w:rPr>
        <w:t>Cu</w:t>
      </w:r>
      <w:r w:rsidRPr="000D2B3E">
        <w:rPr>
          <w:rFonts w:ascii="Times New Roman" w:hAnsi="Times New Roman" w:cs="Times New Roman"/>
          <w:sz w:val="24"/>
          <w:szCs w:val="24"/>
          <w:lang w:val="hr-HR"/>
        </w:rPr>
        <w:t xml:space="preserve"> detection. Limit of quantification (LoQ) for  Zn and Cu was 5 µg L</w:t>
      </w:r>
      <w:r w:rsidRPr="000D2B3E">
        <w:rPr>
          <w:rFonts w:ascii="Times New Roman" w:hAnsi="Times New Roman" w:cs="Times New Roman"/>
          <w:sz w:val="24"/>
          <w:szCs w:val="24"/>
          <w:vertAlign w:val="superscript"/>
          <w:lang w:val="hr-HR"/>
        </w:rPr>
        <w:t>-1</w:t>
      </w:r>
      <w:r w:rsidR="00A22583" w:rsidRPr="000D2B3E">
        <w:rPr>
          <w:rFonts w:ascii="Times New Roman" w:hAnsi="Times New Roman" w:cs="Times New Roman"/>
          <w:sz w:val="24"/>
          <w:szCs w:val="24"/>
          <w:lang w:val="hr-HR"/>
        </w:rPr>
        <w:t>, for Fe is</w:t>
      </w:r>
      <w:r w:rsidRPr="000D2B3E">
        <w:rPr>
          <w:rFonts w:ascii="Times New Roman" w:hAnsi="Times New Roman" w:cs="Times New Roman"/>
          <w:sz w:val="24"/>
          <w:szCs w:val="24"/>
          <w:lang w:val="hr-HR"/>
        </w:rPr>
        <w:t xml:space="preserve"> 10 µg L</w:t>
      </w:r>
      <w:r w:rsidRPr="000D2B3E">
        <w:rPr>
          <w:rFonts w:ascii="Times New Roman" w:hAnsi="Times New Roman" w:cs="Times New Roman"/>
          <w:sz w:val="24"/>
          <w:szCs w:val="24"/>
          <w:vertAlign w:val="superscript"/>
          <w:lang w:val="hr-HR"/>
        </w:rPr>
        <w:t>-1</w:t>
      </w:r>
      <w:r w:rsidRPr="000D2B3E">
        <w:rPr>
          <w:rFonts w:ascii="Times New Roman" w:hAnsi="Times New Roman" w:cs="Times New Roman"/>
          <w:sz w:val="24"/>
          <w:szCs w:val="24"/>
          <w:lang w:val="hr-HR"/>
        </w:rPr>
        <w:t xml:space="preserve">, recovery for Zn, Fe and Cu was from 85 % to 94 %, </w:t>
      </w:r>
      <w:r w:rsidRPr="000D2B3E">
        <w:rPr>
          <w:rFonts w:ascii="Times New Roman" w:hAnsi="Times New Roman" w:cs="Times New Roman"/>
          <w:sz w:val="24"/>
          <w:szCs w:val="24"/>
        </w:rPr>
        <w:t xml:space="preserve">97.3 % to 103.3  and 90 % to 102 %, </w:t>
      </w:r>
      <w:r w:rsidRPr="000D2B3E">
        <w:rPr>
          <w:rFonts w:ascii="Times New Roman" w:hAnsi="Times New Roman" w:cs="Times New Roman"/>
          <w:sz w:val="24"/>
          <w:szCs w:val="24"/>
          <w:lang w:val="hr-HR"/>
        </w:rPr>
        <w:t>respectively. Human milk samples from 28 mothers from Institute of neonatology in Subotica, Serbia were analized after method validation. Mean concentration for Zn, Fe and Cu in human milk samples were 5.35, 0.47 and 0.83 mg L</w:t>
      </w:r>
      <w:r w:rsidRPr="000D2B3E">
        <w:rPr>
          <w:rFonts w:ascii="Times New Roman" w:hAnsi="Times New Roman" w:cs="Times New Roman"/>
          <w:sz w:val="24"/>
          <w:szCs w:val="24"/>
          <w:vertAlign w:val="superscript"/>
          <w:lang w:val="hr-HR"/>
        </w:rPr>
        <w:t>-1</w:t>
      </w:r>
      <w:r w:rsidRPr="000D2B3E">
        <w:rPr>
          <w:rFonts w:ascii="Times New Roman" w:hAnsi="Times New Roman" w:cs="Times New Roman"/>
          <w:sz w:val="24"/>
          <w:szCs w:val="24"/>
          <w:lang w:val="hr-HR"/>
        </w:rPr>
        <w:t xml:space="preserve"> respectively.</w:t>
      </w:r>
    </w:p>
    <w:p w:rsidR="00BA2955" w:rsidRPr="000D2B3E" w:rsidRDefault="00BA2955" w:rsidP="00887415">
      <w:pPr>
        <w:spacing w:after="0" w:line="360" w:lineRule="auto"/>
        <w:jc w:val="both"/>
        <w:rPr>
          <w:rFonts w:ascii="Times New Roman" w:hAnsi="Times New Roman" w:cs="Times New Roman"/>
          <w:sz w:val="24"/>
          <w:szCs w:val="24"/>
        </w:rPr>
      </w:pPr>
      <w:r w:rsidRPr="000D2B3E">
        <w:rPr>
          <w:rFonts w:ascii="Times New Roman" w:hAnsi="Times New Roman" w:cs="Times New Roman"/>
          <w:sz w:val="24"/>
          <w:szCs w:val="24"/>
          <w:lang w:val="hr-HR"/>
        </w:rPr>
        <w:t xml:space="preserve">Proposed method of water dilution of milk samples showed simplicity, rapidity, effectivness and accurace, despite the sample complexity. ICP-OES is showed as a better method for Zn determination, FAAS for Fe and for Cu, there is no </w:t>
      </w:r>
      <w:r w:rsidRPr="000D2B3E">
        <w:rPr>
          <w:rFonts w:ascii="Times New Roman" w:hAnsi="Times New Roman" w:cs="Times New Roman"/>
          <w:sz w:val="24"/>
          <w:szCs w:val="24"/>
        </w:rPr>
        <w:t>statistically significant difference between this two methods.</w:t>
      </w:r>
    </w:p>
    <w:p w:rsidR="00BA2955" w:rsidRPr="000D2B3E" w:rsidRDefault="00BA2955" w:rsidP="00887415">
      <w:pPr>
        <w:spacing w:after="0" w:line="360" w:lineRule="auto"/>
        <w:jc w:val="both"/>
        <w:rPr>
          <w:rFonts w:ascii="Times New Roman" w:hAnsi="Times New Roman" w:cs="Times New Roman"/>
          <w:sz w:val="24"/>
          <w:szCs w:val="24"/>
          <w:lang w:val="hr-HR"/>
        </w:rPr>
      </w:pPr>
    </w:p>
    <w:p w:rsidR="00BA2955" w:rsidRDefault="00BA2955" w:rsidP="00606E89">
      <w:pPr>
        <w:spacing w:before="120" w:after="0" w:line="360" w:lineRule="auto"/>
        <w:jc w:val="both"/>
        <w:rPr>
          <w:rFonts w:ascii="Times New Roman" w:hAnsi="Times New Roman" w:cs="Times New Roman"/>
          <w:sz w:val="24"/>
          <w:szCs w:val="24"/>
          <w:lang w:val="hr-HR"/>
        </w:rPr>
      </w:pPr>
      <w:r w:rsidRPr="000D2B3E">
        <w:rPr>
          <w:rFonts w:ascii="Times New Roman" w:hAnsi="Times New Roman" w:cs="Times New Roman"/>
          <w:b/>
          <w:sz w:val="24"/>
          <w:szCs w:val="24"/>
          <w:lang w:val="hr-HR"/>
        </w:rPr>
        <w:t>Keywords:</w:t>
      </w:r>
      <w:r w:rsidRPr="000D2B3E">
        <w:rPr>
          <w:rFonts w:ascii="Times New Roman" w:hAnsi="Times New Roman" w:cs="Times New Roman"/>
          <w:sz w:val="24"/>
          <w:szCs w:val="24"/>
          <w:lang w:val="hr-HR"/>
        </w:rPr>
        <w:t xml:space="preserve">  Microelements, human milk, method validation, no sample preparation</w:t>
      </w:r>
    </w:p>
    <w:p w:rsidR="00D858D9" w:rsidRPr="000D2B3E" w:rsidRDefault="00D858D9" w:rsidP="00606E89">
      <w:pPr>
        <w:spacing w:before="120" w:after="0" w:line="360" w:lineRule="auto"/>
        <w:jc w:val="both"/>
        <w:rPr>
          <w:rFonts w:ascii="Times New Roman" w:hAnsi="Times New Roman" w:cs="Times New Roman"/>
          <w:sz w:val="24"/>
          <w:szCs w:val="24"/>
          <w:lang w:val="hr-HR"/>
        </w:rPr>
      </w:pPr>
    </w:p>
    <w:p w:rsidR="00BA2955" w:rsidRPr="000D2B3E" w:rsidRDefault="00BA2955" w:rsidP="00606E89">
      <w:pPr>
        <w:pStyle w:val="ListParagraph"/>
        <w:numPr>
          <w:ilvl w:val="0"/>
          <w:numId w:val="1"/>
        </w:numPr>
        <w:spacing w:before="120" w:after="0" w:line="360" w:lineRule="auto"/>
        <w:jc w:val="both"/>
        <w:rPr>
          <w:rFonts w:ascii="Times New Roman" w:hAnsi="Times New Roman" w:cs="Times New Roman"/>
          <w:b/>
          <w:sz w:val="24"/>
          <w:szCs w:val="24"/>
          <w:lang w:val="hr-HR"/>
        </w:rPr>
      </w:pPr>
      <w:r w:rsidRPr="000D2B3E">
        <w:rPr>
          <w:rFonts w:ascii="Times New Roman" w:hAnsi="Times New Roman" w:cs="Times New Roman"/>
          <w:b/>
          <w:sz w:val="24"/>
          <w:szCs w:val="24"/>
          <w:lang w:val="hr-HR"/>
        </w:rPr>
        <w:lastRenderedPageBreak/>
        <w:t>Introduction</w:t>
      </w:r>
    </w:p>
    <w:p w:rsidR="00BA2955" w:rsidRPr="000D2B3E"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Human breast milk is considered as a complex mixture of nutrients. World health organization recommends breast milk as the ideal food for growth of infants under 12 months of age.</w:t>
      </w:r>
      <w:r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xml:space="preserve"> Human milk contains almost all essential components (minerals</w:t>
      </w:r>
      <w:proofErr w:type="gramStart"/>
      <w:r w:rsidRPr="000D2B3E">
        <w:rPr>
          <w:rFonts w:ascii="Times New Roman" w:hAnsi="Times New Roman" w:cs="Times New Roman"/>
          <w:sz w:val="24"/>
          <w:szCs w:val="24"/>
        </w:rPr>
        <w:t>,  vitamins</w:t>
      </w:r>
      <w:proofErr w:type="gramEnd"/>
      <w:r w:rsidRPr="000D2B3E">
        <w:rPr>
          <w:rFonts w:ascii="Times New Roman" w:hAnsi="Times New Roman" w:cs="Times New Roman"/>
          <w:sz w:val="24"/>
          <w:szCs w:val="24"/>
        </w:rPr>
        <w:t>, essential amino and fatty acids) as a protective factors required for development and normal growth of newborns.</w:t>
      </w:r>
      <w:r w:rsidRPr="000D2B3E">
        <w:rPr>
          <w:rFonts w:ascii="Times New Roman" w:hAnsi="Times New Roman" w:cs="Times New Roman"/>
          <w:sz w:val="24"/>
          <w:szCs w:val="24"/>
          <w:vertAlign w:val="superscript"/>
        </w:rPr>
        <w:t>2-5</w:t>
      </w:r>
      <w:r w:rsidRPr="000D2B3E">
        <w:rPr>
          <w:rFonts w:ascii="Times New Roman" w:hAnsi="Times New Roman" w:cs="Times New Roman"/>
          <w:sz w:val="24"/>
          <w:szCs w:val="24"/>
        </w:rPr>
        <w:t xml:space="preserve"> Micronutrients </w:t>
      </w:r>
      <w:r w:rsidRPr="000D2B3E">
        <w:rPr>
          <w:rStyle w:val="hps"/>
          <w:rFonts w:ascii="Times New Roman" w:hAnsi="Times New Roman" w:cs="Times New Roman"/>
          <w:sz w:val="24"/>
          <w:szCs w:val="24"/>
        </w:rPr>
        <w:t xml:space="preserve">are main constituent of the huge number of molecules such as structural protein source of actors involved in the enzymatic catalysis. </w:t>
      </w:r>
      <w:r w:rsidRPr="000D2B3E">
        <w:rPr>
          <w:rFonts w:ascii="Times New Roman" w:hAnsi="Times New Roman" w:cs="Times New Roman"/>
          <w:sz w:val="24"/>
          <w:szCs w:val="24"/>
        </w:rPr>
        <w:t>Zinc, iron and copper are essential microelements for the normal infant growth. ESPGHAN proposed some standards for compositional requirements for infant formula. It is recommended 0.5-1.5mg of Zn and 0.3-1.3mg of Fe in 100kcal of infant formula.</w:t>
      </w:r>
      <w:r w:rsidRPr="000D2B3E">
        <w:rPr>
          <w:rFonts w:ascii="Times New Roman" w:hAnsi="Times New Roman" w:cs="Times New Roman"/>
          <w:sz w:val="24"/>
          <w:szCs w:val="24"/>
          <w:vertAlign w:val="superscript"/>
        </w:rPr>
        <w:t>6</w:t>
      </w:r>
      <w:r w:rsidRPr="000D2B3E">
        <w:rPr>
          <w:rFonts w:ascii="Times New Roman" w:hAnsi="Times New Roman" w:cs="Times New Roman"/>
          <w:sz w:val="24"/>
          <w:szCs w:val="24"/>
        </w:rPr>
        <w:t xml:space="preserve"> Human milk in </w:t>
      </w:r>
      <w:proofErr w:type="gramStart"/>
      <w:r w:rsidRPr="000D2B3E">
        <w:rPr>
          <w:rFonts w:ascii="Times New Roman" w:hAnsi="Times New Roman" w:cs="Times New Roman"/>
          <w:sz w:val="24"/>
          <w:szCs w:val="24"/>
        </w:rPr>
        <w:t>a</w:t>
      </w:r>
      <w:proofErr w:type="gramEnd"/>
      <w:r w:rsidRPr="000D2B3E">
        <w:rPr>
          <w:rFonts w:ascii="Times New Roman" w:hAnsi="Times New Roman" w:cs="Times New Roman"/>
          <w:sz w:val="24"/>
          <w:szCs w:val="24"/>
        </w:rPr>
        <w:t xml:space="preserve"> early childhood, first few months of baby´s life, provides protection of immune system and healthy development.</w:t>
      </w:r>
      <w:r w:rsidRPr="000D2B3E">
        <w:rPr>
          <w:rFonts w:ascii="Times New Roman" w:hAnsi="Times New Roman" w:cs="Times New Roman"/>
          <w:sz w:val="24"/>
          <w:szCs w:val="24"/>
          <w:vertAlign w:val="superscript"/>
        </w:rPr>
        <w:t>7</w:t>
      </w:r>
      <w:r w:rsidRPr="000D2B3E">
        <w:rPr>
          <w:rFonts w:ascii="Times New Roman" w:hAnsi="Times New Roman" w:cs="Times New Roman"/>
          <w:sz w:val="24"/>
          <w:szCs w:val="24"/>
        </w:rPr>
        <w:t xml:space="preserve"> Zinc is essential micronutrient for many biochemical processes in every organism, especially infants, as a cofactor and constituent of almost 300 enzymes. Zinc participated in DNA metabolism, synthesis and turnover of proteins, lipids, carbohydrates, cell replication, gene replications etc.</w:t>
      </w:r>
      <w:r w:rsidRPr="000D2B3E">
        <w:rPr>
          <w:rFonts w:ascii="Times New Roman" w:hAnsi="Times New Roman" w:cs="Times New Roman"/>
          <w:sz w:val="24"/>
          <w:szCs w:val="24"/>
          <w:vertAlign w:val="superscript"/>
        </w:rPr>
        <w:t>8</w:t>
      </w:r>
      <w:r w:rsidRPr="000D2B3E">
        <w:rPr>
          <w:rFonts w:ascii="Times New Roman" w:hAnsi="Times New Roman" w:cs="Times New Roman"/>
          <w:sz w:val="24"/>
          <w:szCs w:val="24"/>
        </w:rPr>
        <w:t xml:space="preserve"> During pregnancy, childhood and adolescence </w:t>
      </w:r>
      <w:r w:rsidRPr="000D2B3E">
        <w:rPr>
          <w:rFonts w:ascii="Times New Roman" w:hAnsi="Times New Roman" w:cs="Times New Roman"/>
          <w:iCs/>
          <w:sz w:val="24"/>
          <w:szCs w:val="24"/>
        </w:rPr>
        <w:t>z</w:t>
      </w:r>
      <w:r w:rsidRPr="000D2B3E">
        <w:rPr>
          <w:rFonts w:ascii="Times New Roman" w:hAnsi="Times New Roman" w:cs="Times New Roman"/>
          <w:sz w:val="24"/>
          <w:szCs w:val="24"/>
        </w:rPr>
        <w:t>inc supports healthy development and normal growth.</w:t>
      </w:r>
      <w:r w:rsidR="0023583B" w:rsidRPr="000D2B3E">
        <w:rPr>
          <w:rFonts w:ascii="Times New Roman" w:hAnsi="Times New Roman" w:cs="Times New Roman"/>
          <w:sz w:val="24"/>
          <w:szCs w:val="24"/>
          <w:vertAlign w:val="superscript"/>
        </w:rPr>
        <w:t>9</w:t>
      </w:r>
      <w:r w:rsidRPr="000D2B3E">
        <w:rPr>
          <w:rFonts w:ascii="Times New Roman" w:hAnsi="Times New Roman" w:cs="Times New Roman"/>
          <w:sz w:val="24"/>
          <w:szCs w:val="24"/>
          <w:vertAlign w:val="superscript"/>
        </w:rPr>
        <w:t>-1</w:t>
      </w:r>
      <w:r w:rsidR="0023583B"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xml:space="preserve">  Copper is very important micronutrient, plays a crucial role in human metabolism allowing many critical enzymes to function properly.</w:t>
      </w:r>
      <w:r w:rsidRPr="000D2B3E">
        <w:rPr>
          <w:rFonts w:ascii="Times New Roman" w:hAnsi="Times New Roman" w:cs="Times New Roman"/>
          <w:sz w:val="24"/>
          <w:szCs w:val="24"/>
          <w:vertAlign w:val="superscript"/>
        </w:rPr>
        <w:t>1</w:t>
      </w:r>
      <w:r w:rsidR="0023583B" w:rsidRPr="000D2B3E">
        <w:rPr>
          <w:rFonts w:ascii="Times New Roman" w:hAnsi="Times New Roman" w:cs="Times New Roman"/>
          <w:sz w:val="24"/>
          <w:szCs w:val="24"/>
          <w:vertAlign w:val="superscript"/>
        </w:rPr>
        <w:t>2</w:t>
      </w:r>
      <w:r w:rsidRPr="000D2B3E">
        <w:rPr>
          <w:rFonts w:ascii="Times New Roman" w:hAnsi="Times New Roman" w:cs="Times New Roman"/>
          <w:sz w:val="24"/>
          <w:szCs w:val="24"/>
        </w:rPr>
        <w:t xml:space="preserve"> Copper is responsible for production of myelin sheaths in the nervous system, melanin and helps in normal function of thyroid gland.</w:t>
      </w:r>
      <w:r w:rsidRPr="000D2B3E">
        <w:rPr>
          <w:rFonts w:ascii="Times New Roman" w:hAnsi="Times New Roman" w:cs="Times New Roman"/>
          <w:sz w:val="24"/>
          <w:szCs w:val="24"/>
          <w:vertAlign w:val="superscript"/>
        </w:rPr>
        <w:t>1</w:t>
      </w:r>
      <w:r w:rsidR="0023583B" w:rsidRPr="000D2B3E">
        <w:rPr>
          <w:rFonts w:ascii="Times New Roman" w:hAnsi="Times New Roman" w:cs="Times New Roman"/>
          <w:sz w:val="24"/>
          <w:szCs w:val="24"/>
          <w:vertAlign w:val="superscript"/>
        </w:rPr>
        <w:t>3</w:t>
      </w:r>
      <w:r w:rsidRPr="000D2B3E">
        <w:rPr>
          <w:rFonts w:ascii="Times New Roman" w:hAnsi="Times New Roman" w:cs="Times New Roman"/>
          <w:sz w:val="24"/>
          <w:szCs w:val="24"/>
        </w:rPr>
        <w:t xml:space="preserve"> Copper has both an antioxidant and pro-oxidant properties. Another trace element of interest is Fe which is needed for hemoglobin and red blood cell formation, as well as some other important functions in the body, such as biological oxidation</w:t>
      </w:r>
      <w:r w:rsidR="0023583B" w:rsidRPr="000D2B3E">
        <w:rPr>
          <w:rFonts w:ascii="Times New Roman" w:hAnsi="Times New Roman" w:cs="Times New Roman"/>
          <w:sz w:val="24"/>
          <w:szCs w:val="24"/>
          <w:vertAlign w:val="superscript"/>
        </w:rPr>
        <w:t>10</w:t>
      </w:r>
      <w:r w:rsidRPr="000D2B3E">
        <w:rPr>
          <w:rFonts w:ascii="Times New Roman" w:hAnsi="Times New Roman" w:cs="Times New Roman"/>
          <w:sz w:val="24"/>
          <w:szCs w:val="24"/>
          <w:vertAlign w:val="superscript"/>
        </w:rPr>
        <w:t>,1</w:t>
      </w:r>
      <w:r w:rsidR="0023583B" w:rsidRPr="000D2B3E">
        <w:rPr>
          <w:rFonts w:ascii="Times New Roman" w:hAnsi="Times New Roman" w:cs="Times New Roman"/>
          <w:sz w:val="24"/>
          <w:szCs w:val="24"/>
          <w:vertAlign w:val="superscript"/>
        </w:rPr>
        <w:t>4</w:t>
      </w:r>
      <w:r w:rsidRPr="000D2B3E">
        <w:rPr>
          <w:rFonts w:ascii="Times New Roman" w:hAnsi="Times New Roman" w:cs="Times New Roman"/>
          <w:sz w:val="24"/>
          <w:szCs w:val="24"/>
        </w:rPr>
        <w:t xml:space="preserve"> is assumed that human milk exposes some bacteriostatic properties depending of content sand/or bioavailability of iron in breast milk. Many in vivo and in vitro studies have confirmed that iron is a key factor against pediatric pathogens in breast milk.</w:t>
      </w:r>
      <w:r w:rsidRPr="000D2B3E">
        <w:rPr>
          <w:rFonts w:ascii="Times New Roman" w:hAnsi="Times New Roman" w:cs="Times New Roman"/>
          <w:sz w:val="24"/>
          <w:szCs w:val="24"/>
          <w:vertAlign w:val="superscript"/>
        </w:rPr>
        <w:t>1</w:t>
      </w:r>
      <w:r w:rsidR="0023583B" w:rsidRPr="000D2B3E">
        <w:rPr>
          <w:rFonts w:ascii="Times New Roman" w:hAnsi="Times New Roman" w:cs="Times New Roman"/>
          <w:sz w:val="24"/>
          <w:szCs w:val="24"/>
          <w:vertAlign w:val="superscript"/>
        </w:rPr>
        <w:t>5</w:t>
      </w:r>
      <w:r w:rsidRPr="000D2B3E">
        <w:rPr>
          <w:rFonts w:ascii="Times New Roman" w:hAnsi="Times New Roman" w:cs="Times New Roman"/>
          <w:sz w:val="24"/>
          <w:szCs w:val="24"/>
        </w:rPr>
        <w:t xml:space="preserve"> Based on a reported facts deficiency or excess amount of these microelements can threaten to enzyme activities and biological processes in the body.</w:t>
      </w:r>
      <w:r w:rsidR="0023583B" w:rsidRPr="000D2B3E">
        <w:rPr>
          <w:rFonts w:ascii="Times New Roman" w:hAnsi="Times New Roman" w:cs="Times New Roman"/>
          <w:sz w:val="24"/>
          <w:szCs w:val="24"/>
          <w:vertAlign w:val="superscript"/>
        </w:rPr>
        <w:t>16</w:t>
      </w:r>
      <w:r w:rsidRPr="000D2B3E">
        <w:rPr>
          <w:rFonts w:ascii="Times New Roman" w:hAnsi="Times New Roman" w:cs="Times New Roman"/>
          <w:sz w:val="24"/>
          <w:szCs w:val="24"/>
          <w:vertAlign w:val="superscript"/>
        </w:rPr>
        <w:t>,1</w:t>
      </w:r>
      <w:r w:rsidR="0023583B" w:rsidRPr="000D2B3E">
        <w:rPr>
          <w:rFonts w:ascii="Times New Roman" w:hAnsi="Times New Roman" w:cs="Times New Roman"/>
          <w:sz w:val="24"/>
          <w:szCs w:val="24"/>
          <w:vertAlign w:val="superscript"/>
        </w:rPr>
        <w:t>7</w:t>
      </w:r>
      <w:r w:rsidRPr="000D2B3E">
        <w:rPr>
          <w:rFonts w:ascii="Times New Roman" w:hAnsi="Times New Roman" w:cs="Times New Roman"/>
          <w:sz w:val="24"/>
          <w:szCs w:val="24"/>
        </w:rPr>
        <w:t xml:space="preserve"> </w:t>
      </w:r>
      <w:r w:rsidR="00E81059" w:rsidRPr="000D2B3E">
        <w:rPr>
          <w:rFonts w:ascii="Times New Roman" w:hAnsi="Times New Roman" w:cs="Times New Roman"/>
          <w:sz w:val="24"/>
          <w:szCs w:val="24"/>
        </w:rPr>
        <w:fldChar w:fldCharType="begin" w:fldLock="1"/>
      </w:r>
      <w:r w:rsidRPr="000D2B3E">
        <w:rPr>
          <w:rFonts w:ascii="Times New Roman" w:hAnsi="Times New Roman" w:cs="Times New Roman"/>
          <w:sz w:val="24"/>
          <w:szCs w:val="24"/>
        </w:rPr>
        <w:instrText>ADDIN CSL_CITATION { "citationItems" : [ { "id" : "ITEM-1", "itemData" : { "ISBN" : "3131003723", "abstract" : "We report the results of a randomized field experiment that examines the credit market impacts of improvements in a lender's ability to determine borrowers identities. Improved personal identification enhances the credibility of a lenders dynamic repayment incentives by allowing it to withhold future loans from past defaulters and expand credit for good borrowers. The experimental context, rural Malawi, is characterized by an imperfect identification system. Consistent with a simple model of borrower heterogeneity and information asymmetries, fingerprinting led to substantially higher repayment rates for borrowers with the highest ex ante default risk, but had no effect for the rest of the borrowers. The change in repayment rates is driven by reductions in adverse selection (smaller loan sizes) and lower moral hazard (for example, less diversion of loan-financed fertilizer from its intended use on the cash crop).", "author" : [ { "dropping-particle" : "", "family" : "Koolman", "given" : "Jan", "non-dropping-particle" : "", "parse-names" : false, "suffix" : "" }, { "dropping-particle" : "", "family" : "Roehm", "given" : "Klaus-Heinrich", "non-dropping-particle" : "", "parse-names" : false, "suffix" : "" } ], "container-title" : "Color Atlas of Biochemistry", "id" : "ITEM-1", "issued" : { "date-parts" : [ [ "2005" ] ] }, "number-of-pages" : "215", "title" : "Kolman, Color Atlas of Biochemistry", "type" : "book" }, "uris" : [ "http://www.mendeley.com/documents/?uuid=584e6074-b005-4398-b1eb-0b458688ba65" ] }, { "id" : "ITEM-2", "itemData" : { "DOI" : "10.1007/s12011-008-8221-9", "ISBN" : "1559-0720 (Electronic) 0163-4984 (Linking)", "ISSN" : "01634984", "PMID" : "18802672", "abstract" : "The dietary intake of zinc (Zn), iron (Fe), selenium (Se), and iodine (I) of 31 lactating Mexican-American women attending the Hidalgo County WIC program in Rio Grande Valley (RGV), Texas was estimated from 24-h dietary recall interviews. Milk samples were obtained from lactating mothers who had infants 3 months of age and younger. Milk samples were collected in two visits to assess change in breast milk composition after 1-3 months postpartum: group A--after 30-45 days and group B--75-90 days. Dietary intakes indicated that the study participants had significantly inadequate percent energy intakes than the DRI (Dietary Recommended Intakes) percent recommended kilocalorie values but protein intakes were substantially higher than the percent recommended values. The estimated percent Zn, Fe, Se, and I intakes were also significantly lower than the DRI percent recommended values. The lactating mothers consumed significantly less Zn, Se, and I when compared to the Recommended Dietary Allowances (RDA) even though Fe intake was higher than the RDA value. Breast milk concentration of Zn, Fe, and Se were in agreement within the range of representative values for Constituents of Human Milk but I has significantly less concentration than the representative value. There was no statistically significant correlation observed between dietary intake and milk concentration of Zn, Fe, Se, and I. This study compares the estimated dietary intake of zinc, iron, selenium, and iodine to the concentration of these trace elements in the maternal milk of lactating women of Mexican-American heritage who attend the Rio Grande Valley WIC clinic.", "author" : [ { "dropping-particle" : "", "family" : "Hannan", "given" : "Mohammad a.", "non-dropping-particle" : "", "parse-names" : false, "suffix" : "" }, { "dropping-particle" : "", "family" : "Faraji", "given" : "Bahram", "non-dropping-particle" : "", "parse-names" : false, "suffix" : "" }, { "dropping-particle" : "", "family" : "Tanguma", "given" : "Jesus", "non-dropping-particle" : "", "parse-names" : false, "suffix" : "" }, { "dropping-particle" : "", "family" : "Longoria", "given" : "Norma", "non-dropping-particle" : "", "parse-names" : false, "suffix" : "" }, { "dropping-particle" : "", "family" : "Rodriguez", "given" : "R. C.", "non-dropping-particle" : "", "parse-names" : false, "suffix" : "" } ], "container-title" : "Biological Trace Element Research", "id" : "ITEM-2", "issue" : "1", "issued" : { "date-parts" : [ [ "2009" ] ] }, "page" : "6-15", "title" : "Maternal milk concentration of zinc, iron, selenium, and iodine and its relationship to dietary intakes", "type" : "article-journal", "volume" : "127" }, "uris" : [ "http://www.mendeley.com/documents/?uuid=65351de8-6e66-41ea-9a18-76221934c20f" ] } ], "mendeley" : { "formattedCitation" : "[18, 19]", "plainTextFormattedCitation" : "[18, 19]", "previouslyFormattedCitation" : "[18, 19]" }, "properties" : { "noteIndex" : 0 }, "schema" : "https://github.com/citation-style-language/schema/raw/master/csl-citation.json" }</w:instrText>
      </w:r>
      <w:r w:rsidR="00E81059" w:rsidRPr="000D2B3E">
        <w:rPr>
          <w:rFonts w:ascii="Times New Roman" w:hAnsi="Times New Roman" w:cs="Times New Roman"/>
          <w:sz w:val="24"/>
          <w:szCs w:val="24"/>
        </w:rPr>
        <w:fldChar w:fldCharType="end"/>
      </w:r>
      <w:r w:rsidRPr="000D2B3E">
        <w:rPr>
          <w:rFonts w:ascii="Times New Roman" w:hAnsi="Times New Roman" w:cs="Times New Roman"/>
          <w:sz w:val="24"/>
          <w:szCs w:val="24"/>
        </w:rPr>
        <w:t>Definition of nutritional requirements as well as physiology of milk secretion for infants is based on appropriate date of micronutrient content in human milk during lactation.</w:t>
      </w:r>
    </w:p>
    <w:p w:rsidR="00BA2955" w:rsidRPr="000D2B3E"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Determination of trace elements content is very important since the examined matrix is very complex emulsion, with low metal ions concentration. In many studies concentration data on some minerals in breast milk, using different analytical technique have been published.</w:t>
      </w:r>
      <w:r w:rsidR="00124D11" w:rsidRPr="000D2B3E">
        <w:rPr>
          <w:rFonts w:ascii="Times New Roman" w:hAnsi="Times New Roman" w:cs="Times New Roman"/>
          <w:sz w:val="24"/>
          <w:szCs w:val="24"/>
          <w:vertAlign w:val="superscript"/>
        </w:rPr>
        <w:t>1</w:t>
      </w:r>
      <w:r w:rsidR="0023583B" w:rsidRPr="000D2B3E">
        <w:rPr>
          <w:rFonts w:ascii="Times New Roman" w:hAnsi="Times New Roman" w:cs="Times New Roman"/>
          <w:sz w:val="24"/>
          <w:szCs w:val="24"/>
          <w:vertAlign w:val="superscript"/>
        </w:rPr>
        <w:t>8</w:t>
      </w:r>
      <w:r w:rsidRPr="000D2B3E">
        <w:rPr>
          <w:rFonts w:ascii="Times New Roman" w:hAnsi="Times New Roman" w:cs="Times New Roman"/>
          <w:sz w:val="24"/>
          <w:szCs w:val="24"/>
          <w:vertAlign w:val="superscript"/>
        </w:rPr>
        <w:t>-2</w:t>
      </w:r>
      <w:r w:rsidR="0023583B" w:rsidRPr="000D2B3E">
        <w:rPr>
          <w:rFonts w:ascii="Times New Roman" w:hAnsi="Times New Roman" w:cs="Times New Roman"/>
          <w:sz w:val="24"/>
          <w:szCs w:val="24"/>
          <w:vertAlign w:val="superscript"/>
        </w:rPr>
        <w:t>0</w:t>
      </w:r>
      <w:r w:rsidRPr="000D2B3E">
        <w:rPr>
          <w:rFonts w:ascii="Times New Roman" w:hAnsi="Times New Roman" w:cs="Times New Roman"/>
          <w:sz w:val="24"/>
          <w:szCs w:val="24"/>
        </w:rPr>
        <w:t xml:space="preserve"> Atomic absorption spectrometry is one of the first used techniques and it is still applied in clinical and dairy products analysis.</w:t>
      </w:r>
      <w:r w:rsidRPr="000D2B3E">
        <w:rPr>
          <w:rFonts w:ascii="Times New Roman" w:hAnsi="Times New Roman" w:cs="Times New Roman"/>
          <w:sz w:val="24"/>
          <w:szCs w:val="24"/>
          <w:vertAlign w:val="superscript"/>
        </w:rPr>
        <w:t>2</w:t>
      </w:r>
      <w:r w:rsidR="0023583B"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xml:space="preserve"> FAAS, EAAS, ICP-OES </w:t>
      </w:r>
      <w:proofErr w:type="spellStart"/>
      <w:r w:rsidRPr="000D2B3E">
        <w:rPr>
          <w:rFonts w:ascii="Times New Roman" w:hAnsi="Times New Roman" w:cs="Times New Roman"/>
          <w:sz w:val="24"/>
          <w:szCs w:val="24"/>
        </w:rPr>
        <w:t>i</w:t>
      </w:r>
      <w:proofErr w:type="spellEnd"/>
      <w:r w:rsidRPr="000D2B3E">
        <w:rPr>
          <w:rFonts w:ascii="Times New Roman" w:hAnsi="Times New Roman" w:cs="Times New Roman"/>
          <w:sz w:val="24"/>
          <w:szCs w:val="24"/>
        </w:rPr>
        <w:t xml:space="preserve"> ICP-MS are basic techniques used nowadays.</w:t>
      </w:r>
      <w:r w:rsidRPr="000D2B3E">
        <w:rPr>
          <w:rFonts w:ascii="Times New Roman" w:hAnsi="Times New Roman" w:cs="Times New Roman"/>
          <w:sz w:val="24"/>
          <w:szCs w:val="24"/>
          <w:vertAlign w:val="superscript"/>
        </w:rPr>
        <w:t>2</w:t>
      </w:r>
      <w:r w:rsidR="0023583B" w:rsidRPr="000D2B3E">
        <w:rPr>
          <w:rFonts w:ascii="Times New Roman" w:hAnsi="Times New Roman" w:cs="Times New Roman"/>
          <w:sz w:val="24"/>
          <w:szCs w:val="24"/>
          <w:vertAlign w:val="superscript"/>
        </w:rPr>
        <w:t>2</w:t>
      </w:r>
      <w:r w:rsidRPr="000D2B3E">
        <w:rPr>
          <w:rFonts w:ascii="Times New Roman" w:hAnsi="Times New Roman" w:cs="Times New Roman"/>
          <w:sz w:val="24"/>
          <w:szCs w:val="24"/>
          <w:vertAlign w:val="superscript"/>
        </w:rPr>
        <w:t>,2</w:t>
      </w:r>
      <w:r w:rsidR="0023583B" w:rsidRPr="000D2B3E">
        <w:rPr>
          <w:rFonts w:ascii="Times New Roman" w:hAnsi="Times New Roman" w:cs="Times New Roman"/>
          <w:sz w:val="24"/>
          <w:szCs w:val="24"/>
          <w:vertAlign w:val="superscript"/>
        </w:rPr>
        <w:t>3</w:t>
      </w:r>
      <w:r w:rsidRPr="000D2B3E">
        <w:rPr>
          <w:rFonts w:ascii="Times New Roman" w:hAnsi="Times New Roman" w:cs="Times New Roman"/>
          <w:sz w:val="24"/>
          <w:szCs w:val="24"/>
        </w:rPr>
        <w:t xml:space="preserve"> A new method for Cu determination by ZEAAS without sample digestion with minimal preparation, using two chemical modifiers was also established recently.</w:t>
      </w:r>
      <w:r w:rsidRPr="000D2B3E">
        <w:rPr>
          <w:rFonts w:ascii="Times New Roman" w:hAnsi="Times New Roman" w:cs="Times New Roman"/>
          <w:sz w:val="24"/>
          <w:szCs w:val="24"/>
          <w:vertAlign w:val="superscript"/>
        </w:rPr>
        <w:t>2</w:t>
      </w:r>
      <w:r w:rsidR="0023583B" w:rsidRPr="000D2B3E">
        <w:rPr>
          <w:rFonts w:ascii="Times New Roman" w:hAnsi="Times New Roman" w:cs="Times New Roman"/>
          <w:sz w:val="24"/>
          <w:szCs w:val="24"/>
          <w:vertAlign w:val="superscript"/>
        </w:rPr>
        <w:t>4</w:t>
      </w:r>
      <w:r w:rsidRPr="000D2B3E">
        <w:rPr>
          <w:rFonts w:ascii="Times New Roman" w:hAnsi="Times New Roman" w:cs="Times New Roman"/>
          <w:sz w:val="24"/>
          <w:szCs w:val="24"/>
        </w:rPr>
        <w:t xml:space="preserve"> Determination of major and trace </w:t>
      </w:r>
      <w:r w:rsidRPr="000D2B3E">
        <w:rPr>
          <w:rFonts w:ascii="Times New Roman" w:hAnsi="Times New Roman" w:cs="Times New Roman"/>
          <w:sz w:val="24"/>
          <w:szCs w:val="24"/>
        </w:rPr>
        <w:lastRenderedPageBreak/>
        <w:t>elements was performed using milk dilution procedure with 5 or 10% v/v water-</w:t>
      </w:r>
      <w:proofErr w:type="spellStart"/>
      <w:r w:rsidRPr="000D2B3E">
        <w:rPr>
          <w:rFonts w:ascii="Times New Roman" w:hAnsi="Times New Roman" w:cs="Times New Roman"/>
          <w:sz w:val="24"/>
          <w:szCs w:val="24"/>
        </w:rPr>
        <w:t>solubile</w:t>
      </w:r>
      <w:proofErr w:type="spellEnd"/>
      <w:r w:rsidRPr="000D2B3E">
        <w:rPr>
          <w:rFonts w:ascii="Times New Roman" w:hAnsi="Times New Roman" w:cs="Times New Roman"/>
          <w:sz w:val="24"/>
          <w:szCs w:val="24"/>
        </w:rPr>
        <w:t>, mixed tertiary amine reagent at pH 8 by ICP-AES and ICP-MS</w:t>
      </w:r>
      <w:r w:rsidR="00124D11" w:rsidRPr="000D2B3E">
        <w:rPr>
          <w:rFonts w:ascii="Times New Roman" w:hAnsi="Times New Roman" w:cs="Times New Roman"/>
          <w:sz w:val="24"/>
          <w:szCs w:val="24"/>
        </w:rPr>
        <w:t>.</w:t>
      </w:r>
      <w:r w:rsidRPr="000D2B3E">
        <w:rPr>
          <w:rFonts w:ascii="Times New Roman" w:hAnsi="Times New Roman" w:cs="Times New Roman"/>
          <w:sz w:val="24"/>
          <w:szCs w:val="24"/>
          <w:vertAlign w:val="superscript"/>
        </w:rPr>
        <w:t>2</w:t>
      </w:r>
      <w:r w:rsidR="0023583B" w:rsidRPr="000D2B3E">
        <w:rPr>
          <w:rFonts w:ascii="Times New Roman" w:hAnsi="Times New Roman" w:cs="Times New Roman"/>
          <w:sz w:val="24"/>
          <w:szCs w:val="24"/>
          <w:vertAlign w:val="superscript"/>
        </w:rPr>
        <w:t>5</w:t>
      </w:r>
      <w:r w:rsidRPr="000D2B3E">
        <w:rPr>
          <w:rFonts w:ascii="Times New Roman" w:hAnsi="Times New Roman" w:cs="Times New Roman"/>
          <w:sz w:val="24"/>
          <w:szCs w:val="24"/>
        </w:rPr>
        <w:t xml:space="preserve"> Despite the fact that  ICP-MS provides results with high sensitivity, accuracy and precision although it is the least applied in clinical laboratories because of high instrument expenses and high working protocols demands.</w:t>
      </w:r>
      <w:r w:rsidRPr="000D2B3E">
        <w:rPr>
          <w:rFonts w:ascii="Times New Roman" w:hAnsi="Times New Roman" w:cs="Times New Roman"/>
          <w:sz w:val="24"/>
          <w:szCs w:val="24"/>
          <w:vertAlign w:val="superscript"/>
        </w:rPr>
        <w:t>2</w:t>
      </w:r>
      <w:r w:rsidR="0023583B" w:rsidRPr="000D2B3E">
        <w:rPr>
          <w:rFonts w:ascii="Times New Roman" w:hAnsi="Times New Roman" w:cs="Times New Roman"/>
          <w:sz w:val="24"/>
          <w:szCs w:val="24"/>
          <w:vertAlign w:val="superscript"/>
        </w:rPr>
        <w:t>6</w:t>
      </w:r>
      <w:r w:rsidRPr="000D2B3E">
        <w:rPr>
          <w:rFonts w:ascii="Times New Roman" w:hAnsi="Times New Roman" w:cs="Times New Roman"/>
          <w:sz w:val="24"/>
          <w:szCs w:val="24"/>
          <w:vertAlign w:val="superscript"/>
        </w:rPr>
        <w:t>-</w:t>
      </w:r>
      <w:r w:rsidR="00124D11" w:rsidRPr="000D2B3E">
        <w:rPr>
          <w:rFonts w:ascii="Times New Roman" w:hAnsi="Times New Roman" w:cs="Times New Roman"/>
          <w:sz w:val="24"/>
          <w:szCs w:val="24"/>
          <w:vertAlign w:val="superscript"/>
        </w:rPr>
        <w:t>2</w:t>
      </w:r>
      <w:r w:rsidR="0023583B" w:rsidRPr="000D2B3E">
        <w:rPr>
          <w:rFonts w:ascii="Times New Roman" w:hAnsi="Times New Roman" w:cs="Times New Roman"/>
          <w:sz w:val="24"/>
          <w:szCs w:val="24"/>
          <w:vertAlign w:val="superscript"/>
        </w:rPr>
        <w:t>8</w:t>
      </w:r>
      <w:r w:rsidRPr="000D2B3E">
        <w:rPr>
          <w:rFonts w:ascii="Times New Roman" w:hAnsi="Times New Roman" w:cs="Times New Roman"/>
          <w:sz w:val="24"/>
          <w:szCs w:val="24"/>
        </w:rPr>
        <w:t>. N</w:t>
      </w:r>
      <w:r w:rsidRPr="000D2B3E">
        <w:rPr>
          <w:rFonts w:ascii="QphdlsAdvTT3713a231" w:hAnsi="QphdlsAdvTT3713a231" w:cs="QphdlsAdvTT3713a231"/>
          <w:sz w:val="24"/>
          <w:szCs w:val="24"/>
        </w:rPr>
        <w:t xml:space="preserve">eutron activation analysis (NAA) is one of the most sensitive </w:t>
      </w:r>
      <w:proofErr w:type="gramStart"/>
      <w:r w:rsidRPr="000D2B3E">
        <w:rPr>
          <w:rFonts w:ascii="QphdlsAdvTT3713a231" w:hAnsi="QphdlsAdvTT3713a231" w:cs="QphdlsAdvTT3713a231"/>
          <w:sz w:val="24"/>
          <w:szCs w:val="24"/>
        </w:rPr>
        <w:t>technique</w:t>
      </w:r>
      <w:proofErr w:type="gramEnd"/>
      <w:r w:rsidRPr="000D2B3E">
        <w:rPr>
          <w:rFonts w:ascii="QphdlsAdvTT3713a231" w:hAnsi="QphdlsAdvTT3713a231" w:cs="QphdlsAdvTT3713a231"/>
          <w:sz w:val="24"/>
          <w:szCs w:val="24"/>
        </w:rPr>
        <w:t>, for application in clinical biology, but it is long and inappropriate, which is why it is uncommonly employed.</w:t>
      </w:r>
      <w:r w:rsidR="0023583B" w:rsidRPr="000D2B3E">
        <w:rPr>
          <w:rFonts w:ascii="QphdlsAdvTT3713a231" w:hAnsi="QphdlsAdvTT3713a231" w:cs="QphdlsAdvTT3713a231"/>
          <w:sz w:val="24"/>
          <w:szCs w:val="24"/>
          <w:vertAlign w:val="superscript"/>
        </w:rPr>
        <w:t>29</w:t>
      </w:r>
      <w:r w:rsidRPr="000D2B3E">
        <w:rPr>
          <w:rFonts w:ascii="QphdlsAdvTT3713a231" w:hAnsi="QphdlsAdvTT3713a231" w:cs="QphdlsAdvTT3713a231"/>
          <w:sz w:val="24"/>
          <w:szCs w:val="24"/>
        </w:rPr>
        <w:t xml:space="preserve"> </w:t>
      </w:r>
    </w:p>
    <w:p w:rsidR="00BA2955" w:rsidRPr="000D2B3E"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Microwave assisted digestion is the most used sample preparation method for clinical and diary samples.</w:t>
      </w:r>
      <w:r w:rsidRPr="000D2B3E">
        <w:rPr>
          <w:rFonts w:ascii="Times New Roman" w:hAnsi="Times New Roman" w:cs="Times New Roman"/>
          <w:sz w:val="24"/>
          <w:szCs w:val="24"/>
          <w:vertAlign w:val="superscript"/>
        </w:rPr>
        <w:t>3</w:t>
      </w:r>
      <w:r w:rsidR="0023583B" w:rsidRPr="000D2B3E">
        <w:rPr>
          <w:rFonts w:ascii="Times New Roman" w:hAnsi="Times New Roman" w:cs="Times New Roman"/>
          <w:sz w:val="24"/>
          <w:szCs w:val="24"/>
          <w:vertAlign w:val="superscript"/>
        </w:rPr>
        <w:t>0</w:t>
      </w:r>
      <w:r w:rsidRPr="000D2B3E">
        <w:rPr>
          <w:rFonts w:ascii="Times New Roman" w:hAnsi="Times New Roman" w:cs="Times New Roman"/>
          <w:sz w:val="24"/>
          <w:szCs w:val="24"/>
        </w:rPr>
        <w:t xml:space="preserve"> </w:t>
      </w:r>
      <w:proofErr w:type="gramStart"/>
      <w:r w:rsidRPr="000D2B3E">
        <w:rPr>
          <w:rFonts w:ascii="Times New Roman" w:hAnsi="Times New Roman" w:cs="Times New Roman"/>
          <w:sz w:val="24"/>
          <w:szCs w:val="24"/>
        </w:rPr>
        <w:t>Although</w:t>
      </w:r>
      <w:proofErr w:type="gramEnd"/>
      <w:r w:rsidRPr="000D2B3E">
        <w:rPr>
          <w:rFonts w:ascii="Times New Roman" w:hAnsi="Times New Roman" w:cs="Times New Roman"/>
          <w:sz w:val="24"/>
          <w:szCs w:val="24"/>
        </w:rPr>
        <w:t xml:space="preserve"> this technique is fast and simple, consumption of strong acids for sample degradation is needed.</w:t>
      </w:r>
    </w:p>
    <w:p w:rsidR="00BA2955" w:rsidRPr="000D2B3E"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 xml:space="preserve">In 28 human milk samples content of Zn, Fe and Cu was determinate as well as in infant formula, for 1-6 months age, purchased from the market, using ICP-OES. Sample preparation was conducted in </w:t>
      </w:r>
      <w:proofErr w:type="gramStart"/>
      <w:r w:rsidRPr="000D2B3E">
        <w:rPr>
          <w:rFonts w:ascii="Times New Roman" w:hAnsi="Times New Roman" w:cs="Times New Roman"/>
          <w:sz w:val="24"/>
          <w:szCs w:val="24"/>
        </w:rPr>
        <w:t>a</w:t>
      </w:r>
      <w:proofErr w:type="gramEnd"/>
      <w:r w:rsidRPr="000D2B3E">
        <w:rPr>
          <w:rFonts w:ascii="Times New Roman" w:hAnsi="Times New Roman" w:cs="Times New Roman"/>
          <w:sz w:val="24"/>
          <w:szCs w:val="24"/>
        </w:rPr>
        <w:t xml:space="preserve"> easy, fast and cheap way, diluting in </w:t>
      </w:r>
      <w:proofErr w:type="spellStart"/>
      <w:r w:rsidRPr="000D2B3E">
        <w:rPr>
          <w:rFonts w:ascii="Times New Roman" w:hAnsi="Times New Roman" w:cs="Times New Roman"/>
          <w:sz w:val="24"/>
          <w:szCs w:val="24"/>
        </w:rPr>
        <w:t>Milli</w:t>
      </w:r>
      <w:proofErr w:type="spellEnd"/>
      <w:r w:rsidRPr="000D2B3E">
        <w:rPr>
          <w:rFonts w:ascii="Times New Roman" w:hAnsi="Times New Roman" w:cs="Times New Roman"/>
          <w:sz w:val="24"/>
          <w:szCs w:val="24"/>
        </w:rPr>
        <w:t>-Q water, conductivity &lt; 1µS/cm.</w:t>
      </w:r>
    </w:p>
    <w:p w:rsidR="00462635" w:rsidRPr="000D2B3E" w:rsidRDefault="00462635" w:rsidP="00606E89">
      <w:pPr>
        <w:spacing w:line="360" w:lineRule="auto"/>
        <w:jc w:val="both"/>
        <w:rPr>
          <w:sz w:val="24"/>
          <w:szCs w:val="24"/>
        </w:rPr>
      </w:pPr>
    </w:p>
    <w:p w:rsidR="00BA2955" w:rsidRPr="000D2B3E" w:rsidRDefault="00BA2955" w:rsidP="00056DC3">
      <w:pPr>
        <w:pStyle w:val="ListParagraph"/>
        <w:numPr>
          <w:ilvl w:val="0"/>
          <w:numId w:val="1"/>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Material and Methods</w:t>
      </w:r>
    </w:p>
    <w:p w:rsidR="00BA2955" w:rsidRPr="000D2B3E" w:rsidRDefault="00BA2955" w:rsidP="000D2B3E">
      <w:pPr>
        <w:pStyle w:val="ListParagraph"/>
        <w:numPr>
          <w:ilvl w:val="1"/>
          <w:numId w:val="12"/>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Sample collection and storage</w:t>
      </w:r>
    </w:p>
    <w:p w:rsidR="00BA2955" w:rsidRPr="000D2B3E"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28 on term human milk samples were taken from healthy mothers, aged 31.2 ± 6, average age 32 years, in a period 1</w:t>
      </w:r>
      <w:r w:rsidRPr="000D2B3E">
        <w:rPr>
          <w:rFonts w:ascii="Times New Roman" w:hAnsi="Times New Roman" w:cs="Times New Roman"/>
          <w:sz w:val="24"/>
          <w:szCs w:val="24"/>
          <w:vertAlign w:val="superscript"/>
        </w:rPr>
        <w:t>st</w:t>
      </w:r>
      <w:r w:rsidRPr="000D2B3E">
        <w:rPr>
          <w:rFonts w:ascii="Times New Roman" w:hAnsi="Times New Roman" w:cs="Times New Roman"/>
          <w:sz w:val="24"/>
          <w:szCs w:val="24"/>
        </w:rPr>
        <w:t>-4</w:t>
      </w:r>
      <w:r w:rsidRPr="000D2B3E">
        <w:rPr>
          <w:rFonts w:ascii="Times New Roman" w:hAnsi="Times New Roman" w:cs="Times New Roman"/>
          <w:sz w:val="24"/>
          <w:szCs w:val="24"/>
          <w:vertAlign w:val="superscript"/>
        </w:rPr>
        <w:t>th</w:t>
      </w:r>
      <w:r w:rsidRPr="000D2B3E">
        <w:rPr>
          <w:rFonts w:ascii="Times New Roman" w:hAnsi="Times New Roman" w:cs="Times New Roman"/>
          <w:sz w:val="24"/>
          <w:szCs w:val="24"/>
        </w:rPr>
        <w:t xml:space="preserve"> day after delivery. The samples were taken at the Department of neonatology from Subotica (Serbia) hospital in January 2013. All participants in this study gave written consent for milk sampling and Ethical Committee of Medical Faculty in Belgrade approved research, No.01-434/4, dated 22/05/2012. The study protocol was in -accordance with the guidelines of the Ethical Committee, Faculty of Medicine.</w:t>
      </w:r>
    </w:p>
    <w:p w:rsidR="00BA2955" w:rsidRPr="000D2B3E" w:rsidRDefault="00BA2955" w:rsidP="00606E89">
      <w:pPr>
        <w:pStyle w:val="PlainText"/>
        <w:spacing w:line="360" w:lineRule="auto"/>
        <w:jc w:val="both"/>
        <w:rPr>
          <w:rFonts w:ascii="Times New Roman" w:hAnsi="Times New Roman" w:cs="Times New Roman"/>
          <w:sz w:val="24"/>
          <w:szCs w:val="24"/>
        </w:rPr>
      </w:pPr>
      <w:proofErr w:type="gramStart"/>
      <w:r w:rsidRPr="000D2B3E">
        <w:rPr>
          <w:rStyle w:val="hps"/>
          <w:rFonts w:ascii="Times New Roman" w:hAnsi="Times New Roman" w:cs="Times New Roman"/>
          <w:color w:val="000000" w:themeColor="text1"/>
          <w:sz w:val="24"/>
          <w:szCs w:val="24"/>
        </w:rPr>
        <w:t>An</w:t>
      </w:r>
      <w:proofErr w:type="gramEnd"/>
      <w:r w:rsidRPr="000D2B3E">
        <w:rPr>
          <w:rStyle w:val="hps"/>
          <w:rFonts w:ascii="Times New Roman" w:hAnsi="Times New Roman" w:cs="Times New Roman"/>
          <w:color w:val="000000" w:themeColor="text1"/>
          <w:sz w:val="24"/>
          <w:szCs w:val="24"/>
        </w:rPr>
        <w:t xml:space="preserve"> milk aliquot of 10-20ml was taken from each mother in accordance with the relevant protocol</w:t>
      </w:r>
      <w:r w:rsidRPr="000D2B3E">
        <w:rPr>
          <w:rFonts w:ascii="Times New Roman" w:hAnsi="Times New Roman" w:cs="Times New Roman"/>
          <w:color w:val="000000" w:themeColor="text1"/>
          <w:sz w:val="24"/>
          <w:szCs w:val="24"/>
        </w:rPr>
        <w:t xml:space="preserve">. </w:t>
      </w:r>
      <w:r w:rsidRPr="000D2B3E">
        <w:rPr>
          <w:rStyle w:val="hps"/>
          <w:rFonts w:ascii="Times New Roman" w:hAnsi="Times New Roman" w:cs="Times New Roman"/>
          <w:color w:val="000000" w:themeColor="text1"/>
          <w:sz w:val="24"/>
          <w:szCs w:val="24"/>
        </w:rPr>
        <w:t>Every mother has previously cleansed breast and nipples</w:t>
      </w:r>
      <w:r w:rsidRPr="000D2B3E">
        <w:rPr>
          <w:rFonts w:ascii="Times New Roman" w:hAnsi="Times New Roman" w:cs="Times New Roman"/>
          <w:color w:val="000000" w:themeColor="text1"/>
          <w:sz w:val="24"/>
          <w:szCs w:val="24"/>
        </w:rPr>
        <w:t xml:space="preserve"> with </w:t>
      </w:r>
      <w:proofErr w:type="spellStart"/>
      <w:r w:rsidRPr="000D2B3E">
        <w:rPr>
          <w:rFonts w:ascii="Times New Roman" w:hAnsi="Times New Roman" w:cs="Times New Roman"/>
          <w:color w:val="000000" w:themeColor="text1"/>
          <w:sz w:val="24"/>
          <w:szCs w:val="24"/>
        </w:rPr>
        <w:t>ultra pure</w:t>
      </w:r>
      <w:proofErr w:type="spellEnd"/>
      <w:r w:rsidRPr="000D2B3E">
        <w:rPr>
          <w:rFonts w:ascii="Times New Roman" w:hAnsi="Times New Roman" w:cs="Times New Roman"/>
          <w:color w:val="000000" w:themeColor="text1"/>
          <w:sz w:val="24"/>
          <w:szCs w:val="24"/>
        </w:rPr>
        <w:t xml:space="preserve"> </w:t>
      </w:r>
      <w:proofErr w:type="spellStart"/>
      <w:r w:rsidRPr="000D2B3E">
        <w:rPr>
          <w:rStyle w:val="hps"/>
          <w:rFonts w:ascii="Times New Roman" w:hAnsi="Times New Roman" w:cs="Times New Roman"/>
          <w:color w:val="000000" w:themeColor="text1"/>
          <w:sz w:val="24"/>
          <w:szCs w:val="24"/>
        </w:rPr>
        <w:t>Mili</w:t>
      </w:r>
      <w:proofErr w:type="spellEnd"/>
      <w:r w:rsidRPr="000D2B3E">
        <w:rPr>
          <w:rStyle w:val="atn"/>
          <w:rFonts w:ascii="Times New Roman" w:hAnsi="Times New Roman" w:cs="Times New Roman"/>
          <w:color w:val="000000" w:themeColor="text1"/>
          <w:sz w:val="24"/>
          <w:szCs w:val="24"/>
        </w:rPr>
        <w:t>-</w:t>
      </w:r>
      <w:r w:rsidRPr="000D2B3E">
        <w:rPr>
          <w:rFonts w:ascii="Times New Roman" w:hAnsi="Times New Roman" w:cs="Times New Roman"/>
          <w:color w:val="000000" w:themeColor="text1"/>
          <w:sz w:val="24"/>
          <w:szCs w:val="24"/>
        </w:rPr>
        <w:t xml:space="preserve">Q water </w:t>
      </w:r>
      <w:r w:rsidRPr="000D2B3E">
        <w:rPr>
          <w:rStyle w:val="hps"/>
          <w:rFonts w:ascii="Times New Roman" w:hAnsi="Times New Roman" w:cs="Times New Roman"/>
          <w:color w:val="000000" w:themeColor="text1"/>
          <w:sz w:val="24"/>
          <w:szCs w:val="24"/>
        </w:rPr>
        <w:t xml:space="preserve">using protective gloves. </w:t>
      </w:r>
      <w:r w:rsidRPr="000D2B3E">
        <w:rPr>
          <w:rFonts w:ascii="Times New Roman" w:hAnsi="Times New Roman" w:cs="Times New Roman"/>
          <w:color w:val="000000" w:themeColor="text1"/>
          <w:sz w:val="24"/>
          <w:szCs w:val="24"/>
        </w:rPr>
        <w:t xml:space="preserve">Milk was </w:t>
      </w:r>
      <w:r w:rsidRPr="000D2B3E">
        <w:rPr>
          <w:rFonts w:ascii="Times New Roman" w:hAnsi="Times New Roman" w:cs="Times New Roman"/>
          <w:sz w:val="24"/>
          <w:szCs w:val="24"/>
        </w:rPr>
        <w:t xml:space="preserve">sampled using a manual breast milk pump and/or a passive breast milk sampler. The women were instructed to sample milk both at the beginning and at the end of the breast feeding session. Milk samples are collected in </w:t>
      </w:r>
      <w:proofErr w:type="gramStart"/>
      <w:r w:rsidRPr="000D2B3E">
        <w:rPr>
          <w:rFonts w:ascii="Times New Roman" w:hAnsi="Times New Roman" w:cs="Times New Roman"/>
          <w:sz w:val="24"/>
          <w:szCs w:val="24"/>
        </w:rPr>
        <w:t>clean,</w:t>
      </w:r>
      <w:proofErr w:type="gramEnd"/>
      <w:r w:rsidRPr="000D2B3E">
        <w:rPr>
          <w:rFonts w:ascii="Times New Roman" w:hAnsi="Times New Roman" w:cs="Times New Roman"/>
          <w:sz w:val="24"/>
          <w:szCs w:val="24"/>
        </w:rPr>
        <w:t xml:space="preserve"> previously washed with </w:t>
      </w:r>
      <w:proofErr w:type="spellStart"/>
      <w:r w:rsidRPr="000D2B3E">
        <w:rPr>
          <w:rFonts w:ascii="Times New Roman" w:hAnsi="Times New Roman" w:cs="Times New Roman"/>
          <w:sz w:val="24"/>
          <w:szCs w:val="24"/>
        </w:rPr>
        <w:t>Mili</w:t>
      </w:r>
      <w:proofErr w:type="spellEnd"/>
      <w:r w:rsidRPr="000D2B3E">
        <w:rPr>
          <w:rFonts w:ascii="Times New Roman" w:hAnsi="Times New Roman" w:cs="Times New Roman"/>
          <w:sz w:val="24"/>
          <w:szCs w:val="24"/>
        </w:rPr>
        <w:t xml:space="preserve">-Q water, plastic vessels. Human milk samples were marked and stored at -20ºC before analysis. Infant formula samples, aged 1-6 months were sampled as a random sample from the local markets from five different manufacturers. Prior to analysis human milk samples were defrosted to room temperature, 1ml of milk was diluted to 10 ml with </w:t>
      </w:r>
      <w:proofErr w:type="spellStart"/>
      <w:r w:rsidRPr="000D2B3E">
        <w:rPr>
          <w:rFonts w:ascii="Times New Roman" w:hAnsi="Times New Roman" w:cs="Times New Roman"/>
          <w:sz w:val="24"/>
          <w:szCs w:val="24"/>
        </w:rPr>
        <w:t>Mili</w:t>
      </w:r>
      <w:proofErr w:type="spellEnd"/>
      <w:r w:rsidRPr="000D2B3E">
        <w:rPr>
          <w:rFonts w:ascii="Times New Roman" w:hAnsi="Times New Roman" w:cs="Times New Roman"/>
          <w:sz w:val="24"/>
          <w:szCs w:val="24"/>
        </w:rPr>
        <w:t xml:space="preserve">-Q water. Infant formula and SRM samples were prepared: 1g was diluted in 100 ml of </w:t>
      </w:r>
      <w:proofErr w:type="spellStart"/>
      <w:r w:rsidRPr="000D2B3E">
        <w:rPr>
          <w:rFonts w:ascii="Times New Roman" w:hAnsi="Times New Roman" w:cs="Times New Roman"/>
          <w:sz w:val="24"/>
          <w:szCs w:val="24"/>
        </w:rPr>
        <w:t>Mili</w:t>
      </w:r>
      <w:proofErr w:type="spellEnd"/>
      <w:r w:rsidRPr="000D2B3E">
        <w:rPr>
          <w:rFonts w:ascii="Times New Roman" w:hAnsi="Times New Roman" w:cs="Times New Roman"/>
          <w:sz w:val="24"/>
          <w:szCs w:val="24"/>
        </w:rPr>
        <w:t xml:space="preserve">-Q water, because of higher concentrations of elements and higher density compared to human milk samples. </w:t>
      </w:r>
      <w:proofErr w:type="gramStart"/>
      <w:r w:rsidRPr="000D2B3E">
        <w:rPr>
          <w:rFonts w:ascii="Times New Roman" w:hAnsi="Times New Roman" w:cs="Times New Roman"/>
          <w:sz w:val="24"/>
          <w:szCs w:val="24"/>
        </w:rPr>
        <w:t xml:space="preserve">This methodology involving direct </w:t>
      </w:r>
      <w:r w:rsidRPr="000D2B3E">
        <w:rPr>
          <w:rFonts w:ascii="Times New Roman" w:hAnsi="Times New Roman" w:cs="Times New Roman"/>
          <w:sz w:val="24"/>
          <w:szCs w:val="24"/>
        </w:rPr>
        <w:lastRenderedPageBreak/>
        <w:t>analysis of samples without digestion take</w:t>
      </w:r>
      <w:proofErr w:type="gramEnd"/>
      <w:r w:rsidRPr="000D2B3E">
        <w:rPr>
          <w:rFonts w:ascii="Times New Roman" w:hAnsi="Times New Roman" w:cs="Times New Roman"/>
          <w:sz w:val="24"/>
          <w:szCs w:val="24"/>
        </w:rPr>
        <w:t xml:space="preserve"> in consideration the interferences of the matrix (organic matters) that may occur during the detection of the elements. Using this dilution procedures samples are prepared in a way to be very similar (content of fat, proteins, etc) to enabled to validate the method properly. And even more, the contents of analyzed elements in the samples is similar to the reference material chosen. Zn, Fe and Cu content was </w:t>
      </w:r>
      <w:proofErr w:type="spellStart"/>
      <w:r w:rsidRPr="000D2B3E">
        <w:rPr>
          <w:rFonts w:ascii="Times New Roman" w:hAnsi="Times New Roman" w:cs="Times New Roman"/>
          <w:sz w:val="24"/>
          <w:szCs w:val="24"/>
        </w:rPr>
        <w:t>determinated</w:t>
      </w:r>
      <w:proofErr w:type="spellEnd"/>
      <w:r w:rsidRPr="000D2B3E">
        <w:rPr>
          <w:rFonts w:ascii="Times New Roman" w:hAnsi="Times New Roman" w:cs="Times New Roman"/>
          <w:sz w:val="24"/>
          <w:szCs w:val="24"/>
        </w:rPr>
        <w:t xml:space="preserve"> after dilution on ICP-OES (inductively coupled plasma-optical emission spectroscopy) instrument by </w:t>
      </w:r>
      <w:proofErr w:type="spellStart"/>
      <w:r w:rsidRPr="000D2B3E">
        <w:rPr>
          <w:rFonts w:ascii="Times New Roman" w:hAnsi="Times New Roman" w:cs="Times New Roman"/>
          <w:sz w:val="24"/>
          <w:szCs w:val="24"/>
        </w:rPr>
        <w:t>Spectro</w:t>
      </w:r>
      <w:proofErr w:type="spellEnd"/>
      <w:r w:rsidRPr="000D2B3E">
        <w:rPr>
          <w:rFonts w:ascii="Times New Roman" w:hAnsi="Times New Roman" w:cs="Times New Roman"/>
          <w:sz w:val="24"/>
          <w:szCs w:val="24"/>
        </w:rPr>
        <w:t xml:space="preserve"> Arcos-manufacturer with radial plasma view.</w:t>
      </w:r>
    </w:p>
    <w:p w:rsidR="00BA2955" w:rsidRPr="000D2B3E" w:rsidRDefault="00BA2955" w:rsidP="00606E89">
      <w:pPr>
        <w:autoSpaceDE w:val="0"/>
        <w:autoSpaceDN w:val="0"/>
        <w:adjustRightInd w:val="0"/>
        <w:spacing w:before="120" w:after="0" w:line="360" w:lineRule="auto"/>
        <w:jc w:val="both"/>
        <w:rPr>
          <w:rFonts w:ascii="Times New Roman" w:hAnsi="Times New Roman" w:cs="Times New Roman"/>
          <w:sz w:val="24"/>
          <w:szCs w:val="24"/>
        </w:rPr>
      </w:pPr>
    </w:p>
    <w:p w:rsidR="00BA2955" w:rsidRPr="000D2B3E" w:rsidRDefault="00BA2955" w:rsidP="000D2B3E">
      <w:pPr>
        <w:pStyle w:val="ListParagraph"/>
        <w:numPr>
          <w:ilvl w:val="1"/>
          <w:numId w:val="12"/>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Reagents</w:t>
      </w:r>
    </w:p>
    <w:p w:rsidR="00BA2955" w:rsidRPr="000D2B3E"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All used chemical reagents were of analytical grade. Mix of Zn, Fe and Cu working analytical solutions were prepared after serial dilution of stock reference solution containing 1000 mg L</w:t>
      </w:r>
      <w:r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xml:space="preserve"> of each element (LGC-ICP-OES stock solution) in a gradient as needed. Reference material National Institute of Standards and Technology (NIST) standard reference material (SRM) infant/adult nutritional formula SRM-1849 was used for accuracy determination of this study.</w:t>
      </w:r>
    </w:p>
    <w:p w:rsidR="00BA2955" w:rsidRPr="000D2B3E" w:rsidRDefault="00BA2955" w:rsidP="00606E89">
      <w:pPr>
        <w:autoSpaceDE w:val="0"/>
        <w:autoSpaceDN w:val="0"/>
        <w:adjustRightInd w:val="0"/>
        <w:spacing w:before="120" w:after="0" w:line="360" w:lineRule="auto"/>
        <w:jc w:val="both"/>
        <w:rPr>
          <w:rFonts w:ascii="Times New Roman" w:hAnsi="Times New Roman" w:cs="Times New Roman"/>
          <w:sz w:val="24"/>
          <w:szCs w:val="24"/>
        </w:rPr>
      </w:pPr>
    </w:p>
    <w:p w:rsidR="00BA2955" w:rsidRPr="000D2B3E" w:rsidRDefault="00BA2955" w:rsidP="000D2B3E">
      <w:pPr>
        <w:pStyle w:val="ListParagraph"/>
        <w:numPr>
          <w:ilvl w:val="1"/>
          <w:numId w:val="12"/>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Method Validation and Clinical Sample Detection</w:t>
      </w:r>
    </w:p>
    <w:p w:rsidR="00BA2955"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 xml:space="preserve">After calibration curves construction linearity was determined by serial dilution of stock trace element solutions with </w:t>
      </w:r>
      <w:proofErr w:type="spellStart"/>
      <w:r w:rsidRPr="000D2B3E">
        <w:rPr>
          <w:rFonts w:ascii="Times New Roman" w:hAnsi="Times New Roman" w:cs="Times New Roman"/>
          <w:sz w:val="24"/>
          <w:szCs w:val="24"/>
        </w:rPr>
        <w:t>Milli</w:t>
      </w:r>
      <w:proofErr w:type="spellEnd"/>
      <w:r w:rsidRPr="000D2B3E">
        <w:rPr>
          <w:rFonts w:ascii="Times New Roman" w:hAnsi="Times New Roman" w:cs="Times New Roman"/>
          <w:sz w:val="24"/>
          <w:szCs w:val="24"/>
        </w:rPr>
        <w:t xml:space="preserve">-Q water. The analytical characteristics, such as precision, analytical sensitivity, accuracy, and detection limit, were then evaluated. The clinical samples were analyzed by ICP-OES by following the guidelines of the manufacturer. </w:t>
      </w:r>
    </w:p>
    <w:p w:rsidR="003C6894" w:rsidRPr="000D2B3E"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BA2955" w:rsidRPr="000D2B3E" w:rsidRDefault="00BA2955" w:rsidP="00056DC3">
      <w:pPr>
        <w:pStyle w:val="ListParagraph"/>
        <w:numPr>
          <w:ilvl w:val="0"/>
          <w:numId w:val="1"/>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Results and Discussion</w:t>
      </w:r>
    </w:p>
    <w:p w:rsidR="00BA2955" w:rsidRPr="000D2B3E" w:rsidRDefault="00BA2955" w:rsidP="000D2B3E">
      <w:pPr>
        <w:pStyle w:val="ListParagraph"/>
        <w:numPr>
          <w:ilvl w:val="1"/>
          <w:numId w:val="13"/>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Calibration Curves and Linearity</w:t>
      </w:r>
    </w:p>
    <w:p w:rsidR="00BA2955"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The calibration curves were prepared by diluting standard mix solution 1000 mg L</w:t>
      </w:r>
      <w:r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xml:space="preserve"> in </w:t>
      </w:r>
      <w:proofErr w:type="spellStart"/>
      <w:r w:rsidRPr="000D2B3E">
        <w:rPr>
          <w:rFonts w:ascii="Times New Roman" w:hAnsi="Times New Roman" w:cs="Times New Roman"/>
          <w:sz w:val="24"/>
          <w:szCs w:val="24"/>
        </w:rPr>
        <w:t>Milli</w:t>
      </w:r>
      <w:proofErr w:type="spellEnd"/>
      <w:r w:rsidRPr="000D2B3E">
        <w:rPr>
          <w:rFonts w:ascii="Times New Roman" w:hAnsi="Times New Roman" w:cs="Times New Roman"/>
          <w:sz w:val="24"/>
          <w:szCs w:val="24"/>
        </w:rPr>
        <w:t>-Q water to prepare working standards. For curves construction 0, 0.05, 0.1, 0.5 and 1 mg L</w:t>
      </w:r>
      <w:r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xml:space="preserve"> standards were used. Surface area versus metal concentration was plotted and calibration curve were constructed. A correlation coefficient of &gt;0.998 was established in method definition as acceptable for the aim of the study. For the studied trace elements, Zn, Fe and Cu, the correlation coefficients were higher than required value for the method. Within the measuring range, the deviations from theoretical values did not exceed 5%, demonstrating a good correlation between the element concentration and surface area. Human milk sample concentrations were higher than the upper </w:t>
      </w:r>
      <w:r w:rsidRPr="000D2B3E">
        <w:rPr>
          <w:rFonts w:ascii="Times New Roman" w:hAnsi="Times New Roman" w:cs="Times New Roman"/>
          <w:sz w:val="24"/>
          <w:szCs w:val="24"/>
        </w:rPr>
        <w:lastRenderedPageBreak/>
        <w:t>limits of calibration, because of that, samples were diluted 10 times, while infant formulas and SRM were diluted 100 times, to appropriate concentration that match the linearity ranges of the calibration curves.</w:t>
      </w:r>
    </w:p>
    <w:p w:rsidR="003C6894" w:rsidRPr="000D2B3E"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BA2955" w:rsidRPr="000D2B3E" w:rsidRDefault="00BA2955" w:rsidP="000D2B3E">
      <w:pPr>
        <w:pStyle w:val="ListParagraph"/>
        <w:numPr>
          <w:ilvl w:val="1"/>
          <w:numId w:val="13"/>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Precision and Accuracy</w:t>
      </w:r>
    </w:p>
    <w:p w:rsidR="00606E89"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There was no suitable reference material for human milk available. Due to this the accuracy of the method was assessed by the SRM. The ICP-OES and AAS results for Zn, Fe and Cu in SRM1849 infant/adult Nutritional Formula and infant formulas (</w:t>
      </w:r>
      <w:proofErr w:type="spellStart"/>
      <w:r w:rsidRPr="000D2B3E">
        <w:rPr>
          <w:rFonts w:ascii="Times New Roman" w:hAnsi="Times New Roman" w:cs="Times New Roman"/>
          <w:sz w:val="24"/>
          <w:szCs w:val="24"/>
        </w:rPr>
        <w:t>Aptamil</w:t>
      </w:r>
      <w:proofErr w:type="spellEnd"/>
      <w:r w:rsidRPr="000D2B3E">
        <w:rPr>
          <w:rFonts w:ascii="Times New Roman" w:hAnsi="Times New Roman" w:cs="Times New Roman"/>
          <w:sz w:val="24"/>
          <w:szCs w:val="24"/>
        </w:rPr>
        <w:t xml:space="preserve">, </w:t>
      </w:r>
      <w:proofErr w:type="spellStart"/>
      <w:r w:rsidRPr="000D2B3E">
        <w:rPr>
          <w:rFonts w:ascii="Times New Roman" w:hAnsi="Times New Roman" w:cs="Times New Roman"/>
          <w:sz w:val="24"/>
          <w:szCs w:val="24"/>
        </w:rPr>
        <w:t>Bebelac</w:t>
      </w:r>
      <w:proofErr w:type="spellEnd"/>
      <w:r w:rsidRPr="000D2B3E">
        <w:rPr>
          <w:rFonts w:ascii="Times New Roman" w:hAnsi="Times New Roman" w:cs="Times New Roman"/>
          <w:sz w:val="24"/>
          <w:szCs w:val="24"/>
        </w:rPr>
        <w:t xml:space="preserve">, NAN1, HIPP and </w:t>
      </w:r>
      <w:proofErr w:type="spellStart"/>
      <w:r w:rsidRPr="000D2B3E">
        <w:rPr>
          <w:rFonts w:ascii="Times New Roman" w:hAnsi="Times New Roman" w:cs="Times New Roman"/>
          <w:sz w:val="24"/>
          <w:szCs w:val="24"/>
        </w:rPr>
        <w:t>Impamil</w:t>
      </w:r>
      <w:proofErr w:type="spellEnd"/>
      <w:r w:rsidR="00D305B0" w:rsidRPr="000D2B3E">
        <w:rPr>
          <w:rFonts w:ascii="Times New Roman" w:hAnsi="Times New Roman" w:cs="Times New Roman"/>
          <w:sz w:val="24"/>
          <w:szCs w:val="24"/>
        </w:rPr>
        <w:t xml:space="preserve"> Mil1</w:t>
      </w:r>
      <w:r w:rsidRPr="000D2B3E">
        <w:rPr>
          <w:rFonts w:ascii="Times New Roman" w:hAnsi="Times New Roman" w:cs="Times New Roman"/>
          <w:sz w:val="24"/>
          <w:szCs w:val="24"/>
        </w:rPr>
        <w:t>) are summarized in Table 1 and 2. The concentrations obtained by AAS and ICP-OES for SRM 1849 agreed with reference values, showing better results for ICP-OES for Zn and Cu while AAS showed better results for Fe. For each sample, duplication tests were repeated 6 times a day for intra-assays. The standard deviations (SDs) of intra-assays were 4% for Zn, 8% for Fe, and 1% for Cu by ICP-OES and 3% for Zn, 3% for Fe and 0</w:t>
      </w:r>
      <w:proofErr w:type="gramStart"/>
      <w:r w:rsidRPr="000D2B3E">
        <w:rPr>
          <w:rFonts w:ascii="Times New Roman" w:hAnsi="Times New Roman" w:cs="Times New Roman"/>
          <w:sz w:val="24"/>
          <w:szCs w:val="24"/>
        </w:rPr>
        <w:t>,6</w:t>
      </w:r>
      <w:proofErr w:type="gramEnd"/>
      <w:r w:rsidRPr="000D2B3E">
        <w:rPr>
          <w:rFonts w:ascii="Times New Roman" w:hAnsi="Times New Roman" w:cs="Times New Roman"/>
          <w:sz w:val="24"/>
          <w:szCs w:val="24"/>
        </w:rPr>
        <w:t>% for Cu by AAS. Coefficients of variation (CVs) were acceptable for clinical sample detection (CV&lt;7%). Even CV values showed better results for AAS the recovery for Zn and Cu was better for ICP-OES. Although milk is a complex matrix composed of  proteins, carbohydrates and lipids, study of accuracy showed good recovery on two different poo</w:t>
      </w:r>
      <w:r w:rsidR="00A22583" w:rsidRPr="000D2B3E">
        <w:rPr>
          <w:rFonts w:ascii="Times New Roman" w:hAnsi="Times New Roman" w:cs="Times New Roman"/>
          <w:sz w:val="24"/>
          <w:szCs w:val="24"/>
        </w:rPr>
        <w:t xml:space="preserve">ls concentrations (10 and 50 </w:t>
      </w:r>
      <w:proofErr w:type="spellStart"/>
      <w:r w:rsidR="00A22583" w:rsidRPr="000D2B3E">
        <w:rPr>
          <w:rFonts w:ascii="Times New Roman" w:hAnsi="Times New Roman" w:cs="Times New Roman"/>
          <w:sz w:val="24"/>
          <w:szCs w:val="24"/>
        </w:rPr>
        <w:t>μg</w:t>
      </w:r>
      <w:proofErr w:type="spellEnd"/>
      <w:r w:rsidR="00A22583" w:rsidRPr="000D2B3E">
        <w:rPr>
          <w:rFonts w:ascii="Times New Roman" w:hAnsi="Times New Roman" w:cs="Times New Roman"/>
          <w:sz w:val="24"/>
          <w:szCs w:val="24"/>
        </w:rPr>
        <w:t xml:space="preserve"> </w:t>
      </w:r>
      <w:r w:rsidRPr="000D2B3E">
        <w:rPr>
          <w:rFonts w:ascii="Times New Roman" w:hAnsi="Times New Roman" w:cs="Times New Roman"/>
          <w:sz w:val="24"/>
          <w:szCs w:val="24"/>
        </w:rPr>
        <w:t>L</w:t>
      </w:r>
      <w:r w:rsidR="00A22583"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(Table 2). Indeed, average recovery ranged from 85% to 94</w:t>
      </w:r>
      <w:proofErr w:type="gramStart"/>
      <w:r w:rsidRPr="000D2B3E">
        <w:rPr>
          <w:rFonts w:ascii="Times New Roman" w:hAnsi="Times New Roman" w:cs="Times New Roman"/>
          <w:sz w:val="24"/>
          <w:szCs w:val="24"/>
        </w:rPr>
        <w:t>%  for</w:t>
      </w:r>
      <w:proofErr w:type="gramEnd"/>
      <w:r w:rsidRPr="000D2B3E">
        <w:rPr>
          <w:rFonts w:ascii="Times New Roman" w:hAnsi="Times New Roman" w:cs="Times New Roman"/>
          <w:sz w:val="24"/>
          <w:szCs w:val="24"/>
        </w:rPr>
        <w:t xml:space="preserve"> Zn, 90% to 102 % for Cu by ICP-OES and 97.3% to 103.3 % for Fe by AAS (Table 3) .</w:t>
      </w:r>
    </w:p>
    <w:p w:rsidR="003C6894"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3C6894"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3C6894"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3C6894"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3C6894"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3C6894"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5033F7" w:rsidRDefault="005033F7" w:rsidP="00606E89">
      <w:pPr>
        <w:autoSpaceDE w:val="0"/>
        <w:autoSpaceDN w:val="0"/>
        <w:adjustRightInd w:val="0"/>
        <w:spacing w:before="120" w:after="0" w:line="360" w:lineRule="auto"/>
        <w:jc w:val="both"/>
        <w:rPr>
          <w:rFonts w:ascii="Times New Roman" w:hAnsi="Times New Roman" w:cs="Times New Roman"/>
          <w:sz w:val="24"/>
          <w:szCs w:val="24"/>
        </w:rPr>
      </w:pPr>
    </w:p>
    <w:p w:rsidR="003C6894"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3C6894" w:rsidRPr="000D2B3E"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BA2955" w:rsidRPr="000D2B3E" w:rsidRDefault="00BA2955" w:rsidP="00606E89">
      <w:pPr>
        <w:autoSpaceDE w:val="0"/>
        <w:autoSpaceDN w:val="0"/>
        <w:adjustRightInd w:val="0"/>
        <w:spacing w:before="120" w:after="0" w:line="360" w:lineRule="auto"/>
        <w:jc w:val="center"/>
        <w:rPr>
          <w:rFonts w:ascii="Times New Roman" w:hAnsi="Times New Roman" w:cs="Times New Roman"/>
          <w:b/>
          <w:sz w:val="24"/>
          <w:szCs w:val="24"/>
        </w:rPr>
      </w:pPr>
      <w:proofErr w:type="gramStart"/>
      <w:r w:rsidRPr="000D2B3E">
        <w:rPr>
          <w:rFonts w:ascii="Times New Roman" w:hAnsi="Times New Roman" w:cs="Times New Roman"/>
          <w:b/>
          <w:sz w:val="24"/>
          <w:szCs w:val="24"/>
        </w:rPr>
        <w:t>Table 1</w:t>
      </w:r>
      <w:r w:rsidR="00606E89" w:rsidRPr="000D2B3E">
        <w:rPr>
          <w:rFonts w:ascii="Times New Roman" w:hAnsi="Times New Roman" w:cs="Times New Roman"/>
          <w:b/>
          <w:sz w:val="24"/>
          <w:szCs w:val="24"/>
        </w:rPr>
        <w:t>.</w:t>
      </w:r>
      <w:proofErr w:type="gramEnd"/>
      <w:r w:rsidRPr="000D2B3E">
        <w:rPr>
          <w:rFonts w:ascii="Times New Roman" w:hAnsi="Times New Roman" w:cs="Times New Roman"/>
          <w:b/>
          <w:sz w:val="24"/>
          <w:szCs w:val="24"/>
        </w:rPr>
        <w:t xml:space="preserve"> </w:t>
      </w:r>
      <w:r w:rsidRPr="000D2B3E">
        <w:rPr>
          <w:rFonts w:ascii="Times New Roman" w:hAnsi="Times New Roman" w:cs="Times New Roman"/>
          <w:sz w:val="24"/>
          <w:szCs w:val="24"/>
        </w:rPr>
        <w:t>Detected, certified and labeled values of elements in infant formula and SRM by ICP-OES</w:t>
      </w:r>
    </w:p>
    <w:tbl>
      <w:tblPr>
        <w:tblStyle w:val="TableGrid"/>
        <w:tblW w:w="9909" w:type="dxa"/>
        <w:jc w:val="center"/>
        <w:tblInd w:w="-873" w:type="dxa"/>
        <w:tblLayout w:type="fixed"/>
        <w:tblLook w:val="04A0" w:firstRow="1" w:lastRow="0" w:firstColumn="1" w:lastColumn="0" w:noHBand="0" w:noVBand="1"/>
      </w:tblPr>
      <w:tblGrid>
        <w:gridCol w:w="1262"/>
        <w:gridCol w:w="787"/>
        <w:gridCol w:w="64"/>
        <w:gridCol w:w="850"/>
        <w:gridCol w:w="1134"/>
        <w:gridCol w:w="142"/>
        <w:gridCol w:w="851"/>
        <w:gridCol w:w="850"/>
        <w:gridCol w:w="1276"/>
        <w:gridCol w:w="709"/>
        <w:gridCol w:w="708"/>
        <w:gridCol w:w="1276"/>
      </w:tblGrid>
      <w:tr w:rsidR="00BA2955" w:rsidRPr="000D2B3E" w:rsidTr="00D858D9">
        <w:trPr>
          <w:jc w:val="center"/>
        </w:trPr>
        <w:tc>
          <w:tcPr>
            <w:tcW w:w="1262"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b/>
                <w:sz w:val="24"/>
                <w:szCs w:val="24"/>
              </w:rPr>
            </w:pPr>
          </w:p>
        </w:tc>
        <w:tc>
          <w:tcPr>
            <w:tcW w:w="2835" w:type="dxa"/>
            <w:gridSpan w:val="4"/>
            <w:tcBorders>
              <w:top w:val="single" w:sz="12" w:space="0" w:color="000000" w:themeColor="text1"/>
              <w:left w:val="nil"/>
              <w:bottom w:val="single" w:sz="12" w:space="0" w:color="000000" w:themeColor="text1"/>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Zn</w:t>
            </w:r>
          </w:p>
        </w:tc>
        <w:tc>
          <w:tcPr>
            <w:tcW w:w="3119" w:type="dxa"/>
            <w:gridSpan w:val="4"/>
            <w:tcBorders>
              <w:top w:val="single" w:sz="12" w:space="0" w:color="000000" w:themeColor="text1"/>
              <w:bottom w:val="single" w:sz="12" w:space="0" w:color="000000" w:themeColor="text1"/>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Fe</w:t>
            </w:r>
          </w:p>
        </w:tc>
        <w:tc>
          <w:tcPr>
            <w:tcW w:w="2693" w:type="dxa"/>
            <w:gridSpan w:val="3"/>
            <w:tcBorders>
              <w:top w:val="single" w:sz="12" w:space="0" w:color="000000" w:themeColor="text1"/>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Cu</w:t>
            </w:r>
          </w:p>
        </w:tc>
      </w:tr>
      <w:tr w:rsidR="00BA2955" w:rsidRPr="000D2B3E" w:rsidTr="00D858D9">
        <w:trPr>
          <w:jc w:val="center"/>
        </w:trPr>
        <w:tc>
          <w:tcPr>
            <w:tcW w:w="1262"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b/>
                <w:sz w:val="24"/>
                <w:szCs w:val="24"/>
              </w:rPr>
            </w:pPr>
          </w:p>
        </w:tc>
        <w:tc>
          <w:tcPr>
            <w:tcW w:w="8647" w:type="dxa"/>
            <w:gridSpan w:val="11"/>
            <w:tcBorders>
              <w:top w:val="single" w:sz="12" w:space="0" w:color="000000" w:themeColor="text1"/>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Detected values mg/100g of powder</w:t>
            </w:r>
          </w:p>
        </w:tc>
      </w:tr>
      <w:tr w:rsidR="00D858D9" w:rsidRPr="000D2B3E" w:rsidTr="00D858D9">
        <w:trPr>
          <w:jc w:val="center"/>
        </w:trPr>
        <w:tc>
          <w:tcPr>
            <w:tcW w:w="1262"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b/>
                <w:sz w:val="24"/>
                <w:szCs w:val="24"/>
              </w:rPr>
            </w:pPr>
          </w:p>
        </w:tc>
        <w:tc>
          <w:tcPr>
            <w:tcW w:w="851" w:type="dxa"/>
            <w:gridSpan w:val="2"/>
            <w:tcBorders>
              <w:top w:val="single" w:sz="12" w:space="0" w:color="000000" w:themeColor="text1"/>
              <w:left w:val="nil"/>
              <w:bottom w:val="single" w:sz="12" w:space="0" w:color="000000" w:themeColor="text1"/>
              <w:right w:val="nil"/>
            </w:tcBorders>
            <w:vAlign w:val="center"/>
          </w:tcPr>
          <w:p w:rsidR="00BA2955" w:rsidRPr="000D2B3E" w:rsidRDefault="00BA2955" w:rsidP="003C6894">
            <w:pPr>
              <w:tabs>
                <w:tab w:val="left" w:pos="3502"/>
              </w:tabs>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Min</w:t>
            </w:r>
          </w:p>
        </w:tc>
        <w:tc>
          <w:tcPr>
            <w:tcW w:w="850"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tabs>
                <w:tab w:val="left" w:pos="3502"/>
              </w:tabs>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Max</w:t>
            </w:r>
          </w:p>
        </w:tc>
        <w:tc>
          <w:tcPr>
            <w:tcW w:w="1276" w:type="dxa"/>
            <w:gridSpan w:val="2"/>
            <w:tcBorders>
              <w:top w:val="single" w:sz="12" w:space="0" w:color="000000" w:themeColor="text1"/>
              <w:left w:val="nil"/>
              <w:bottom w:val="single" w:sz="12" w:space="0" w:color="000000" w:themeColor="text1"/>
              <w:right w:val="nil"/>
            </w:tcBorders>
            <w:vAlign w:val="center"/>
          </w:tcPr>
          <w:p w:rsidR="00BA2955" w:rsidRPr="000D2B3E" w:rsidRDefault="00BA2955" w:rsidP="003C6894">
            <w:pPr>
              <w:tabs>
                <w:tab w:val="left" w:pos="3502"/>
              </w:tabs>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Mean±SD</w:t>
            </w:r>
            <w:proofErr w:type="spellEnd"/>
          </w:p>
        </w:tc>
        <w:tc>
          <w:tcPr>
            <w:tcW w:w="851"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tabs>
                <w:tab w:val="left" w:pos="3502"/>
              </w:tabs>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Min</w:t>
            </w:r>
          </w:p>
        </w:tc>
        <w:tc>
          <w:tcPr>
            <w:tcW w:w="850"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tabs>
                <w:tab w:val="left" w:pos="3502"/>
              </w:tabs>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Max</w:t>
            </w:r>
          </w:p>
        </w:tc>
        <w:tc>
          <w:tcPr>
            <w:tcW w:w="1276"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tabs>
                <w:tab w:val="left" w:pos="3502"/>
              </w:tabs>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Mean±SD</w:t>
            </w:r>
            <w:proofErr w:type="spellEnd"/>
          </w:p>
        </w:tc>
        <w:tc>
          <w:tcPr>
            <w:tcW w:w="709"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tabs>
                <w:tab w:val="left" w:pos="3502"/>
              </w:tabs>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Min</w:t>
            </w:r>
          </w:p>
        </w:tc>
        <w:tc>
          <w:tcPr>
            <w:tcW w:w="708"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tabs>
                <w:tab w:val="left" w:pos="3502"/>
              </w:tabs>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Max</w:t>
            </w:r>
          </w:p>
        </w:tc>
        <w:tc>
          <w:tcPr>
            <w:tcW w:w="1276"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tabs>
                <w:tab w:val="left" w:pos="3502"/>
              </w:tabs>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Mean±SD</w:t>
            </w:r>
            <w:proofErr w:type="spellEnd"/>
          </w:p>
        </w:tc>
      </w:tr>
      <w:tr w:rsidR="00D858D9" w:rsidRPr="000D2B3E" w:rsidTr="00D858D9">
        <w:trPr>
          <w:jc w:val="center"/>
        </w:trPr>
        <w:tc>
          <w:tcPr>
            <w:tcW w:w="1262"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SRM</w:t>
            </w:r>
          </w:p>
        </w:tc>
        <w:tc>
          <w:tcPr>
            <w:tcW w:w="851" w:type="dxa"/>
            <w:gridSpan w:val="2"/>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12.89</w:t>
            </w:r>
          </w:p>
        </w:tc>
        <w:tc>
          <w:tcPr>
            <w:tcW w:w="850" w:type="dxa"/>
            <w:tcBorders>
              <w:top w:val="single" w:sz="12" w:space="0" w:color="000000" w:themeColor="text1"/>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14.25</w:t>
            </w:r>
          </w:p>
        </w:tc>
        <w:tc>
          <w:tcPr>
            <w:tcW w:w="1276" w:type="dxa"/>
            <w:gridSpan w:val="2"/>
            <w:tcBorders>
              <w:top w:val="single" w:sz="12" w:space="0" w:color="000000" w:themeColor="text1"/>
              <w:left w:val="nil"/>
              <w:bottom w:val="nil"/>
              <w:right w:val="single" w:sz="4" w:space="0" w:color="auto"/>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 xml:space="preserve">13.93 </w:t>
            </w:r>
            <w:r w:rsidRPr="000D2B3E">
              <w:rPr>
                <w:rFonts w:ascii="Times New Roman" w:hAnsi="Times New Roman" w:cs="Times New Roman"/>
                <w:sz w:val="24"/>
                <w:szCs w:val="24"/>
              </w:rPr>
              <w:sym w:font="Symbol" w:char="F0B1"/>
            </w:r>
            <w:r w:rsidRPr="000D2B3E">
              <w:rPr>
                <w:rFonts w:ascii="Times New Roman" w:hAnsi="Times New Roman" w:cs="Times New Roman"/>
                <w:sz w:val="24"/>
                <w:szCs w:val="24"/>
              </w:rPr>
              <w:t>0.4</w:t>
            </w:r>
          </w:p>
        </w:tc>
        <w:tc>
          <w:tcPr>
            <w:tcW w:w="851" w:type="dxa"/>
            <w:tcBorders>
              <w:top w:val="single" w:sz="12" w:space="0" w:color="000000" w:themeColor="text1"/>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13.88</w:t>
            </w:r>
          </w:p>
        </w:tc>
        <w:tc>
          <w:tcPr>
            <w:tcW w:w="850"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16.24</w:t>
            </w:r>
          </w:p>
        </w:tc>
        <w:tc>
          <w:tcPr>
            <w:tcW w:w="1276" w:type="dxa"/>
            <w:tcBorders>
              <w:top w:val="single" w:sz="12" w:space="0" w:color="000000" w:themeColor="text1"/>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15.47±0.8</w:t>
            </w:r>
          </w:p>
        </w:tc>
        <w:tc>
          <w:tcPr>
            <w:tcW w:w="709" w:type="dxa"/>
            <w:tcBorders>
              <w:top w:val="single" w:sz="12" w:space="0" w:color="000000" w:themeColor="text1"/>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1.83</w:t>
            </w:r>
          </w:p>
        </w:tc>
        <w:tc>
          <w:tcPr>
            <w:tcW w:w="708" w:type="dxa"/>
            <w:tcBorders>
              <w:top w:val="single" w:sz="12" w:space="0" w:color="000000" w:themeColor="text1"/>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2.07</w:t>
            </w:r>
          </w:p>
        </w:tc>
        <w:tc>
          <w:tcPr>
            <w:tcW w:w="1276"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2.01±0.10</w:t>
            </w:r>
          </w:p>
        </w:tc>
      </w:tr>
      <w:tr w:rsidR="00D858D9" w:rsidRPr="000D2B3E" w:rsidTr="00D858D9">
        <w:trPr>
          <w:jc w:val="center"/>
        </w:trPr>
        <w:tc>
          <w:tcPr>
            <w:tcW w:w="1262"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Aptamil</w:t>
            </w:r>
            <w:proofErr w:type="spellEnd"/>
            <w:r w:rsidRPr="000D2B3E">
              <w:rPr>
                <w:rFonts w:ascii="Times New Roman" w:hAnsi="Times New Roman" w:cs="Times New Roman"/>
                <w:sz w:val="24"/>
                <w:szCs w:val="24"/>
              </w:rPr>
              <w:t xml:space="preserve"> 1</w:t>
            </w:r>
          </w:p>
        </w:tc>
        <w:tc>
          <w:tcPr>
            <w:tcW w:w="851" w:type="dxa"/>
            <w:gridSpan w:val="2"/>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3.49</w:t>
            </w:r>
          </w:p>
        </w:tc>
        <w:tc>
          <w:tcPr>
            <w:tcW w:w="850"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3.71</w:t>
            </w:r>
          </w:p>
        </w:tc>
        <w:tc>
          <w:tcPr>
            <w:tcW w:w="1276" w:type="dxa"/>
            <w:gridSpan w:val="2"/>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 xml:space="preserve">3.52 </w:t>
            </w:r>
            <w:r w:rsidRPr="000D2B3E">
              <w:rPr>
                <w:rFonts w:ascii="Times New Roman" w:hAnsi="Times New Roman" w:cs="Times New Roman"/>
                <w:sz w:val="24"/>
                <w:szCs w:val="24"/>
              </w:rPr>
              <w:sym w:font="Symbol" w:char="F0B1"/>
            </w:r>
            <w:r w:rsidRPr="000D2B3E">
              <w:rPr>
                <w:rFonts w:ascii="Times New Roman" w:hAnsi="Times New Roman" w:cs="Times New Roman"/>
                <w:sz w:val="24"/>
                <w:szCs w:val="24"/>
              </w:rPr>
              <w:t>0.2</w:t>
            </w:r>
          </w:p>
        </w:tc>
        <w:tc>
          <w:tcPr>
            <w:tcW w:w="851"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3.59</w:t>
            </w:r>
          </w:p>
        </w:tc>
        <w:tc>
          <w:tcPr>
            <w:tcW w:w="850"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3.94</w:t>
            </w:r>
          </w:p>
        </w:tc>
        <w:tc>
          <w:tcPr>
            <w:tcW w:w="1276"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3.78±0.4</w:t>
            </w:r>
          </w:p>
        </w:tc>
        <w:tc>
          <w:tcPr>
            <w:tcW w:w="709"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0.26</w:t>
            </w:r>
          </w:p>
        </w:tc>
        <w:tc>
          <w:tcPr>
            <w:tcW w:w="708"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0.33</w:t>
            </w:r>
          </w:p>
        </w:tc>
        <w:tc>
          <w:tcPr>
            <w:tcW w:w="1276"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0.30±0.05</w:t>
            </w:r>
          </w:p>
        </w:tc>
      </w:tr>
      <w:tr w:rsidR="00D858D9" w:rsidRPr="000D2B3E" w:rsidTr="00D858D9">
        <w:trPr>
          <w:jc w:val="center"/>
        </w:trPr>
        <w:tc>
          <w:tcPr>
            <w:tcW w:w="1262"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Bebelac</w:t>
            </w:r>
            <w:proofErr w:type="spellEnd"/>
            <w:r w:rsidRPr="000D2B3E">
              <w:rPr>
                <w:rFonts w:ascii="Times New Roman" w:hAnsi="Times New Roman" w:cs="Times New Roman"/>
                <w:sz w:val="24"/>
                <w:szCs w:val="24"/>
              </w:rPr>
              <w:t xml:space="preserve"> 1</w:t>
            </w:r>
          </w:p>
        </w:tc>
        <w:tc>
          <w:tcPr>
            <w:tcW w:w="851" w:type="dxa"/>
            <w:gridSpan w:val="2"/>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3.28</w:t>
            </w:r>
          </w:p>
        </w:tc>
        <w:tc>
          <w:tcPr>
            <w:tcW w:w="850"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3.55</w:t>
            </w:r>
          </w:p>
        </w:tc>
        <w:tc>
          <w:tcPr>
            <w:tcW w:w="1276" w:type="dxa"/>
            <w:gridSpan w:val="2"/>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 xml:space="preserve">3.48 </w:t>
            </w:r>
            <w:r w:rsidRPr="000D2B3E">
              <w:rPr>
                <w:rFonts w:ascii="Times New Roman" w:hAnsi="Times New Roman" w:cs="Times New Roman"/>
                <w:sz w:val="24"/>
                <w:szCs w:val="24"/>
              </w:rPr>
              <w:sym w:font="Symbol" w:char="F0B1"/>
            </w:r>
            <w:r w:rsidRPr="000D2B3E">
              <w:rPr>
                <w:rFonts w:ascii="Times New Roman" w:hAnsi="Times New Roman" w:cs="Times New Roman"/>
                <w:sz w:val="24"/>
                <w:szCs w:val="24"/>
              </w:rPr>
              <w:t>0.3</w:t>
            </w:r>
          </w:p>
        </w:tc>
        <w:tc>
          <w:tcPr>
            <w:tcW w:w="851"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3.38</w:t>
            </w:r>
          </w:p>
        </w:tc>
        <w:tc>
          <w:tcPr>
            <w:tcW w:w="850"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3.71</w:t>
            </w:r>
          </w:p>
        </w:tc>
        <w:tc>
          <w:tcPr>
            <w:tcW w:w="1276"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3.63±0.3</w:t>
            </w:r>
          </w:p>
        </w:tc>
        <w:tc>
          <w:tcPr>
            <w:tcW w:w="709"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0.26</w:t>
            </w:r>
          </w:p>
        </w:tc>
        <w:tc>
          <w:tcPr>
            <w:tcW w:w="708"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0.31</w:t>
            </w:r>
          </w:p>
        </w:tc>
        <w:tc>
          <w:tcPr>
            <w:tcW w:w="1276"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0.28±0.03</w:t>
            </w:r>
          </w:p>
        </w:tc>
      </w:tr>
      <w:tr w:rsidR="00D858D9" w:rsidRPr="000D2B3E" w:rsidTr="00D858D9">
        <w:trPr>
          <w:jc w:val="center"/>
        </w:trPr>
        <w:tc>
          <w:tcPr>
            <w:tcW w:w="1262"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HIPP</w:t>
            </w:r>
          </w:p>
        </w:tc>
        <w:tc>
          <w:tcPr>
            <w:tcW w:w="851" w:type="dxa"/>
            <w:gridSpan w:val="2"/>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3.75</w:t>
            </w:r>
          </w:p>
        </w:tc>
        <w:tc>
          <w:tcPr>
            <w:tcW w:w="850"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4.10</w:t>
            </w:r>
          </w:p>
        </w:tc>
        <w:tc>
          <w:tcPr>
            <w:tcW w:w="1276" w:type="dxa"/>
            <w:gridSpan w:val="2"/>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 xml:space="preserve">3.86 </w:t>
            </w:r>
            <w:r w:rsidRPr="000D2B3E">
              <w:rPr>
                <w:rFonts w:ascii="Times New Roman" w:hAnsi="Times New Roman" w:cs="Times New Roman"/>
                <w:sz w:val="24"/>
                <w:szCs w:val="24"/>
              </w:rPr>
              <w:sym w:font="Symbol" w:char="F0B1"/>
            </w:r>
            <w:r w:rsidRPr="000D2B3E">
              <w:rPr>
                <w:rFonts w:ascii="Times New Roman" w:hAnsi="Times New Roman" w:cs="Times New Roman"/>
                <w:sz w:val="24"/>
                <w:szCs w:val="24"/>
              </w:rPr>
              <w:t>0.4</w:t>
            </w:r>
          </w:p>
        </w:tc>
        <w:tc>
          <w:tcPr>
            <w:tcW w:w="851"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3.73</w:t>
            </w:r>
          </w:p>
        </w:tc>
        <w:tc>
          <w:tcPr>
            <w:tcW w:w="850"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4.21</w:t>
            </w:r>
          </w:p>
        </w:tc>
        <w:tc>
          <w:tcPr>
            <w:tcW w:w="1276"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3.89±0.5</w:t>
            </w:r>
          </w:p>
        </w:tc>
        <w:tc>
          <w:tcPr>
            <w:tcW w:w="709"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0.25</w:t>
            </w:r>
          </w:p>
        </w:tc>
        <w:tc>
          <w:tcPr>
            <w:tcW w:w="708"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0.28</w:t>
            </w:r>
          </w:p>
        </w:tc>
        <w:tc>
          <w:tcPr>
            <w:tcW w:w="1276"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0.26±0.05</w:t>
            </w:r>
          </w:p>
        </w:tc>
      </w:tr>
      <w:tr w:rsidR="00D858D9" w:rsidRPr="000D2B3E" w:rsidTr="00D858D9">
        <w:trPr>
          <w:jc w:val="center"/>
        </w:trPr>
        <w:tc>
          <w:tcPr>
            <w:tcW w:w="1262"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NAN 1</w:t>
            </w:r>
          </w:p>
        </w:tc>
        <w:tc>
          <w:tcPr>
            <w:tcW w:w="787"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4.65</w:t>
            </w:r>
          </w:p>
        </w:tc>
        <w:tc>
          <w:tcPr>
            <w:tcW w:w="914" w:type="dxa"/>
            <w:gridSpan w:val="2"/>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5.10</w:t>
            </w:r>
          </w:p>
        </w:tc>
        <w:tc>
          <w:tcPr>
            <w:tcW w:w="1276" w:type="dxa"/>
            <w:gridSpan w:val="2"/>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 xml:space="preserve">4.75 </w:t>
            </w:r>
            <w:r w:rsidRPr="000D2B3E">
              <w:rPr>
                <w:rFonts w:ascii="Times New Roman" w:hAnsi="Times New Roman" w:cs="Times New Roman"/>
                <w:sz w:val="24"/>
                <w:szCs w:val="24"/>
              </w:rPr>
              <w:sym w:font="Symbol" w:char="F0B1"/>
            </w:r>
            <w:r w:rsidRPr="000D2B3E">
              <w:rPr>
                <w:rFonts w:ascii="Times New Roman" w:hAnsi="Times New Roman" w:cs="Times New Roman"/>
                <w:sz w:val="24"/>
                <w:szCs w:val="24"/>
              </w:rPr>
              <w:t>0.4</w:t>
            </w:r>
          </w:p>
        </w:tc>
        <w:tc>
          <w:tcPr>
            <w:tcW w:w="851"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4.45</w:t>
            </w:r>
          </w:p>
        </w:tc>
        <w:tc>
          <w:tcPr>
            <w:tcW w:w="850"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4.95</w:t>
            </w:r>
          </w:p>
        </w:tc>
        <w:tc>
          <w:tcPr>
            <w:tcW w:w="1276"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4.56±0.4</w:t>
            </w:r>
          </w:p>
        </w:tc>
        <w:tc>
          <w:tcPr>
            <w:tcW w:w="709"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0.34</w:t>
            </w:r>
          </w:p>
        </w:tc>
        <w:tc>
          <w:tcPr>
            <w:tcW w:w="708"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0.41</w:t>
            </w:r>
          </w:p>
        </w:tc>
        <w:tc>
          <w:tcPr>
            <w:tcW w:w="1276"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0.38±0.05</w:t>
            </w:r>
          </w:p>
        </w:tc>
      </w:tr>
      <w:tr w:rsidR="00D858D9" w:rsidRPr="000D2B3E" w:rsidTr="00D858D9">
        <w:trPr>
          <w:jc w:val="center"/>
        </w:trPr>
        <w:tc>
          <w:tcPr>
            <w:tcW w:w="1262" w:type="dxa"/>
            <w:tcBorders>
              <w:top w:val="nil"/>
              <w:left w:val="nil"/>
              <w:bottom w:val="single" w:sz="12" w:space="0" w:color="auto"/>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Impamil</w:t>
            </w:r>
            <w:r w:rsidRPr="000D2B3E">
              <w:rPr>
                <w:rFonts w:ascii="Times New Roman" w:hAnsi="Times New Roman" w:cs="Times New Roman"/>
                <w:sz w:val="24"/>
                <w:szCs w:val="24"/>
                <w:vertAlign w:val="superscript"/>
              </w:rPr>
              <w:t>®</w:t>
            </w:r>
            <w:r w:rsidR="00D305B0" w:rsidRPr="000D2B3E">
              <w:rPr>
                <w:rFonts w:ascii="Times New Roman" w:hAnsi="Times New Roman" w:cs="Times New Roman"/>
                <w:sz w:val="24"/>
                <w:szCs w:val="24"/>
              </w:rPr>
              <w:t>Mil1</w:t>
            </w:r>
          </w:p>
        </w:tc>
        <w:tc>
          <w:tcPr>
            <w:tcW w:w="787" w:type="dxa"/>
            <w:tcBorders>
              <w:top w:val="nil"/>
              <w:left w:val="nil"/>
              <w:bottom w:val="single" w:sz="12" w:space="0" w:color="auto"/>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4.25</w:t>
            </w:r>
          </w:p>
        </w:tc>
        <w:tc>
          <w:tcPr>
            <w:tcW w:w="914" w:type="dxa"/>
            <w:gridSpan w:val="2"/>
            <w:tcBorders>
              <w:top w:val="nil"/>
              <w:left w:val="nil"/>
              <w:bottom w:val="single" w:sz="12" w:space="0" w:color="auto"/>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4.85</w:t>
            </w:r>
          </w:p>
        </w:tc>
        <w:tc>
          <w:tcPr>
            <w:tcW w:w="1276" w:type="dxa"/>
            <w:gridSpan w:val="2"/>
            <w:tcBorders>
              <w:top w:val="nil"/>
              <w:left w:val="nil"/>
              <w:bottom w:val="single" w:sz="12" w:space="0" w:color="auto"/>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 xml:space="preserve">4.45 </w:t>
            </w:r>
            <w:r w:rsidRPr="000D2B3E">
              <w:rPr>
                <w:rFonts w:ascii="Times New Roman" w:hAnsi="Times New Roman" w:cs="Times New Roman"/>
                <w:sz w:val="24"/>
                <w:szCs w:val="24"/>
              </w:rPr>
              <w:sym w:font="Symbol" w:char="F0B1"/>
            </w:r>
            <w:r w:rsidRPr="000D2B3E">
              <w:rPr>
                <w:rFonts w:ascii="Times New Roman" w:hAnsi="Times New Roman" w:cs="Times New Roman"/>
                <w:sz w:val="24"/>
                <w:szCs w:val="24"/>
              </w:rPr>
              <w:t>0.2</w:t>
            </w:r>
          </w:p>
        </w:tc>
        <w:tc>
          <w:tcPr>
            <w:tcW w:w="851" w:type="dxa"/>
            <w:tcBorders>
              <w:top w:val="nil"/>
              <w:left w:val="single" w:sz="4" w:space="0" w:color="auto"/>
              <w:bottom w:val="single" w:sz="12" w:space="0" w:color="auto"/>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3.26</w:t>
            </w:r>
          </w:p>
        </w:tc>
        <w:tc>
          <w:tcPr>
            <w:tcW w:w="850" w:type="dxa"/>
            <w:tcBorders>
              <w:top w:val="nil"/>
              <w:left w:val="nil"/>
              <w:bottom w:val="single" w:sz="12" w:space="0" w:color="auto"/>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4.00</w:t>
            </w:r>
          </w:p>
        </w:tc>
        <w:tc>
          <w:tcPr>
            <w:tcW w:w="1276" w:type="dxa"/>
            <w:tcBorders>
              <w:top w:val="nil"/>
              <w:left w:val="nil"/>
              <w:bottom w:val="single" w:sz="12" w:space="0" w:color="auto"/>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3.37±0.1</w:t>
            </w:r>
          </w:p>
        </w:tc>
        <w:tc>
          <w:tcPr>
            <w:tcW w:w="709" w:type="dxa"/>
            <w:tcBorders>
              <w:top w:val="nil"/>
              <w:left w:val="single" w:sz="4" w:space="0" w:color="auto"/>
              <w:bottom w:val="single" w:sz="12" w:space="0" w:color="auto"/>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0.30</w:t>
            </w:r>
          </w:p>
        </w:tc>
        <w:tc>
          <w:tcPr>
            <w:tcW w:w="708" w:type="dxa"/>
            <w:tcBorders>
              <w:top w:val="nil"/>
              <w:left w:val="nil"/>
              <w:bottom w:val="single" w:sz="12" w:space="0" w:color="auto"/>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0.36</w:t>
            </w:r>
          </w:p>
        </w:tc>
        <w:tc>
          <w:tcPr>
            <w:tcW w:w="1276" w:type="dxa"/>
            <w:tcBorders>
              <w:top w:val="nil"/>
              <w:left w:val="nil"/>
              <w:bottom w:val="single" w:sz="12" w:space="0" w:color="auto"/>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0.32±0.06</w:t>
            </w:r>
          </w:p>
        </w:tc>
      </w:tr>
      <w:tr w:rsidR="00BA2955" w:rsidRPr="000D2B3E" w:rsidTr="00D858D9">
        <w:trPr>
          <w:jc w:val="center"/>
        </w:trPr>
        <w:tc>
          <w:tcPr>
            <w:tcW w:w="9909" w:type="dxa"/>
            <w:gridSpan w:val="12"/>
            <w:tcBorders>
              <w:top w:val="single" w:sz="12" w:space="0" w:color="auto"/>
              <w:left w:val="nil"/>
              <w:bottom w:val="single" w:sz="12" w:space="0" w:color="auto"/>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Certifiedand</w:t>
            </w:r>
            <w:proofErr w:type="spellEnd"/>
            <w:r w:rsidRPr="000D2B3E">
              <w:rPr>
                <w:rFonts w:ascii="Times New Roman" w:hAnsi="Times New Roman" w:cs="Times New Roman"/>
                <w:sz w:val="24"/>
                <w:szCs w:val="24"/>
              </w:rPr>
              <w:t xml:space="preserve"> labeled values mg/100g of powder</w:t>
            </w:r>
          </w:p>
        </w:tc>
      </w:tr>
      <w:tr w:rsidR="00BA2955" w:rsidRPr="000D2B3E" w:rsidTr="00D858D9">
        <w:trPr>
          <w:jc w:val="center"/>
        </w:trPr>
        <w:tc>
          <w:tcPr>
            <w:tcW w:w="1262" w:type="dxa"/>
            <w:tcBorders>
              <w:top w:val="single" w:sz="12" w:space="0" w:color="auto"/>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SRM</w:t>
            </w:r>
          </w:p>
        </w:tc>
        <w:tc>
          <w:tcPr>
            <w:tcW w:w="2835" w:type="dxa"/>
            <w:gridSpan w:val="4"/>
            <w:tcBorders>
              <w:top w:val="single" w:sz="12" w:space="0" w:color="auto"/>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15.23±0.5</w:t>
            </w:r>
          </w:p>
        </w:tc>
        <w:tc>
          <w:tcPr>
            <w:tcW w:w="3119" w:type="dxa"/>
            <w:gridSpan w:val="4"/>
            <w:tcBorders>
              <w:top w:val="single" w:sz="12" w:space="0" w:color="auto"/>
              <w:left w:val="single" w:sz="4" w:space="0" w:color="auto"/>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17.71±0.3</w:t>
            </w:r>
          </w:p>
        </w:tc>
        <w:tc>
          <w:tcPr>
            <w:tcW w:w="2693" w:type="dxa"/>
            <w:gridSpan w:val="3"/>
            <w:tcBorders>
              <w:top w:val="single" w:sz="12" w:space="0" w:color="auto"/>
              <w:left w:val="single" w:sz="4" w:space="0" w:color="auto"/>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2.03±0.04</w:t>
            </w:r>
          </w:p>
        </w:tc>
      </w:tr>
      <w:tr w:rsidR="00BA2955" w:rsidRPr="000D2B3E" w:rsidTr="00D858D9">
        <w:trPr>
          <w:jc w:val="center"/>
        </w:trPr>
        <w:tc>
          <w:tcPr>
            <w:tcW w:w="1262"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Aptamil</w:t>
            </w:r>
            <w:proofErr w:type="spellEnd"/>
            <w:r w:rsidRPr="000D2B3E">
              <w:rPr>
                <w:rFonts w:ascii="Times New Roman" w:hAnsi="Times New Roman" w:cs="Times New Roman"/>
                <w:sz w:val="24"/>
                <w:szCs w:val="24"/>
              </w:rPr>
              <w:t xml:space="preserve"> 1</w:t>
            </w:r>
          </w:p>
        </w:tc>
        <w:tc>
          <w:tcPr>
            <w:tcW w:w="2835" w:type="dxa"/>
            <w:gridSpan w:val="4"/>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3.6</w:t>
            </w:r>
          </w:p>
        </w:tc>
        <w:tc>
          <w:tcPr>
            <w:tcW w:w="3119" w:type="dxa"/>
            <w:gridSpan w:val="4"/>
            <w:tcBorders>
              <w:top w:val="nil"/>
              <w:left w:val="single" w:sz="4" w:space="0" w:color="auto"/>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3.9</w:t>
            </w:r>
          </w:p>
        </w:tc>
        <w:tc>
          <w:tcPr>
            <w:tcW w:w="2693" w:type="dxa"/>
            <w:gridSpan w:val="3"/>
            <w:tcBorders>
              <w:top w:val="nil"/>
              <w:left w:val="single" w:sz="4" w:space="0" w:color="auto"/>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0.29</w:t>
            </w:r>
          </w:p>
        </w:tc>
      </w:tr>
      <w:tr w:rsidR="00BA2955" w:rsidRPr="000D2B3E" w:rsidTr="00D858D9">
        <w:trPr>
          <w:jc w:val="center"/>
        </w:trPr>
        <w:tc>
          <w:tcPr>
            <w:tcW w:w="1262"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Bebelac</w:t>
            </w:r>
            <w:proofErr w:type="spellEnd"/>
            <w:r w:rsidRPr="000D2B3E">
              <w:rPr>
                <w:rFonts w:ascii="Times New Roman" w:hAnsi="Times New Roman" w:cs="Times New Roman"/>
                <w:sz w:val="24"/>
                <w:szCs w:val="24"/>
              </w:rPr>
              <w:t xml:space="preserve"> 1</w:t>
            </w:r>
          </w:p>
        </w:tc>
        <w:tc>
          <w:tcPr>
            <w:tcW w:w="2835" w:type="dxa"/>
            <w:gridSpan w:val="4"/>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3.6</w:t>
            </w:r>
          </w:p>
        </w:tc>
        <w:tc>
          <w:tcPr>
            <w:tcW w:w="3119" w:type="dxa"/>
            <w:gridSpan w:val="4"/>
            <w:tcBorders>
              <w:top w:val="nil"/>
              <w:left w:val="single" w:sz="4" w:space="0" w:color="auto"/>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3.9</w:t>
            </w:r>
          </w:p>
        </w:tc>
        <w:tc>
          <w:tcPr>
            <w:tcW w:w="2693" w:type="dxa"/>
            <w:gridSpan w:val="3"/>
            <w:tcBorders>
              <w:top w:val="nil"/>
              <w:left w:val="single" w:sz="4" w:space="0" w:color="auto"/>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0.29</w:t>
            </w:r>
          </w:p>
        </w:tc>
      </w:tr>
      <w:tr w:rsidR="00BA2955" w:rsidRPr="000D2B3E" w:rsidTr="00D858D9">
        <w:trPr>
          <w:jc w:val="center"/>
        </w:trPr>
        <w:tc>
          <w:tcPr>
            <w:tcW w:w="1262"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HIPP</w:t>
            </w:r>
          </w:p>
        </w:tc>
        <w:tc>
          <w:tcPr>
            <w:tcW w:w="2835" w:type="dxa"/>
            <w:gridSpan w:val="4"/>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4.0</w:t>
            </w:r>
          </w:p>
        </w:tc>
        <w:tc>
          <w:tcPr>
            <w:tcW w:w="3119" w:type="dxa"/>
            <w:gridSpan w:val="4"/>
            <w:tcBorders>
              <w:top w:val="nil"/>
              <w:left w:val="single" w:sz="4" w:space="0" w:color="auto"/>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4.0</w:t>
            </w:r>
          </w:p>
        </w:tc>
        <w:tc>
          <w:tcPr>
            <w:tcW w:w="2693" w:type="dxa"/>
            <w:gridSpan w:val="3"/>
            <w:tcBorders>
              <w:top w:val="nil"/>
              <w:left w:val="single" w:sz="4" w:space="0" w:color="auto"/>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0.27</w:t>
            </w:r>
          </w:p>
        </w:tc>
      </w:tr>
      <w:tr w:rsidR="00BA2955" w:rsidRPr="000D2B3E" w:rsidTr="00D858D9">
        <w:trPr>
          <w:jc w:val="center"/>
        </w:trPr>
        <w:tc>
          <w:tcPr>
            <w:tcW w:w="1262"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NAN 1</w:t>
            </w:r>
          </w:p>
        </w:tc>
        <w:tc>
          <w:tcPr>
            <w:tcW w:w="2835" w:type="dxa"/>
            <w:gridSpan w:val="4"/>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5.4</w:t>
            </w:r>
          </w:p>
        </w:tc>
        <w:tc>
          <w:tcPr>
            <w:tcW w:w="3119" w:type="dxa"/>
            <w:gridSpan w:val="4"/>
            <w:tcBorders>
              <w:top w:val="nil"/>
              <w:left w:val="single" w:sz="4" w:space="0" w:color="auto"/>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5.2</w:t>
            </w:r>
          </w:p>
        </w:tc>
        <w:tc>
          <w:tcPr>
            <w:tcW w:w="2693" w:type="dxa"/>
            <w:gridSpan w:val="3"/>
            <w:tcBorders>
              <w:top w:val="nil"/>
              <w:left w:val="single" w:sz="4" w:space="0" w:color="auto"/>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0.40</w:t>
            </w:r>
          </w:p>
        </w:tc>
      </w:tr>
      <w:tr w:rsidR="00BA2955" w:rsidRPr="000D2B3E" w:rsidTr="00D858D9">
        <w:trPr>
          <w:jc w:val="center"/>
        </w:trPr>
        <w:tc>
          <w:tcPr>
            <w:tcW w:w="1262"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Impamil</w:t>
            </w:r>
            <w:r w:rsidRPr="000D2B3E">
              <w:rPr>
                <w:rFonts w:ascii="Times New Roman" w:hAnsi="Times New Roman" w:cs="Times New Roman"/>
                <w:sz w:val="24"/>
                <w:szCs w:val="24"/>
                <w:vertAlign w:val="superscript"/>
              </w:rPr>
              <w:t>®</w:t>
            </w:r>
            <w:r w:rsidR="00D305B0" w:rsidRPr="000D2B3E">
              <w:rPr>
                <w:rFonts w:ascii="Times New Roman" w:hAnsi="Times New Roman" w:cs="Times New Roman"/>
                <w:sz w:val="24"/>
                <w:szCs w:val="24"/>
              </w:rPr>
              <w:t>Mil1</w:t>
            </w:r>
          </w:p>
        </w:tc>
        <w:tc>
          <w:tcPr>
            <w:tcW w:w="2835" w:type="dxa"/>
            <w:gridSpan w:val="4"/>
            <w:tcBorders>
              <w:top w:val="nil"/>
              <w:left w:val="nil"/>
              <w:bottom w:val="single" w:sz="12" w:space="0" w:color="000000" w:themeColor="text1"/>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4.3</w:t>
            </w:r>
          </w:p>
        </w:tc>
        <w:tc>
          <w:tcPr>
            <w:tcW w:w="3119" w:type="dxa"/>
            <w:gridSpan w:val="4"/>
            <w:tcBorders>
              <w:top w:val="nil"/>
              <w:left w:val="single" w:sz="4" w:space="0" w:color="auto"/>
              <w:bottom w:val="single" w:sz="12" w:space="0" w:color="000000" w:themeColor="text1"/>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3.6</w:t>
            </w:r>
          </w:p>
        </w:tc>
        <w:tc>
          <w:tcPr>
            <w:tcW w:w="2693" w:type="dxa"/>
            <w:gridSpan w:val="3"/>
            <w:tcBorders>
              <w:top w:val="nil"/>
              <w:left w:val="single" w:sz="4" w:space="0" w:color="auto"/>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0.36</w:t>
            </w:r>
          </w:p>
        </w:tc>
      </w:tr>
    </w:tbl>
    <w:p w:rsidR="00BA2955" w:rsidRDefault="00BA2955" w:rsidP="00606E89">
      <w:pPr>
        <w:autoSpaceDE w:val="0"/>
        <w:autoSpaceDN w:val="0"/>
        <w:adjustRightInd w:val="0"/>
        <w:spacing w:before="120" w:after="0" w:line="360" w:lineRule="auto"/>
        <w:jc w:val="both"/>
        <w:rPr>
          <w:rFonts w:ascii="Times New Roman" w:hAnsi="Times New Roman" w:cs="Times New Roman"/>
          <w:b/>
          <w:sz w:val="24"/>
          <w:szCs w:val="24"/>
        </w:rPr>
      </w:pPr>
    </w:p>
    <w:p w:rsidR="003C6894" w:rsidRDefault="003C6894" w:rsidP="00606E89">
      <w:pPr>
        <w:autoSpaceDE w:val="0"/>
        <w:autoSpaceDN w:val="0"/>
        <w:adjustRightInd w:val="0"/>
        <w:spacing w:before="120" w:after="0" w:line="360" w:lineRule="auto"/>
        <w:jc w:val="both"/>
        <w:rPr>
          <w:rFonts w:ascii="Times New Roman" w:hAnsi="Times New Roman" w:cs="Times New Roman"/>
          <w:b/>
          <w:sz w:val="24"/>
          <w:szCs w:val="24"/>
        </w:rPr>
      </w:pPr>
    </w:p>
    <w:p w:rsidR="003C6894" w:rsidRDefault="003C6894" w:rsidP="00606E89">
      <w:pPr>
        <w:autoSpaceDE w:val="0"/>
        <w:autoSpaceDN w:val="0"/>
        <w:adjustRightInd w:val="0"/>
        <w:spacing w:before="120" w:after="0" w:line="360" w:lineRule="auto"/>
        <w:jc w:val="both"/>
        <w:rPr>
          <w:rFonts w:ascii="Times New Roman" w:hAnsi="Times New Roman" w:cs="Times New Roman"/>
          <w:b/>
          <w:sz w:val="24"/>
          <w:szCs w:val="24"/>
        </w:rPr>
      </w:pPr>
    </w:p>
    <w:p w:rsidR="003C6894" w:rsidRDefault="003C6894" w:rsidP="00606E89">
      <w:pPr>
        <w:autoSpaceDE w:val="0"/>
        <w:autoSpaceDN w:val="0"/>
        <w:adjustRightInd w:val="0"/>
        <w:spacing w:before="120" w:after="0" w:line="360" w:lineRule="auto"/>
        <w:jc w:val="both"/>
        <w:rPr>
          <w:rFonts w:ascii="Times New Roman" w:hAnsi="Times New Roman" w:cs="Times New Roman"/>
          <w:b/>
          <w:sz w:val="24"/>
          <w:szCs w:val="24"/>
        </w:rPr>
      </w:pPr>
    </w:p>
    <w:p w:rsidR="00D858D9" w:rsidRDefault="00D858D9" w:rsidP="00606E89">
      <w:pPr>
        <w:autoSpaceDE w:val="0"/>
        <w:autoSpaceDN w:val="0"/>
        <w:adjustRightInd w:val="0"/>
        <w:spacing w:before="120" w:after="0" w:line="360" w:lineRule="auto"/>
        <w:jc w:val="both"/>
        <w:rPr>
          <w:rFonts w:ascii="Times New Roman" w:hAnsi="Times New Roman" w:cs="Times New Roman"/>
          <w:b/>
          <w:sz w:val="24"/>
          <w:szCs w:val="24"/>
        </w:rPr>
      </w:pPr>
    </w:p>
    <w:p w:rsidR="00D858D9" w:rsidRDefault="00D858D9" w:rsidP="00606E89">
      <w:pPr>
        <w:autoSpaceDE w:val="0"/>
        <w:autoSpaceDN w:val="0"/>
        <w:adjustRightInd w:val="0"/>
        <w:spacing w:before="120" w:after="0" w:line="360" w:lineRule="auto"/>
        <w:jc w:val="both"/>
        <w:rPr>
          <w:rFonts w:ascii="Times New Roman" w:hAnsi="Times New Roman" w:cs="Times New Roman"/>
          <w:b/>
          <w:sz w:val="24"/>
          <w:szCs w:val="24"/>
        </w:rPr>
      </w:pPr>
    </w:p>
    <w:p w:rsidR="005033F7" w:rsidRDefault="005033F7" w:rsidP="00606E89">
      <w:pPr>
        <w:autoSpaceDE w:val="0"/>
        <w:autoSpaceDN w:val="0"/>
        <w:adjustRightInd w:val="0"/>
        <w:spacing w:before="120" w:after="0" w:line="360" w:lineRule="auto"/>
        <w:jc w:val="both"/>
        <w:rPr>
          <w:rFonts w:ascii="Times New Roman" w:hAnsi="Times New Roman" w:cs="Times New Roman"/>
          <w:b/>
          <w:sz w:val="24"/>
          <w:szCs w:val="24"/>
        </w:rPr>
      </w:pPr>
    </w:p>
    <w:p w:rsidR="005033F7" w:rsidRDefault="005033F7" w:rsidP="00606E89">
      <w:pPr>
        <w:autoSpaceDE w:val="0"/>
        <w:autoSpaceDN w:val="0"/>
        <w:adjustRightInd w:val="0"/>
        <w:spacing w:before="120" w:after="0" w:line="360" w:lineRule="auto"/>
        <w:jc w:val="both"/>
        <w:rPr>
          <w:rFonts w:ascii="Times New Roman" w:hAnsi="Times New Roman" w:cs="Times New Roman"/>
          <w:b/>
          <w:sz w:val="24"/>
          <w:szCs w:val="24"/>
        </w:rPr>
      </w:pPr>
    </w:p>
    <w:p w:rsidR="005033F7" w:rsidRDefault="005033F7" w:rsidP="00606E89">
      <w:pPr>
        <w:autoSpaceDE w:val="0"/>
        <w:autoSpaceDN w:val="0"/>
        <w:adjustRightInd w:val="0"/>
        <w:spacing w:before="120" w:after="0" w:line="360" w:lineRule="auto"/>
        <w:jc w:val="both"/>
        <w:rPr>
          <w:rFonts w:ascii="Times New Roman" w:hAnsi="Times New Roman" w:cs="Times New Roman"/>
          <w:b/>
          <w:sz w:val="24"/>
          <w:szCs w:val="24"/>
        </w:rPr>
      </w:pPr>
    </w:p>
    <w:p w:rsidR="005033F7" w:rsidRPr="000D2B3E" w:rsidRDefault="005033F7" w:rsidP="00606E89">
      <w:pPr>
        <w:autoSpaceDE w:val="0"/>
        <w:autoSpaceDN w:val="0"/>
        <w:adjustRightInd w:val="0"/>
        <w:spacing w:before="120" w:after="0" w:line="360" w:lineRule="auto"/>
        <w:jc w:val="both"/>
        <w:rPr>
          <w:rFonts w:ascii="Times New Roman" w:hAnsi="Times New Roman" w:cs="Times New Roman"/>
          <w:b/>
          <w:sz w:val="24"/>
          <w:szCs w:val="24"/>
        </w:rPr>
      </w:pPr>
    </w:p>
    <w:p w:rsidR="00BA2955" w:rsidRPr="000D2B3E" w:rsidRDefault="00BA2955" w:rsidP="00606E89">
      <w:pPr>
        <w:autoSpaceDE w:val="0"/>
        <w:autoSpaceDN w:val="0"/>
        <w:adjustRightInd w:val="0"/>
        <w:spacing w:before="120" w:after="0" w:line="360" w:lineRule="auto"/>
        <w:jc w:val="center"/>
        <w:rPr>
          <w:rFonts w:ascii="Times New Roman" w:hAnsi="Times New Roman" w:cs="Times New Roman"/>
          <w:b/>
          <w:sz w:val="24"/>
          <w:szCs w:val="24"/>
        </w:rPr>
      </w:pPr>
      <w:proofErr w:type="gramStart"/>
      <w:r w:rsidRPr="000D2B3E">
        <w:rPr>
          <w:rFonts w:ascii="Times New Roman" w:hAnsi="Times New Roman" w:cs="Times New Roman"/>
          <w:b/>
          <w:sz w:val="24"/>
          <w:szCs w:val="24"/>
        </w:rPr>
        <w:t>Table 2</w:t>
      </w:r>
      <w:r w:rsidR="00606E89" w:rsidRPr="000D2B3E">
        <w:rPr>
          <w:rFonts w:ascii="Times New Roman" w:hAnsi="Times New Roman" w:cs="Times New Roman"/>
          <w:b/>
          <w:sz w:val="24"/>
          <w:szCs w:val="24"/>
        </w:rPr>
        <w:t>.</w:t>
      </w:r>
      <w:proofErr w:type="gramEnd"/>
      <w:r w:rsidRPr="000D2B3E">
        <w:rPr>
          <w:rFonts w:ascii="Times New Roman" w:hAnsi="Times New Roman" w:cs="Times New Roman"/>
          <w:b/>
          <w:sz w:val="24"/>
          <w:szCs w:val="24"/>
        </w:rPr>
        <w:t xml:space="preserve"> </w:t>
      </w:r>
      <w:proofErr w:type="spellStart"/>
      <w:r w:rsidRPr="000D2B3E">
        <w:rPr>
          <w:rFonts w:ascii="Times New Roman" w:hAnsi="Times New Roman" w:cs="Times New Roman"/>
          <w:sz w:val="24"/>
          <w:szCs w:val="24"/>
        </w:rPr>
        <w:t>Detected</w:t>
      </w:r>
      <w:proofErr w:type="gramStart"/>
      <w:r w:rsidRPr="000D2B3E">
        <w:rPr>
          <w:rFonts w:ascii="Times New Roman" w:hAnsi="Times New Roman" w:cs="Times New Roman"/>
          <w:sz w:val="24"/>
          <w:szCs w:val="24"/>
        </w:rPr>
        <w:t>,certified</w:t>
      </w:r>
      <w:proofErr w:type="spellEnd"/>
      <w:proofErr w:type="gramEnd"/>
      <w:r w:rsidRPr="000D2B3E">
        <w:rPr>
          <w:rFonts w:ascii="Times New Roman" w:hAnsi="Times New Roman" w:cs="Times New Roman"/>
          <w:sz w:val="24"/>
          <w:szCs w:val="24"/>
        </w:rPr>
        <w:t xml:space="preserve"> and labeled values of elements in infant formula and SRM by FAAS</w:t>
      </w:r>
    </w:p>
    <w:tbl>
      <w:tblPr>
        <w:tblStyle w:val="TableGrid"/>
        <w:tblW w:w="9767" w:type="dxa"/>
        <w:jc w:val="center"/>
        <w:tblInd w:w="-471" w:type="dxa"/>
        <w:tblLayout w:type="fixed"/>
        <w:tblLook w:val="04A0" w:firstRow="1" w:lastRow="0" w:firstColumn="1" w:lastColumn="0" w:noHBand="0" w:noVBand="1"/>
      </w:tblPr>
      <w:tblGrid>
        <w:gridCol w:w="1404"/>
        <w:gridCol w:w="799"/>
        <w:gridCol w:w="774"/>
        <w:gridCol w:w="1124"/>
        <w:gridCol w:w="847"/>
        <w:gridCol w:w="850"/>
        <w:gridCol w:w="1276"/>
        <w:gridCol w:w="709"/>
        <w:gridCol w:w="708"/>
        <w:gridCol w:w="1276"/>
      </w:tblGrid>
      <w:tr w:rsidR="00BA2955" w:rsidRPr="000D2B3E" w:rsidTr="00D858D9">
        <w:trPr>
          <w:jc w:val="center"/>
        </w:trPr>
        <w:tc>
          <w:tcPr>
            <w:tcW w:w="1404"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b/>
                <w:sz w:val="24"/>
                <w:szCs w:val="24"/>
              </w:rPr>
            </w:pPr>
          </w:p>
        </w:tc>
        <w:tc>
          <w:tcPr>
            <w:tcW w:w="2697" w:type="dxa"/>
            <w:gridSpan w:val="3"/>
            <w:tcBorders>
              <w:top w:val="single" w:sz="12" w:space="0" w:color="000000" w:themeColor="text1"/>
              <w:left w:val="nil"/>
              <w:bottom w:val="single" w:sz="12" w:space="0" w:color="000000" w:themeColor="text1"/>
            </w:tcBorders>
            <w:vAlign w:val="center"/>
          </w:tcPr>
          <w:p w:rsidR="00BA2955" w:rsidRPr="00D858D9" w:rsidRDefault="00BA2955" w:rsidP="003C6894">
            <w:pPr>
              <w:autoSpaceDE w:val="0"/>
              <w:autoSpaceDN w:val="0"/>
              <w:adjustRightInd w:val="0"/>
              <w:spacing w:line="360" w:lineRule="auto"/>
              <w:jc w:val="center"/>
              <w:rPr>
                <w:rFonts w:ascii="Times New Roman" w:hAnsi="Times New Roman" w:cs="Times New Roman"/>
                <w:sz w:val="24"/>
                <w:szCs w:val="24"/>
              </w:rPr>
            </w:pPr>
            <w:r w:rsidRPr="00D858D9">
              <w:rPr>
                <w:rFonts w:ascii="Times New Roman" w:hAnsi="Times New Roman" w:cs="Times New Roman"/>
                <w:sz w:val="24"/>
                <w:szCs w:val="24"/>
              </w:rPr>
              <w:t>Zn</w:t>
            </w:r>
          </w:p>
        </w:tc>
        <w:tc>
          <w:tcPr>
            <w:tcW w:w="2973" w:type="dxa"/>
            <w:gridSpan w:val="3"/>
            <w:tcBorders>
              <w:top w:val="single" w:sz="12" w:space="0" w:color="000000" w:themeColor="text1"/>
              <w:bottom w:val="single" w:sz="12" w:space="0" w:color="000000" w:themeColor="text1"/>
            </w:tcBorders>
            <w:vAlign w:val="center"/>
          </w:tcPr>
          <w:p w:rsidR="00BA2955" w:rsidRPr="00D858D9" w:rsidRDefault="00BA2955" w:rsidP="003C6894">
            <w:pPr>
              <w:autoSpaceDE w:val="0"/>
              <w:autoSpaceDN w:val="0"/>
              <w:adjustRightInd w:val="0"/>
              <w:spacing w:line="360" w:lineRule="auto"/>
              <w:jc w:val="center"/>
              <w:rPr>
                <w:rFonts w:ascii="Times New Roman" w:hAnsi="Times New Roman" w:cs="Times New Roman"/>
                <w:sz w:val="24"/>
                <w:szCs w:val="24"/>
              </w:rPr>
            </w:pPr>
            <w:r w:rsidRPr="00D858D9">
              <w:rPr>
                <w:rFonts w:ascii="Times New Roman" w:hAnsi="Times New Roman" w:cs="Times New Roman"/>
                <w:sz w:val="24"/>
                <w:szCs w:val="24"/>
              </w:rPr>
              <w:t>Fe</w:t>
            </w:r>
          </w:p>
        </w:tc>
        <w:tc>
          <w:tcPr>
            <w:tcW w:w="2693" w:type="dxa"/>
            <w:gridSpan w:val="3"/>
            <w:tcBorders>
              <w:top w:val="single" w:sz="12" w:space="0" w:color="000000" w:themeColor="text1"/>
              <w:bottom w:val="single" w:sz="12" w:space="0" w:color="000000" w:themeColor="text1"/>
              <w:right w:val="nil"/>
            </w:tcBorders>
            <w:vAlign w:val="center"/>
          </w:tcPr>
          <w:p w:rsidR="00BA2955" w:rsidRPr="00D858D9" w:rsidRDefault="00BA2955" w:rsidP="003C6894">
            <w:pPr>
              <w:autoSpaceDE w:val="0"/>
              <w:autoSpaceDN w:val="0"/>
              <w:adjustRightInd w:val="0"/>
              <w:spacing w:line="360" w:lineRule="auto"/>
              <w:jc w:val="center"/>
              <w:rPr>
                <w:rFonts w:ascii="Times New Roman" w:hAnsi="Times New Roman" w:cs="Times New Roman"/>
                <w:sz w:val="24"/>
                <w:szCs w:val="24"/>
              </w:rPr>
            </w:pPr>
            <w:r w:rsidRPr="00D858D9">
              <w:rPr>
                <w:rFonts w:ascii="Times New Roman" w:hAnsi="Times New Roman" w:cs="Times New Roman"/>
                <w:sz w:val="24"/>
                <w:szCs w:val="24"/>
              </w:rPr>
              <w:t>Cu</w:t>
            </w:r>
          </w:p>
        </w:tc>
      </w:tr>
      <w:tr w:rsidR="00BA2955" w:rsidRPr="000D2B3E" w:rsidTr="00D858D9">
        <w:trPr>
          <w:jc w:val="center"/>
        </w:trPr>
        <w:tc>
          <w:tcPr>
            <w:tcW w:w="1404"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b/>
                <w:sz w:val="24"/>
                <w:szCs w:val="24"/>
              </w:rPr>
            </w:pPr>
          </w:p>
        </w:tc>
        <w:tc>
          <w:tcPr>
            <w:tcW w:w="8363" w:type="dxa"/>
            <w:gridSpan w:val="9"/>
            <w:tcBorders>
              <w:top w:val="single" w:sz="12" w:space="0" w:color="000000" w:themeColor="text1"/>
              <w:left w:val="nil"/>
              <w:bottom w:val="single" w:sz="12" w:space="0" w:color="000000" w:themeColor="text1"/>
              <w:right w:val="nil"/>
            </w:tcBorders>
            <w:vAlign w:val="center"/>
          </w:tcPr>
          <w:p w:rsidR="00BA2955" w:rsidRPr="00D858D9" w:rsidRDefault="00BA2955" w:rsidP="003C6894">
            <w:pPr>
              <w:autoSpaceDE w:val="0"/>
              <w:autoSpaceDN w:val="0"/>
              <w:adjustRightInd w:val="0"/>
              <w:spacing w:line="360" w:lineRule="auto"/>
              <w:jc w:val="center"/>
              <w:rPr>
                <w:rFonts w:ascii="Times New Roman" w:hAnsi="Times New Roman" w:cs="Times New Roman"/>
                <w:sz w:val="24"/>
                <w:szCs w:val="24"/>
              </w:rPr>
            </w:pPr>
            <w:r w:rsidRPr="00D858D9">
              <w:rPr>
                <w:rFonts w:ascii="Times New Roman" w:hAnsi="Times New Roman" w:cs="Times New Roman"/>
                <w:sz w:val="24"/>
                <w:szCs w:val="24"/>
              </w:rPr>
              <w:t>Detected values mg/100g of powder</w:t>
            </w:r>
          </w:p>
        </w:tc>
      </w:tr>
      <w:tr w:rsidR="00BA2955" w:rsidRPr="000D2B3E" w:rsidTr="00D858D9">
        <w:trPr>
          <w:jc w:val="center"/>
        </w:trPr>
        <w:tc>
          <w:tcPr>
            <w:tcW w:w="1404" w:type="dxa"/>
            <w:tcBorders>
              <w:top w:val="single" w:sz="12" w:space="0" w:color="000000" w:themeColor="text1"/>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b/>
                <w:sz w:val="24"/>
                <w:szCs w:val="24"/>
              </w:rPr>
            </w:pPr>
          </w:p>
        </w:tc>
        <w:tc>
          <w:tcPr>
            <w:tcW w:w="799" w:type="dxa"/>
            <w:tcBorders>
              <w:top w:val="single" w:sz="12" w:space="0" w:color="000000" w:themeColor="text1"/>
              <w:left w:val="nil"/>
              <w:bottom w:val="single" w:sz="12" w:space="0" w:color="000000" w:themeColor="text1"/>
              <w:right w:val="nil"/>
            </w:tcBorders>
            <w:vAlign w:val="center"/>
          </w:tcPr>
          <w:p w:rsidR="00BA2955" w:rsidRPr="00D858D9" w:rsidRDefault="00BA2955" w:rsidP="003C6894">
            <w:pPr>
              <w:tabs>
                <w:tab w:val="left" w:pos="3502"/>
              </w:tabs>
              <w:spacing w:line="360" w:lineRule="auto"/>
              <w:jc w:val="center"/>
              <w:rPr>
                <w:rFonts w:ascii="Times New Roman" w:hAnsi="Times New Roman" w:cs="Times New Roman"/>
                <w:sz w:val="24"/>
                <w:szCs w:val="24"/>
              </w:rPr>
            </w:pPr>
            <w:r w:rsidRPr="00D858D9">
              <w:rPr>
                <w:rFonts w:ascii="Times New Roman" w:hAnsi="Times New Roman" w:cs="Times New Roman"/>
                <w:sz w:val="24"/>
                <w:szCs w:val="24"/>
              </w:rPr>
              <w:t>Min</w:t>
            </w:r>
          </w:p>
        </w:tc>
        <w:tc>
          <w:tcPr>
            <w:tcW w:w="774" w:type="dxa"/>
            <w:tcBorders>
              <w:top w:val="single" w:sz="12" w:space="0" w:color="000000" w:themeColor="text1"/>
              <w:left w:val="nil"/>
              <w:bottom w:val="single" w:sz="12" w:space="0" w:color="000000" w:themeColor="text1"/>
              <w:right w:val="nil"/>
            </w:tcBorders>
            <w:vAlign w:val="center"/>
          </w:tcPr>
          <w:p w:rsidR="00BA2955" w:rsidRPr="00D858D9" w:rsidRDefault="00BA2955" w:rsidP="003C6894">
            <w:pPr>
              <w:tabs>
                <w:tab w:val="left" w:pos="3502"/>
              </w:tabs>
              <w:spacing w:line="360" w:lineRule="auto"/>
              <w:ind w:right="-116"/>
              <w:jc w:val="center"/>
              <w:rPr>
                <w:rFonts w:ascii="Times New Roman" w:hAnsi="Times New Roman" w:cs="Times New Roman"/>
                <w:sz w:val="24"/>
                <w:szCs w:val="24"/>
              </w:rPr>
            </w:pPr>
            <w:r w:rsidRPr="00D858D9">
              <w:rPr>
                <w:rFonts w:ascii="Times New Roman" w:hAnsi="Times New Roman" w:cs="Times New Roman"/>
                <w:sz w:val="24"/>
                <w:szCs w:val="24"/>
              </w:rPr>
              <w:t>Max</w:t>
            </w:r>
          </w:p>
        </w:tc>
        <w:tc>
          <w:tcPr>
            <w:tcW w:w="1124" w:type="dxa"/>
            <w:tcBorders>
              <w:top w:val="single" w:sz="12" w:space="0" w:color="000000" w:themeColor="text1"/>
              <w:left w:val="nil"/>
              <w:bottom w:val="single" w:sz="12" w:space="0" w:color="000000" w:themeColor="text1"/>
              <w:right w:val="nil"/>
            </w:tcBorders>
            <w:vAlign w:val="center"/>
          </w:tcPr>
          <w:p w:rsidR="00BA2955" w:rsidRPr="00D858D9" w:rsidRDefault="00BA2955" w:rsidP="003C6894">
            <w:pPr>
              <w:tabs>
                <w:tab w:val="left" w:pos="3502"/>
              </w:tabs>
              <w:spacing w:line="360" w:lineRule="auto"/>
              <w:jc w:val="center"/>
              <w:rPr>
                <w:rFonts w:ascii="Times New Roman" w:hAnsi="Times New Roman" w:cs="Times New Roman"/>
                <w:sz w:val="24"/>
                <w:szCs w:val="24"/>
              </w:rPr>
            </w:pPr>
            <w:proofErr w:type="spellStart"/>
            <w:r w:rsidRPr="00D858D9">
              <w:rPr>
                <w:rFonts w:ascii="Times New Roman" w:hAnsi="Times New Roman" w:cs="Times New Roman"/>
                <w:sz w:val="24"/>
                <w:szCs w:val="24"/>
              </w:rPr>
              <w:t>Mean±SD</w:t>
            </w:r>
            <w:proofErr w:type="spellEnd"/>
          </w:p>
        </w:tc>
        <w:tc>
          <w:tcPr>
            <w:tcW w:w="847" w:type="dxa"/>
            <w:tcBorders>
              <w:top w:val="single" w:sz="12" w:space="0" w:color="000000" w:themeColor="text1"/>
              <w:left w:val="nil"/>
              <w:bottom w:val="single" w:sz="12" w:space="0" w:color="000000" w:themeColor="text1"/>
              <w:right w:val="nil"/>
            </w:tcBorders>
            <w:vAlign w:val="center"/>
          </w:tcPr>
          <w:p w:rsidR="00BA2955" w:rsidRPr="00D858D9" w:rsidRDefault="00BA2955" w:rsidP="003C6894">
            <w:pPr>
              <w:tabs>
                <w:tab w:val="left" w:pos="3502"/>
              </w:tabs>
              <w:spacing w:line="360" w:lineRule="auto"/>
              <w:jc w:val="center"/>
              <w:rPr>
                <w:rFonts w:ascii="Times New Roman" w:hAnsi="Times New Roman" w:cs="Times New Roman"/>
                <w:sz w:val="24"/>
                <w:szCs w:val="24"/>
              </w:rPr>
            </w:pPr>
            <w:r w:rsidRPr="00D858D9">
              <w:rPr>
                <w:rFonts w:ascii="Times New Roman" w:hAnsi="Times New Roman" w:cs="Times New Roman"/>
                <w:sz w:val="24"/>
                <w:szCs w:val="24"/>
              </w:rPr>
              <w:t>Min</w:t>
            </w:r>
          </w:p>
        </w:tc>
        <w:tc>
          <w:tcPr>
            <w:tcW w:w="850" w:type="dxa"/>
            <w:tcBorders>
              <w:top w:val="single" w:sz="12" w:space="0" w:color="000000" w:themeColor="text1"/>
              <w:left w:val="nil"/>
              <w:bottom w:val="single" w:sz="12" w:space="0" w:color="000000" w:themeColor="text1"/>
              <w:right w:val="nil"/>
            </w:tcBorders>
            <w:vAlign w:val="center"/>
          </w:tcPr>
          <w:p w:rsidR="00BA2955" w:rsidRPr="00D858D9" w:rsidRDefault="00BA2955" w:rsidP="003C6894">
            <w:pPr>
              <w:tabs>
                <w:tab w:val="left" w:pos="3502"/>
              </w:tabs>
              <w:spacing w:line="360" w:lineRule="auto"/>
              <w:jc w:val="center"/>
              <w:rPr>
                <w:rFonts w:ascii="Times New Roman" w:hAnsi="Times New Roman" w:cs="Times New Roman"/>
                <w:sz w:val="24"/>
                <w:szCs w:val="24"/>
              </w:rPr>
            </w:pPr>
            <w:r w:rsidRPr="00D858D9">
              <w:rPr>
                <w:rFonts w:ascii="Times New Roman" w:hAnsi="Times New Roman" w:cs="Times New Roman"/>
                <w:sz w:val="24"/>
                <w:szCs w:val="24"/>
              </w:rPr>
              <w:t>Max</w:t>
            </w:r>
          </w:p>
        </w:tc>
        <w:tc>
          <w:tcPr>
            <w:tcW w:w="1276" w:type="dxa"/>
            <w:tcBorders>
              <w:top w:val="single" w:sz="12" w:space="0" w:color="000000" w:themeColor="text1"/>
              <w:left w:val="nil"/>
              <w:bottom w:val="single" w:sz="12" w:space="0" w:color="000000" w:themeColor="text1"/>
              <w:right w:val="nil"/>
            </w:tcBorders>
            <w:vAlign w:val="center"/>
          </w:tcPr>
          <w:p w:rsidR="00BA2955" w:rsidRPr="00D858D9" w:rsidRDefault="00BA2955" w:rsidP="003C6894">
            <w:pPr>
              <w:tabs>
                <w:tab w:val="left" w:pos="3502"/>
              </w:tabs>
              <w:spacing w:line="360" w:lineRule="auto"/>
              <w:jc w:val="center"/>
              <w:rPr>
                <w:rFonts w:ascii="Times New Roman" w:hAnsi="Times New Roman" w:cs="Times New Roman"/>
                <w:sz w:val="24"/>
                <w:szCs w:val="24"/>
              </w:rPr>
            </w:pPr>
            <w:proofErr w:type="spellStart"/>
            <w:r w:rsidRPr="00D858D9">
              <w:rPr>
                <w:rFonts w:ascii="Times New Roman" w:hAnsi="Times New Roman" w:cs="Times New Roman"/>
                <w:sz w:val="24"/>
                <w:szCs w:val="24"/>
              </w:rPr>
              <w:t>Mean±SD</w:t>
            </w:r>
            <w:proofErr w:type="spellEnd"/>
          </w:p>
        </w:tc>
        <w:tc>
          <w:tcPr>
            <w:tcW w:w="709" w:type="dxa"/>
            <w:tcBorders>
              <w:top w:val="single" w:sz="12" w:space="0" w:color="000000" w:themeColor="text1"/>
              <w:left w:val="nil"/>
              <w:bottom w:val="single" w:sz="12" w:space="0" w:color="000000" w:themeColor="text1"/>
              <w:right w:val="nil"/>
            </w:tcBorders>
            <w:vAlign w:val="center"/>
          </w:tcPr>
          <w:p w:rsidR="00BA2955" w:rsidRPr="00D858D9" w:rsidRDefault="00BA2955" w:rsidP="003C6894">
            <w:pPr>
              <w:tabs>
                <w:tab w:val="left" w:pos="3502"/>
              </w:tabs>
              <w:spacing w:line="360" w:lineRule="auto"/>
              <w:jc w:val="center"/>
              <w:rPr>
                <w:rFonts w:ascii="Times New Roman" w:hAnsi="Times New Roman" w:cs="Times New Roman"/>
                <w:sz w:val="24"/>
                <w:szCs w:val="24"/>
              </w:rPr>
            </w:pPr>
            <w:r w:rsidRPr="00D858D9">
              <w:rPr>
                <w:rFonts w:ascii="Times New Roman" w:hAnsi="Times New Roman" w:cs="Times New Roman"/>
                <w:sz w:val="24"/>
                <w:szCs w:val="24"/>
              </w:rPr>
              <w:t>Min</w:t>
            </w:r>
          </w:p>
        </w:tc>
        <w:tc>
          <w:tcPr>
            <w:tcW w:w="708" w:type="dxa"/>
            <w:tcBorders>
              <w:top w:val="single" w:sz="12" w:space="0" w:color="000000" w:themeColor="text1"/>
              <w:left w:val="nil"/>
              <w:bottom w:val="single" w:sz="12" w:space="0" w:color="000000" w:themeColor="text1"/>
              <w:right w:val="nil"/>
            </w:tcBorders>
            <w:vAlign w:val="center"/>
          </w:tcPr>
          <w:p w:rsidR="00BA2955" w:rsidRPr="00D858D9" w:rsidRDefault="00BA2955" w:rsidP="003C6894">
            <w:pPr>
              <w:tabs>
                <w:tab w:val="left" w:pos="3502"/>
              </w:tabs>
              <w:spacing w:line="360" w:lineRule="auto"/>
              <w:jc w:val="center"/>
              <w:rPr>
                <w:rFonts w:ascii="Times New Roman" w:hAnsi="Times New Roman" w:cs="Times New Roman"/>
                <w:sz w:val="24"/>
                <w:szCs w:val="24"/>
              </w:rPr>
            </w:pPr>
            <w:r w:rsidRPr="00D858D9">
              <w:rPr>
                <w:rFonts w:ascii="Times New Roman" w:hAnsi="Times New Roman" w:cs="Times New Roman"/>
                <w:sz w:val="24"/>
                <w:szCs w:val="24"/>
              </w:rPr>
              <w:t>Max</w:t>
            </w:r>
          </w:p>
        </w:tc>
        <w:tc>
          <w:tcPr>
            <w:tcW w:w="1276" w:type="dxa"/>
            <w:tcBorders>
              <w:top w:val="single" w:sz="12" w:space="0" w:color="000000" w:themeColor="text1"/>
              <w:left w:val="nil"/>
              <w:bottom w:val="single" w:sz="12" w:space="0" w:color="000000" w:themeColor="text1"/>
              <w:right w:val="nil"/>
            </w:tcBorders>
            <w:vAlign w:val="center"/>
          </w:tcPr>
          <w:p w:rsidR="00BA2955" w:rsidRPr="00D858D9" w:rsidRDefault="00BA2955" w:rsidP="003C6894">
            <w:pPr>
              <w:tabs>
                <w:tab w:val="left" w:pos="3502"/>
              </w:tabs>
              <w:spacing w:line="360" w:lineRule="auto"/>
              <w:jc w:val="center"/>
              <w:rPr>
                <w:rFonts w:ascii="Times New Roman" w:hAnsi="Times New Roman" w:cs="Times New Roman"/>
                <w:sz w:val="24"/>
                <w:szCs w:val="24"/>
              </w:rPr>
            </w:pPr>
            <w:proofErr w:type="spellStart"/>
            <w:r w:rsidRPr="00D858D9">
              <w:rPr>
                <w:rFonts w:ascii="Times New Roman" w:hAnsi="Times New Roman" w:cs="Times New Roman"/>
                <w:sz w:val="24"/>
                <w:szCs w:val="24"/>
              </w:rPr>
              <w:t>Mean±SD</w:t>
            </w:r>
            <w:proofErr w:type="spellEnd"/>
          </w:p>
        </w:tc>
      </w:tr>
      <w:tr w:rsidR="00BA2955" w:rsidRPr="000D2B3E" w:rsidTr="00D858D9">
        <w:trPr>
          <w:jc w:val="center"/>
        </w:trPr>
        <w:tc>
          <w:tcPr>
            <w:tcW w:w="1404"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SRM</w:t>
            </w:r>
          </w:p>
        </w:tc>
        <w:tc>
          <w:tcPr>
            <w:tcW w:w="799"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12.74</w:t>
            </w:r>
          </w:p>
        </w:tc>
        <w:tc>
          <w:tcPr>
            <w:tcW w:w="774" w:type="dxa"/>
            <w:tcBorders>
              <w:top w:val="single" w:sz="12" w:space="0" w:color="000000" w:themeColor="text1"/>
              <w:left w:val="nil"/>
              <w:bottom w:val="nil"/>
              <w:right w:val="nil"/>
            </w:tcBorders>
            <w:vAlign w:val="center"/>
          </w:tcPr>
          <w:p w:rsidR="00BA2955" w:rsidRPr="000D2B3E" w:rsidRDefault="00BA2955" w:rsidP="003C6894">
            <w:pPr>
              <w:autoSpaceDE w:val="0"/>
              <w:autoSpaceDN w:val="0"/>
              <w:adjustRightInd w:val="0"/>
              <w:spacing w:line="360" w:lineRule="auto"/>
              <w:ind w:right="-116"/>
              <w:jc w:val="center"/>
              <w:rPr>
                <w:rFonts w:ascii="Times New Roman" w:hAnsi="Times New Roman" w:cs="Times New Roman"/>
                <w:sz w:val="24"/>
                <w:szCs w:val="24"/>
              </w:rPr>
            </w:pPr>
            <w:r w:rsidRPr="000D2B3E">
              <w:rPr>
                <w:rFonts w:ascii="Times New Roman" w:hAnsi="Times New Roman" w:cs="Times New Roman"/>
                <w:sz w:val="24"/>
                <w:szCs w:val="24"/>
              </w:rPr>
              <w:t>13.14</w:t>
            </w:r>
          </w:p>
        </w:tc>
        <w:tc>
          <w:tcPr>
            <w:tcW w:w="1124" w:type="dxa"/>
            <w:tcBorders>
              <w:top w:val="single" w:sz="12" w:space="0" w:color="000000" w:themeColor="text1"/>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12.9±0.3</w:t>
            </w:r>
          </w:p>
        </w:tc>
        <w:tc>
          <w:tcPr>
            <w:tcW w:w="847" w:type="dxa"/>
            <w:tcBorders>
              <w:top w:val="single" w:sz="12" w:space="0" w:color="000000" w:themeColor="text1"/>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17.23</w:t>
            </w:r>
          </w:p>
        </w:tc>
        <w:tc>
          <w:tcPr>
            <w:tcW w:w="850"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18.30</w:t>
            </w:r>
          </w:p>
        </w:tc>
        <w:tc>
          <w:tcPr>
            <w:tcW w:w="1276" w:type="dxa"/>
            <w:tcBorders>
              <w:top w:val="single" w:sz="12" w:space="0" w:color="000000" w:themeColor="text1"/>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17.74±0.3</w:t>
            </w:r>
          </w:p>
        </w:tc>
        <w:tc>
          <w:tcPr>
            <w:tcW w:w="709" w:type="dxa"/>
            <w:tcBorders>
              <w:top w:val="single" w:sz="12" w:space="0" w:color="000000" w:themeColor="text1"/>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1.82</w:t>
            </w:r>
          </w:p>
        </w:tc>
        <w:tc>
          <w:tcPr>
            <w:tcW w:w="708" w:type="dxa"/>
            <w:tcBorders>
              <w:top w:val="single" w:sz="12" w:space="0" w:color="000000" w:themeColor="text1"/>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2.21</w:t>
            </w:r>
          </w:p>
        </w:tc>
        <w:tc>
          <w:tcPr>
            <w:tcW w:w="1276"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1.99±0.06</w:t>
            </w:r>
          </w:p>
        </w:tc>
      </w:tr>
      <w:tr w:rsidR="00BA2955" w:rsidRPr="000D2B3E" w:rsidTr="00D858D9">
        <w:trPr>
          <w:jc w:val="center"/>
        </w:trPr>
        <w:tc>
          <w:tcPr>
            <w:tcW w:w="1404"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Aptamil</w:t>
            </w:r>
            <w:proofErr w:type="spellEnd"/>
            <w:r w:rsidRPr="000D2B3E">
              <w:rPr>
                <w:rFonts w:ascii="Times New Roman" w:hAnsi="Times New Roman" w:cs="Times New Roman"/>
                <w:sz w:val="24"/>
                <w:szCs w:val="24"/>
              </w:rPr>
              <w:t xml:space="preserve"> 1</w:t>
            </w:r>
          </w:p>
        </w:tc>
        <w:tc>
          <w:tcPr>
            <w:tcW w:w="799"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2.75</w:t>
            </w:r>
          </w:p>
        </w:tc>
        <w:tc>
          <w:tcPr>
            <w:tcW w:w="774"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3.21</w:t>
            </w:r>
          </w:p>
        </w:tc>
        <w:tc>
          <w:tcPr>
            <w:tcW w:w="1124"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3.10±0.4</w:t>
            </w:r>
          </w:p>
        </w:tc>
        <w:tc>
          <w:tcPr>
            <w:tcW w:w="847"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3.55</w:t>
            </w:r>
          </w:p>
        </w:tc>
        <w:tc>
          <w:tcPr>
            <w:tcW w:w="850"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3.85</w:t>
            </w:r>
          </w:p>
        </w:tc>
        <w:tc>
          <w:tcPr>
            <w:tcW w:w="1276"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3.61±0.3</w:t>
            </w:r>
          </w:p>
        </w:tc>
        <w:tc>
          <w:tcPr>
            <w:tcW w:w="709"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0.27</w:t>
            </w:r>
          </w:p>
        </w:tc>
        <w:tc>
          <w:tcPr>
            <w:tcW w:w="708"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0.32</w:t>
            </w:r>
          </w:p>
        </w:tc>
        <w:tc>
          <w:tcPr>
            <w:tcW w:w="1276"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0.29±0.03</w:t>
            </w:r>
          </w:p>
        </w:tc>
      </w:tr>
      <w:tr w:rsidR="00BA2955" w:rsidRPr="000D2B3E" w:rsidTr="00D858D9">
        <w:trPr>
          <w:jc w:val="center"/>
        </w:trPr>
        <w:tc>
          <w:tcPr>
            <w:tcW w:w="1404"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Bebelac</w:t>
            </w:r>
            <w:proofErr w:type="spellEnd"/>
            <w:r w:rsidRPr="000D2B3E">
              <w:rPr>
                <w:rFonts w:ascii="Times New Roman" w:hAnsi="Times New Roman" w:cs="Times New Roman"/>
                <w:sz w:val="24"/>
                <w:szCs w:val="24"/>
              </w:rPr>
              <w:t xml:space="preserve"> 1</w:t>
            </w:r>
          </w:p>
        </w:tc>
        <w:tc>
          <w:tcPr>
            <w:tcW w:w="799"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2.85</w:t>
            </w:r>
          </w:p>
        </w:tc>
        <w:tc>
          <w:tcPr>
            <w:tcW w:w="774"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3.15</w:t>
            </w:r>
          </w:p>
        </w:tc>
        <w:tc>
          <w:tcPr>
            <w:tcW w:w="1124"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3.09±0.4</w:t>
            </w:r>
          </w:p>
        </w:tc>
        <w:tc>
          <w:tcPr>
            <w:tcW w:w="847"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3.67</w:t>
            </w:r>
          </w:p>
        </w:tc>
        <w:tc>
          <w:tcPr>
            <w:tcW w:w="850"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3.90</w:t>
            </w:r>
          </w:p>
        </w:tc>
        <w:tc>
          <w:tcPr>
            <w:tcW w:w="1276"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3.75±0.3</w:t>
            </w:r>
          </w:p>
        </w:tc>
        <w:tc>
          <w:tcPr>
            <w:tcW w:w="709"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0.25</w:t>
            </w:r>
          </w:p>
        </w:tc>
        <w:tc>
          <w:tcPr>
            <w:tcW w:w="708"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0.30</w:t>
            </w:r>
          </w:p>
        </w:tc>
        <w:tc>
          <w:tcPr>
            <w:tcW w:w="1276"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0.27±0.03</w:t>
            </w:r>
          </w:p>
        </w:tc>
      </w:tr>
      <w:tr w:rsidR="00BA2955" w:rsidRPr="000D2B3E" w:rsidTr="00D858D9">
        <w:trPr>
          <w:jc w:val="center"/>
        </w:trPr>
        <w:tc>
          <w:tcPr>
            <w:tcW w:w="1404"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HIPP</w:t>
            </w:r>
          </w:p>
        </w:tc>
        <w:tc>
          <w:tcPr>
            <w:tcW w:w="799"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3.37</w:t>
            </w:r>
          </w:p>
        </w:tc>
        <w:tc>
          <w:tcPr>
            <w:tcW w:w="774"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3.75</w:t>
            </w:r>
          </w:p>
        </w:tc>
        <w:tc>
          <w:tcPr>
            <w:tcW w:w="1124"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3.58±0.3</w:t>
            </w:r>
          </w:p>
        </w:tc>
        <w:tc>
          <w:tcPr>
            <w:tcW w:w="847"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3.78</w:t>
            </w:r>
          </w:p>
        </w:tc>
        <w:tc>
          <w:tcPr>
            <w:tcW w:w="850"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4.10</w:t>
            </w:r>
          </w:p>
        </w:tc>
        <w:tc>
          <w:tcPr>
            <w:tcW w:w="1276"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3.95±0.3</w:t>
            </w:r>
          </w:p>
        </w:tc>
        <w:tc>
          <w:tcPr>
            <w:tcW w:w="709"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0.21</w:t>
            </w:r>
          </w:p>
        </w:tc>
        <w:tc>
          <w:tcPr>
            <w:tcW w:w="708"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0.27</w:t>
            </w:r>
          </w:p>
        </w:tc>
        <w:tc>
          <w:tcPr>
            <w:tcW w:w="1276"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0.24±0.04</w:t>
            </w:r>
          </w:p>
        </w:tc>
      </w:tr>
      <w:tr w:rsidR="00BA2955" w:rsidRPr="000D2B3E" w:rsidTr="00D858D9">
        <w:trPr>
          <w:jc w:val="center"/>
        </w:trPr>
        <w:tc>
          <w:tcPr>
            <w:tcW w:w="1404"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NAN 1</w:t>
            </w:r>
          </w:p>
        </w:tc>
        <w:tc>
          <w:tcPr>
            <w:tcW w:w="799"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4.12</w:t>
            </w:r>
          </w:p>
        </w:tc>
        <w:tc>
          <w:tcPr>
            <w:tcW w:w="774"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5.00</w:t>
            </w:r>
          </w:p>
        </w:tc>
        <w:tc>
          <w:tcPr>
            <w:tcW w:w="1124"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4.55±0.5</w:t>
            </w:r>
          </w:p>
        </w:tc>
        <w:tc>
          <w:tcPr>
            <w:tcW w:w="847"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4.98</w:t>
            </w:r>
          </w:p>
        </w:tc>
        <w:tc>
          <w:tcPr>
            <w:tcW w:w="850"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5.29</w:t>
            </w:r>
          </w:p>
        </w:tc>
        <w:tc>
          <w:tcPr>
            <w:tcW w:w="1276" w:type="dxa"/>
            <w:tcBorders>
              <w:top w:val="nil"/>
              <w:left w:val="nil"/>
              <w:bottom w:val="nil"/>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5.05±0.5</w:t>
            </w:r>
          </w:p>
        </w:tc>
        <w:tc>
          <w:tcPr>
            <w:tcW w:w="709" w:type="dxa"/>
            <w:tcBorders>
              <w:top w:val="nil"/>
              <w:left w:val="single" w:sz="4" w:space="0" w:color="auto"/>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0.34</w:t>
            </w:r>
          </w:p>
        </w:tc>
        <w:tc>
          <w:tcPr>
            <w:tcW w:w="708" w:type="dxa"/>
            <w:tcBorders>
              <w:top w:val="nil"/>
              <w:left w:val="nil"/>
              <w:bottom w:val="nil"/>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0.40</w:t>
            </w:r>
          </w:p>
        </w:tc>
        <w:tc>
          <w:tcPr>
            <w:tcW w:w="1276"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0.37±0.02</w:t>
            </w:r>
          </w:p>
        </w:tc>
      </w:tr>
      <w:tr w:rsidR="00BA2955" w:rsidRPr="000D2B3E" w:rsidTr="00D858D9">
        <w:trPr>
          <w:jc w:val="center"/>
        </w:trPr>
        <w:tc>
          <w:tcPr>
            <w:tcW w:w="1404"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Impamil</w:t>
            </w:r>
            <w:r w:rsidRPr="000D2B3E">
              <w:rPr>
                <w:rFonts w:ascii="Times New Roman" w:hAnsi="Times New Roman" w:cs="Times New Roman"/>
                <w:sz w:val="24"/>
                <w:szCs w:val="24"/>
                <w:vertAlign w:val="superscript"/>
              </w:rPr>
              <w:t>®</w:t>
            </w:r>
            <w:r w:rsidR="00D305B0" w:rsidRPr="000D2B3E">
              <w:rPr>
                <w:rFonts w:ascii="Times New Roman" w:hAnsi="Times New Roman" w:cs="Times New Roman"/>
                <w:sz w:val="24"/>
                <w:szCs w:val="24"/>
              </w:rPr>
              <w:t>Mil1</w:t>
            </w:r>
          </w:p>
        </w:tc>
        <w:tc>
          <w:tcPr>
            <w:tcW w:w="799"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3.89</w:t>
            </w:r>
          </w:p>
        </w:tc>
        <w:tc>
          <w:tcPr>
            <w:tcW w:w="774" w:type="dxa"/>
            <w:tcBorders>
              <w:top w:val="nil"/>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4.15</w:t>
            </w:r>
          </w:p>
        </w:tc>
        <w:tc>
          <w:tcPr>
            <w:tcW w:w="1124" w:type="dxa"/>
            <w:tcBorders>
              <w:top w:val="nil"/>
              <w:left w:val="nil"/>
              <w:bottom w:val="single" w:sz="12" w:space="0" w:color="000000" w:themeColor="text1"/>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4.01±0.1</w:t>
            </w:r>
          </w:p>
        </w:tc>
        <w:tc>
          <w:tcPr>
            <w:tcW w:w="847" w:type="dxa"/>
            <w:tcBorders>
              <w:top w:val="nil"/>
              <w:left w:val="single" w:sz="4" w:space="0" w:color="auto"/>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3.25</w:t>
            </w:r>
          </w:p>
        </w:tc>
        <w:tc>
          <w:tcPr>
            <w:tcW w:w="850"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3.75</w:t>
            </w:r>
          </w:p>
        </w:tc>
        <w:tc>
          <w:tcPr>
            <w:tcW w:w="1276" w:type="dxa"/>
            <w:tcBorders>
              <w:top w:val="nil"/>
              <w:left w:val="nil"/>
              <w:bottom w:val="single" w:sz="12" w:space="0" w:color="000000" w:themeColor="text1"/>
              <w:right w:val="single" w:sz="4" w:space="0" w:color="auto"/>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3.55±0.1</w:t>
            </w:r>
          </w:p>
        </w:tc>
        <w:tc>
          <w:tcPr>
            <w:tcW w:w="709" w:type="dxa"/>
            <w:tcBorders>
              <w:top w:val="nil"/>
              <w:left w:val="single" w:sz="4" w:space="0" w:color="auto"/>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0.31</w:t>
            </w:r>
          </w:p>
        </w:tc>
        <w:tc>
          <w:tcPr>
            <w:tcW w:w="708" w:type="dxa"/>
            <w:tcBorders>
              <w:top w:val="nil"/>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0.37</w:t>
            </w:r>
          </w:p>
        </w:tc>
        <w:tc>
          <w:tcPr>
            <w:tcW w:w="1276"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0.33±0.08</w:t>
            </w:r>
          </w:p>
        </w:tc>
      </w:tr>
      <w:tr w:rsidR="00BA2955" w:rsidRPr="000D2B3E" w:rsidTr="00D858D9">
        <w:trPr>
          <w:jc w:val="center"/>
        </w:trPr>
        <w:tc>
          <w:tcPr>
            <w:tcW w:w="9767" w:type="dxa"/>
            <w:gridSpan w:val="10"/>
            <w:tcBorders>
              <w:top w:val="single" w:sz="12" w:space="0" w:color="000000" w:themeColor="text1"/>
              <w:left w:val="nil"/>
              <w:bottom w:val="single" w:sz="12" w:space="0" w:color="000000" w:themeColor="text1"/>
              <w:right w:val="nil"/>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Certified and labeled values mg/100g of powder</w:t>
            </w:r>
          </w:p>
        </w:tc>
      </w:tr>
      <w:tr w:rsidR="00BA2955" w:rsidRPr="000D2B3E" w:rsidTr="00D858D9">
        <w:trPr>
          <w:jc w:val="center"/>
        </w:trPr>
        <w:tc>
          <w:tcPr>
            <w:tcW w:w="1404"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SRM</w:t>
            </w:r>
          </w:p>
        </w:tc>
        <w:tc>
          <w:tcPr>
            <w:tcW w:w="2697" w:type="dxa"/>
            <w:gridSpan w:val="3"/>
            <w:tcBorders>
              <w:top w:val="single" w:sz="12" w:space="0" w:color="000000" w:themeColor="text1"/>
              <w:left w:val="nil"/>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15.23±0.5</w:t>
            </w:r>
          </w:p>
        </w:tc>
        <w:tc>
          <w:tcPr>
            <w:tcW w:w="2973" w:type="dxa"/>
            <w:gridSpan w:val="3"/>
            <w:tcBorders>
              <w:top w:val="single" w:sz="12" w:space="0" w:color="000000" w:themeColor="text1"/>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17.71±0.3</w:t>
            </w:r>
          </w:p>
        </w:tc>
        <w:tc>
          <w:tcPr>
            <w:tcW w:w="2693" w:type="dxa"/>
            <w:gridSpan w:val="3"/>
            <w:tcBorders>
              <w:top w:val="single" w:sz="12" w:space="0" w:color="000000" w:themeColor="text1"/>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2.03±0.04</w:t>
            </w:r>
          </w:p>
        </w:tc>
      </w:tr>
      <w:tr w:rsidR="00BA2955" w:rsidRPr="000D2B3E" w:rsidTr="00D858D9">
        <w:trPr>
          <w:jc w:val="center"/>
        </w:trPr>
        <w:tc>
          <w:tcPr>
            <w:tcW w:w="1404"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Aptamil</w:t>
            </w:r>
            <w:proofErr w:type="spellEnd"/>
            <w:r w:rsidRPr="000D2B3E">
              <w:rPr>
                <w:rFonts w:ascii="Times New Roman" w:hAnsi="Times New Roman" w:cs="Times New Roman"/>
                <w:sz w:val="24"/>
                <w:szCs w:val="24"/>
              </w:rPr>
              <w:t xml:space="preserve"> 1</w:t>
            </w:r>
          </w:p>
        </w:tc>
        <w:tc>
          <w:tcPr>
            <w:tcW w:w="2697" w:type="dxa"/>
            <w:gridSpan w:val="3"/>
            <w:tcBorders>
              <w:top w:val="nil"/>
              <w:left w:val="nil"/>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3.6</w:t>
            </w:r>
          </w:p>
        </w:tc>
        <w:tc>
          <w:tcPr>
            <w:tcW w:w="2973" w:type="dxa"/>
            <w:gridSpan w:val="3"/>
            <w:tcBorders>
              <w:top w:val="nil"/>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3.9</w:t>
            </w:r>
          </w:p>
        </w:tc>
        <w:tc>
          <w:tcPr>
            <w:tcW w:w="2693" w:type="dxa"/>
            <w:gridSpan w:val="3"/>
            <w:tcBorders>
              <w:top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0.29</w:t>
            </w:r>
          </w:p>
        </w:tc>
      </w:tr>
      <w:tr w:rsidR="00BA2955" w:rsidRPr="000D2B3E" w:rsidTr="00D858D9">
        <w:trPr>
          <w:jc w:val="center"/>
        </w:trPr>
        <w:tc>
          <w:tcPr>
            <w:tcW w:w="1404"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proofErr w:type="spellStart"/>
            <w:r w:rsidRPr="000D2B3E">
              <w:rPr>
                <w:rFonts w:ascii="Times New Roman" w:hAnsi="Times New Roman" w:cs="Times New Roman"/>
                <w:sz w:val="24"/>
                <w:szCs w:val="24"/>
              </w:rPr>
              <w:t>Bebelac</w:t>
            </w:r>
            <w:proofErr w:type="spellEnd"/>
            <w:r w:rsidRPr="000D2B3E">
              <w:rPr>
                <w:rFonts w:ascii="Times New Roman" w:hAnsi="Times New Roman" w:cs="Times New Roman"/>
                <w:sz w:val="24"/>
                <w:szCs w:val="24"/>
              </w:rPr>
              <w:t xml:space="preserve"> 1</w:t>
            </w:r>
          </w:p>
        </w:tc>
        <w:tc>
          <w:tcPr>
            <w:tcW w:w="2697" w:type="dxa"/>
            <w:gridSpan w:val="3"/>
            <w:tcBorders>
              <w:top w:val="nil"/>
              <w:left w:val="nil"/>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3.6</w:t>
            </w:r>
          </w:p>
        </w:tc>
        <w:tc>
          <w:tcPr>
            <w:tcW w:w="2973" w:type="dxa"/>
            <w:gridSpan w:val="3"/>
            <w:tcBorders>
              <w:top w:val="nil"/>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3.9</w:t>
            </w:r>
          </w:p>
        </w:tc>
        <w:tc>
          <w:tcPr>
            <w:tcW w:w="2693" w:type="dxa"/>
            <w:gridSpan w:val="3"/>
            <w:tcBorders>
              <w:top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0.29</w:t>
            </w:r>
          </w:p>
        </w:tc>
      </w:tr>
      <w:tr w:rsidR="00BA2955" w:rsidRPr="000D2B3E" w:rsidTr="00D858D9">
        <w:trPr>
          <w:jc w:val="center"/>
        </w:trPr>
        <w:tc>
          <w:tcPr>
            <w:tcW w:w="1404"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HIPP</w:t>
            </w:r>
          </w:p>
        </w:tc>
        <w:tc>
          <w:tcPr>
            <w:tcW w:w="2697" w:type="dxa"/>
            <w:gridSpan w:val="3"/>
            <w:tcBorders>
              <w:top w:val="nil"/>
              <w:left w:val="nil"/>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4.0</w:t>
            </w:r>
          </w:p>
        </w:tc>
        <w:tc>
          <w:tcPr>
            <w:tcW w:w="2973" w:type="dxa"/>
            <w:gridSpan w:val="3"/>
            <w:tcBorders>
              <w:top w:val="nil"/>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4.0</w:t>
            </w:r>
          </w:p>
        </w:tc>
        <w:tc>
          <w:tcPr>
            <w:tcW w:w="2693" w:type="dxa"/>
            <w:gridSpan w:val="3"/>
            <w:tcBorders>
              <w:top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0.27</w:t>
            </w:r>
          </w:p>
        </w:tc>
      </w:tr>
      <w:tr w:rsidR="00BA2955" w:rsidRPr="000D2B3E" w:rsidTr="00D858D9">
        <w:trPr>
          <w:jc w:val="center"/>
        </w:trPr>
        <w:tc>
          <w:tcPr>
            <w:tcW w:w="1404"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NAN 1</w:t>
            </w:r>
          </w:p>
        </w:tc>
        <w:tc>
          <w:tcPr>
            <w:tcW w:w="2697" w:type="dxa"/>
            <w:gridSpan w:val="3"/>
            <w:tcBorders>
              <w:top w:val="nil"/>
              <w:left w:val="nil"/>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5.4</w:t>
            </w:r>
          </w:p>
        </w:tc>
        <w:tc>
          <w:tcPr>
            <w:tcW w:w="2973" w:type="dxa"/>
            <w:gridSpan w:val="3"/>
            <w:tcBorders>
              <w:top w:val="nil"/>
              <w:bottom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5.2</w:t>
            </w:r>
          </w:p>
        </w:tc>
        <w:tc>
          <w:tcPr>
            <w:tcW w:w="2693" w:type="dxa"/>
            <w:gridSpan w:val="3"/>
            <w:tcBorders>
              <w:top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0.40</w:t>
            </w:r>
          </w:p>
        </w:tc>
      </w:tr>
      <w:tr w:rsidR="00BA2955" w:rsidRPr="000D2B3E" w:rsidTr="00D858D9">
        <w:trPr>
          <w:jc w:val="center"/>
        </w:trPr>
        <w:tc>
          <w:tcPr>
            <w:tcW w:w="1404"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Impamil</w:t>
            </w:r>
            <w:r w:rsidRPr="000D2B3E">
              <w:rPr>
                <w:rFonts w:ascii="Times New Roman" w:hAnsi="Times New Roman" w:cs="Times New Roman"/>
                <w:sz w:val="24"/>
                <w:szCs w:val="24"/>
                <w:vertAlign w:val="superscript"/>
              </w:rPr>
              <w:t>®</w:t>
            </w:r>
            <w:r w:rsidR="00D305B0" w:rsidRPr="000D2B3E">
              <w:rPr>
                <w:rFonts w:ascii="Times New Roman" w:hAnsi="Times New Roman" w:cs="Times New Roman"/>
                <w:sz w:val="24"/>
                <w:szCs w:val="24"/>
              </w:rPr>
              <w:t>Mil1</w:t>
            </w:r>
          </w:p>
        </w:tc>
        <w:tc>
          <w:tcPr>
            <w:tcW w:w="2697" w:type="dxa"/>
            <w:gridSpan w:val="3"/>
            <w:tcBorders>
              <w:top w:val="nil"/>
              <w:left w:val="nil"/>
              <w:bottom w:val="single" w:sz="12" w:space="0" w:color="000000" w:themeColor="text1"/>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4.3</w:t>
            </w:r>
          </w:p>
        </w:tc>
        <w:tc>
          <w:tcPr>
            <w:tcW w:w="2973" w:type="dxa"/>
            <w:gridSpan w:val="3"/>
            <w:tcBorders>
              <w:top w:val="nil"/>
              <w:bottom w:val="single" w:sz="12" w:space="0" w:color="000000" w:themeColor="text1"/>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3.6</w:t>
            </w:r>
          </w:p>
        </w:tc>
        <w:tc>
          <w:tcPr>
            <w:tcW w:w="2693" w:type="dxa"/>
            <w:gridSpan w:val="3"/>
            <w:tcBorders>
              <w:top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0.36</w:t>
            </w:r>
          </w:p>
        </w:tc>
      </w:tr>
    </w:tbl>
    <w:p w:rsidR="00BA2955" w:rsidRDefault="00BA2955" w:rsidP="00606E89">
      <w:pPr>
        <w:autoSpaceDE w:val="0"/>
        <w:autoSpaceDN w:val="0"/>
        <w:adjustRightInd w:val="0"/>
        <w:spacing w:before="120" w:after="0" w:line="360" w:lineRule="auto"/>
        <w:jc w:val="both"/>
        <w:rPr>
          <w:rFonts w:ascii="Times New Roman" w:hAnsi="Times New Roman" w:cs="Times New Roman"/>
          <w:b/>
          <w:sz w:val="24"/>
          <w:szCs w:val="24"/>
        </w:rPr>
      </w:pPr>
    </w:p>
    <w:p w:rsidR="00BA2955" w:rsidRPr="000D2B3E" w:rsidRDefault="00BA2955" w:rsidP="00606E89">
      <w:pPr>
        <w:autoSpaceDE w:val="0"/>
        <w:autoSpaceDN w:val="0"/>
        <w:adjustRightInd w:val="0"/>
        <w:spacing w:after="0" w:line="360" w:lineRule="auto"/>
        <w:jc w:val="center"/>
        <w:rPr>
          <w:rFonts w:ascii="Times New Roman" w:hAnsi="Times New Roman" w:cs="Times New Roman"/>
          <w:sz w:val="24"/>
          <w:szCs w:val="24"/>
        </w:rPr>
      </w:pPr>
      <w:proofErr w:type="gramStart"/>
      <w:r w:rsidRPr="000D2B3E">
        <w:rPr>
          <w:rFonts w:ascii="Times New Roman" w:hAnsi="Times New Roman" w:cs="Times New Roman"/>
          <w:b/>
          <w:sz w:val="24"/>
          <w:szCs w:val="24"/>
        </w:rPr>
        <w:t>Table 3</w:t>
      </w:r>
      <w:r w:rsidR="00606E89" w:rsidRPr="000D2B3E">
        <w:rPr>
          <w:rFonts w:ascii="Times New Roman" w:hAnsi="Times New Roman" w:cs="Times New Roman"/>
          <w:b/>
          <w:sz w:val="24"/>
          <w:szCs w:val="24"/>
        </w:rPr>
        <w:t>.</w:t>
      </w:r>
      <w:proofErr w:type="gramEnd"/>
      <w:r w:rsidRPr="000D2B3E">
        <w:rPr>
          <w:rFonts w:ascii="Times New Roman" w:hAnsi="Times New Roman" w:cs="Times New Roman"/>
          <w:b/>
          <w:sz w:val="24"/>
          <w:szCs w:val="24"/>
        </w:rPr>
        <w:t xml:space="preserve"> </w:t>
      </w:r>
      <w:r w:rsidRPr="000D2B3E">
        <w:rPr>
          <w:rFonts w:ascii="Times New Roman" w:hAnsi="Times New Roman" w:cs="Times New Roman"/>
          <w:color w:val="131413"/>
          <w:sz w:val="24"/>
          <w:szCs w:val="24"/>
        </w:rPr>
        <w:t>Recoveries of added (10 and 50 µg/L) Zn, Fe and Cu in milk samples from</w:t>
      </w:r>
      <w:r w:rsidR="00606E89" w:rsidRPr="000D2B3E">
        <w:rPr>
          <w:rFonts w:ascii="Times New Roman" w:hAnsi="Times New Roman" w:cs="Times New Roman"/>
          <w:color w:val="131413"/>
          <w:sz w:val="24"/>
          <w:szCs w:val="24"/>
        </w:rPr>
        <w:t xml:space="preserve"> </w:t>
      </w:r>
      <w:r w:rsidRPr="000D2B3E">
        <w:rPr>
          <w:rFonts w:ascii="Times New Roman" w:hAnsi="Times New Roman" w:cs="Times New Roman"/>
          <w:color w:val="131413"/>
          <w:sz w:val="24"/>
          <w:szCs w:val="24"/>
        </w:rPr>
        <w:t>lactating mothers</w:t>
      </w:r>
    </w:p>
    <w:tbl>
      <w:tblPr>
        <w:tblStyle w:val="TableGrid"/>
        <w:tblW w:w="2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956"/>
        <w:gridCol w:w="923"/>
      </w:tblGrid>
      <w:tr w:rsidR="00BA2955" w:rsidRPr="000D2B3E" w:rsidTr="003C6894">
        <w:trPr>
          <w:jc w:val="center"/>
        </w:trPr>
        <w:tc>
          <w:tcPr>
            <w:tcW w:w="1070" w:type="dxa"/>
            <w:tcBorders>
              <w:top w:val="single" w:sz="12" w:space="0" w:color="auto"/>
              <w:bottom w:val="single" w:sz="12" w:space="0" w:color="auto"/>
            </w:tcBorders>
            <w:vAlign w:val="center"/>
          </w:tcPr>
          <w:p w:rsidR="00BA2955" w:rsidRPr="00D858D9" w:rsidRDefault="00BA2955" w:rsidP="003C6894">
            <w:pPr>
              <w:autoSpaceDE w:val="0"/>
              <w:autoSpaceDN w:val="0"/>
              <w:adjustRightInd w:val="0"/>
              <w:spacing w:line="360" w:lineRule="auto"/>
              <w:jc w:val="center"/>
              <w:rPr>
                <w:rFonts w:ascii="Times New Roman" w:hAnsi="Times New Roman" w:cs="Times New Roman"/>
                <w:b/>
                <w:sz w:val="24"/>
                <w:szCs w:val="24"/>
              </w:rPr>
            </w:pPr>
            <w:r w:rsidRPr="00D858D9">
              <w:rPr>
                <w:rFonts w:ascii="Times New Roman" w:hAnsi="Times New Roman" w:cs="Times New Roman"/>
                <w:b/>
                <w:sz w:val="24"/>
                <w:szCs w:val="24"/>
              </w:rPr>
              <w:t>Element</w:t>
            </w:r>
          </w:p>
        </w:tc>
        <w:tc>
          <w:tcPr>
            <w:tcW w:w="972" w:type="dxa"/>
            <w:tcBorders>
              <w:top w:val="single" w:sz="12" w:space="0" w:color="auto"/>
              <w:bottom w:val="single" w:sz="12" w:space="0" w:color="auto"/>
            </w:tcBorders>
            <w:vAlign w:val="center"/>
          </w:tcPr>
          <w:p w:rsidR="00BA2955" w:rsidRPr="00D858D9" w:rsidRDefault="00BA2955" w:rsidP="003C6894">
            <w:pPr>
              <w:autoSpaceDE w:val="0"/>
              <w:autoSpaceDN w:val="0"/>
              <w:adjustRightInd w:val="0"/>
              <w:spacing w:line="360" w:lineRule="auto"/>
              <w:jc w:val="center"/>
              <w:rPr>
                <w:rFonts w:ascii="Times New Roman" w:hAnsi="Times New Roman" w:cs="Times New Roman"/>
                <w:b/>
                <w:sz w:val="24"/>
                <w:szCs w:val="24"/>
              </w:rPr>
            </w:pPr>
            <w:r w:rsidRPr="00D858D9">
              <w:rPr>
                <w:rFonts w:ascii="Times New Roman" w:hAnsi="Times New Roman" w:cs="Times New Roman"/>
                <w:b/>
                <w:sz w:val="24"/>
                <w:szCs w:val="24"/>
              </w:rPr>
              <w:t>Min %</w:t>
            </w:r>
          </w:p>
        </w:tc>
        <w:tc>
          <w:tcPr>
            <w:tcW w:w="907" w:type="dxa"/>
            <w:tcBorders>
              <w:top w:val="single" w:sz="12" w:space="0" w:color="auto"/>
              <w:bottom w:val="single" w:sz="12" w:space="0" w:color="auto"/>
            </w:tcBorders>
            <w:vAlign w:val="center"/>
          </w:tcPr>
          <w:p w:rsidR="00BA2955" w:rsidRPr="00D858D9" w:rsidRDefault="00BA2955" w:rsidP="003C6894">
            <w:pPr>
              <w:autoSpaceDE w:val="0"/>
              <w:autoSpaceDN w:val="0"/>
              <w:adjustRightInd w:val="0"/>
              <w:spacing w:line="360" w:lineRule="auto"/>
              <w:jc w:val="center"/>
              <w:rPr>
                <w:rFonts w:ascii="Times New Roman" w:hAnsi="Times New Roman" w:cs="Times New Roman"/>
                <w:b/>
                <w:sz w:val="24"/>
                <w:szCs w:val="24"/>
              </w:rPr>
            </w:pPr>
            <w:r w:rsidRPr="00D858D9">
              <w:rPr>
                <w:rFonts w:ascii="Times New Roman" w:hAnsi="Times New Roman" w:cs="Times New Roman"/>
                <w:b/>
                <w:sz w:val="24"/>
                <w:szCs w:val="24"/>
              </w:rPr>
              <w:t>Max%</w:t>
            </w:r>
          </w:p>
        </w:tc>
      </w:tr>
      <w:tr w:rsidR="00BA2955" w:rsidRPr="000D2B3E" w:rsidTr="003C6894">
        <w:trPr>
          <w:jc w:val="center"/>
        </w:trPr>
        <w:tc>
          <w:tcPr>
            <w:tcW w:w="1070" w:type="dxa"/>
            <w:tcBorders>
              <w:top w:val="single" w:sz="12" w:space="0" w:color="auto"/>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Zn</w:t>
            </w:r>
          </w:p>
        </w:tc>
        <w:tc>
          <w:tcPr>
            <w:tcW w:w="972" w:type="dxa"/>
            <w:tcBorders>
              <w:top w:val="single" w:sz="12" w:space="0" w:color="auto"/>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85</w:t>
            </w:r>
          </w:p>
        </w:tc>
        <w:tc>
          <w:tcPr>
            <w:tcW w:w="907" w:type="dxa"/>
            <w:tcBorders>
              <w:top w:val="single" w:sz="12" w:space="0" w:color="auto"/>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94</w:t>
            </w:r>
          </w:p>
        </w:tc>
      </w:tr>
      <w:tr w:rsidR="00BA2955" w:rsidRPr="000D2B3E" w:rsidTr="003C6894">
        <w:trPr>
          <w:jc w:val="center"/>
        </w:trPr>
        <w:tc>
          <w:tcPr>
            <w:tcW w:w="1070" w:type="dxa"/>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Fe</w:t>
            </w:r>
          </w:p>
        </w:tc>
        <w:tc>
          <w:tcPr>
            <w:tcW w:w="972" w:type="dxa"/>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97.3</w:t>
            </w:r>
          </w:p>
        </w:tc>
        <w:tc>
          <w:tcPr>
            <w:tcW w:w="907" w:type="dxa"/>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103.3</w:t>
            </w:r>
          </w:p>
        </w:tc>
      </w:tr>
      <w:tr w:rsidR="00BA2955" w:rsidRPr="000D2B3E" w:rsidTr="003C6894">
        <w:trPr>
          <w:jc w:val="center"/>
        </w:trPr>
        <w:tc>
          <w:tcPr>
            <w:tcW w:w="1070" w:type="dxa"/>
            <w:tcBorders>
              <w:bottom w:val="single" w:sz="12" w:space="0" w:color="auto"/>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Cu</w:t>
            </w:r>
          </w:p>
        </w:tc>
        <w:tc>
          <w:tcPr>
            <w:tcW w:w="972" w:type="dxa"/>
            <w:tcBorders>
              <w:bottom w:val="single" w:sz="12" w:space="0" w:color="auto"/>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90</w:t>
            </w:r>
          </w:p>
        </w:tc>
        <w:tc>
          <w:tcPr>
            <w:tcW w:w="907" w:type="dxa"/>
            <w:tcBorders>
              <w:bottom w:val="single" w:sz="12" w:space="0" w:color="auto"/>
            </w:tcBorders>
            <w:vAlign w:val="center"/>
          </w:tcPr>
          <w:p w:rsidR="00BA2955" w:rsidRPr="000D2B3E" w:rsidRDefault="00BA2955" w:rsidP="003C6894">
            <w:pPr>
              <w:autoSpaceDE w:val="0"/>
              <w:autoSpaceDN w:val="0"/>
              <w:adjustRightInd w:val="0"/>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102</w:t>
            </w:r>
          </w:p>
        </w:tc>
      </w:tr>
    </w:tbl>
    <w:p w:rsidR="00BA2955" w:rsidRPr="000D2B3E" w:rsidRDefault="00BA2955" w:rsidP="00606E89">
      <w:pPr>
        <w:autoSpaceDE w:val="0"/>
        <w:autoSpaceDN w:val="0"/>
        <w:adjustRightInd w:val="0"/>
        <w:spacing w:before="120" w:after="0" w:line="360" w:lineRule="auto"/>
        <w:jc w:val="both"/>
        <w:rPr>
          <w:rFonts w:ascii="Times New Roman" w:hAnsi="Times New Roman" w:cs="Times New Roman"/>
          <w:sz w:val="24"/>
          <w:szCs w:val="24"/>
        </w:rPr>
      </w:pPr>
    </w:p>
    <w:p w:rsidR="00BA2955" w:rsidRPr="000D2B3E" w:rsidRDefault="00BA2955" w:rsidP="000D2B3E">
      <w:pPr>
        <w:pStyle w:val="ListParagraph"/>
        <w:numPr>
          <w:ilvl w:val="1"/>
          <w:numId w:val="13"/>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Limits of Detection</w:t>
      </w:r>
    </w:p>
    <w:p w:rsidR="00BA2955" w:rsidRDefault="00BA2955" w:rsidP="00606E89">
      <w:pPr>
        <w:autoSpaceDE w:val="0"/>
        <w:autoSpaceDN w:val="0"/>
        <w:adjustRightInd w:val="0"/>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 xml:space="preserve">The limits of detection (3σ/S) and quantification (10σ/S) are 1.5 and 5 </w:t>
      </w:r>
      <w:proofErr w:type="spellStart"/>
      <w:r w:rsidRPr="000D2B3E">
        <w:rPr>
          <w:rFonts w:ascii="Times New Roman" w:hAnsi="Times New Roman" w:cs="Times New Roman"/>
          <w:sz w:val="24"/>
          <w:szCs w:val="24"/>
        </w:rPr>
        <w:t>μg</w:t>
      </w:r>
      <w:proofErr w:type="spellEnd"/>
      <w:r w:rsidRPr="000D2B3E">
        <w:rPr>
          <w:rFonts w:ascii="Times New Roman" w:hAnsi="Times New Roman" w:cs="Times New Roman"/>
          <w:sz w:val="24"/>
          <w:szCs w:val="24"/>
        </w:rPr>
        <w:t xml:space="preserve"> L</w:t>
      </w:r>
      <w:r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xml:space="preserve"> for Zn and Cu and 3 and 10μg L</w:t>
      </w:r>
      <w:r w:rsidRPr="000D2B3E">
        <w:rPr>
          <w:rFonts w:ascii="Times New Roman" w:hAnsi="Times New Roman" w:cs="Times New Roman"/>
          <w:sz w:val="24"/>
          <w:szCs w:val="24"/>
          <w:vertAlign w:val="superscript"/>
        </w:rPr>
        <w:t>-1</w:t>
      </w:r>
      <w:r w:rsidRPr="000D2B3E">
        <w:rPr>
          <w:rFonts w:ascii="Times New Roman" w:hAnsi="Times New Roman" w:cs="Times New Roman"/>
          <w:sz w:val="24"/>
          <w:szCs w:val="24"/>
        </w:rPr>
        <w:t xml:space="preserve"> for Fe respectively. According to International Union of Pure and Applied Chemistry </w:t>
      </w:r>
      <w:r w:rsidRPr="000D2B3E">
        <w:rPr>
          <w:rFonts w:ascii="Times New Roman" w:hAnsi="Times New Roman" w:cs="Times New Roman"/>
          <w:sz w:val="24"/>
          <w:szCs w:val="24"/>
        </w:rPr>
        <w:lastRenderedPageBreak/>
        <w:t xml:space="preserve">(IUPAC) recommendations, detection and quantification limits were calculated where σ is the standard deviation (SD) of the calibration blank (n = 10) and S is the slope of the analytical curve. </w:t>
      </w:r>
    </w:p>
    <w:p w:rsidR="003C6894" w:rsidRPr="000D2B3E" w:rsidRDefault="003C6894" w:rsidP="00606E89">
      <w:pPr>
        <w:autoSpaceDE w:val="0"/>
        <w:autoSpaceDN w:val="0"/>
        <w:adjustRightInd w:val="0"/>
        <w:spacing w:before="120" w:after="0" w:line="360" w:lineRule="auto"/>
        <w:jc w:val="both"/>
        <w:rPr>
          <w:rFonts w:ascii="Times New Roman" w:hAnsi="Times New Roman" w:cs="Times New Roman"/>
          <w:sz w:val="24"/>
          <w:szCs w:val="24"/>
        </w:rPr>
      </w:pPr>
    </w:p>
    <w:p w:rsidR="00BA2955" w:rsidRPr="000D2B3E" w:rsidRDefault="00BA2955" w:rsidP="000D2B3E">
      <w:pPr>
        <w:pStyle w:val="ListParagraph"/>
        <w:numPr>
          <w:ilvl w:val="1"/>
          <w:numId w:val="13"/>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Clinical sample detection</w:t>
      </w:r>
    </w:p>
    <w:p w:rsidR="00BA2955" w:rsidRDefault="00BA2955" w:rsidP="00606E89">
      <w:pPr>
        <w:spacing w:before="120" w:line="360" w:lineRule="auto"/>
        <w:jc w:val="both"/>
        <w:rPr>
          <w:rFonts w:ascii="Times New Roman" w:hAnsi="Times New Roman" w:cs="Times New Roman"/>
          <w:sz w:val="24"/>
          <w:szCs w:val="24"/>
        </w:rPr>
      </w:pPr>
      <w:r w:rsidRPr="000D2B3E">
        <w:rPr>
          <w:rFonts w:ascii="Times New Roman" w:hAnsi="Times New Roman" w:cs="Times New Roman"/>
          <w:sz w:val="24"/>
          <w:szCs w:val="24"/>
        </w:rPr>
        <w:t xml:space="preserve">After method validation 28 human milk samples </w:t>
      </w:r>
      <w:r w:rsidR="000F5B26">
        <w:rPr>
          <w:rFonts w:ascii="Times New Roman" w:hAnsi="Times New Roman" w:cs="Times New Roman"/>
          <w:sz w:val="24"/>
          <w:szCs w:val="24"/>
        </w:rPr>
        <w:t xml:space="preserve">on a first day after delivery </w:t>
      </w:r>
      <w:r w:rsidRPr="000D2B3E">
        <w:rPr>
          <w:rFonts w:ascii="Times New Roman" w:hAnsi="Times New Roman" w:cs="Times New Roman"/>
          <w:sz w:val="24"/>
          <w:szCs w:val="24"/>
        </w:rPr>
        <w:t>were analyzed for Zn and Cu content by ICP-OES while Fe concentration was measured by AAS. Statistical data were obtained using SPSS statistical software 17.0 version. For evaluation of correlation concentration coefficient for Zn, Fe and Cu in human milk samples it was used Pearson´s correlation coefficient. Descrip</w:t>
      </w:r>
      <w:r w:rsidR="001F3D63">
        <w:rPr>
          <w:rFonts w:ascii="Times New Roman" w:hAnsi="Times New Roman" w:cs="Times New Roman"/>
          <w:sz w:val="24"/>
          <w:szCs w:val="24"/>
        </w:rPr>
        <w:t xml:space="preserve">tive analysis is showed in </w:t>
      </w:r>
      <w:r w:rsidR="00D858D9">
        <w:rPr>
          <w:rFonts w:ascii="Times New Roman" w:hAnsi="Times New Roman" w:cs="Times New Roman"/>
          <w:sz w:val="24"/>
          <w:szCs w:val="24"/>
        </w:rPr>
        <w:t>Table</w:t>
      </w:r>
      <w:r w:rsidRPr="000D2B3E">
        <w:rPr>
          <w:rFonts w:ascii="Times New Roman" w:hAnsi="Times New Roman" w:cs="Times New Roman"/>
          <w:sz w:val="24"/>
          <w:szCs w:val="24"/>
        </w:rPr>
        <w:t xml:space="preserve"> 4, while concentration correlation between Zn, Fe and Cu in Table 5.</w:t>
      </w:r>
    </w:p>
    <w:p w:rsidR="003C6894" w:rsidRPr="000D2B3E" w:rsidRDefault="003C6894" w:rsidP="00606E89">
      <w:pPr>
        <w:spacing w:before="120" w:line="360" w:lineRule="auto"/>
        <w:jc w:val="both"/>
        <w:rPr>
          <w:rFonts w:ascii="Times New Roman" w:hAnsi="Times New Roman" w:cs="Times New Roman"/>
          <w:sz w:val="24"/>
          <w:szCs w:val="24"/>
        </w:rPr>
      </w:pPr>
    </w:p>
    <w:p w:rsidR="00BA2955" w:rsidRPr="000D2B3E" w:rsidRDefault="00BA2955" w:rsidP="00606E89">
      <w:pPr>
        <w:spacing w:before="120" w:line="360" w:lineRule="auto"/>
        <w:jc w:val="center"/>
        <w:rPr>
          <w:rFonts w:ascii="Times New Roman" w:hAnsi="Times New Roman" w:cs="Times New Roman"/>
          <w:sz w:val="24"/>
          <w:szCs w:val="24"/>
        </w:rPr>
      </w:pPr>
      <w:proofErr w:type="gramStart"/>
      <w:r w:rsidRPr="000D2B3E">
        <w:rPr>
          <w:rFonts w:ascii="Times New Roman" w:hAnsi="Times New Roman" w:cs="Times New Roman"/>
          <w:b/>
          <w:sz w:val="24"/>
          <w:szCs w:val="24"/>
        </w:rPr>
        <w:t>Table 4</w:t>
      </w:r>
      <w:r w:rsidR="00606E89" w:rsidRPr="000D2B3E">
        <w:rPr>
          <w:rFonts w:ascii="Times New Roman" w:hAnsi="Times New Roman" w:cs="Times New Roman"/>
          <w:b/>
          <w:sz w:val="24"/>
          <w:szCs w:val="24"/>
        </w:rPr>
        <w:t>.</w:t>
      </w:r>
      <w:proofErr w:type="gramEnd"/>
      <w:r w:rsidR="00606E89" w:rsidRPr="000D2B3E">
        <w:rPr>
          <w:rFonts w:ascii="Times New Roman" w:hAnsi="Times New Roman" w:cs="Times New Roman"/>
          <w:b/>
          <w:sz w:val="24"/>
          <w:szCs w:val="24"/>
        </w:rPr>
        <w:t xml:space="preserve"> </w:t>
      </w:r>
      <w:r w:rsidRPr="000D2B3E">
        <w:rPr>
          <w:rFonts w:ascii="Times New Roman" w:hAnsi="Times New Roman" w:cs="Times New Roman"/>
          <w:sz w:val="24"/>
          <w:szCs w:val="24"/>
        </w:rPr>
        <w:t xml:space="preserve"> Descriptive analysis of for Zn, Fe and Cu in human milk samples</w:t>
      </w:r>
    </w:p>
    <w:tbl>
      <w:tblPr>
        <w:tblStyle w:val="TableGrid"/>
        <w:tblW w:w="4820" w:type="dxa"/>
        <w:jc w:val="center"/>
        <w:tblLook w:val="04A0" w:firstRow="1" w:lastRow="0" w:firstColumn="1" w:lastColumn="0" w:noHBand="0" w:noVBand="1"/>
      </w:tblPr>
      <w:tblGrid>
        <w:gridCol w:w="1251"/>
        <w:gridCol w:w="1042"/>
        <w:gridCol w:w="1066"/>
        <w:gridCol w:w="1461"/>
      </w:tblGrid>
      <w:tr w:rsidR="00BA2955" w:rsidRPr="000D2B3E" w:rsidTr="003C6894">
        <w:trPr>
          <w:jc w:val="center"/>
        </w:trPr>
        <w:tc>
          <w:tcPr>
            <w:tcW w:w="1251" w:type="dxa"/>
            <w:vMerge w:val="restart"/>
            <w:tcBorders>
              <w:top w:val="single" w:sz="12" w:space="0" w:color="000000" w:themeColor="text1"/>
              <w:left w:val="nil"/>
              <w:bottom w:val="single" w:sz="4" w:space="0" w:color="auto"/>
              <w:right w:val="nil"/>
            </w:tcBorders>
            <w:vAlign w:val="center"/>
          </w:tcPr>
          <w:p w:rsidR="00BA2955" w:rsidRPr="003C6894" w:rsidRDefault="00BA2955" w:rsidP="003C6894">
            <w:pPr>
              <w:spacing w:line="360" w:lineRule="auto"/>
              <w:jc w:val="center"/>
              <w:rPr>
                <w:rFonts w:ascii="Times New Roman" w:hAnsi="Times New Roman" w:cs="Times New Roman"/>
                <w:b/>
                <w:sz w:val="24"/>
                <w:szCs w:val="24"/>
              </w:rPr>
            </w:pPr>
            <w:r w:rsidRPr="003C6894">
              <w:rPr>
                <w:rFonts w:ascii="Times New Roman" w:hAnsi="Times New Roman" w:cs="Times New Roman"/>
                <w:b/>
                <w:sz w:val="24"/>
                <w:szCs w:val="24"/>
              </w:rPr>
              <w:t>Element</w:t>
            </w:r>
          </w:p>
        </w:tc>
        <w:tc>
          <w:tcPr>
            <w:tcW w:w="3569" w:type="dxa"/>
            <w:gridSpan w:val="3"/>
            <w:tcBorders>
              <w:top w:val="single" w:sz="12" w:space="0" w:color="000000" w:themeColor="text1"/>
              <w:left w:val="nil"/>
              <w:bottom w:val="single" w:sz="12" w:space="0" w:color="000000" w:themeColor="text1"/>
              <w:right w:val="nil"/>
            </w:tcBorders>
            <w:vAlign w:val="center"/>
          </w:tcPr>
          <w:p w:rsidR="00BA2955" w:rsidRPr="003C6894" w:rsidRDefault="003C6894" w:rsidP="003C689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Concentration, (mg L</w:t>
            </w:r>
            <w:r>
              <w:rPr>
                <w:rFonts w:ascii="Times New Roman" w:hAnsi="Times New Roman" w:cs="Times New Roman"/>
                <w:b/>
                <w:sz w:val="24"/>
                <w:szCs w:val="24"/>
                <w:vertAlign w:val="superscript"/>
              </w:rPr>
              <w:t>-1</w:t>
            </w:r>
            <w:r w:rsidR="00BA2955" w:rsidRPr="003C6894">
              <w:rPr>
                <w:rFonts w:ascii="Times New Roman" w:hAnsi="Times New Roman" w:cs="Times New Roman"/>
                <w:b/>
                <w:sz w:val="24"/>
                <w:szCs w:val="24"/>
              </w:rPr>
              <w:t>)</w:t>
            </w:r>
          </w:p>
        </w:tc>
      </w:tr>
      <w:tr w:rsidR="00BA2955" w:rsidRPr="000D2B3E" w:rsidTr="003C6894">
        <w:trPr>
          <w:jc w:val="center"/>
        </w:trPr>
        <w:tc>
          <w:tcPr>
            <w:tcW w:w="1251" w:type="dxa"/>
            <w:vMerge/>
            <w:tcBorders>
              <w:top w:val="nil"/>
              <w:left w:val="nil"/>
              <w:bottom w:val="single" w:sz="12" w:space="0" w:color="000000" w:themeColor="text1"/>
              <w:right w:val="nil"/>
            </w:tcBorders>
            <w:vAlign w:val="center"/>
          </w:tcPr>
          <w:p w:rsidR="00BA2955" w:rsidRPr="003C6894" w:rsidRDefault="00BA2955" w:rsidP="003C6894">
            <w:pPr>
              <w:spacing w:line="360" w:lineRule="auto"/>
              <w:jc w:val="center"/>
              <w:rPr>
                <w:rFonts w:ascii="Times New Roman" w:hAnsi="Times New Roman" w:cs="Times New Roman"/>
                <w:b/>
                <w:sz w:val="24"/>
                <w:szCs w:val="24"/>
              </w:rPr>
            </w:pPr>
          </w:p>
        </w:tc>
        <w:tc>
          <w:tcPr>
            <w:tcW w:w="1042" w:type="dxa"/>
            <w:tcBorders>
              <w:top w:val="single" w:sz="12" w:space="0" w:color="000000" w:themeColor="text1"/>
              <w:left w:val="nil"/>
              <w:bottom w:val="single" w:sz="12" w:space="0" w:color="000000" w:themeColor="text1"/>
              <w:right w:val="nil"/>
            </w:tcBorders>
            <w:vAlign w:val="center"/>
          </w:tcPr>
          <w:p w:rsidR="00BA2955" w:rsidRPr="003C6894" w:rsidRDefault="00BA2955" w:rsidP="003C6894">
            <w:pPr>
              <w:spacing w:line="360" w:lineRule="auto"/>
              <w:jc w:val="center"/>
              <w:rPr>
                <w:rFonts w:ascii="Times New Roman" w:hAnsi="Times New Roman" w:cs="Times New Roman"/>
                <w:b/>
                <w:sz w:val="24"/>
                <w:szCs w:val="24"/>
              </w:rPr>
            </w:pPr>
            <w:r w:rsidRPr="003C6894">
              <w:rPr>
                <w:rFonts w:ascii="Times New Roman" w:hAnsi="Times New Roman" w:cs="Times New Roman"/>
                <w:b/>
                <w:sz w:val="24"/>
                <w:szCs w:val="24"/>
              </w:rPr>
              <w:t>Min.</w:t>
            </w:r>
          </w:p>
        </w:tc>
        <w:tc>
          <w:tcPr>
            <w:tcW w:w="1066" w:type="dxa"/>
            <w:tcBorders>
              <w:top w:val="single" w:sz="12" w:space="0" w:color="000000" w:themeColor="text1"/>
              <w:left w:val="nil"/>
              <w:bottom w:val="single" w:sz="12" w:space="0" w:color="000000" w:themeColor="text1"/>
              <w:right w:val="nil"/>
            </w:tcBorders>
            <w:vAlign w:val="center"/>
          </w:tcPr>
          <w:p w:rsidR="00BA2955" w:rsidRPr="003C6894" w:rsidRDefault="00BA2955" w:rsidP="003C6894">
            <w:pPr>
              <w:spacing w:line="360" w:lineRule="auto"/>
              <w:jc w:val="center"/>
              <w:rPr>
                <w:rFonts w:ascii="Times New Roman" w:hAnsi="Times New Roman" w:cs="Times New Roman"/>
                <w:b/>
                <w:sz w:val="24"/>
                <w:szCs w:val="24"/>
              </w:rPr>
            </w:pPr>
            <w:r w:rsidRPr="003C6894">
              <w:rPr>
                <w:rFonts w:ascii="Times New Roman" w:hAnsi="Times New Roman" w:cs="Times New Roman"/>
                <w:b/>
                <w:sz w:val="24"/>
                <w:szCs w:val="24"/>
              </w:rPr>
              <w:t>Max.</w:t>
            </w:r>
          </w:p>
        </w:tc>
        <w:tc>
          <w:tcPr>
            <w:tcW w:w="1461" w:type="dxa"/>
            <w:tcBorders>
              <w:top w:val="single" w:sz="12" w:space="0" w:color="000000" w:themeColor="text1"/>
              <w:left w:val="nil"/>
              <w:bottom w:val="single" w:sz="12" w:space="0" w:color="000000" w:themeColor="text1"/>
              <w:right w:val="nil"/>
            </w:tcBorders>
            <w:vAlign w:val="center"/>
          </w:tcPr>
          <w:p w:rsidR="00BA2955" w:rsidRPr="003C6894" w:rsidRDefault="00BA2955" w:rsidP="003C6894">
            <w:pPr>
              <w:spacing w:line="360" w:lineRule="auto"/>
              <w:jc w:val="center"/>
              <w:rPr>
                <w:rFonts w:ascii="Times New Roman" w:hAnsi="Times New Roman" w:cs="Times New Roman"/>
                <w:b/>
                <w:sz w:val="24"/>
                <w:szCs w:val="24"/>
              </w:rPr>
            </w:pPr>
            <w:r w:rsidRPr="003C6894">
              <w:rPr>
                <w:rFonts w:ascii="Times New Roman" w:hAnsi="Times New Roman" w:cs="Times New Roman"/>
                <w:b/>
                <w:sz w:val="24"/>
                <w:szCs w:val="24"/>
              </w:rPr>
              <w:t>Mean± SD</w:t>
            </w:r>
          </w:p>
        </w:tc>
      </w:tr>
      <w:tr w:rsidR="00BA2955" w:rsidRPr="000D2B3E" w:rsidTr="003C6894">
        <w:trPr>
          <w:jc w:val="center"/>
        </w:trPr>
        <w:tc>
          <w:tcPr>
            <w:tcW w:w="1251"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Zn</w:t>
            </w:r>
          </w:p>
        </w:tc>
        <w:tc>
          <w:tcPr>
            <w:tcW w:w="1042"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2.22</w:t>
            </w:r>
          </w:p>
        </w:tc>
        <w:tc>
          <w:tcPr>
            <w:tcW w:w="1066"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9.91</w:t>
            </w:r>
          </w:p>
        </w:tc>
        <w:tc>
          <w:tcPr>
            <w:tcW w:w="1461"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5.35 ± 2,15</w:t>
            </w:r>
          </w:p>
        </w:tc>
      </w:tr>
      <w:tr w:rsidR="00BA2955" w:rsidRPr="000D2B3E" w:rsidTr="003C6894">
        <w:trPr>
          <w:jc w:val="center"/>
        </w:trPr>
        <w:tc>
          <w:tcPr>
            <w:tcW w:w="1251"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Fe</w:t>
            </w:r>
          </w:p>
        </w:tc>
        <w:tc>
          <w:tcPr>
            <w:tcW w:w="1042"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0.32</w:t>
            </w:r>
          </w:p>
        </w:tc>
        <w:tc>
          <w:tcPr>
            <w:tcW w:w="1066"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5.50</w:t>
            </w:r>
          </w:p>
        </w:tc>
        <w:tc>
          <w:tcPr>
            <w:tcW w:w="1461"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0.83 ± 0,99</w:t>
            </w:r>
          </w:p>
        </w:tc>
      </w:tr>
      <w:tr w:rsidR="00BA2955" w:rsidRPr="000D2B3E" w:rsidTr="003C6894">
        <w:trPr>
          <w:jc w:val="center"/>
        </w:trPr>
        <w:tc>
          <w:tcPr>
            <w:tcW w:w="1251"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Cu</w:t>
            </w:r>
          </w:p>
        </w:tc>
        <w:tc>
          <w:tcPr>
            <w:tcW w:w="1042"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0.12</w:t>
            </w:r>
          </w:p>
        </w:tc>
        <w:tc>
          <w:tcPr>
            <w:tcW w:w="1066"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0.92</w:t>
            </w:r>
          </w:p>
        </w:tc>
        <w:tc>
          <w:tcPr>
            <w:tcW w:w="1461"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0.47 ± 0,20</w:t>
            </w:r>
          </w:p>
        </w:tc>
      </w:tr>
      <w:tr w:rsidR="00BA2955" w:rsidRPr="000D2B3E" w:rsidTr="003C6894">
        <w:trPr>
          <w:jc w:val="center"/>
        </w:trPr>
        <w:tc>
          <w:tcPr>
            <w:tcW w:w="1251" w:type="dxa"/>
            <w:tcBorders>
              <w:top w:val="single" w:sz="12" w:space="0" w:color="000000" w:themeColor="text1"/>
              <w:left w:val="nil"/>
              <w:bottom w:val="single" w:sz="12" w:space="0" w:color="000000" w:themeColor="text1"/>
              <w:right w:val="nil"/>
            </w:tcBorders>
            <w:vAlign w:val="center"/>
          </w:tcPr>
          <w:p w:rsidR="00BA2955" w:rsidRPr="000D2B3E" w:rsidRDefault="00124D11"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N</w:t>
            </w:r>
          </w:p>
        </w:tc>
        <w:tc>
          <w:tcPr>
            <w:tcW w:w="3569" w:type="dxa"/>
            <w:gridSpan w:val="3"/>
            <w:tcBorders>
              <w:top w:val="single" w:sz="12" w:space="0" w:color="000000" w:themeColor="text1"/>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28</w:t>
            </w:r>
          </w:p>
        </w:tc>
      </w:tr>
    </w:tbl>
    <w:p w:rsidR="003C6894" w:rsidRPr="000D2B3E" w:rsidRDefault="003C6894" w:rsidP="00606E89">
      <w:pPr>
        <w:spacing w:before="120" w:line="360" w:lineRule="auto"/>
        <w:jc w:val="both"/>
        <w:rPr>
          <w:rFonts w:ascii="Times New Roman" w:hAnsi="Times New Roman" w:cs="Times New Roman"/>
          <w:sz w:val="24"/>
          <w:szCs w:val="24"/>
        </w:rPr>
      </w:pPr>
    </w:p>
    <w:p w:rsidR="00BA2955" w:rsidRPr="000D2B3E" w:rsidRDefault="00BA2955" w:rsidP="00606E89">
      <w:pPr>
        <w:spacing w:before="120" w:line="360" w:lineRule="auto"/>
        <w:jc w:val="center"/>
        <w:rPr>
          <w:rFonts w:ascii="Times New Roman" w:hAnsi="Times New Roman" w:cs="Times New Roman"/>
          <w:sz w:val="24"/>
          <w:szCs w:val="24"/>
        </w:rPr>
      </w:pPr>
      <w:proofErr w:type="gramStart"/>
      <w:r w:rsidRPr="000D2B3E">
        <w:rPr>
          <w:rFonts w:ascii="Times New Roman" w:hAnsi="Times New Roman" w:cs="Times New Roman"/>
          <w:b/>
          <w:color w:val="000000"/>
          <w:sz w:val="24"/>
          <w:szCs w:val="24"/>
        </w:rPr>
        <w:t>Table 5</w:t>
      </w:r>
      <w:r w:rsidR="00606E89" w:rsidRPr="000D2B3E">
        <w:rPr>
          <w:rFonts w:ascii="Times New Roman" w:hAnsi="Times New Roman" w:cs="Times New Roman"/>
          <w:b/>
          <w:color w:val="000000"/>
          <w:sz w:val="24"/>
          <w:szCs w:val="24"/>
        </w:rPr>
        <w:t>.</w:t>
      </w:r>
      <w:proofErr w:type="gramEnd"/>
      <w:r w:rsidRPr="000D2B3E">
        <w:rPr>
          <w:rFonts w:ascii="Times New Roman" w:hAnsi="Times New Roman" w:cs="Times New Roman"/>
          <w:sz w:val="24"/>
          <w:szCs w:val="24"/>
        </w:rPr>
        <w:t xml:space="preserve"> Correlation concentration coefficient for Zn, Fe and Cu in human milk samples</w:t>
      </w:r>
    </w:p>
    <w:tbl>
      <w:tblPr>
        <w:tblStyle w:val="TableGrid"/>
        <w:tblW w:w="4536" w:type="dxa"/>
        <w:jc w:val="center"/>
        <w:tblLook w:val="04A0" w:firstRow="1" w:lastRow="0" w:firstColumn="1" w:lastColumn="0" w:noHBand="0" w:noVBand="1"/>
      </w:tblPr>
      <w:tblGrid>
        <w:gridCol w:w="1250"/>
        <w:gridCol w:w="1042"/>
        <w:gridCol w:w="1133"/>
        <w:gridCol w:w="1111"/>
      </w:tblGrid>
      <w:tr w:rsidR="00BA2955" w:rsidRPr="000D2B3E" w:rsidTr="000C5EFB">
        <w:trPr>
          <w:trHeight w:val="397"/>
          <w:jc w:val="center"/>
        </w:trPr>
        <w:tc>
          <w:tcPr>
            <w:tcW w:w="1250" w:type="dxa"/>
            <w:tcBorders>
              <w:top w:val="single" w:sz="12" w:space="0" w:color="000000" w:themeColor="text1"/>
              <w:left w:val="nil"/>
              <w:bottom w:val="single" w:sz="12" w:space="0" w:color="000000" w:themeColor="text1"/>
              <w:right w:val="nil"/>
            </w:tcBorders>
            <w:vAlign w:val="center"/>
          </w:tcPr>
          <w:p w:rsidR="00BA2955" w:rsidRPr="003C6894" w:rsidRDefault="00BA2955" w:rsidP="00606E89">
            <w:pPr>
              <w:spacing w:line="360" w:lineRule="auto"/>
              <w:jc w:val="both"/>
              <w:rPr>
                <w:rFonts w:ascii="Times New Roman" w:hAnsi="Times New Roman" w:cs="Times New Roman"/>
                <w:b/>
                <w:sz w:val="24"/>
                <w:szCs w:val="24"/>
              </w:rPr>
            </w:pPr>
            <w:r w:rsidRPr="003C6894">
              <w:rPr>
                <w:rFonts w:ascii="Times New Roman" w:hAnsi="Times New Roman" w:cs="Times New Roman"/>
                <w:b/>
                <w:sz w:val="24"/>
                <w:szCs w:val="24"/>
              </w:rPr>
              <w:t>Element</w:t>
            </w:r>
          </w:p>
        </w:tc>
        <w:tc>
          <w:tcPr>
            <w:tcW w:w="1042" w:type="dxa"/>
            <w:tcBorders>
              <w:top w:val="single" w:sz="12" w:space="0" w:color="000000" w:themeColor="text1"/>
              <w:left w:val="nil"/>
              <w:bottom w:val="single" w:sz="12" w:space="0" w:color="000000" w:themeColor="text1"/>
              <w:right w:val="nil"/>
            </w:tcBorders>
            <w:vAlign w:val="center"/>
          </w:tcPr>
          <w:p w:rsidR="00BA2955" w:rsidRPr="003C6894" w:rsidRDefault="00BA2955" w:rsidP="00606E89">
            <w:pPr>
              <w:autoSpaceDE w:val="0"/>
              <w:autoSpaceDN w:val="0"/>
              <w:adjustRightInd w:val="0"/>
              <w:spacing w:line="360" w:lineRule="auto"/>
              <w:jc w:val="both"/>
              <w:rPr>
                <w:rFonts w:ascii="Times New Roman" w:hAnsi="Times New Roman" w:cs="Times New Roman"/>
                <w:b/>
                <w:sz w:val="24"/>
                <w:szCs w:val="24"/>
              </w:rPr>
            </w:pPr>
            <w:r w:rsidRPr="003C6894">
              <w:rPr>
                <w:rFonts w:ascii="Times New Roman" w:hAnsi="Times New Roman" w:cs="Times New Roman"/>
                <w:b/>
                <w:color w:val="000000"/>
                <w:sz w:val="24"/>
                <w:szCs w:val="24"/>
              </w:rPr>
              <w:t>Cu</w:t>
            </w:r>
          </w:p>
        </w:tc>
        <w:tc>
          <w:tcPr>
            <w:tcW w:w="1133" w:type="dxa"/>
            <w:tcBorders>
              <w:top w:val="single" w:sz="12" w:space="0" w:color="000000" w:themeColor="text1"/>
              <w:left w:val="nil"/>
              <w:bottom w:val="single" w:sz="12" w:space="0" w:color="000000" w:themeColor="text1"/>
              <w:right w:val="nil"/>
            </w:tcBorders>
            <w:vAlign w:val="center"/>
          </w:tcPr>
          <w:p w:rsidR="00BA2955" w:rsidRPr="003C6894" w:rsidRDefault="00BA2955" w:rsidP="00606E89">
            <w:pPr>
              <w:autoSpaceDE w:val="0"/>
              <w:autoSpaceDN w:val="0"/>
              <w:adjustRightInd w:val="0"/>
              <w:spacing w:line="360" w:lineRule="auto"/>
              <w:jc w:val="both"/>
              <w:rPr>
                <w:rFonts w:ascii="Times New Roman" w:hAnsi="Times New Roman" w:cs="Times New Roman"/>
                <w:b/>
                <w:sz w:val="24"/>
                <w:szCs w:val="24"/>
              </w:rPr>
            </w:pPr>
            <w:r w:rsidRPr="003C6894">
              <w:rPr>
                <w:rFonts w:ascii="Times New Roman" w:hAnsi="Times New Roman" w:cs="Times New Roman"/>
                <w:b/>
                <w:color w:val="000000"/>
                <w:sz w:val="24"/>
                <w:szCs w:val="24"/>
              </w:rPr>
              <w:t>Zn</w:t>
            </w:r>
          </w:p>
        </w:tc>
        <w:tc>
          <w:tcPr>
            <w:tcW w:w="1111" w:type="dxa"/>
            <w:tcBorders>
              <w:top w:val="single" w:sz="12" w:space="0" w:color="000000" w:themeColor="text1"/>
              <w:left w:val="nil"/>
              <w:bottom w:val="single" w:sz="12" w:space="0" w:color="000000" w:themeColor="text1"/>
              <w:right w:val="nil"/>
            </w:tcBorders>
            <w:vAlign w:val="center"/>
          </w:tcPr>
          <w:p w:rsidR="00BA2955" w:rsidRPr="003C6894" w:rsidRDefault="00BA2955" w:rsidP="00606E89">
            <w:pPr>
              <w:autoSpaceDE w:val="0"/>
              <w:autoSpaceDN w:val="0"/>
              <w:adjustRightInd w:val="0"/>
              <w:spacing w:line="360" w:lineRule="auto"/>
              <w:jc w:val="both"/>
              <w:rPr>
                <w:rFonts w:ascii="Times New Roman" w:hAnsi="Times New Roman" w:cs="Times New Roman"/>
                <w:b/>
                <w:sz w:val="24"/>
                <w:szCs w:val="24"/>
              </w:rPr>
            </w:pPr>
            <w:r w:rsidRPr="003C6894">
              <w:rPr>
                <w:rFonts w:ascii="Times New Roman" w:hAnsi="Times New Roman" w:cs="Times New Roman"/>
                <w:b/>
                <w:color w:val="000000"/>
                <w:sz w:val="24"/>
                <w:szCs w:val="24"/>
              </w:rPr>
              <w:t>Fe</w:t>
            </w:r>
          </w:p>
        </w:tc>
      </w:tr>
      <w:tr w:rsidR="00BA2955" w:rsidRPr="000D2B3E" w:rsidTr="000C5EFB">
        <w:trPr>
          <w:jc w:val="center"/>
        </w:trPr>
        <w:tc>
          <w:tcPr>
            <w:tcW w:w="1250" w:type="dxa"/>
            <w:tcBorders>
              <w:top w:val="single" w:sz="12" w:space="0" w:color="000000" w:themeColor="text1"/>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Cu</w:t>
            </w:r>
          </w:p>
        </w:tc>
        <w:tc>
          <w:tcPr>
            <w:tcW w:w="1042" w:type="dxa"/>
            <w:tcBorders>
              <w:top w:val="single" w:sz="12" w:space="0" w:color="000000" w:themeColor="text1"/>
              <w:left w:val="nil"/>
              <w:bottom w:val="nil"/>
              <w:right w:val="nil"/>
            </w:tcBorders>
          </w:tcPr>
          <w:p w:rsidR="00BA2955" w:rsidRPr="000D2B3E" w:rsidRDefault="00BA2955" w:rsidP="003C6894">
            <w:pPr>
              <w:autoSpaceDE w:val="0"/>
              <w:autoSpaceDN w:val="0"/>
              <w:adjustRightInd w:val="0"/>
              <w:spacing w:line="360" w:lineRule="auto"/>
              <w:jc w:val="center"/>
              <w:rPr>
                <w:rFonts w:ascii="Times New Roman" w:hAnsi="Times New Roman" w:cs="Times New Roman"/>
                <w:color w:val="000000"/>
                <w:sz w:val="24"/>
                <w:szCs w:val="24"/>
              </w:rPr>
            </w:pPr>
            <w:r w:rsidRPr="000D2B3E">
              <w:rPr>
                <w:rFonts w:ascii="Times New Roman" w:hAnsi="Times New Roman" w:cs="Times New Roman"/>
                <w:color w:val="000000"/>
                <w:sz w:val="24"/>
                <w:szCs w:val="24"/>
              </w:rPr>
              <w:t>1</w:t>
            </w:r>
          </w:p>
        </w:tc>
        <w:tc>
          <w:tcPr>
            <w:tcW w:w="1133" w:type="dxa"/>
            <w:tcBorders>
              <w:top w:val="single" w:sz="12" w:space="0" w:color="000000" w:themeColor="text1"/>
              <w:left w:val="nil"/>
              <w:bottom w:val="nil"/>
              <w:right w:val="nil"/>
            </w:tcBorders>
          </w:tcPr>
          <w:p w:rsidR="00BA2955" w:rsidRPr="000D2B3E" w:rsidRDefault="00BA2955" w:rsidP="003C6894">
            <w:pPr>
              <w:autoSpaceDE w:val="0"/>
              <w:autoSpaceDN w:val="0"/>
              <w:adjustRightInd w:val="0"/>
              <w:spacing w:line="360" w:lineRule="auto"/>
              <w:jc w:val="center"/>
              <w:rPr>
                <w:rFonts w:ascii="Times New Roman" w:hAnsi="Times New Roman" w:cs="Times New Roman"/>
                <w:color w:val="000000"/>
                <w:sz w:val="24"/>
                <w:szCs w:val="24"/>
              </w:rPr>
            </w:pPr>
          </w:p>
        </w:tc>
        <w:tc>
          <w:tcPr>
            <w:tcW w:w="1111" w:type="dxa"/>
            <w:tcBorders>
              <w:top w:val="single" w:sz="12" w:space="0" w:color="000000" w:themeColor="text1"/>
              <w:left w:val="nil"/>
              <w:bottom w:val="nil"/>
              <w:right w:val="nil"/>
            </w:tcBorders>
          </w:tcPr>
          <w:p w:rsidR="00BA2955" w:rsidRPr="000D2B3E" w:rsidRDefault="00BA2955" w:rsidP="003C6894">
            <w:pPr>
              <w:autoSpaceDE w:val="0"/>
              <w:autoSpaceDN w:val="0"/>
              <w:adjustRightInd w:val="0"/>
              <w:spacing w:line="360" w:lineRule="auto"/>
              <w:jc w:val="center"/>
              <w:rPr>
                <w:rFonts w:ascii="Times New Roman" w:hAnsi="Times New Roman" w:cs="Times New Roman"/>
                <w:color w:val="000000"/>
                <w:sz w:val="24"/>
                <w:szCs w:val="24"/>
              </w:rPr>
            </w:pPr>
          </w:p>
        </w:tc>
      </w:tr>
      <w:tr w:rsidR="00BA2955" w:rsidRPr="000D2B3E" w:rsidTr="000C5EFB">
        <w:trPr>
          <w:jc w:val="center"/>
        </w:trPr>
        <w:tc>
          <w:tcPr>
            <w:tcW w:w="1250" w:type="dxa"/>
            <w:tcBorders>
              <w:top w:val="nil"/>
              <w:left w:val="nil"/>
              <w:bottom w:val="nil"/>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Zn</w:t>
            </w:r>
          </w:p>
        </w:tc>
        <w:tc>
          <w:tcPr>
            <w:tcW w:w="1042" w:type="dxa"/>
            <w:tcBorders>
              <w:top w:val="nil"/>
              <w:left w:val="nil"/>
              <w:bottom w:val="nil"/>
              <w:right w:val="nil"/>
            </w:tcBorders>
          </w:tcPr>
          <w:p w:rsidR="00BA2955" w:rsidRPr="000D2B3E" w:rsidRDefault="00BA2955" w:rsidP="003C6894">
            <w:pPr>
              <w:autoSpaceDE w:val="0"/>
              <w:autoSpaceDN w:val="0"/>
              <w:adjustRightInd w:val="0"/>
              <w:spacing w:line="360" w:lineRule="auto"/>
              <w:jc w:val="center"/>
              <w:rPr>
                <w:rFonts w:ascii="Times New Roman" w:hAnsi="Times New Roman" w:cs="Times New Roman"/>
                <w:color w:val="000000"/>
                <w:sz w:val="24"/>
                <w:szCs w:val="24"/>
              </w:rPr>
            </w:pPr>
            <w:r w:rsidRPr="000D2B3E">
              <w:rPr>
                <w:rFonts w:ascii="Times New Roman" w:hAnsi="Times New Roman" w:cs="Times New Roman"/>
                <w:color w:val="000000"/>
                <w:sz w:val="24"/>
                <w:szCs w:val="24"/>
              </w:rPr>
              <w:t>-0.135</w:t>
            </w:r>
          </w:p>
        </w:tc>
        <w:tc>
          <w:tcPr>
            <w:tcW w:w="1133" w:type="dxa"/>
            <w:tcBorders>
              <w:top w:val="nil"/>
              <w:left w:val="nil"/>
              <w:bottom w:val="nil"/>
              <w:right w:val="nil"/>
            </w:tcBorders>
          </w:tcPr>
          <w:p w:rsidR="00BA2955" w:rsidRPr="000D2B3E" w:rsidRDefault="00BA2955" w:rsidP="003C6894">
            <w:pPr>
              <w:autoSpaceDE w:val="0"/>
              <w:autoSpaceDN w:val="0"/>
              <w:adjustRightInd w:val="0"/>
              <w:spacing w:line="360" w:lineRule="auto"/>
              <w:jc w:val="center"/>
              <w:rPr>
                <w:rFonts w:ascii="Times New Roman" w:hAnsi="Times New Roman" w:cs="Times New Roman"/>
                <w:color w:val="000000"/>
                <w:sz w:val="24"/>
                <w:szCs w:val="24"/>
              </w:rPr>
            </w:pPr>
            <w:r w:rsidRPr="000D2B3E">
              <w:rPr>
                <w:rFonts w:ascii="Times New Roman" w:hAnsi="Times New Roman" w:cs="Times New Roman"/>
                <w:color w:val="000000"/>
                <w:sz w:val="24"/>
                <w:szCs w:val="24"/>
              </w:rPr>
              <w:t>1</w:t>
            </w:r>
          </w:p>
        </w:tc>
        <w:tc>
          <w:tcPr>
            <w:tcW w:w="1111" w:type="dxa"/>
            <w:tcBorders>
              <w:top w:val="nil"/>
              <w:left w:val="nil"/>
              <w:bottom w:val="nil"/>
              <w:right w:val="nil"/>
            </w:tcBorders>
          </w:tcPr>
          <w:p w:rsidR="00BA2955" w:rsidRPr="000D2B3E" w:rsidRDefault="00BA2955" w:rsidP="003C6894">
            <w:pPr>
              <w:autoSpaceDE w:val="0"/>
              <w:autoSpaceDN w:val="0"/>
              <w:adjustRightInd w:val="0"/>
              <w:spacing w:line="360" w:lineRule="auto"/>
              <w:jc w:val="center"/>
              <w:rPr>
                <w:rFonts w:ascii="Times New Roman" w:hAnsi="Times New Roman" w:cs="Times New Roman"/>
                <w:color w:val="000000"/>
                <w:sz w:val="24"/>
                <w:szCs w:val="24"/>
              </w:rPr>
            </w:pPr>
          </w:p>
        </w:tc>
      </w:tr>
      <w:tr w:rsidR="00BA2955" w:rsidRPr="000D2B3E" w:rsidTr="000C5EFB">
        <w:trPr>
          <w:jc w:val="center"/>
        </w:trPr>
        <w:tc>
          <w:tcPr>
            <w:tcW w:w="1250" w:type="dxa"/>
            <w:tcBorders>
              <w:top w:val="nil"/>
              <w:left w:val="nil"/>
              <w:bottom w:val="single" w:sz="12" w:space="0" w:color="000000" w:themeColor="text1"/>
              <w:right w:val="nil"/>
            </w:tcBorders>
            <w:vAlign w:val="center"/>
          </w:tcPr>
          <w:p w:rsidR="00BA2955" w:rsidRPr="000D2B3E" w:rsidRDefault="00BA2955" w:rsidP="003C6894">
            <w:pPr>
              <w:spacing w:line="360" w:lineRule="auto"/>
              <w:jc w:val="center"/>
              <w:rPr>
                <w:rFonts w:ascii="Times New Roman" w:hAnsi="Times New Roman" w:cs="Times New Roman"/>
                <w:sz w:val="24"/>
                <w:szCs w:val="24"/>
              </w:rPr>
            </w:pPr>
            <w:r w:rsidRPr="000D2B3E">
              <w:rPr>
                <w:rFonts w:ascii="Times New Roman" w:hAnsi="Times New Roman" w:cs="Times New Roman"/>
                <w:sz w:val="24"/>
                <w:szCs w:val="24"/>
              </w:rPr>
              <w:t>Fe</w:t>
            </w:r>
          </w:p>
        </w:tc>
        <w:tc>
          <w:tcPr>
            <w:tcW w:w="1042" w:type="dxa"/>
            <w:tcBorders>
              <w:top w:val="nil"/>
              <w:left w:val="nil"/>
              <w:bottom w:val="single" w:sz="12" w:space="0" w:color="000000" w:themeColor="text1"/>
              <w:right w:val="nil"/>
            </w:tcBorders>
          </w:tcPr>
          <w:p w:rsidR="00BA2955" w:rsidRPr="000D2B3E" w:rsidRDefault="00BA2955" w:rsidP="003C6894">
            <w:pPr>
              <w:autoSpaceDE w:val="0"/>
              <w:autoSpaceDN w:val="0"/>
              <w:adjustRightInd w:val="0"/>
              <w:spacing w:line="360" w:lineRule="auto"/>
              <w:jc w:val="center"/>
              <w:rPr>
                <w:rFonts w:ascii="Times New Roman" w:hAnsi="Times New Roman" w:cs="Times New Roman"/>
                <w:color w:val="000000"/>
                <w:sz w:val="24"/>
                <w:szCs w:val="24"/>
              </w:rPr>
            </w:pPr>
            <w:r w:rsidRPr="000D2B3E">
              <w:rPr>
                <w:rFonts w:ascii="Times New Roman" w:hAnsi="Times New Roman" w:cs="Times New Roman"/>
                <w:color w:val="000000"/>
                <w:sz w:val="24"/>
                <w:szCs w:val="24"/>
              </w:rPr>
              <w:t>0.116</w:t>
            </w:r>
          </w:p>
        </w:tc>
        <w:tc>
          <w:tcPr>
            <w:tcW w:w="1133" w:type="dxa"/>
            <w:tcBorders>
              <w:top w:val="nil"/>
              <w:left w:val="nil"/>
              <w:bottom w:val="single" w:sz="12" w:space="0" w:color="000000" w:themeColor="text1"/>
              <w:right w:val="nil"/>
            </w:tcBorders>
          </w:tcPr>
          <w:p w:rsidR="00BA2955" w:rsidRPr="000D2B3E" w:rsidRDefault="00BA2955" w:rsidP="003C6894">
            <w:pPr>
              <w:autoSpaceDE w:val="0"/>
              <w:autoSpaceDN w:val="0"/>
              <w:adjustRightInd w:val="0"/>
              <w:spacing w:line="360" w:lineRule="auto"/>
              <w:jc w:val="center"/>
              <w:rPr>
                <w:rFonts w:ascii="Times New Roman" w:hAnsi="Times New Roman" w:cs="Times New Roman"/>
                <w:color w:val="000000"/>
                <w:sz w:val="24"/>
                <w:szCs w:val="24"/>
              </w:rPr>
            </w:pPr>
            <w:r w:rsidRPr="000D2B3E">
              <w:rPr>
                <w:rFonts w:ascii="Times New Roman" w:hAnsi="Times New Roman" w:cs="Times New Roman"/>
                <w:color w:val="000000"/>
                <w:sz w:val="24"/>
                <w:szCs w:val="24"/>
              </w:rPr>
              <w:t>-0.069</w:t>
            </w:r>
          </w:p>
        </w:tc>
        <w:tc>
          <w:tcPr>
            <w:tcW w:w="1111" w:type="dxa"/>
            <w:tcBorders>
              <w:top w:val="nil"/>
              <w:left w:val="nil"/>
              <w:bottom w:val="single" w:sz="12" w:space="0" w:color="000000" w:themeColor="text1"/>
              <w:right w:val="nil"/>
            </w:tcBorders>
          </w:tcPr>
          <w:p w:rsidR="00BA2955" w:rsidRPr="000D2B3E" w:rsidRDefault="00BA2955" w:rsidP="003C6894">
            <w:pPr>
              <w:autoSpaceDE w:val="0"/>
              <w:autoSpaceDN w:val="0"/>
              <w:adjustRightInd w:val="0"/>
              <w:spacing w:line="360" w:lineRule="auto"/>
              <w:jc w:val="center"/>
              <w:rPr>
                <w:rFonts w:ascii="Times New Roman" w:hAnsi="Times New Roman" w:cs="Times New Roman"/>
                <w:color w:val="000000"/>
                <w:sz w:val="24"/>
                <w:szCs w:val="24"/>
              </w:rPr>
            </w:pPr>
            <w:r w:rsidRPr="000D2B3E">
              <w:rPr>
                <w:rFonts w:ascii="Times New Roman" w:hAnsi="Times New Roman" w:cs="Times New Roman"/>
                <w:color w:val="000000"/>
                <w:sz w:val="24"/>
                <w:szCs w:val="24"/>
              </w:rPr>
              <w:t>1</w:t>
            </w:r>
          </w:p>
        </w:tc>
      </w:tr>
    </w:tbl>
    <w:p w:rsidR="00BA2955" w:rsidRPr="000D2B3E" w:rsidRDefault="00BA2955" w:rsidP="00606E89">
      <w:pPr>
        <w:autoSpaceDE w:val="0"/>
        <w:autoSpaceDN w:val="0"/>
        <w:adjustRightInd w:val="0"/>
        <w:spacing w:before="120" w:after="0" w:line="360" w:lineRule="auto"/>
        <w:jc w:val="both"/>
        <w:rPr>
          <w:rFonts w:ascii="Times New Roman" w:hAnsi="Times New Roman" w:cs="Times New Roman"/>
          <w:b/>
          <w:sz w:val="24"/>
          <w:szCs w:val="24"/>
        </w:rPr>
      </w:pPr>
    </w:p>
    <w:p w:rsidR="000F5B26" w:rsidRDefault="00BA2955" w:rsidP="00606E89">
      <w:pPr>
        <w:spacing w:before="120" w:line="360" w:lineRule="auto"/>
        <w:jc w:val="both"/>
        <w:rPr>
          <w:rFonts w:ascii="Times New Roman" w:hAnsi="Times New Roman" w:cs="Times New Roman"/>
          <w:sz w:val="24"/>
          <w:szCs w:val="24"/>
        </w:rPr>
      </w:pPr>
      <w:r w:rsidRPr="000D2B3E">
        <w:rPr>
          <w:rFonts w:ascii="Times New Roman" w:hAnsi="Times New Roman" w:cs="Times New Roman"/>
          <w:sz w:val="24"/>
          <w:szCs w:val="24"/>
        </w:rPr>
        <w:t>Based on a data showed in Table 5 there is no statistically significant correlation between Zn, Fe and Cu content in human milk samples (p&gt;0.05). In this study it was used linear regression to evaluate differences between FAAS and ICP-OES. The obtained data showed that ICP-OES method provides statistically significantly higher average values for 9.5 mg L</w:t>
      </w:r>
      <w:r w:rsidRPr="000D2B3E">
        <w:rPr>
          <w:rFonts w:ascii="Times New Roman" w:hAnsi="Times New Roman" w:cs="Times New Roman"/>
          <w:sz w:val="24"/>
          <w:szCs w:val="24"/>
          <w:vertAlign w:val="superscript"/>
        </w:rPr>
        <w:t xml:space="preserve">-1 </w:t>
      </w:r>
      <w:r w:rsidRPr="000D2B3E">
        <w:rPr>
          <w:rFonts w:ascii="Times New Roman" w:hAnsi="Times New Roman" w:cs="Times New Roman"/>
          <w:sz w:val="24"/>
          <w:szCs w:val="24"/>
        </w:rPr>
        <w:t xml:space="preserve">for Zn compared to FAAS </w:t>
      </w:r>
      <w:r w:rsidRPr="000D2B3E">
        <w:rPr>
          <w:rFonts w:ascii="Times New Roman" w:hAnsi="Times New Roman" w:cs="Times New Roman"/>
          <w:sz w:val="24"/>
          <w:szCs w:val="24"/>
        </w:rPr>
        <w:lastRenderedPageBreak/>
        <w:t>(p=0.001). Method FAAS provides statistically significantly higher average values for 23.25 mg L</w:t>
      </w:r>
      <w:r w:rsidRPr="000D2B3E">
        <w:rPr>
          <w:rFonts w:ascii="Times New Roman" w:hAnsi="Times New Roman" w:cs="Times New Roman"/>
          <w:sz w:val="24"/>
          <w:szCs w:val="24"/>
          <w:vertAlign w:val="superscript"/>
        </w:rPr>
        <w:t xml:space="preserve">-1 </w:t>
      </w:r>
      <w:r w:rsidRPr="000D2B3E">
        <w:rPr>
          <w:rFonts w:ascii="Times New Roman" w:hAnsi="Times New Roman" w:cs="Times New Roman"/>
          <w:sz w:val="24"/>
          <w:szCs w:val="24"/>
        </w:rPr>
        <w:t xml:space="preserve">for Fe compared to ICP-OES (p&lt;0.001). For Cu there is no statistically significant difference between both methods (p=0.671). </w:t>
      </w:r>
      <w:r w:rsidR="001F3D63">
        <w:rPr>
          <w:rFonts w:ascii="Times New Roman" w:hAnsi="Times New Roman" w:cs="Times New Roman"/>
          <w:sz w:val="24"/>
          <w:szCs w:val="24"/>
        </w:rPr>
        <w:t xml:space="preserve"> Figure 1 shows changes in Zn, Cu and Fe concentration in human milk samples on a first day</w:t>
      </w:r>
      <w:r w:rsidR="000F5B26">
        <w:rPr>
          <w:rFonts w:ascii="Times New Roman" w:hAnsi="Times New Roman" w:cs="Times New Roman"/>
          <w:sz w:val="24"/>
          <w:szCs w:val="24"/>
        </w:rPr>
        <w:t xml:space="preserve"> after delivery.</w:t>
      </w:r>
    </w:p>
    <w:p w:rsidR="001C0E5A" w:rsidRDefault="001C0E5A" w:rsidP="00606E89">
      <w:pPr>
        <w:spacing w:before="120" w:line="360" w:lineRule="auto"/>
        <w:jc w:val="both"/>
        <w:rPr>
          <w:rFonts w:ascii="Times New Roman" w:hAnsi="Times New Roman" w:cs="Times New Roman"/>
          <w:sz w:val="24"/>
          <w:szCs w:val="24"/>
        </w:rPr>
      </w:pPr>
    </w:p>
    <w:p w:rsidR="000F5B26" w:rsidRDefault="000F5B26" w:rsidP="000F5B26">
      <w:pPr>
        <w:spacing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61472" cy="1812898"/>
            <wp:effectExtent l="19050" t="0" r="828" b="0"/>
            <wp:docPr id="1" name="Picture 1" descr="C:\Users\dijana\Desktop\Grafik koncentracija metalafinal 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jana\Desktop\Grafik koncentracija metalafinal resize.jpg"/>
                    <pic:cNvPicPr>
                      <a:picLocks noChangeAspect="1" noChangeArrowheads="1"/>
                    </pic:cNvPicPr>
                  </pic:nvPicPr>
                  <pic:blipFill>
                    <a:blip r:embed="rId9" cstate="print"/>
                    <a:srcRect/>
                    <a:stretch>
                      <a:fillRect/>
                    </a:stretch>
                  </pic:blipFill>
                  <pic:spPr bwMode="auto">
                    <a:xfrm>
                      <a:off x="0" y="0"/>
                      <a:ext cx="3175057" cy="1820688"/>
                    </a:xfrm>
                    <a:prstGeom prst="rect">
                      <a:avLst/>
                    </a:prstGeom>
                    <a:noFill/>
                    <a:ln w="9525">
                      <a:noFill/>
                      <a:miter lim="800000"/>
                      <a:headEnd/>
                      <a:tailEnd/>
                    </a:ln>
                  </pic:spPr>
                </pic:pic>
              </a:graphicData>
            </a:graphic>
          </wp:inline>
        </w:drawing>
      </w:r>
    </w:p>
    <w:p w:rsidR="000F5B26" w:rsidRDefault="000F5B26" w:rsidP="000F5B26">
      <w:pPr>
        <w:spacing w:line="360" w:lineRule="auto"/>
        <w:contextualSpacing/>
        <w:jc w:val="both"/>
        <w:rPr>
          <w:rFonts w:ascii="Times New Roman" w:hAnsi="Times New Roman" w:cs="Times New Roman"/>
          <w:sz w:val="24"/>
          <w:szCs w:val="24"/>
        </w:rPr>
      </w:pPr>
    </w:p>
    <w:p w:rsidR="000F5B26" w:rsidRPr="00B27E67" w:rsidRDefault="000F5B26" w:rsidP="000F5B26">
      <w:pPr>
        <w:spacing w:line="360" w:lineRule="auto"/>
        <w:contextualSpacing/>
        <w:jc w:val="both"/>
        <w:rPr>
          <w:rFonts w:ascii="Times New Roman" w:hAnsi="Times New Roman" w:cs="Times New Roman"/>
          <w:sz w:val="24"/>
          <w:szCs w:val="24"/>
        </w:rPr>
      </w:pPr>
      <w:proofErr w:type="gramStart"/>
      <w:r w:rsidRPr="00B27E67">
        <w:rPr>
          <w:rFonts w:ascii="Times New Roman" w:hAnsi="Times New Roman" w:cs="Times New Roman"/>
          <w:b/>
          <w:sz w:val="24"/>
          <w:szCs w:val="24"/>
        </w:rPr>
        <w:t>Figure 1.</w:t>
      </w:r>
      <w:proofErr w:type="gramEnd"/>
      <w:r w:rsidRPr="00B27E67">
        <w:rPr>
          <w:rFonts w:ascii="Times New Roman" w:hAnsi="Times New Roman" w:cs="Times New Roman"/>
          <w:b/>
          <w:sz w:val="24"/>
          <w:szCs w:val="24"/>
        </w:rPr>
        <w:t xml:space="preserve"> </w:t>
      </w:r>
      <w:r w:rsidRPr="00B27E67">
        <w:rPr>
          <w:rFonts w:ascii="Times New Roman" w:hAnsi="Times New Roman" w:cs="Times New Roman"/>
          <w:sz w:val="24"/>
          <w:szCs w:val="24"/>
        </w:rPr>
        <w:t xml:space="preserve">Concentration </w:t>
      </w:r>
      <w:proofErr w:type="gramStart"/>
      <w:r w:rsidRPr="00B27E67">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B27E67">
        <w:rPr>
          <w:rFonts w:ascii="Times New Roman" w:hAnsi="Times New Roman" w:cs="Times New Roman"/>
          <w:sz w:val="24"/>
          <w:szCs w:val="24"/>
        </w:rPr>
        <w:t>Zn</w:t>
      </w:r>
      <w:proofErr w:type="gramEnd"/>
      <w:r>
        <w:rPr>
          <w:rFonts w:ascii="Times New Roman" w:hAnsi="Times New Roman" w:cs="Times New Roman"/>
          <w:sz w:val="24"/>
          <w:szCs w:val="24"/>
        </w:rPr>
        <w:t xml:space="preserve">, Fe </w:t>
      </w:r>
      <w:r w:rsidRPr="00B27E67">
        <w:rPr>
          <w:rFonts w:ascii="Times New Roman" w:hAnsi="Times New Roman" w:cs="Times New Roman"/>
          <w:sz w:val="24"/>
          <w:szCs w:val="24"/>
        </w:rPr>
        <w:t>and</w:t>
      </w:r>
      <w:r>
        <w:rPr>
          <w:rFonts w:ascii="Times New Roman" w:hAnsi="Times New Roman" w:cs="Times New Roman"/>
          <w:sz w:val="24"/>
          <w:szCs w:val="24"/>
        </w:rPr>
        <w:t xml:space="preserve"> Cu in human milk samples on a first day after </w:t>
      </w:r>
      <w:r w:rsidRPr="00B27E67">
        <w:rPr>
          <w:rFonts w:ascii="Times New Roman" w:hAnsi="Times New Roman" w:cs="Times New Roman"/>
          <w:sz w:val="24"/>
          <w:szCs w:val="24"/>
        </w:rPr>
        <w:t xml:space="preserve">delivery. Boxes represent the median and the 25th and 75th percentiles; whiskers represent the non-outlier range. </w:t>
      </w:r>
    </w:p>
    <w:p w:rsidR="00BA2955" w:rsidRPr="001C0E5A" w:rsidRDefault="001F3D63" w:rsidP="001C0E5A">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A2955" w:rsidRPr="000D2B3E" w:rsidRDefault="00BA2955" w:rsidP="00056DC3">
      <w:pPr>
        <w:pStyle w:val="ListParagraph"/>
        <w:numPr>
          <w:ilvl w:val="0"/>
          <w:numId w:val="1"/>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Conclusion</w:t>
      </w:r>
    </w:p>
    <w:p w:rsidR="00BA2955" w:rsidRPr="000D2B3E" w:rsidRDefault="00BA2955" w:rsidP="00606E89">
      <w:pPr>
        <w:spacing w:before="120" w:after="0" w:line="360" w:lineRule="auto"/>
        <w:jc w:val="both"/>
        <w:rPr>
          <w:rFonts w:ascii="Times New Roman" w:hAnsi="Times New Roman" w:cs="Times New Roman"/>
          <w:sz w:val="24"/>
          <w:szCs w:val="24"/>
        </w:rPr>
      </w:pPr>
      <w:r w:rsidRPr="000D2B3E">
        <w:rPr>
          <w:rFonts w:ascii="Times New Roman" w:hAnsi="Times New Roman" w:cs="Times New Roman"/>
          <w:sz w:val="24"/>
          <w:szCs w:val="24"/>
        </w:rPr>
        <w:t xml:space="preserve">In this study, </w:t>
      </w:r>
      <w:proofErr w:type="gramStart"/>
      <w:r w:rsidRPr="000D2B3E">
        <w:rPr>
          <w:rFonts w:ascii="Times New Roman" w:hAnsi="Times New Roman" w:cs="Times New Roman"/>
          <w:sz w:val="24"/>
          <w:szCs w:val="24"/>
        </w:rPr>
        <w:t>an</w:t>
      </w:r>
      <w:proofErr w:type="gramEnd"/>
      <w:r w:rsidRPr="000D2B3E">
        <w:rPr>
          <w:rFonts w:ascii="Times New Roman" w:hAnsi="Times New Roman" w:cs="Times New Roman"/>
          <w:sz w:val="24"/>
          <w:szCs w:val="24"/>
        </w:rPr>
        <w:t xml:space="preserve"> fast, easy, economical and simple method for sample preparation is developed (no degradation) to determine essential trace elements in human breast milk, and method evaluation and clinical sample detection on ICP-OES was used for validation of accuracy, the reliability and practicality. In conclusion, the proposed method is simple, economical, accurate, and highly reliable and can be applied for the clinical detection of trace elements in biological samples. There is no statistically significant</w:t>
      </w:r>
      <w:r w:rsidRPr="000D2B3E">
        <w:rPr>
          <w:rFonts w:ascii="Times New Roman" w:hAnsi="Times New Roman" w:cs="Times New Roman"/>
          <w:sz w:val="24"/>
          <w:szCs w:val="24"/>
          <w:lang w:val="hr-HR"/>
        </w:rPr>
        <w:t xml:space="preserve"> correlation between Zn, Fe and Cu concentration in human milk samples. Based on obtained data and linear regression it could be concluded that ICP-OES is better method for Zn determination, FAAS for Fe, and for Cu there is no  </w:t>
      </w:r>
      <w:r w:rsidRPr="000D2B3E">
        <w:rPr>
          <w:rFonts w:ascii="Times New Roman" w:hAnsi="Times New Roman" w:cs="Times New Roman"/>
          <w:sz w:val="24"/>
          <w:szCs w:val="24"/>
        </w:rPr>
        <w:t>statistically significant difference between this two methods.</w:t>
      </w:r>
    </w:p>
    <w:p w:rsidR="00BA2955" w:rsidRDefault="00BA2955" w:rsidP="00606E89">
      <w:pPr>
        <w:pStyle w:val="Footer"/>
        <w:tabs>
          <w:tab w:val="clear" w:pos="4320"/>
          <w:tab w:val="clear" w:pos="8640"/>
        </w:tabs>
        <w:spacing w:before="120" w:line="360" w:lineRule="auto"/>
        <w:jc w:val="both"/>
        <w:rPr>
          <w:rFonts w:ascii="Times New Roman" w:hAnsi="Times New Roman"/>
          <w:b/>
          <w:szCs w:val="24"/>
        </w:rPr>
      </w:pPr>
    </w:p>
    <w:p w:rsidR="00D858D9" w:rsidRDefault="00D858D9" w:rsidP="00606E89">
      <w:pPr>
        <w:pStyle w:val="Footer"/>
        <w:tabs>
          <w:tab w:val="clear" w:pos="4320"/>
          <w:tab w:val="clear" w:pos="8640"/>
        </w:tabs>
        <w:spacing w:before="120" w:line="360" w:lineRule="auto"/>
        <w:jc w:val="both"/>
        <w:rPr>
          <w:rFonts w:ascii="Times New Roman" w:hAnsi="Times New Roman"/>
          <w:b/>
          <w:szCs w:val="24"/>
        </w:rPr>
      </w:pPr>
    </w:p>
    <w:p w:rsidR="00D858D9" w:rsidRPr="000D2B3E" w:rsidRDefault="00D858D9" w:rsidP="00606E89">
      <w:pPr>
        <w:pStyle w:val="Footer"/>
        <w:tabs>
          <w:tab w:val="clear" w:pos="4320"/>
          <w:tab w:val="clear" w:pos="8640"/>
        </w:tabs>
        <w:spacing w:before="120" w:line="360" w:lineRule="auto"/>
        <w:jc w:val="both"/>
        <w:rPr>
          <w:rFonts w:ascii="Times New Roman" w:hAnsi="Times New Roman"/>
          <w:b/>
          <w:szCs w:val="24"/>
        </w:rPr>
      </w:pPr>
      <w:bookmarkStart w:id="0" w:name="_GoBack"/>
      <w:bookmarkEnd w:id="0"/>
    </w:p>
    <w:p w:rsidR="00BA2955" w:rsidRPr="00DB64BA" w:rsidRDefault="00BA2955" w:rsidP="00DB64BA">
      <w:pPr>
        <w:pStyle w:val="ListParagraph"/>
        <w:numPr>
          <w:ilvl w:val="0"/>
          <w:numId w:val="1"/>
        </w:numPr>
        <w:autoSpaceDE w:val="0"/>
        <w:autoSpaceDN w:val="0"/>
        <w:adjustRightInd w:val="0"/>
        <w:spacing w:before="120" w:after="0" w:line="360" w:lineRule="auto"/>
        <w:jc w:val="both"/>
        <w:rPr>
          <w:rFonts w:ascii="Times New Roman" w:hAnsi="Times New Roman" w:cs="Times New Roman"/>
          <w:b/>
          <w:sz w:val="24"/>
          <w:szCs w:val="24"/>
        </w:rPr>
      </w:pPr>
      <w:r w:rsidRPr="00DB64BA">
        <w:rPr>
          <w:rFonts w:ascii="Times New Roman" w:hAnsi="Times New Roman" w:cs="Times New Roman"/>
          <w:b/>
          <w:sz w:val="24"/>
          <w:szCs w:val="24"/>
        </w:rPr>
        <w:lastRenderedPageBreak/>
        <w:t>Acknowledgments</w:t>
      </w:r>
    </w:p>
    <w:p w:rsidR="00BA2955" w:rsidRPr="000D2B3E" w:rsidRDefault="00BA2955" w:rsidP="00606E89">
      <w:pPr>
        <w:pStyle w:val="Footer"/>
        <w:tabs>
          <w:tab w:val="clear" w:pos="4320"/>
          <w:tab w:val="clear" w:pos="8640"/>
        </w:tabs>
        <w:spacing w:before="120" w:line="360" w:lineRule="auto"/>
        <w:jc w:val="both"/>
        <w:rPr>
          <w:rFonts w:ascii="Arial" w:hAnsi="Arial" w:cs="Arial"/>
          <w:szCs w:val="24"/>
        </w:rPr>
      </w:pPr>
      <w:r w:rsidRPr="000D2B3E">
        <w:rPr>
          <w:rFonts w:ascii="Times New Roman" w:hAnsi="Times New Roman"/>
          <w:szCs w:val="24"/>
        </w:rPr>
        <w:t xml:space="preserve">This work was partially financed by the </w:t>
      </w:r>
      <w:r w:rsidRPr="000D2B3E">
        <w:rPr>
          <w:rFonts w:ascii="Times New Roman" w:hAnsi="Times New Roman"/>
          <w:szCs w:val="24"/>
          <w:lang w:eastAsia="ja-JP"/>
        </w:rPr>
        <w:t>Mi</w:t>
      </w:r>
      <w:r w:rsidRPr="000D2B3E">
        <w:rPr>
          <w:rFonts w:ascii="Times New Roman" w:hAnsi="Times New Roman"/>
          <w:szCs w:val="24"/>
        </w:rPr>
        <w:t xml:space="preserve">nistry of Education, </w:t>
      </w:r>
      <w:r w:rsidRPr="000D2B3E">
        <w:rPr>
          <w:rFonts w:ascii="Times New Roman" w:hAnsi="Times New Roman"/>
          <w:szCs w:val="24"/>
          <w:lang w:eastAsia="ja-JP"/>
        </w:rPr>
        <w:t>Sc</w:t>
      </w:r>
      <w:r w:rsidRPr="000D2B3E">
        <w:rPr>
          <w:rFonts w:ascii="Times New Roman" w:hAnsi="Times New Roman"/>
          <w:szCs w:val="24"/>
        </w:rPr>
        <w:t xml:space="preserve">ience and Technological Development of the </w:t>
      </w:r>
      <w:r w:rsidRPr="000D2B3E">
        <w:rPr>
          <w:rFonts w:ascii="Times New Roman" w:hAnsi="Times New Roman"/>
          <w:szCs w:val="24"/>
          <w:lang w:eastAsia="ja-JP"/>
        </w:rPr>
        <w:t>Re</w:t>
      </w:r>
      <w:r w:rsidRPr="000D2B3E">
        <w:rPr>
          <w:rFonts w:ascii="Times New Roman" w:hAnsi="Times New Roman"/>
          <w:szCs w:val="24"/>
        </w:rPr>
        <w:t xml:space="preserve">public of </w:t>
      </w:r>
      <w:r w:rsidRPr="000D2B3E">
        <w:rPr>
          <w:rFonts w:ascii="Times New Roman" w:hAnsi="Times New Roman"/>
          <w:szCs w:val="24"/>
          <w:lang w:eastAsia="ja-JP"/>
        </w:rPr>
        <w:t>Se</w:t>
      </w:r>
      <w:r w:rsidRPr="000D2B3E">
        <w:rPr>
          <w:rFonts w:ascii="Times New Roman" w:hAnsi="Times New Roman"/>
          <w:szCs w:val="24"/>
        </w:rPr>
        <w:t>rbia (Grants No. III 43004) and the authors wish to acknowledge their assistance</w:t>
      </w:r>
      <w:r w:rsidRPr="000D2B3E">
        <w:rPr>
          <w:rFonts w:ascii="Arial" w:hAnsi="Arial" w:cs="Arial"/>
          <w:szCs w:val="24"/>
        </w:rPr>
        <w:t>.</w:t>
      </w:r>
    </w:p>
    <w:p w:rsidR="00BA2955" w:rsidRPr="000D2B3E" w:rsidRDefault="00BA2955" w:rsidP="00606E89">
      <w:pPr>
        <w:pStyle w:val="Footer"/>
        <w:tabs>
          <w:tab w:val="clear" w:pos="4320"/>
          <w:tab w:val="clear" w:pos="8640"/>
        </w:tabs>
        <w:spacing w:before="120" w:line="360" w:lineRule="auto"/>
        <w:jc w:val="both"/>
        <w:rPr>
          <w:rFonts w:ascii="Arial" w:hAnsi="Arial" w:cs="Arial"/>
          <w:szCs w:val="24"/>
        </w:rPr>
      </w:pPr>
    </w:p>
    <w:p w:rsidR="00BA2955" w:rsidRPr="000D2B3E" w:rsidRDefault="00BA2955" w:rsidP="00606E89">
      <w:pPr>
        <w:pStyle w:val="Footer"/>
        <w:tabs>
          <w:tab w:val="clear" w:pos="4320"/>
          <w:tab w:val="clear" w:pos="8640"/>
        </w:tabs>
        <w:spacing w:before="120" w:line="360" w:lineRule="auto"/>
        <w:jc w:val="both"/>
        <w:rPr>
          <w:rFonts w:ascii="Times New Roman" w:hAnsi="Times New Roman"/>
          <w:szCs w:val="24"/>
        </w:rPr>
      </w:pPr>
      <w:r w:rsidRPr="000D2B3E">
        <w:rPr>
          <w:rFonts w:ascii="Times New Roman" w:hAnsi="Times New Roman"/>
          <w:b/>
          <w:szCs w:val="24"/>
        </w:rPr>
        <w:t xml:space="preserve">Conflict of Interest: </w:t>
      </w:r>
      <w:r w:rsidRPr="000D2B3E">
        <w:rPr>
          <w:rFonts w:ascii="Times New Roman" w:hAnsi="Times New Roman"/>
          <w:szCs w:val="24"/>
        </w:rPr>
        <w:t xml:space="preserve">Dijana Đurović declares that she has no conflict of interest Branka Milisavljević declares that she has no conflict of interest. Mirjana </w:t>
      </w:r>
      <w:proofErr w:type="spellStart"/>
      <w:r w:rsidRPr="000D2B3E">
        <w:rPr>
          <w:rFonts w:ascii="Times New Roman" w:hAnsi="Times New Roman"/>
          <w:szCs w:val="24"/>
        </w:rPr>
        <w:t>Nedović-Vuković</w:t>
      </w:r>
      <w:proofErr w:type="spellEnd"/>
      <w:r w:rsidRPr="000D2B3E">
        <w:rPr>
          <w:rFonts w:ascii="Times New Roman" w:hAnsi="Times New Roman"/>
          <w:szCs w:val="24"/>
        </w:rPr>
        <w:t xml:space="preserve"> declares that she has no conflict of interest.  </w:t>
      </w:r>
      <w:proofErr w:type="spellStart"/>
      <w:r w:rsidRPr="000D2B3E">
        <w:rPr>
          <w:rFonts w:ascii="Times New Roman" w:hAnsi="Times New Roman"/>
          <w:szCs w:val="24"/>
        </w:rPr>
        <w:t>Branislav</w:t>
      </w:r>
      <w:proofErr w:type="spellEnd"/>
      <w:r w:rsidRPr="000D2B3E">
        <w:rPr>
          <w:rFonts w:ascii="Times New Roman" w:hAnsi="Times New Roman"/>
          <w:szCs w:val="24"/>
        </w:rPr>
        <w:t xml:space="preserve"> </w:t>
      </w:r>
      <w:proofErr w:type="spellStart"/>
      <w:r w:rsidRPr="000D2B3E">
        <w:rPr>
          <w:rFonts w:ascii="Times New Roman" w:hAnsi="Times New Roman"/>
          <w:szCs w:val="24"/>
        </w:rPr>
        <w:t>Potkonjak</w:t>
      </w:r>
      <w:proofErr w:type="spellEnd"/>
      <w:r w:rsidRPr="000D2B3E">
        <w:rPr>
          <w:rFonts w:ascii="Times New Roman" w:hAnsi="Times New Roman"/>
          <w:szCs w:val="24"/>
        </w:rPr>
        <w:t xml:space="preserve"> declares that he has no conflict of interest. </w:t>
      </w:r>
      <w:proofErr w:type="spellStart"/>
      <w:r w:rsidRPr="000D2B3E">
        <w:rPr>
          <w:rFonts w:ascii="Times New Roman" w:hAnsi="Times New Roman"/>
          <w:szCs w:val="24"/>
        </w:rPr>
        <w:t>Snežana</w:t>
      </w:r>
      <w:proofErr w:type="spellEnd"/>
      <w:r w:rsidRPr="000D2B3E">
        <w:rPr>
          <w:rFonts w:ascii="Times New Roman" w:hAnsi="Times New Roman"/>
          <w:szCs w:val="24"/>
        </w:rPr>
        <w:t xml:space="preserve"> </w:t>
      </w:r>
      <w:proofErr w:type="spellStart"/>
      <w:r w:rsidRPr="000D2B3E">
        <w:rPr>
          <w:rFonts w:ascii="Times New Roman" w:hAnsi="Times New Roman"/>
          <w:szCs w:val="24"/>
        </w:rPr>
        <w:t>Spasić</w:t>
      </w:r>
      <w:proofErr w:type="spellEnd"/>
      <w:r w:rsidRPr="000D2B3E">
        <w:rPr>
          <w:rFonts w:ascii="Times New Roman" w:hAnsi="Times New Roman"/>
          <w:szCs w:val="24"/>
        </w:rPr>
        <w:t xml:space="preserve"> declares that she has no conflict of interest. Miroslav M. </w:t>
      </w:r>
      <w:proofErr w:type="spellStart"/>
      <w:r w:rsidRPr="000D2B3E">
        <w:rPr>
          <w:rFonts w:ascii="Times New Roman" w:hAnsi="Times New Roman"/>
          <w:szCs w:val="24"/>
        </w:rPr>
        <w:t>Vrvić</w:t>
      </w:r>
      <w:proofErr w:type="spellEnd"/>
      <w:r w:rsidRPr="000D2B3E">
        <w:rPr>
          <w:rFonts w:ascii="Times New Roman" w:hAnsi="Times New Roman"/>
          <w:szCs w:val="24"/>
        </w:rPr>
        <w:t xml:space="preserve"> declares that he has no conflict of interest.</w:t>
      </w:r>
    </w:p>
    <w:p w:rsidR="00BA2955" w:rsidRPr="000D2B3E" w:rsidRDefault="00BA2955" w:rsidP="00606E89">
      <w:pPr>
        <w:pStyle w:val="Footer"/>
        <w:tabs>
          <w:tab w:val="clear" w:pos="4320"/>
          <w:tab w:val="clear" w:pos="8640"/>
        </w:tabs>
        <w:spacing w:before="120" w:line="360" w:lineRule="auto"/>
        <w:jc w:val="both"/>
        <w:rPr>
          <w:rFonts w:ascii="Times New Roman" w:hAnsi="Times New Roman"/>
          <w:szCs w:val="24"/>
        </w:rPr>
      </w:pPr>
    </w:p>
    <w:p w:rsidR="00BA2955" w:rsidRDefault="00BA2955" w:rsidP="00606E89">
      <w:pPr>
        <w:spacing w:after="0" w:line="360" w:lineRule="auto"/>
        <w:jc w:val="both"/>
        <w:rPr>
          <w:rFonts w:ascii="Times New Roman" w:eastAsia="MS Mincho" w:hAnsi="Times New Roman" w:cs="Times New Roman"/>
          <w:sz w:val="24"/>
          <w:szCs w:val="24"/>
        </w:rPr>
      </w:pPr>
      <w:r w:rsidRPr="000D2B3E">
        <w:rPr>
          <w:rFonts w:ascii="Times New Roman" w:eastAsia="Times New Roman" w:hAnsi="Times New Roman" w:cs="Times New Roman"/>
          <w:b/>
          <w:bCs/>
          <w:sz w:val="24"/>
          <w:szCs w:val="24"/>
        </w:rPr>
        <w:t>Ethical approval:</w:t>
      </w:r>
      <w:r w:rsidRPr="000D2B3E">
        <w:rPr>
          <w:rFonts w:ascii="Times New Roman" w:eastAsia="Times New Roman" w:hAnsi="Times New Roman" w:cs="Times New Roman"/>
          <w:sz w:val="24"/>
          <w:szCs w:val="24"/>
        </w:rPr>
        <w:t xml:space="preserve"> “</w:t>
      </w:r>
      <w:r w:rsidRPr="000D2B3E">
        <w:rPr>
          <w:rFonts w:ascii="Times New Roman" w:eastAsia="MS Mincho" w:hAnsi="Times New Roman" w:cs="Times New Roman"/>
          <w:sz w:val="24"/>
          <w:szCs w:val="24"/>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rsidR="005033F7" w:rsidRPr="000D2B3E" w:rsidRDefault="005033F7" w:rsidP="00606E89">
      <w:pPr>
        <w:spacing w:after="0" w:line="360" w:lineRule="auto"/>
        <w:jc w:val="both"/>
        <w:rPr>
          <w:rFonts w:ascii="Times New Roman" w:eastAsia="Times New Roman" w:hAnsi="Times New Roman" w:cs="Times New Roman"/>
          <w:sz w:val="24"/>
          <w:szCs w:val="24"/>
        </w:rPr>
      </w:pPr>
    </w:p>
    <w:p w:rsidR="00BA2955" w:rsidRPr="000D2B3E" w:rsidRDefault="00BA2955" w:rsidP="00606E89">
      <w:pPr>
        <w:spacing w:after="0" w:line="360" w:lineRule="auto"/>
        <w:jc w:val="both"/>
        <w:rPr>
          <w:rFonts w:ascii="Times New Roman" w:eastAsia="Times New Roman" w:hAnsi="Times New Roman" w:cs="Times New Roman"/>
          <w:color w:val="000000"/>
          <w:sz w:val="24"/>
          <w:szCs w:val="24"/>
        </w:rPr>
      </w:pPr>
      <w:r w:rsidRPr="000D2B3E">
        <w:rPr>
          <w:rFonts w:ascii="Times New Roman" w:eastAsia="Times New Roman" w:hAnsi="Times New Roman" w:cs="Times New Roman"/>
          <w:b/>
          <w:color w:val="000000"/>
          <w:sz w:val="24"/>
          <w:szCs w:val="24"/>
        </w:rPr>
        <w:t>Informed consent:</w:t>
      </w:r>
      <w:r w:rsidRPr="000D2B3E">
        <w:rPr>
          <w:rFonts w:ascii="Times New Roman" w:eastAsia="Times New Roman" w:hAnsi="Times New Roman" w:cs="Times New Roman"/>
          <w:color w:val="000000"/>
          <w:sz w:val="24"/>
          <w:szCs w:val="24"/>
        </w:rPr>
        <w:t xml:space="preserve"> Informed consent was obtained from all individual participants included in the study.</w:t>
      </w:r>
    </w:p>
    <w:p w:rsidR="00BA2955" w:rsidRDefault="00BA2955" w:rsidP="00DB64BA">
      <w:pPr>
        <w:pStyle w:val="ListParagraph"/>
        <w:numPr>
          <w:ilvl w:val="0"/>
          <w:numId w:val="1"/>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b/>
          <w:sz w:val="24"/>
          <w:szCs w:val="24"/>
        </w:rPr>
        <w:t>References</w:t>
      </w:r>
    </w:p>
    <w:p w:rsidR="00DB64BA" w:rsidRPr="000D2B3E" w:rsidRDefault="00DB64BA" w:rsidP="00DB64BA">
      <w:pPr>
        <w:pStyle w:val="ListParagraph"/>
        <w:autoSpaceDE w:val="0"/>
        <w:autoSpaceDN w:val="0"/>
        <w:adjustRightInd w:val="0"/>
        <w:spacing w:before="120" w:after="0" w:line="360" w:lineRule="auto"/>
        <w:jc w:val="both"/>
        <w:rPr>
          <w:rFonts w:ascii="Times New Roman" w:hAnsi="Times New Roman" w:cs="Times New Roman"/>
          <w:b/>
          <w:sz w:val="24"/>
          <w:szCs w:val="24"/>
        </w:rPr>
      </w:pPr>
    </w:p>
    <w:p w:rsidR="00B30302" w:rsidRPr="000D2B3E" w:rsidRDefault="00B30302"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 xml:space="preserve">R. Mahdavi, L. Nikniaz, B.P. Gargari, S.G. Hezaveh, </w:t>
      </w:r>
      <w:r w:rsidRPr="000D2B3E">
        <w:rPr>
          <w:rFonts w:ascii="Times New Roman" w:hAnsi="Times New Roman" w:cs="Times New Roman"/>
          <w:i/>
          <w:noProof/>
          <w:sz w:val="24"/>
          <w:szCs w:val="24"/>
        </w:rPr>
        <w:t>Iran. Biol</w:t>
      </w:r>
      <w:r w:rsidR="00F81C07"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 xml:space="preserve"> Trace</w:t>
      </w:r>
      <w:r w:rsidR="00F81C07"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 xml:space="preserve"> Elem</w:t>
      </w:r>
      <w:r w:rsidR="00F81C07"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 xml:space="preserve"> Res</w:t>
      </w:r>
      <w:r w:rsidR="00F81C07" w:rsidRPr="000D2B3E">
        <w:rPr>
          <w:rFonts w:ascii="Times New Roman" w:hAnsi="Times New Roman" w:cs="Times New Roman"/>
          <w:i/>
          <w:noProof/>
          <w:sz w:val="24"/>
          <w:szCs w:val="24"/>
        </w:rPr>
        <w:t>.</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2010</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135</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174–181</w:t>
      </w:r>
    </w:p>
    <w:p w:rsidR="00B30302" w:rsidRPr="000D2B3E" w:rsidRDefault="00B30302"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 xml:space="preserve">K. Ljung, B. Palm, M. Grandér, M. Vahter, </w:t>
      </w:r>
      <w:r w:rsidRPr="000D2B3E">
        <w:rPr>
          <w:rFonts w:ascii="Times New Roman" w:hAnsi="Times New Roman" w:cs="Times New Roman"/>
          <w:i/>
          <w:noProof/>
          <w:sz w:val="24"/>
          <w:szCs w:val="24"/>
        </w:rPr>
        <w:t>Food Chem</w:t>
      </w:r>
      <w:r w:rsidR="00F81C07" w:rsidRPr="000D2B3E">
        <w:rPr>
          <w:rFonts w:ascii="Times New Roman" w:hAnsi="Times New Roman" w:cs="Times New Roman"/>
          <w:i/>
          <w:noProof/>
          <w:sz w:val="24"/>
          <w:szCs w:val="24"/>
        </w:rPr>
        <w:t>.</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2011</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127</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943–951.</w:t>
      </w:r>
    </w:p>
    <w:p w:rsidR="00B30302" w:rsidRPr="000D2B3E" w:rsidRDefault="00B30302" w:rsidP="00DB1014">
      <w:pPr>
        <w:pStyle w:val="ListParagraph"/>
        <w:widowControl w:val="0"/>
        <w:numPr>
          <w:ilvl w:val="0"/>
          <w:numId w:val="15"/>
        </w:numPr>
        <w:autoSpaceDE w:val="0"/>
        <w:autoSpaceDN w:val="0"/>
        <w:adjustRightInd w:val="0"/>
        <w:spacing w:after="140" w:line="360" w:lineRule="auto"/>
        <w:jc w:val="both"/>
        <w:rPr>
          <w:rFonts w:ascii="Times New Roman" w:hAnsi="Times New Roman" w:cs="Times New Roman"/>
          <w:noProof/>
          <w:sz w:val="24"/>
          <w:szCs w:val="24"/>
        </w:rPr>
      </w:pPr>
      <w:r w:rsidRPr="000D2B3E">
        <w:rPr>
          <w:rFonts w:ascii="Times New Roman" w:hAnsi="Times New Roman" w:cs="Times New Roman"/>
          <w:noProof/>
          <w:sz w:val="24"/>
          <w:szCs w:val="24"/>
        </w:rPr>
        <w:t xml:space="preserve">A. Goldman, R. Goldblum:  Defence agents in human milk. In: Jensen R (ed) Handb. milk Compos. Academic Press, </w:t>
      </w:r>
      <w:r w:rsidRPr="000D2B3E">
        <w:rPr>
          <w:rFonts w:ascii="Times New Roman" w:hAnsi="Times New Roman" w:cs="Times New Roman"/>
          <w:b/>
          <w:noProof/>
          <w:sz w:val="24"/>
          <w:szCs w:val="24"/>
        </w:rPr>
        <w:t>1995</w:t>
      </w:r>
      <w:r w:rsidRPr="000D2B3E">
        <w:rPr>
          <w:rFonts w:ascii="Times New Roman" w:hAnsi="Times New Roman" w:cs="Times New Roman"/>
          <w:noProof/>
          <w:sz w:val="24"/>
          <w:szCs w:val="24"/>
        </w:rPr>
        <w:t>, pp 727–745.</w:t>
      </w:r>
    </w:p>
    <w:p w:rsidR="00B30302" w:rsidRPr="000D2B3E" w:rsidRDefault="00B30302" w:rsidP="00DB1014">
      <w:pPr>
        <w:pStyle w:val="ListParagraph"/>
        <w:widowControl w:val="0"/>
        <w:numPr>
          <w:ilvl w:val="0"/>
          <w:numId w:val="15"/>
        </w:numPr>
        <w:autoSpaceDE w:val="0"/>
        <w:autoSpaceDN w:val="0"/>
        <w:adjustRightInd w:val="0"/>
        <w:spacing w:after="140" w:line="360" w:lineRule="auto"/>
        <w:jc w:val="both"/>
        <w:rPr>
          <w:rFonts w:ascii="Times New Roman" w:hAnsi="Times New Roman" w:cs="Times New Roman"/>
          <w:noProof/>
          <w:sz w:val="24"/>
          <w:szCs w:val="24"/>
        </w:rPr>
      </w:pPr>
      <w:r w:rsidRPr="000D2B3E">
        <w:rPr>
          <w:rFonts w:ascii="Times New Roman" w:hAnsi="Times New Roman" w:cs="Times New Roman"/>
          <w:noProof/>
          <w:sz w:val="24"/>
          <w:szCs w:val="24"/>
        </w:rPr>
        <w:t>M.L. Cross, H.S. Gill,  Br</w:t>
      </w:r>
      <w:r w:rsidR="00606E89" w:rsidRPr="000D2B3E">
        <w:rPr>
          <w:rFonts w:ascii="Times New Roman" w:hAnsi="Times New Roman" w:cs="Times New Roman"/>
          <w:noProof/>
          <w:sz w:val="24"/>
          <w:szCs w:val="24"/>
        </w:rPr>
        <w:t>.</w:t>
      </w:r>
      <w:r w:rsidRPr="000D2B3E">
        <w:rPr>
          <w:rFonts w:ascii="Times New Roman" w:hAnsi="Times New Roman" w:cs="Times New Roman"/>
          <w:noProof/>
          <w:sz w:val="24"/>
          <w:szCs w:val="24"/>
        </w:rPr>
        <w:t xml:space="preserve"> J</w:t>
      </w:r>
      <w:r w:rsidR="00606E89" w:rsidRPr="000D2B3E">
        <w:rPr>
          <w:rFonts w:ascii="Times New Roman" w:hAnsi="Times New Roman" w:cs="Times New Roman"/>
          <w:noProof/>
          <w:sz w:val="24"/>
          <w:szCs w:val="24"/>
        </w:rPr>
        <w:t>.</w:t>
      </w:r>
      <w:r w:rsidRPr="000D2B3E">
        <w:rPr>
          <w:rFonts w:ascii="Times New Roman" w:hAnsi="Times New Roman" w:cs="Times New Roman"/>
          <w:noProof/>
          <w:sz w:val="24"/>
          <w:szCs w:val="24"/>
        </w:rPr>
        <w:t xml:space="preserve"> Nutr</w:t>
      </w:r>
      <w:r w:rsidR="00606E89" w:rsidRPr="000D2B3E">
        <w:rPr>
          <w:rFonts w:ascii="Times New Roman" w:hAnsi="Times New Roman" w:cs="Times New Roman"/>
          <w:noProof/>
          <w:sz w:val="24"/>
          <w:szCs w:val="24"/>
        </w:rPr>
        <w:t xml:space="preserve">. </w:t>
      </w:r>
      <w:r w:rsidR="00606E89" w:rsidRPr="000D2B3E">
        <w:rPr>
          <w:rFonts w:ascii="Times New Roman" w:hAnsi="Times New Roman" w:cs="Times New Roman"/>
          <w:b/>
          <w:noProof/>
          <w:sz w:val="24"/>
          <w:szCs w:val="24"/>
        </w:rPr>
        <w:t>2000</w:t>
      </w:r>
      <w:r w:rsidR="00606E89" w:rsidRPr="000D2B3E">
        <w:rPr>
          <w:rFonts w:ascii="Times New Roman" w:hAnsi="Times New Roman" w:cs="Times New Roman"/>
          <w:noProof/>
          <w:sz w:val="24"/>
          <w:szCs w:val="24"/>
        </w:rPr>
        <w:t>,</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84</w:t>
      </w:r>
      <w:r w:rsidR="00606E89" w:rsidRPr="000D2B3E">
        <w:rPr>
          <w:rFonts w:ascii="Times New Roman" w:hAnsi="Times New Roman" w:cs="Times New Roman"/>
          <w:noProof/>
          <w:sz w:val="24"/>
          <w:szCs w:val="24"/>
        </w:rPr>
        <w:t xml:space="preserve">, 81–89. </w:t>
      </w:r>
    </w:p>
    <w:p w:rsidR="00B30302" w:rsidRPr="000D2B3E" w:rsidRDefault="00B30302"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 xml:space="preserve">B. Lonnerdal, B. </w:t>
      </w:r>
      <w:r w:rsidRPr="000D2B3E">
        <w:rPr>
          <w:rFonts w:ascii="Times New Roman" w:hAnsi="Times New Roman" w:cs="Times New Roman"/>
          <w:i/>
          <w:noProof/>
          <w:sz w:val="24"/>
          <w:szCs w:val="24"/>
        </w:rPr>
        <w:t>Nutrition</w:t>
      </w:r>
      <w:r w:rsidR="00F81C07" w:rsidRPr="000D2B3E">
        <w:rPr>
          <w:rFonts w:ascii="Times New Roman" w:hAnsi="Times New Roman" w:cs="Times New Roman"/>
          <w:i/>
          <w:noProof/>
          <w:sz w:val="24"/>
          <w:szCs w:val="24"/>
        </w:rPr>
        <w:t>.</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2000</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16</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509–511.</w:t>
      </w:r>
    </w:p>
    <w:p w:rsidR="00B30302" w:rsidRPr="000D2B3E" w:rsidRDefault="00B30302" w:rsidP="00DB1014">
      <w:pPr>
        <w:pStyle w:val="ListParagraph"/>
        <w:widowControl w:val="0"/>
        <w:numPr>
          <w:ilvl w:val="0"/>
          <w:numId w:val="15"/>
        </w:numPr>
        <w:autoSpaceDE w:val="0"/>
        <w:autoSpaceDN w:val="0"/>
        <w:adjustRightInd w:val="0"/>
        <w:spacing w:after="0" w:line="360" w:lineRule="auto"/>
        <w:jc w:val="both"/>
        <w:rPr>
          <w:rFonts w:ascii="Times New Roman" w:hAnsi="Times New Roman" w:cs="Times New Roman"/>
          <w:noProof/>
          <w:sz w:val="24"/>
          <w:szCs w:val="24"/>
        </w:rPr>
      </w:pPr>
      <w:r w:rsidRPr="000D2B3E">
        <w:rPr>
          <w:rFonts w:ascii="Times New Roman" w:hAnsi="Times New Roman" w:cs="Times New Roman"/>
          <w:noProof/>
          <w:sz w:val="24"/>
          <w:szCs w:val="24"/>
        </w:rPr>
        <w:t xml:space="preserve">B. Koletzko, S.Baker, G.N. Cleghorn, F.Ulysses , S.Gopalan, O. Hernell, Q. S.Hock, P.Jirapinyo, B.Lonnerdal, P.Pencharz, H. Pzyrembel, J. Ramirez-Mayans, R.Shamir, D.Turck, Y.Yamashiro, D. Zong-Yi, </w:t>
      </w:r>
      <w:r w:rsidRPr="000D2B3E">
        <w:rPr>
          <w:rFonts w:ascii="Times New Roman" w:hAnsi="Times New Roman" w:cs="Times New Roman"/>
          <w:i/>
          <w:noProof/>
          <w:sz w:val="24"/>
          <w:szCs w:val="24"/>
        </w:rPr>
        <w:t>J</w:t>
      </w:r>
      <w:r w:rsidR="00EC7CC1"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 xml:space="preserve"> Pediatr</w:t>
      </w:r>
      <w:r w:rsidR="00EC7CC1"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 xml:space="preserve"> Gastroenterol</w:t>
      </w:r>
      <w:r w:rsidR="00EC7CC1"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 xml:space="preserve"> Nut</w:t>
      </w:r>
      <w:r w:rsidR="00EC7CC1"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r</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2005</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DB1014">
        <w:rPr>
          <w:rFonts w:ascii="Times New Roman" w:hAnsi="Times New Roman" w:cs="Times New Roman"/>
          <w:i/>
          <w:noProof/>
          <w:sz w:val="24"/>
          <w:szCs w:val="24"/>
        </w:rPr>
        <w:t>41</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 xml:space="preserve">584 –599. </w:t>
      </w:r>
    </w:p>
    <w:p w:rsidR="00B30302" w:rsidRPr="000D2B3E" w:rsidRDefault="00B30302"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O.T. Ofte</w:t>
      </w:r>
      <w:r w:rsidR="00EC7CC1" w:rsidRPr="000D2B3E">
        <w:rPr>
          <w:rFonts w:ascii="Times New Roman" w:hAnsi="Times New Roman" w:cs="Times New Roman"/>
          <w:noProof/>
          <w:sz w:val="24"/>
          <w:szCs w:val="24"/>
        </w:rPr>
        <w:t>dal,</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Animal</w:t>
      </w:r>
      <w:r w:rsidR="00F81C07" w:rsidRPr="000D2B3E">
        <w:rPr>
          <w:rFonts w:ascii="Times New Roman" w:hAnsi="Times New Roman" w:cs="Times New Roman"/>
          <w:i/>
          <w:noProof/>
          <w:sz w:val="24"/>
          <w:szCs w:val="24"/>
        </w:rPr>
        <w:t>.</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2012</w:t>
      </w:r>
      <w:r w:rsidR="00DB1014">
        <w:rPr>
          <w:rFonts w:ascii="Times New Roman" w:hAnsi="Times New Roman" w:cs="Times New Roman"/>
          <w:noProof/>
          <w:sz w:val="24"/>
          <w:szCs w:val="24"/>
        </w:rPr>
        <w:t xml:space="preserve">, </w:t>
      </w:r>
      <w:r w:rsidR="00DB1014" w:rsidRPr="00DB1014">
        <w:rPr>
          <w:rFonts w:ascii="Times New Roman" w:hAnsi="Times New Roman" w:cs="Times New Roman"/>
          <w:i/>
          <w:noProof/>
          <w:sz w:val="24"/>
          <w:szCs w:val="24"/>
        </w:rPr>
        <w:t>6</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355–368.</w:t>
      </w:r>
    </w:p>
    <w:p w:rsidR="00F81C07" w:rsidRPr="000D2B3E" w:rsidRDefault="00F81C07" w:rsidP="00DB1014">
      <w:pPr>
        <w:pStyle w:val="ListParagraph"/>
        <w:widowControl w:val="0"/>
        <w:numPr>
          <w:ilvl w:val="0"/>
          <w:numId w:val="15"/>
        </w:numPr>
        <w:autoSpaceDE w:val="0"/>
        <w:autoSpaceDN w:val="0"/>
        <w:adjustRightInd w:val="0"/>
        <w:spacing w:after="140" w:line="360" w:lineRule="auto"/>
        <w:jc w:val="both"/>
        <w:rPr>
          <w:rFonts w:ascii="Times New Roman" w:hAnsi="Times New Roman" w:cs="Times New Roman"/>
          <w:noProof/>
          <w:sz w:val="24"/>
          <w:szCs w:val="24"/>
        </w:rPr>
      </w:pPr>
      <w:r w:rsidRPr="000D2B3E">
        <w:rPr>
          <w:rFonts w:ascii="Times New Roman" w:hAnsi="Times New Roman" w:cs="Times New Roman"/>
          <w:noProof/>
          <w:sz w:val="24"/>
          <w:szCs w:val="24"/>
        </w:rPr>
        <w:t xml:space="preserve">EFSA Panel on Dietetic Products </w:t>
      </w:r>
      <w:r w:rsidR="00DB1014">
        <w:rPr>
          <w:rFonts w:ascii="Times New Roman" w:hAnsi="Times New Roman" w:cs="Times New Roman"/>
          <w:noProof/>
          <w:sz w:val="24"/>
          <w:szCs w:val="24"/>
        </w:rPr>
        <w:t xml:space="preserve">Nutrition and Allergies (NDA)s </w:t>
      </w:r>
      <w:r w:rsidRPr="000D2B3E">
        <w:rPr>
          <w:rFonts w:ascii="Times New Roman" w:hAnsi="Times New Roman" w:cs="Times New Roman"/>
          <w:noProof/>
          <w:sz w:val="24"/>
          <w:szCs w:val="24"/>
        </w:rPr>
        <w:t xml:space="preserve"> Scientific Opinion on </w:t>
      </w:r>
      <w:r w:rsidRPr="000D2B3E">
        <w:rPr>
          <w:rFonts w:ascii="Times New Roman" w:hAnsi="Times New Roman" w:cs="Times New Roman"/>
          <w:i/>
          <w:noProof/>
          <w:sz w:val="24"/>
          <w:szCs w:val="24"/>
        </w:rPr>
        <w:t>the</w:t>
      </w:r>
      <w:r w:rsidRPr="000D2B3E">
        <w:rPr>
          <w:rFonts w:ascii="Times New Roman" w:hAnsi="Times New Roman" w:cs="Times New Roman"/>
          <w:noProof/>
          <w:sz w:val="24"/>
          <w:szCs w:val="24"/>
        </w:rPr>
        <w:t xml:space="preserve"> substantiation of health claims related to zinc. EFSA </w:t>
      </w:r>
      <w:r w:rsidR="00DB1014" w:rsidRPr="00DB1014">
        <w:rPr>
          <w:rFonts w:ascii="Times New Roman" w:hAnsi="Times New Roman" w:cs="Times New Roman"/>
          <w:b/>
          <w:noProof/>
          <w:sz w:val="24"/>
          <w:szCs w:val="24"/>
        </w:rPr>
        <w:t>2009</w:t>
      </w:r>
      <w:r w:rsidR="00DB1014" w:rsidRPr="001C0E5A">
        <w:rPr>
          <w:rFonts w:ascii="Times New Roman" w:hAnsi="Times New Roman" w:cs="Times New Roman"/>
          <w:b/>
          <w:noProof/>
          <w:sz w:val="24"/>
          <w:szCs w:val="24"/>
        </w:rPr>
        <w:t xml:space="preserve">, </w:t>
      </w:r>
      <w:r w:rsidR="001C0E5A">
        <w:rPr>
          <w:rFonts w:ascii="Times New Roman" w:hAnsi="Times New Roman" w:cs="Times New Roman"/>
          <w:noProof/>
          <w:sz w:val="24"/>
          <w:szCs w:val="24"/>
        </w:rPr>
        <w:t>J</w:t>
      </w:r>
      <w:r w:rsidRPr="001C0E5A">
        <w:rPr>
          <w:rFonts w:ascii="Times New Roman" w:hAnsi="Times New Roman" w:cs="Times New Roman"/>
          <w:noProof/>
          <w:sz w:val="24"/>
          <w:szCs w:val="24"/>
        </w:rPr>
        <w:t>7 (9): 122:34.</w:t>
      </w:r>
    </w:p>
    <w:p w:rsidR="00F81C07" w:rsidRPr="000D2B3E" w:rsidRDefault="00F81C07"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lastRenderedPageBreak/>
        <w:t xml:space="preserve">K. Simmer, R.P. Thompson, </w:t>
      </w:r>
      <w:r w:rsidRPr="000D2B3E">
        <w:rPr>
          <w:rFonts w:ascii="Times New Roman" w:hAnsi="Times New Roman" w:cs="Times New Roman"/>
          <w:i/>
          <w:noProof/>
          <w:sz w:val="24"/>
          <w:szCs w:val="24"/>
        </w:rPr>
        <w:t>Acta. Paediatr. Scand. Suppl.</w:t>
      </w:r>
      <w:r w:rsidRPr="000D2B3E">
        <w:rPr>
          <w:rFonts w:ascii="Times New Roman" w:hAnsi="Times New Roman" w:cs="Times New Roman"/>
          <w:noProof/>
          <w:sz w:val="24"/>
          <w:szCs w:val="24"/>
        </w:rPr>
        <w:t xml:space="preserve"> </w:t>
      </w:r>
      <w:r w:rsidRPr="00DB1014">
        <w:rPr>
          <w:rFonts w:ascii="Times New Roman" w:hAnsi="Times New Roman" w:cs="Times New Roman"/>
          <w:b/>
          <w:noProof/>
          <w:sz w:val="24"/>
          <w:szCs w:val="24"/>
        </w:rPr>
        <w:t>1985</w:t>
      </w:r>
      <w:r w:rsidRPr="000D2B3E">
        <w:rPr>
          <w:rFonts w:ascii="Times New Roman" w:hAnsi="Times New Roman" w:cs="Times New Roman"/>
          <w:noProof/>
          <w:sz w:val="24"/>
          <w:szCs w:val="24"/>
        </w:rPr>
        <w:t xml:space="preserve">, </w:t>
      </w:r>
      <w:r w:rsidRPr="00DB1014">
        <w:rPr>
          <w:rFonts w:ascii="Times New Roman" w:hAnsi="Times New Roman" w:cs="Times New Roman"/>
          <w:i/>
          <w:noProof/>
          <w:sz w:val="24"/>
          <w:szCs w:val="24"/>
        </w:rPr>
        <w:t>319</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158–163.</w:t>
      </w:r>
    </w:p>
    <w:p w:rsidR="00F81C07" w:rsidRPr="000D2B3E" w:rsidRDefault="00F81C07"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 xml:space="preserve">N. Fabris, E. Mocchegiani, </w:t>
      </w:r>
      <w:r w:rsidRPr="000D2B3E">
        <w:rPr>
          <w:rFonts w:ascii="Times New Roman" w:hAnsi="Times New Roman" w:cs="Times New Roman"/>
          <w:i/>
          <w:noProof/>
          <w:sz w:val="24"/>
          <w:szCs w:val="24"/>
        </w:rPr>
        <w:t>Aging (Milano).</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1995</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7</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77–93.</w:t>
      </w:r>
    </w:p>
    <w:p w:rsidR="00F81C07" w:rsidRPr="000D2B3E" w:rsidRDefault="00F81C07"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 xml:space="preserve">W. Maret, H.H. Sandstead,. </w:t>
      </w:r>
      <w:r w:rsidRPr="000D2B3E">
        <w:rPr>
          <w:rFonts w:ascii="Times New Roman" w:hAnsi="Times New Roman" w:cs="Times New Roman"/>
          <w:i/>
          <w:noProof/>
          <w:sz w:val="24"/>
          <w:szCs w:val="24"/>
        </w:rPr>
        <w:t>J. Trace. Elem. Med. Biol.</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2006</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20</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3–18.</w:t>
      </w:r>
    </w:p>
    <w:p w:rsidR="00B30302" w:rsidRPr="000D2B3E" w:rsidRDefault="00F81C07"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 xml:space="preserve">E.D. Harris, </w:t>
      </w:r>
      <w:r w:rsidRPr="000D2B3E">
        <w:rPr>
          <w:rFonts w:ascii="Times New Roman" w:hAnsi="Times New Roman" w:cs="Times New Roman"/>
          <w:i/>
          <w:noProof/>
          <w:sz w:val="24"/>
          <w:szCs w:val="24"/>
        </w:rPr>
        <w:t>Nutr. Rev.</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2001</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59</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281–285.</w:t>
      </w:r>
    </w:p>
    <w:p w:rsidR="00F81C07" w:rsidRPr="000D2B3E" w:rsidRDefault="00F81C07"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 xml:space="preserve">J. Osredkar, N. Sustar, </w:t>
      </w:r>
      <w:r w:rsidRPr="000D2B3E">
        <w:rPr>
          <w:rFonts w:ascii="Times New Roman" w:hAnsi="Times New Roman" w:cs="Times New Roman"/>
          <w:i/>
          <w:noProof/>
          <w:sz w:val="24"/>
          <w:szCs w:val="24"/>
        </w:rPr>
        <w:t>J. Clin. Toxicol.</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2011</w:t>
      </w:r>
      <w:r w:rsidRPr="000D2B3E">
        <w:rPr>
          <w:rFonts w:ascii="Times New Roman" w:hAnsi="Times New Roman" w:cs="Times New Roman"/>
          <w:noProof/>
          <w:sz w:val="24"/>
          <w:szCs w:val="24"/>
        </w:rPr>
        <w:t xml:space="preserve">, </w:t>
      </w:r>
      <w:r w:rsidR="009C553B" w:rsidRPr="000D2B3E">
        <w:rPr>
          <w:rFonts w:ascii="Times New Roman" w:hAnsi="Times New Roman" w:cs="Times New Roman"/>
          <w:noProof/>
          <w:sz w:val="24"/>
          <w:szCs w:val="24"/>
        </w:rPr>
        <w:t>S3-001.</w:t>
      </w:r>
    </w:p>
    <w:p w:rsidR="00F81C07" w:rsidRPr="000D2B3E" w:rsidRDefault="009C553B"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 xml:space="preserve">E.C Larkin, G. Rao, Importance of Fetal and Neonatal Iron: Adequacy for Normal Development of Central Nervous System. In: John Dobbing DSc, FRCP Frcp (ed) Brain, Behav. Iron Infant Diet. </w:t>
      </w:r>
      <w:r w:rsidRPr="000D2B3E">
        <w:rPr>
          <w:rFonts w:ascii="Times New Roman" w:hAnsi="Times New Roman" w:cs="Times New Roman"/>
          <w:b/>
          <w:noProof/>
          <w:sz w:val="24"/>
          <w:szCs w:val="24"/>
        </w:rPr>
        <w:t>1990</w:t>
      </w:r>
      <w:r w:rsidRPr="000D2B3E">
        <w:rPr>
          <w:rFonts w:ascii="Times New Roman" w:hAnsi="Times New Roman" w:cs="Times New Roman"/>
          <w:noProof/>
          <w:sz w:val="24"/>
          <w:szCs w:val="24"/>
        </w:rPr>
        <w:t xml:space="preserve">, </w:t>
      </w:r>
      <w:r w:rsidR="00DB1014" w:rsidRPr="000D2B3E">
        <w:rPr>
          <w:rFonts w:ascii="Times New Roman" w:hAnsi="Times New Roman" w:cs="Times New Roman"/>
          <w:noProof/>
          <w:sz w:val="24"/>
          <w:szCs w:val="24"/>
        </w:rPr>
        <w:t xml:space="preserve">pp </w:t>
      </w:r>
      <w:r w:rsidRPr="000D2B3E">
        <w:rPr>
          <w:rFonts w:ascii="Times New Roman" w:hAnsi="Times New Roman" w:cs="Times New Roman"/>
          <w:noProof/>
          <w:sz w:val="24"/>
          <w:szCs w:val="24"/>
        </w:rPr>
        <w:t>43–57</w:t>
      </w:r>
      <w:r w:rsidR="00B5421C" w:rsidRPr="000D2B3E">
        <w:rPr>
          <w:rFonts w:ascii="Times New Roman" w:hAnsi="Times New Roman" w:cs="Times New Roman"/>
          <w:noProof/>
          <w:sz w:val="24"/>
          <w:szCs w:val="24"/>
        </w:rPr>
        <w:t>.</w:t>
      </w:r>
    </w:p>
    <w:p w:rsidR="00F81C07" w:rsidRPr="000D2B3E" w:rsidRDefault="009C553B"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 xml:space="preserve">J.G. Dorea, </w:t>
      </w:r>
      <w:r w:rsidRPr="000D2B3E">
        <w:rPr>
          <w:rFonts w:ascii="Times New Roman" w:hAnsi="Times New Roman" w:cs="Times New Roman"/>
          <w:i/>
          <w:noProof/>
          <w:sz w:val="24"/>
          <w:szCs w:val="24"/>
        </w:rPr>
        <w:t>Nutrition.</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2000</w:t>
      </w:r>
      <w:r w:rsidRPr="000D2B3E">
        <w:rPr>
          <w:rFonts w:ascii="Times New Roman" w:hAnsi="Times New Roman" w:cs="Times New Roman"/>
          <w:noProof/>
          <w:sz w:val="24"/>
          <w:szCs w:val="24"/>
        </w:rPr>
        <w:t>,</w:t>
      </w:r>
      <w:r w:rsidR="00B5421C"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16</w:t>
      </w:r>
      <w:r w:rsidRPr="000D2B3E">
        <w:rPr>
          <w:rFonts w:ascii="Times New Roman" w:hAnsi="Times New Roman" w:cs="Times New Roman"/>
          <w:noProof/>
          <w:sz w:val="24"/>
          <w:szCs w:val="24"/>
        </w:rPr>
        <w:t>,</w:t>
      </w:r>
      <w:r w:rsidR="00B5421C" w:rsidRPr="000D2B3E">
        <w:rPr>
          <w:rFonts w:ascii="Times New Roman" w:hAnsi="Times New Roman" w:cs="Times New Roman"/>
          <w:noProof/>
          <w:sz w:val="24"/>
          <w:szCs w:val="24"/>
        </w:rPr>
        <w:t xml:space="preserve"> </w:t>
      </w:r>
      <w:r w:rsidRPr="000D2B3E">
        <w:rPr>
          <w:rFonts w:ascii="Times New Roman" w:hAnsi="Times New Roman" w:cs="Times New Roman"/>
          <w:noProof/>
          <w:sz w:val="24"/>
          <w:szCs w:val="24"/>
        </w:rPr>
        <w:t>209–20.</w:t>
      </w:r>
    </w:p>
    <w:p w:rsidR="00825FB0" w:rsidRPr="000D2B3E" w:rsidRDefault="00825FB0" w:rsidP="00DB1014">
      <w:pPr>
        <w:pStyle w:val="ListParagraph"/>
        <w:numPr>
          <w:ilvl w:val="0"/>
          <w:numId w:val="15"/>
        </w:numPr>
        <w:autoSpaceDE w:val="0"/>
        <w:autoSpaceDN w:val="0"/>
        <w:adjustRightInd w:val="0"/>
        <w:spacing w:before="120" w:after="0" w:line="360" w:lineRule="auto"/>
        <w:jc w:val="both"/>
        <w:rPr>
          <w:rFonts w:ascii="Times New Roman" w:hAnsi="Times New Roman" w:cs="Times New Roman"/>
          <w:b/>
          <w:sz w:val="24"/>
          <w:szCs w:val="24"/>
        </w:rPr>
      </w:pPr>
      <w:r w:rsidRPr="000D2B3E">
        <w:rPr>
          <w:rFonts w:ascii="Times New Roman" w:hAnsi="Times New Roman" w:cs="Times New Roman"/>
          <w:noProof/>
          <w:sz w:val="24"/>
          <w:szCs w:val="24"/>
        </w:rPr>
        <w:t>J.Koolman, K.H. Roehm,</w:t>
      </w:r>
      <w:r w:rsidR="009C553B" w:rsidRPr="000D2B3E">
        <w:rPr>
          <w:rFonts w:ascii="Times New Roman" w:hAnsi="Times New Roman" w:cs="Times New Roman"/>
          <w:noProof/>
          <w:sz w:val="24"/>
          <w:szCs w:val="24"/>
        </w:rPr>
        <w:t xml:space="preserve"> Color Atlas of Biochemistry.</w:t>
      </w:r>
      <w:r w:rsidR="00FE0C62" w:rsidRPr="000D2B3E">
        <w:rPr>
          <w:rFonts w:ascii="Times New Roman" w:hAnsi="Times New Roman" w:cs="Times New Roman"/>
          <w:noProof/>
          <w:sz w:val="24"/>
          <w:szCs w:val="24"/>
        </w:rPr>
        <w:t>2</w:t>
      </w:r>
      <w:r w:rsidR="00FE0C62" w:rsidRPr="000D2B3E">
        <w:rPr>
          <w:rFonts w:ascii="Times New Roman" w:hAnsi="Times New Roman" w:cs="Times New Roman"/>
          <w:noProof/>
          <w:sz w:val="24"/>
          <w:szCs w:val="24"/>
          <w:vertAlign w:val="superscript"/>
        </w:rPr>
        <w:t>nd</w:t>
      </w:r>
      <w:r w:rsidR="00FE0C62" w:rsidRPr="000D2B3E">
        <w:rPr>
          <w:rFonts w:ascii="Times New Roman" w:hAnsi="Times New Roman" w:cs="Times New Roman"/>
          <w:noProof/>
          <w:sz w:val="24"/>
          <w:szCs w:val="24"/>
        </w:rPr>
        <w:t xml:space="preserve"> Edition</w:t>
      </w:r>
      <w:r w:rsidR="005B44A6" w:rsidRPr="000D2B3E">
        <w:rPr>
          <w:rFonts w:ascii="Times New Roman" w:hAnsi="Times New Roman" w:cs="Times New Roman"/>
          <w:noProof/>
          <w:sz w:val="24"/>
          <w:szCs w:val="24"/>
        </w:rPr>
        <w:t xml:space="preserve">, Thieme </w:t>
      </w:r>
      <w:r w:rsidR="005B44A6" w:rsidRPr="000D2B3E">
        <w:rPr>
          <w:rFonts w:ascii="Times New Roman" w:hAnsi="Times New Roman" w:cs="Times New Roman"/>
          <w:b/>
          <w:noProof/>
          <w:sz w:val="24"/>
          <w:szCs w:val="24"/>
        </w:rPr>
        <w:t>2</w:t>
      </w:r>
      <w:r w:rsidRPr="000D2B3E">
        <w:rPr>
          <w:rFonts w:ascii="Times New Roman" w:hAnsi="Times New Roman" w:cs="Times New Roman"/>
          <w:b/>
          <w:noProof/>
          <w:sz w:val="24"/>
          <w:szCs w:val="24"/>
        </w:rPr>
        <w:t>005</w:t>
      </w:r>
      <w:r w:rsidRPr="000D2B3E">
        <w:rPr>
          <w:rFonts w:ascii="Times New Roman" w:hAnsi="Times New Roman" w:cs="Times New Roman"/>
          <w:noProof/>
          <w:sz w:val="24"/>
          <w:szCs w:val="24"/>
        </w:rPr>
        <w:t xml:space="preserve">, pp </w:t>
      </w:r>
      <w:r w:rsidR="005B44A6" w:rsidRPr="000D2B3E">
        <w:rPr>
          <w:rFonts w:ascii="Times New Roman" w:hAnsi="Times New Roman" w:cs="Times New Roman"/>
          <w:noProof/>
          <w:sz w:val="24"/>
          <w:szCs w:val="24"/>
        </w:rPr>
        <w:t>362-363</w:t>
      </w:r>
      <w:r w:rsidR="00DB1014">
        <w:rPr>
          <w:rFonts w:ascii="Times New Roman" w:hAnsi="Times New Roman" w:cs="Times New Roman"/>
          <w:noProof/>
          <w:sz w:val="24"/>
          <w:szCs w:val="24"/>
        </w:rPr>
        <w:t>.</w:t>
      </w:r>
    </w:p>
    <w:p w:rsidR="00825FB0" w:rsidRPr="000D2B3E" w:rsidRDefault="00825FB0" w:rsidP="00DB1014">
      <w:pPr>
        <w:pStyle w:val="ListParagraph"/>
        <w:numPr>
          <w:ilvl w:val="0"/>
          <w:numId w:val="15"/>
        </w:numPr>
        <w:autoSpaceDE w:val="0"/>
        <w:autoSpaceDN w:val="0"/>
        <w:adjustRightInd w:val="0"/>
        <w:spacing w:after="0" w:line="360" w:lineRule="auto"/>
        <w:jc w:val="both"/>
        <w:rPr>
          <w:rFonts w:ascii="Times New Roman" w:hAnsi="Times New Roman" w:cs="Times New Roman"/>
          <w:noProof/>
          <w:sz w:val="24"/>
          <w:szCs w:val="24"/>
        </w:rPr>
      </w:pPr>
      <w:r w:rsidRPr="000D2B3E">
        <w:rPr>
          <w:rFonts w:ascii="Times New Roman" w:hAnsi="Times New Roman" w:cs="Times New Roman"/>
          <w:sz w:val="24"/>
          <w:szCs w:val="24"/>
        </w:rPr>
        <w:t>M</w:t>
      </w:r>
      <w:r w:rsidRPr="000D2B3E">
        <w:rPr>
          <w:rFonts w:ascii="Times New Roman" w:hAnsi="Times New Roman" w:cs="Times New Roman"/>
          <w:noProof/>
          <w:sz w:val="24"/>
          <w:szCs w:val="24"/>
        </w:rPr>
        <w:t xml:space="preserve">. Hannan, B.Faraji, J. Tanguma, N. Longoria, R.C.M. Rodriguez, </w:t>
      </w:r>
      <w:r w:rsidRPr="000D2B3E">
        <w:rPr>
          <w:rFonts w:ascii="Times New Roman" w:hAnsi="Times New Roman" w:cs="Times New Roman"/>
          <w:i/>
          <w:noProof/>
          <w:sz w:val="24"/>
          <w:szCs w:val="24"/>
        </w:rPr>
        <w:t>Biol. Trace. Elem. Res.</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2009</w:t>
      </w:r>
      <w:r w:rsidRPr="000D2B3E">
        <w:rPr>
          <w:rFonts w:ascii="Times New Roman" w:hAnsi="Times New Roman" w:cs="Times New Roman"/>
          <w:noProof/>
          <w:sz w:val="24"/>
          <w:szCs w:val="24"/>
        </w:rPr>
        <w:t>, 1</w:t>
      </w:r>
      <w:r w:rsidRPr="000D2B3E">
        <w:rPr>
          <w:rFonts w:ascii="Times New Roman" w:hAnsi="Times New Roman" w:cs="Times New Roman"/>
          <w:i/>
          <w:noProof/>
          <w:sz w:val="24"/>
          <w:szCs w:val="24"/>
        </w:rPr>
        <w:t>27</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6–15.</w:t>
      </w:r>
    </w:p>
    <w:p w:rsidR="00825FB0" w:rsidRPr="000D2B3E" w:rsidRDefault="00825FB0" w:rsidP="00DB1014">
      <w:pPr>
        <w:pStyle w:val="ListParagraph"/>
        <w:numPr>
          <w:ilvl w:val="0"/>
          <w:numId w:val="15"/>
        </w:numPr>
        <w:autoSpaceDE w:val="0"/>
        <w:autoSpaceDN w:val="0"/>
        <w:adjustRightInd w:val="0"/>
        <w:spacing w:after="0" w:line="360" w:lineRule="auto"/>
        <w:jc w:val="both"/>
        <w:rPr>
          <w:rFonts w:ascii="Times New Roman" w:hAnsi="Times New Roman" w:cs="Times New Roman"/>
          <w:noProof/>
          <w:sz w:val="24"/>
          <w:szCs w:val="24"/>
        </w:rPr>
      </w:pPr>
      <w:r w:rsidRPr="000D2B3E">
        <w:rPr>
          <w:rFonts w:ascii="Times New Roman" w:hAnsi="Times New Roman" w:cs="Times New Roman"/>
          <w:noProof/>
          <w:sz w:val="24"/>
          <w:szCs w:val="24"/>
        </w:rPr>
        <w:t>D. Silvestre, M.J. Lagarda, R. Farré,</w:t>
      </w:r>
      <w:r w:rsidRPr="000D2B3E">
        <w:rPr>
          <w:rFonts w:ascii="Times New Roman" w:hAnsi="Times New Roman" w:cs="Times New Roman"/>
          <w:sz w:val="24"/>
          <w:szCs w:val="24"/>
        </w:rPr>
        <w:t xml:space="preserve"> C. </w:t>
      </w:r>
      <w:proofErr w:type="spellStart"/>
      <w:r w:rsidRPr="000D2B3E">
        <w:rPr>
          <w:rFonts w:ascii="Times New Roman" w:hAnsi="Times New Roman" w:cs="Times New Roman"/>
          <w:sz w:val="24"/>
          <w:szCs w:val="24"/>
        </w:rPr>
        <w:t>Martìnez</w:t>
      </w:r>
      <w:proofErr w:type="spellEnd"/>
      <w:r w:rsidRPr="000D2B3E">
        <w:rPr>
          <w:rFonts w:ascii="Times New Roman" w:hAnsi="Times New Roman" w:cs="Times New Roman"/>
          <w:sz w:val="24"/>
          <w:szCs w:val="24"/>
        </w:rPr>
        <w:t xml:space="preserve">-Costa, </w:t>
      </w:r>
      <w:proofErr w:type="spellStart"/>
      <w:r w:rsidRPr="000D2B3E">
        <w:rPr>
          <w:rFonts w:ascii="Times New Roman" w:hAnsi="Times New Roman" w:cs="Times New Roman"/>
          <w:sz w:val="24"/>
          <w:szCs w:val="24"/>
        </w:rPr>
        <w:t>J.Brines</w:t>
      </w:r>
      <w:proofErr w:type="spellEnd"/>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Food Chem.</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2000</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68</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95–99.</w:t>
      </w:r>
    </w:p>
    <w:p w:rsidR="00BF7087" w:rsidRPr="000D2B3E" w:rsidRDefault="00825FB0" w:rsidP="00DB1014">
      <w:pPr>
        <w:pStyle w:val="ListParagraph"/>
        <w:numPr>
          <w:ilvl w:val="0"/>
          <w:numId w:val="15"/>
        </w:numPr>
        <w:autoSpaceDE w:val="0"/>
        <w:autoSpaceDN w:val="0"/>
        <w:adjustRightInd w:val="0"/>
        <w:spacing w:after="0" w:line="360" w:lineRule="auto"/>
        <w:jc w:val="both"/>
        <w:rPr>
          <w:rFonts w:ascii="Times New Roman" w:hAnsi="Times New Roman" w:cs="Times New Roman"/>
          <w:noProof/>
          <w:sz w:val="24"/>
          <w:szCs w:val="24"/>
        </w:rPr>
      </w:pPr>
      <w:r w:rsidRPr="000D2B3E">
        <w:rPr>
          <w:rFonts w:ascii="Times New Roman" w:hAnsi="Times New Roman" w:cs="Times New Roman"/>
          <w:noProof/>
          <w:sz w:val="24"/>
          <w:szCs w:val="24"/>
        </w:rPr>
        <w:t xml:space="preserve">R. Melø, K. Gellein, L. Evje, T. Syversen, </w:t>
      </w:r>
      <w:r w:rsidRPr="000D2B3E">
        <w:rPr>
          <w:rFonts w:ascii="Times New Roman" w:hAnsi="Times New Roman" w:cs="Times New Roman"/>
          <w:i/>
          <w:noProof/>
          <w:sz w:val="24"/>
          <w:szCs w:val="24"/>
        </w:rPr>
        <w:t>Food Chem. Toxicol</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2008</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46</w:t>
      </w:r>
      <w:r w:rsidRPr="000D2B3E">
        <w:rPr>
          <w:rFonts w:ascii="Times New Roman" w:hAnsi="Times New Roman" w:cs="Times New Roman"/>
          <w:noProof/>
          <w:sz w:val="24"/>
          <w:szCs w:val="24"/>
        </w:rPr>
        <w:t>,3339–42.</w:t>
      </w:r>
    </w:p>
    <w:p w:rsidR="00BF7087" w:rsidRPr="000D2B3E" w:rsidRDefault="00825FB0" w:rsidP="00DB101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K.Ljung Björklund, M.Vahter, B.Palm,</w:t>
      </w:r>
      <w:r w:rsidRPr="000D2B3E">
        <w:rPr>
          <w:rFonts w:ascii="Times New Roman" w:hAnsi="Times New Roman" w:cs="Times New Roman"/>
          <w:sz w:val="24"/>
          <w:szCs w:val="24"/>
        </w:rPr>
        <w:t xml:space="preserve"> </w:t>
      </w:r>
      <w:proofErr w:type="spellStart"/>
      <w:r w:rsidR="00BF7087" w:rsidRPr="000D2B3E">
        <w:rPr>
          <w:rFonts w:ascii="Times New Roman" w:hAnsi="Times New Roman" w:cs="Times New Roman"/>
          <w:sz w:val="24"/>
          <w:szCs w:val="24"/>
        </w:rPr>
        <w:t>M</w:t>
      </w:r>
      <w:r w:rsidR="00BF7087" w:rsidRPr="000D2B3E">
        <w:rPr>
          <w:rFonts w:ascii="Times New Roman" w:hAnsi="Times New Roman" w:cs="Times New Roman"/>
          <w:noProof/>
          <w:sz w:val="24"/>
          <w:szCs w:val="24"/>
        </w:rPr>
        <w:t>.Grandér</w:t>
      </w:r>
      <w:proofErr w:type="spellEnd"/>
      <w:r w:rsidR="00BF7087" w:rsidRPr="000D2B3E">
        <w:rPr>
          <w:rFonts w:ascii="Times New Roman" w:hAnsi="Times New Roman" w:cs="Times New Roman"/>
          <w:noProof/>
          <w:sz w:val="24"/>
          <w:szCs w:val="24"/>
        </w:rPr>
        <w:t xml:space="preserve">, S.Lignell, M. </w:t>
      </w:r>
      <w:r w:rsidRPr="000D2B3E">
        <w:rPr>
          <w:rFonts w:ascii="Times New Roman" w:hAnsi="Times New Roman" w:cs="Times New Roman"/>
          <w:noProof/>
          <w:sz w:val="24"/>
          <w:szCs w:val="24"/>
        </w:rPr>
        <w:t>Berglund,</w:t>
      </w:r>
      <w:r w:rsidRPr="000D2B3E">
        <w:rPr>
          <w:rFonts w:ascii="Times New Roman" w:hAnsi="Times New Roman" w:cs="Times New Roman"/>
          <w:sz w:val="24"/>
          <w:szCs w:val="24"/>
        </w:rPr>
        <w:t xml:space="preserve"> </w:t>
      </w:r>
      <w:r w:rsidRPr="000D2B3E">
        <w:rPr>
          <w:rFonts w:ascii="Times New Roman" w:hAnsi="Times New Roman" w:cs="Times New Roman"/>
          <w:i/>
          <w:noProof/>
          <w:sz w:val="24"/>
          <w:szCs w:val="24"/>
        </w:rPr>
        <w:t>Environ Heal</w:t>
      </w:r>
      <w:r w:rsidR="00BF7087" w:rsidRPr="000D2B3E">
        <w:rPr>
          <w:rFonts w:ascii="Times New Roman" w:hAnsi="Times New Roman" w:cs="Times New Roman"/>
          <w:i/>
          <w:noProof/>
          <w:sz w:val="24"/>
          <w:szCs w:val="24"/>
        </w:rPr>
        <w:t>.</w:t>
      </w:r>
      <w:r w:rsidR="00BF7087" w:rsidRPr="000D2B3E">
        <w:rPr>
          <w:rFonts w:ascii="Times New Roman" w:hAnsi="Times New Roman" w:cs="Times New Roman"/>
          <w:noProof/>
          <w:sz w:val="24"/>
          <w:szCs w:val="24"/>
        </w:rPr>
        <w:t xml:space="preserve"> </w:t>
      </w:r>
      <w:r w:rsidR="00BF7087" w:rsidRPr="000D2B3E">
        <w:rPr>
          <w:rFonts w:ascii="Times New Roman" w:hAnsi="Times New Roman" w:cs="Times New Roman"/>
          <w:b/>
          <w:noProof/>
          <w:sz w:val="24"/>
          <w:szCs w:val="24"/>
        </w:rPr>
        <w:t>2012,</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11</w:t>
      </w:r>
      <w:r w:rsidR="00BF7087"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92</w:t>
      </w:r>
      <w:r w:rsidR="00BF7087" w:rsidRPr="000D2B3E">
        <w:rPr>
          <w:rFonts w:ascii="Times New Roman" w:hAnsi="Times New Roman" w:cs="Times New Roman"/>
          <w:noProof/>
          <w:sz w:val="24"/>
          <w:szCs w:val="24"/>
        </w:rPr>
        <w:t>.</w:t>
      </w:r>
    </w:p>
    <w:p w:rsidR="00BF7087" w:rsidRPr="000D2B3E" w:rsidRDefault="00BF7087" w:rsidP="00DB101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 xml:space="preserve">Y. Luo, B. Zhang, M.Chen, J. Wang, X. Zhang, W.Y. Gao, J.F. Huang, W.L. Fu, </w:t>
      </w:r>
      <w:r w:rsidRPr="000D2B3E">
        <w:rPr>
          <w:rFonts w:ascii="Times New Roman" w:hAnsi="Times New Roman" w:cs="Times New Roman"/>
          <w:i/>
          <w:noProof/>
          <w:sz w:val="24"/>
          <w:szCs w:val="24"/>
        </w:rPr>
        <w:t>J</w:t>
      </w:r>
      <w:r w:rsidR="00EC7CC1"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 xml:space="preserve"> Agric</w:t>
      </w:r>
      <w:r w:rsidR="00EC7CC1"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 xml:space="preserve"> Food</w:t>
      </w:r>
      <w:r w:rsidR="00EC7CC1" w:rsidRPr="000D2B3E">
        <w:rPr>
          <w:rFonts w:ascii="Times New Roman" w:hAnsi="Times New Roman" w:cs="Times New Roman"/>
          <w:i/>
          <w:noProof/>
          <w:sz w:val="24"/>
          <w:szCs w:val="24"/>
        </w:rPr>
        <w:t>.</w:t>
      </w:r>
      <w:r w:rsidRPr="000D2B3E">
        <w:rPr>
          <w:rFonts w:ascii="Times New Roman" w:hAnsi="Times New Roman" w:cs="Times New Roman"/>
          <w:i/>
          <w:noProof/>
          <w:sz w:val="24"/>
          <w:szCs w:val="24"/>
        </w:rPr>
        <w:t xml:space="preserve"> Chem</w:t>
      </w:r>
      <w:r w:rsidR="00EC7CC1" w:rsidRPr="000D2B3E">
        <w:rPr>
          <w:rFonts w:ascii="Times New Roman" w:hAnsi="Times New Roman" w:cs="Times New Roman"/>
          <w:noProof/>
          <w:sz w:val="24"/>
          <w:szCs w:val="24"/>
        </w:rPr>
        <w:t>.</w:t>
      </w:r>
      <w:r w:rsidRPr="000D2B3E">
        <w:rPr>
          <w:rFonts w:ascii="Times New Roman" w:hAnsi="Times New Roman" w:cs="Times New Roman"/>
          <w:noProof/>
          <w:sz w:val="24"/>
          <w:szCs w:val="24"/>
        </w:rPr>
        <w:t xml:space="preserve"> </w:t>
      </w:r>
      <w:r w:rsidRPr="00DB1014">
        <w:rPr>
          <w:rFonts w:ascii="Times New Roman" w:hAnsi="Times New Roman" w:cs="Times New Roman"/>
          <w:b/>
          <w:noProof/>
          <w:sz w:val="24"/>
          <w:szCs w:val="24"/>
        </w:rPr>
        <w:t>2010</w:t>
      </w:r>
      <w:r w:rsidRPr="000D2B3E">
        <w:rPr>
          <w:rFonts w:ascii="Times New Roman" w:hAnsi="Times New Roman" w:cs="Times New Roman"/>
          <w:noProof/>
          <w:sz w:val="24"/>
          <w:szCs w:val="24"/>
        </w:rPr>
        <w:t xml:space="preserve">, </w:t>
      </w:r>
      <w:r w:rsidRPr="00DB1014">
        <w:rPr>
          <w:rFonts w:ascii="Times New Roman" w:hAnsi="Times New Roman" w:cs="Times New Roman"/>
          <w:i/>
          <w:noProof/>
          <w:sz w:val="24"/>
          <w:szCs w:val="24"/>
        </w:rPr>
        <w:t>58</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9396–9400.</w:t>
      </w:r>
    </w:p>
    <w:p w:rsidR="00BF7087" w:rsidRPr="000D2B3E" w:rsidRDefault="00BF7087" w:rsidP="00DB101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 xml:space="preserve">R.S. Nascimento, R.E.S. Froes, N.O.C. Silva, R.L.P. </w:t>
      </w:r>
      <w:proofErr w:type="spellStart"/>
      <w:r w:rsidRPr="000D2B3E">
        <w:rPr>
          <w:rFonts w:ascii="Times New Roman" w:hAnsi="Times New Roman" w:cs="Times New Roman"/>
          <w:sz w:val="24"/>
          <w:szCs w:val="24"/>
        </w:rPr>
        <w:t>Naveira</w:t>
      </w:r>
      <w:proofErr w:type="spellEnd"/>
      <w:r w:rsidRPr="000D2B3E">
        <w:rPr>
          <w:rFonts w:ascii="Times New Roman" w:hAnsi="Times New Roman" w:cs="Times New Roman"/>
          <w:sz w:val="24"/>
          <w:szCs w:val="24"/>
        </w:rPr>
        <w:t xml:space="preserve">, D.B.C. Mendes, W.B. </w:t>
      </w:r>
      <w:proofErr w:type="spellStart"/>
      <w:r w:rsidRPr="000D2B3E">
        <w:rPr>
          <w:rFonts w:ascii="Times New Roman" w:hAnsi="Times New Roman" w:cs="Times New Roman"/>
          <w:sz w:val="24"/>
          <w:szCs w:val="24"/>
        </w:rPr>
        <w:t>Neto</w:t>
      </w:r>
      <w:proofErr w:type="spellEnd"/>
      <w:r w:rsidRPr="000D2B3E">
        <w:rPr>
          <w:rFonts w:ascii="Times New Roman" w:hAnsi="Times New Roman" w:cs="Times New Roman"/>
          <w:sz w:val="24"/>
          <w:szCs w:val="24"/>
        </w:rPr>
        <w:t>, J.B.B. Silva,</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At. Spectrosc</w:t>
      </w:r>
      <w:r w:rsidR="00EC7CC1" w:rsidRPr="000D2B3E">
        <w:rPr>
          <w:rFonts w:ascii="Times New Roman" w:hAnsi="Times New Roman" w:cs="Times New Roman"/>
          <w:noProof/>
          <w:sz w:val="24"/>
          <w:szCs w:val="24"/>
        </w:rPr>
        <w:t>.</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2010</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43</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960–971.</w:t>
      </w:r>
    </w:p>
    <w:p w:rsidR="003974ED" w:rsidRPr="000D2B3E" w:rsidRDefault="00BF7087" w:rsidP="00DB101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N. Campillo, P. Viñas, I. López-García, M. Hernández-Córdoba</w:t>
      </w:r>
      <w:r w:rsidR="00EC7CC1" w:rsidRPr="000D2B3E">
        <w:rPr>
          <w:rFonts w:ascii="Times New Roman" w:hAnsi="Times New Roman" w:cs="Times New Roman"/>
          <w:noProof/>
          <w:sz w:val="24"/>
          <w:szCs w:val="24"/>
        </w:rPr>
        <w:t>.</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Talanta</w:t>
      </w:r>
      <w:r w:rsidRPr="000D2B3E">
        <w:rPr>
          <w:rFonts w:ascii="Times New Roman" w:hAnsi="Times New Roman" w:cs="Times New Roman"/>
          <w:noProof/>
          <w:sz w:val="24"/>
          <w:szCs w:val="24"/>
        </w:rPr>
        <w:t xml:space="preserve">. </w:t>
      </w:r>
      <w:r w:rsidRPr="00DB1014">
        <w:rPr>
          <w:rFonts w:ascii="Times New Roman" w:hAnsi="Times New Roman" w:cs="Times New Roman"/>
          <w:b/>
          <w:noProof/>
          <w:sz w:val="24"/>
          <w:szCs w:val="24"/>
        </w:rPr>
        <w:t>1998</w:t>
      </w:r>
      <w:r w:rsidRPr="000D2B3E">
        <w:rPr>
          <w:rFonts w:ascii="Times New Roman" w:hAnsi="Times New Roman" w:cs="Times New Roman"/>
          <w:noProof/>
          <w:sz w:val="24"/>
          <w:szCs w:val="24"/>
        </w:rPr>
        <w:t xml:space="preserve">, </w:t>
      </w:r>
      <w:r w:rsidR="00EC7CC1" w:rsidRPr="000D2B3E">
        <w:rPr>
          <w:rFonts w:ascii="Times New Roman" w:hAnsi="Times New Roman" w:cs="Times New Roman"/>
          <w:i/>
          <w:noProof/>
          <w:sz w:val="24"/>
          <w:szCs w:val="24"/>
        </w:rPr>
        <w:t>46</w:t>
      </w:r>
      <w:r w:rsidR="00EC7CC1" w:rsidRPr="000D2B3E">
        <w:rPr>
          <w:rFonts w:ascii="Times New Roman" w:hAnsi="Times New Roman" w:cs="Times New Roman"/>
          <w:noProof/>
          <w:sz w:val="24"/>
          <w:szCs w:val="24"/>
        </w:rPr>
        <w:t>,</w:t>
      </w:r>
      <w:r w:rsidRPr="000D2B3E">
        <w:rPr>
          <w:rFonts w:ascii="Times New Roman" w:hAnsi="Times New Roman" w:cs="Times New Roman"/>
          <w:noProof/>
          <w:sz w:val="24"/>
          <w:szCs w:val="24"/>
        </w:rPr>
        <w:t xml:space="preserve"> 615–622</w:t>
      </w:r>
      <w:r w:rsidR="003974ED" w:rsidRPr="000D2B3E">
        <w:rPr>
          <w:rFonts w:ascii="Times New Roman" w:hAnsi="Times New Roman" w:cs="Times New Roman"/>
          <w:noProof/>
          <w:sz w:val="24"/>
          <w:szCs w:val="24"/>
        </w:rPr>
        <w:t>.</w:t>
      </w:r>
    </w:p>
    <w:p w:rsidR="00EC7CC1" w:rsidRPr="000D2B3E" w:rsidRDefault="003974ED" w:rsidP="00DB101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 xml:space="preserve">A. </w:t>
      </w:r>
      <w:proofErr w:type="spellStart"/>
      <w:r w:rsidRPr="000D2B3E">
        <w:rPr>
          <w:rFonts w:ascii="Times New Roman" w:hAnsi="Times New Roman" w:cs="Times New Roman"/>
          <w:sz w:val="24"/>
          <w:szCs w:val="24"/>
        </w:rPr>
        <w:t>Pineau</w:t>
      </w:r>
      <w:proofErr w:type="spellEnd"/>
      <w:r w:rsidRPr="000D2B3E">
        <w:rPr>
          <w:rFonts w:ascii="Times New Roman" w:hAnsi="Times New Roman" w:cs="Times New Roman"/>
          <w:sz w:val="24"/>
          <w:szCs w:val="24"/>
        </w:rPr>
        <w:t xml:space="preserve">, B. </w:t>
      </w:r>
      <w:proofErr w:type="spellStart"/>
      <w:r w:rsidRPr="000D2B3E">
        <w:rPr>
          <w:rFonts w:ascii="Times New Roman" w:hAnsi="Times New Roman" w:cs="Times New Roman"/>
          <w:sz w:val="24"/>
          <w:szCs w:val="24"/>
        </w:rPr>
        <w:t>Fauconneau</w:t>
      </w:r>
      <w:proofErr w:type="spellEnd"/>
      <w:r w:rsidRPr="000D2B3E">
        <w:rPr>
          <w:rFonts w:ascii="Times New Roman" w:hAnsi="Times New Roman" w:cs="Times New Roman"/>
          <w:sz w:val="24"/>
          <w:szCs w:val="24"/>
        </w:rPr>
        <w:t xml:space="preserve">, A. </w:t>
      </w:r>
      <w:proofErr w:type="spellStart"/>
      <w:r w:rsidRPr="000D2B3E">
        <w:rPr>
          <w:rFonts w:ascii="Times New Roman" w:hAnsi="Times New Roman" w:cs="Times New Roman"/>
          <w:sz w:val="24"/>
          <w:szCs w:val="24"/>
        </w:rPr>
        <w:t>Marrauld</w:t>
      </w:r>
      <w:proofErr w:type="spellEnd"/>
      <w:r w:rsidRPr="000D2B3E">
        <w:rPr>
          <w:rFonts w:ascii="Times New Roman" w:hAnsi="Times New Roman" w:cs="Times New Roman"/>
          <w:sz w:val="24"/>
          <w:szCs w:val="24"/>
        </w:rPr>
        <w:t xml:space="preserve">, A. </w:t>
      </w:r>
      <w:proofErr w:type="spellStart"/>
      <w:r w:rsidRPr="000D2B3E">
        <w:rPr>
          <w:rFonts w:ascii="Times New Roman" w:hAnsi="Times New Roman" w:cs="Times New Roman"/>
          <w:sz w:val="24"/>
          <w:szCs w:val="24"/>
        </w:rPr>
        <w:t>Lebeau</w:t>
      </w:r>
      <w:proofErr w:type="spellEnd"/>
      <w:r w:rsidRPr="000D2B3E">
        <w:rPr>
          <w:rFonts w:ascii="Times New Roman" w:hAnsi="Times New Roman" w:cs="Times New Roman"/>
          <w:sz w:val="24"/>
          <w:szCs w:val="24"/>
        </w:rPr>
        <w:t xml:space="preserve">, R. </w:t>
      </w:r>
      <w:proofErr w:type="spellStart"/>
      <w:r w:rsidRPr="000D2B3E">
        <w:rPr>
          <w:rFonts w:ascii="Times New Roman" w:hAnsi="Times New Roman" w:cs="Times New Roman"/>
          <w:sz w:val="24"/>
          <w:szCs w:val="24"/>
        </w:rPr>
        <w:t>Hankard</w:t>
      </w:r>
      <w:proofErr w:type="spellEnd"/>
      <w:r w:rsidRPr="000D2B3E">
        <w:rPr>
          <w:rFonts w:ascii="Times New Roman" w:hAnsi="Times New Roman" w:cs="Times New Roman"/>
          <w:sz w:val="24"/>
          <w:szCs w:val="24"/>
        </w:rPr>
        <w:t xml:space="preserve">, O. </w:t>
      </w:r>
      <w:proofErr w:type="spellStart"/>
      <w:r w:rsidRPr="000D2B3E">
        <w:rPr>
          <w:rFonts w:ascii="Times New Roman" w:hAnsi="Times New Roman" w:cs="Times New Roman"/>
          <w:sz w:val="24"/>
          <w:szCs w:val="24"/>
        </w:rPr>
        <w:t>Guillard</w:t>
      </w:r>
      <w:proofErr w:type="spellEnd"/>
      <w:r w:rsidRPr="000D2B3E">
        <w:rPr>
          <w:rFonts w:ascii="Times New Roman" w:hAnsi="Times New Roman" w:cs="Times New Roman"/>
          <w:sz w:val="24"/>
          <w:szCs w:val="24"/>
        </w:rPr>
        <w:t xml:space="preserve">, </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Biol. Trace. Elem. Res.</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2015</w:t>
      </w:r>
      <w:r w:rsidRPr="000D2B3E">
        <w:rPr>
          <w:rFonts w:ascii="Times New Roman" w:hAnsi="Times New Roman" w:cs="Times New Roman"/>
          <w:noProof/>
          <w:sz w:val="24"/>
          <w:szCs w:val="24"/>
        </w:rPr>
        <w:t xml:space="preserve">, </w:t>
      </w:r>
      <w:r w:rsidRPr="00DB1014">
        <w:rPr>
          <w:rFonts w:ascii="Times New Roman" w:hAnsi="Times New Roman" w:cs="Times New Roman"/>
          <w:i/>
          <w:noProof/>
          <w:sz w:val="24"/>
          <w:szCs w:val="24"/>
        </w:rPr>
        <w:t>166</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119–122.</w:t>
      </w:r>
    </w:p>
    <w:p w:rsidR="003A1206" w:rsidRPr="000D2B3E" w:rsidRDefault="009136AC" w:rsidP="00DB101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 xml:space="preserve">J.A. Nobrega, Y.Gelinas, A. Krushevska, R.M. Barnes,  </w:t>
      </w:r>
      <w:r w:rsidRPr="000D2B3E">
        <w:rPr>
          <w:rFonts w:ascii="Times New Roman" w:hAnsi="Times New Roman" w:cs="Times New Roman"/>
          <w:i/>
          <w:noProof/>
          <w:sz w:val="24"/>
          <w:szCs w:val="24"/>
        </w:rPr>
        <w:t>J. Anal. At. Spectrom.</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1997</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12</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1243-1246.</w:t>
      </w:r>
    </w:p>
    <w:p w:rsidR="003A1206" w:rsidRPr="000D2B3E" w:rsidRDefault="009136AC" w:rsidP="00DB101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 xml:space="preserve">W. Wasowicz, J. Gromadzinska, K. Szram, K. </w:t>
      </w:r>
      <w:proofErr w:type="spellStart"/>
      <w:r w:rsidRPr="000D2B3E">
        <w:rPr>
          <w:rFonts w:ascii="Times New Roman" w:hAnsi="Times New Roman" w:cs="Times New Roman"/>
          <w:sz w:val="24"/>
          <w:szCs w:val="24"/>
        </w:rPr>
        <w:t>Rydzynski</w:t>
      </w:r>
      <w:proofErr w:type="spellEnd"/>
      <w:r w:rsidRPr="000D2B3E">
        <w:rPr>
          <w:rFonts w:ascii="Times New Roman" w:hAnsi="Times New Roman" w:cs="Times New Roman"/>
          <w:sz w:val="24"/>
          <w:szCs w:val="24"/>
        </w:rPr>
        <w:t xml:space="preserve">, J. </w:t>
      </w:r>
      <w:proofErr w:type="spellStart"/>
      <w:r w:rsidRPr="000D2B3E">
        <w:rPr>
          <w:rFonts w:ascii="Times New Roman" w:hAnsi="Times New Roman" w:cs="Times New Roman"/>
          <w:sz w:val="24"/>
          <w:szCs w:val="24"/>
        </w:rPr>
        <w:t>Cieslak</w:t>
      </w:r>
      <w:proofErr w:type="spellEnd"/>
      <w:r w:rsidRPr="000D2B3E">
        <w:rPr>
          <w:rFonts w:ascii="Times New Roman" w:hAnsi="Times New Roman" w:cs="Times New Roman"/>
          <w:sz w:val="24"/>
          <w:szCs w:val="24"/>
        </w:rPr>
        <w:t xml:space="preserve">, </w:t>
      </w:r>
      <w:r w:rsidR="003A1206" w:rsidRPr="000D2B3E">
        <w:rPr>
          <w:rFonts w:ascii="Times New Roman" w:hAnsi="Times New Roman" w:cs="Times New Roman"/>
          <w:sz w:val="24"/>
          <w:szCs w:val="24"/>
        </w:rPr>
        <w:t xml:space="preserve">Z. </w:t>
      </w:r>
      <w:proofErr w:type="spellStart"/>
      <w:r w:rsidRPr="000D2B3E">
        <w:rPr>
          <w:rFonts w:ascii="Times New Roman" w:hAnsi="Times New Roman" w:cs="Times New Roman"/>
          <w:sz w:val="24"/>
          <w:szCs w:val="24"/>
        </w:rPr>
        <w:t>Pietrzak</w:t>
      </w:r>
      <w:proofErr w:type="spellEnd"/>
      <w:r w:rsidR="003A1206" w:rsidRPr="000D2B3E">
        <w:rPr>
          <w:rFonts w:ascii="Times New Roman" w:hAnsi="Times New Roman" w:cs="Times New Roman"/>
          <w:sz w:val="24"/>
          <w:szCs w:val="24"/>
        </w:rPr>
        <w:t xml:space="preserve">, </w:t>
      </w:r>
      <w:r w:rsidRPr="000D2B3E">
        <w:rPr>
          <w:rFonts w:ascii="Times New Roman" w:hAnsi="Times New Roman" w:cs="Times New Roman"/>
          <w:i/>
          <w:noProof/>
          <w:sz w:val="24"/>
          <w:szCs w:val="24"/>
        </w:rPr>
        <w:t>Biol. Trace. Elem. Res</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2001</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79</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221–33</w:t>
      </w:r>
      <w:r w:rsidR="003A1206" w:rsidRPr="000D2B3E">
        <w:rPr>
          <w:rFonts w:ascii="Times New Roman" w:hAnsi="Times New Roman" w:cs="Times New Roman"/>
          <w:noProof/>
          <w:sz w:val="24"/>
          <w:szCs w:val="24"/>
        </w:rPr>
        <w:t>.</w:t>
      </w:r>
    </w:p>
    <w:p w:rsidR="003A1206" w:rsidRPr="000D2B3E" w:rsidRDefault="003A1206" w:rsidP="00DB101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 xml:space="preserve">M. Krachler, T. Prohaska, G. Koellensperger, E. </w:t>
      </w:r>
      <w:proofErr w:type="spellStart"/>
      <w:r w:rsidRPr="000D2B3E">
        <w:rPr>
          <w:rFonts w:ascii="Times New Roman" w:hAnsi="Times New Roman" w:cs="Times New Roman"/>
          <w:sz w:val="24"/>
          <w:szCs w:val="24"/>
        </w:rPr>
        <w:t>Rossipal</w:t>
      </w:r>
      <w:proofErr w:type="spellEnd"/>
      <w:r w:rsidRPr="000D2B3E">
        <w:rPr>
          <w:rFonts w:ascii="Times New Roman" w:hAnsi="Times New Roman" w:cs="Times New Roman"/>
          <w:sz w:val="24"/>
          <w:szCs w:val="24"/>
        </w:rPr>
        <w:t xml:space="preserve">, G. </w:t>
      </w:r>
      <w:proofErr w:type="spellStart"/>
      <w:r w:rsidRPr="000D2B3E">
        <w:rPr>
          <w:rFonts w:ascii="Times New Roman" w:hAnsi="Times New Roman" w:cs="Times New Roman"/>
          <w:sz w:val="24"/>
          <w:szCs w:val="24"/>
        </w:rPr>
        <w:t>Stingeder</w:t>
      </w:r>
      <w:proofErr w:type="spellEnd"/>
      <w:r w:rsidRPr="000D2B3E">
        <w:rPr>
          <w:rFonts w:ascii="Times New Roman" w:hAnsi="Times New Roman" w:cs="Times New Roman"/>
          <w:sz w:val="24"/>
          <w:szCs w:val="24"/>
        </w:rPr>
        <w:t xml:space="preserve">, </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Biol. Trace. Elem. Res.</w:t>
      </w:r>
      <w:r w:rsidRPr="000D2B3E">
        <w:rPr>
          <w:rFonts w:ascii="Times New Roman" w:hAnsi="Times New Roman" w:cs="Times New Roman"/>
          <w:noProof/>
          <w:sz w:val="24"/>
          <w:szCs w:val="24"/>
        </w:rPr>
        <w:t xml:space="preserve"> </w:t>
      </w:r>
      <w:r w:rsidRPr="00DB1014">
        <w:rPr>
          <w:rFonts w:ascii="Times New Roman" w:hAnsi="Times New Roman" w:cs="Times New Roman"/>
          <w:b/>
          <w:noProof/>
          <w:sz w:val="24"/>
          <w:szCs w:val="24"/>
        </w:rPr>
        <w:t>2000</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76</w:t>
      </w:r>
      <w:r w:rsidRPr="000D2B3E">
        <w:rPr>
          <w:rFonts w:ascii="Times New Roman" w:hAnsi="Times New Roman" w:cs="Times New Roman"/>
          <w:noProof/>
          <w:sz w:val="24"/>
          <w:szCs w:val="24"/>
        </w:rPr>
        <w:t>, 97–112.</w:t>
      </w:r>
    </w:p>
    <w:p w:rsidR="003A1206" w:rsidRPr="000D2B3E" w:rsidRDefault="003A1206" w:rsidP="00DB1014">
      <w:pPr>
        <w:pStyle w:val="ListParagraph"/>
        <w:numPr>
          <w:ilvl w:val="0"/>
          <w:numId w:val="15"/>
        </w:numPr>
        <w:autoSpaceDE w:val="0"/>
        <w:autoSpaceDN w:val="0"/>
        <w:adjustRightInd w:val="0"/>
        <w:spacing w:after="0" w:line="360" w:lineRule="auto"/>
        <w:jc w:val="both"/>
        <w:rPr>
          <w:rFonts w:ascii="Times New Roman" w:hAnsi="Times New Roman" w:cs="Times New Roman"/>
          <w:noProof/>
          <w:sz w:val="24"/>
          <w:szCs w:val="24"/>
        </w:rPr>
      </w:pPr>
      <w:r w:rsidRPr="000D2B3E">
        <w:rPr>
          <w:rFonts w:ascii="Times New Roman" w:hAnsi="Times New Roman" w:cs="Times New Roman"/>
          <w:noProof/>
          <w:sz w:val="24"/>
          <w:szCs w:val="24"/>
        </w:rPr>
        <w:lastRenderedPageBreak/>
        <w:t xml:space="preserve">Khan N, Jeong IS, Hwang IM, J.S. Kim, S.H. Choi, E.Y. Nho, J.Y.Cho, K.S. Park, K.S. Kim, (2014) </w:t>
      </w:r>
      <w:r w:rsidRPr="000D2B3E">
        <w:rPr>
          <w:rFonts w:ascii="Times New Roman" w:hAnsi="Times New Roman" w:cs="Times New Roman"/>
          <w:i/>
          <w:noProof/>
          <w:sz w:val="24"/>
          <w:szCs w:val="24"/>
        </w:rPr>
        <w:t>Food Chem</w:t>
      </w:r>
      <w:r w:rsidRPr="000D2B3E">
        <w:rPr>
          <w:rFonts w:ascii="Times New Roman" w:hAnsi="Times New Roman" w:cs="Times New Roman"/>
          <w:noProof/>
          <w:sz w:val="24"/>
          <w:szCs w:val="24"/>
        </w:rPr>
        <w:t xml:space="preserve">. </w:t>
      </w:r>
      <w:r w:rsidRPr="00DB1014">
        <w:rPr>
          <w:rFonts w:ascii="Times New Roman" w:hAnsi="Times New Roman" w:cs="Times New Roman"/>
          <w:b/>
          <w:noProof/>
          <w:sz w:val="24"/>
          <w:szCs w:val="24"/>
        </w:rPr>
        <w:t>2014</w:t>
      </w:r>
      <w:r w:rsidRPr="000D2B3E">
        <w:rPr>
          <w:rFonts w:ascii="Times New Roman" w:hAnsi="Times New Roman" w:cs="Times New Roman"/>
          <w:noProof/>
          <w:sz w:val="24"/>
          <w:szCs w:val="24"/>
        </w:rPr>
        <w:t xml:space="preserve">, </w:t>
      </w:r>
      <w:r w:rsidRPr="00DB1014">
        <w:rPr>
          <w:rFonts w:ascii="Times New Roman" w:hAnsi="Times New Roman" w:cs="Times New Roman"/>
          <w:i/>
          <w:noProof/>
          <w:sz w:val="24"/>
          <w:szCs w:val="24"/>
        </w:rPr>
        <w:t>147</w:t>
      </w:r>
      <w:r w:rsidRPr="000D2B3E">
        <w:rPr>
          <w:rFonts w:ascii="Times New Roman" w:hAnsi="Times New Roman" w:cs="Times New Roman"/>
          <w:noProof/>
          <w:sz w:val="24"/>
          <w:szCs w:val="24"/>
        </w:rPr>
        <w:t>, 220–224.</w:t>
      </w:r>
    </w:p>
    <w:p w:rsidR="003A1206" w:rsidRPr="000D2B3E" w:rsidRDefault="003A1206" w:rsidP="00DB101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 xml:space="preserve">M. Hannan, N.N. Dogadkin, I. Ashur I, W.M. Markus, </w:t>
      </w:r>
      <w:r w:rsidRPr="000D2B3E">
        <w:rPr>
          <w:rFonts w:ascii="Times New Roman" w:hAnsi="Times New Roman" w:cs="Times New Roman"/>
          <w:i/>
          <w:noProof/>
          <w:sz w:val="24"/>
          <w:szCs w:val="24"/>
        </w:rPr>
        <w:t>Biol. Trace. Elem. Res.</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2005</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107</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11–20.</w:t>
      </w:r>
    </w:p>
    <w:p w:rsidR="00825FB0" w:rsidRPr="00767ECA" w:rsidRDefault="003A1206" w:rsidP="00606E89">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0D2B3E">
        <w:rPr>
          <w:rFonts w:ascii="Times New Roman" w:hAnsi="Times New Roman" w:cs="Times New Roman"/>
          <w:noProof/>
          <w:sz w:val="24"/>
          <w:szCs w:val="24"/>
        </w:rPr>
        <w:t xml:space="preserve">M. Yaman, N.  Çokol,   </w:t>
      </w:r>
      <w:r w:rsidRPr="000D2B3E">
        <w:rPr>
          <w:rFonts w:ascii="Times New Roman" w:hAnsi="Times New Roman" w:cs="Times New Roman"/>
          <w:i/>
          <w:noProof/>
          <w:sz w:val="24"/>
          <w:szCs w:val="24"/>
        </w:rPr>
        <w:t>At. Spectrosc</w:t>
      </w:r>
      <w:r w:rsidRPr="000D2B3E">
        <w:rPr>
          <w:rFonts w:ascii="Times New Roman" w:hAnsi="Times New Roman" w:cs="Times New Roman"/>
          <w:noProof/>
          <w:sz w:val="24"/>
          <w:szCs w:val="24"/>
        </w:rPr>
        <w:t xml:space="preserve">. </w:t>
      </w:r>
      <w:r w:rsidRPr="000D2B3E">
        <w:rPr>
          <w:rFonts w:ascii="Times New Roman" w:hAnsi="Times New Roman" w:cs="Times New Roman"/>
          <w:b/>
          <w:noProof/>
          <w:sz w:val="24"/>
          <w:szCs w:val="24"/>
        </w:rPr>
        <w:t>2004</w:t>
      </w:r>
      <w:r w:rsidRPr="000D2B3E">
        <w:rPr>
          <w:rFonts w:ascii="Times New Roman" w:hAnsi="Times New Roman" w:cs="Times New Roman"/>
          <w:noProof/>
          <w:sz w:val="24"/>
          <w:szCs w:val="24"/>
        </w:rPr>
        <w:t xml:space="preserve">, </w:t>
      </w:r>
      <w:r w:rsidRPr="000D2B3E">
        <w:rPr>
          <w:rFonts w:ascii="Times New Roman" w:hAnsi="Times New Roman" w:cs="Times New Roman"/>
          <w:i/>
          <w:noProof/>
          <w:sz w:val="24"/>
          <w:szCs w:val="24"/>
        </w:rPr>
        <w:t>25</w:t>
      </w:r>
      <w:r w:rsidRPr="000D2B3E">
        <w:rPr>
          <w:rFonts w:ascii="Times New Roman" w:hAnsi="Times New Roman" w:cs="Times New Roman"/>
          <w:noProof/>
          <w:sz w:val="24"/>
          <w:szCs w:val="24"/>
        </w:rPr>
        <w:t>,</w:t>
      </w:r>
      <w:r w:rsidR="00DB1014">
        <w:rPr>
          <w:rFonts w:ascii="Times New Roman" w:hAnsi="Times New Roman" w:cs="Times New Roman"/>
          <w:noProof/>
          <w:sz w:val="24"/>
          <w:szCs w:val="24"/>
        </w:rPr>
        <w:t xml:space="preserve"> </w:t>
      </w:r>
      <w:r w:rsidRPr="000D2B3E">
        <w:rPr>
          <w:rFonts w:ascii="Times New Roman" w:hAnsi="Times New Roman" w:cs="Times New Roman"/>
          <w:noProof/>
          <w:sz w:val="24"/>
          <w:szCs w:val="24"/>
        </w:rPr>
        <w:t>185–190.</w:t>
      </w:r>
    </w:p>
    <w:sectPr w:rsidR="00825FB0" w:rsidRPr="00767ECA" w:rsidSect="00D858D9">
      <w:footnotePr>
        <w:numFmt w:val="chicago"/>
      </w:footnotePr>
      <w:type w:val="continuous"/>
      <w:pgSz w:w="11906" w:h="16838"/>
      <w:pgMar w:top="1418" w:right="851" w:bottom="1559"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AA" w:rsidRDefault="00D107AA" w:rsidP="00BA2955">
      <w:pPr>
        <w:spacing w:after="0" w:line="240" w:lineRule="auto"/>
      </w:pPr>
      <w:r>
        <w:separator/>
      </w:r>
    </w:p>
  </w:endnote>
  <w:endnote w:type="continuationSeparator" w:id="0">
    <w:p w:rsidR="00D107AA" w:rsidRDefault="00D107AA" w:rsidP="00BA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QphdlsAdvTT3713a231">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AA" w:rsidRDefault="00D107AA" w:rsidP="00BA2955">
      <w:pPr>
        <w:spacing w:after="0" w:line="240" w:lineRule="auto"/>
      </w:pPr>
      <w:r>
        <w:separator/>
      </w:r>
    </w:p>
  </w:footnote>
  <w:footnote w:type="continuationSeparator" w:id="0">
    <w:p w:rsidR="00D107AA" w:rsidRDefault="00D107AA" w:rsidP="00BA2955">
      <w:pPr>
        <w:spacing w:after="0" w:line="240" w:lineRule="auto"/>
      </w:pPr>
      <w:r>
        <w:continuationSeparator/>
      </w:r>
    </w:p>
  </w:footnote>
  <w:footnote w:id="1">
    <w:p w:rsidR="00BA2955" w:rsidRPr="00191327" w:rsidRDefault="00BA2955" w:rsidP="00BA2955">
      <w:pPr>
        <w:pStyle w:val="FootnoteText"/>
      </w:pPr>
      <w:r w:rsidRPr="00191327">
        <w:rPr>
          <w:rStyle w:val="FootnoteReference"/>
        </w:rPr>
        <w:footnoteRef/>
      </w:r>
      <w:r w:rsidRPr="00191327">
        <w:rPr>
          <w:rFonts w:ascii="Times New Roman" w:hAnsi="Times New Roman"/>
        </w:rPr>
        <w:t xml:space="preserve">Corresponding author Tel/Fax ++ 382 (0) 20 412 888 ; </w:t>
      </w:r>
      <w:r w:rsidRPr="00191327">
        <w:rPr>
          <w:rFonts w:ascii="Times" w:hAnsi="Times" w:cs="Times"/>
          <w:color w:val="000000"/>
        </w:rPr>
        <w:t xml:space="preserve">e-mail address: </w:t>
      </w:r>
      <w:r w:rsidRPr="00191327">
        <w:rPr>
          <w:rFonts w:ascii="Times New Roman" w:hAnsi="Times New Roman" w:cs="Times New Roman"/>
        </w:rPr>
        <w:t>dil@t-com.me</w:t>
      </w:r>
    </w:p>
    <w:p w:rsidR="00BA2955" w:rsidRPr="00E61E6E" w:rsidRDefault="00BA2955" w:rsidP="00BA2955">
      <w:pPr>
        <w:pStyle w:val="FootnoteText"/>
        <w:tabs>
          <w:tab w:val="left" w:pos="6590"/>
        </w:tabs>
      </w:pP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73E"/>
    <w:multiLevelType w:val="hybridMultilevel"/>
    <w:tmpl w:val="BAFCD516"/>
    <w:lvl w:ilvl="0" w:tplc="5CFA5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D5EBF"/>
    <w:multiLevelType w:val="hybridMultilevel"/>
    <w:tmpl w:val="D9D09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D0628"/>
    <w:multiLevelType w:val="hybridMultilevel"/>
    <w:tmpl w:val="18F0320A"/>
    <w:lvl w:ilvl="0" w:tplc="3AD09ADC">
      <w:start w:val="1"/>
      <w:numFmt w:val="decimal"/>
      <w:lvlText w:val="%1."/>
      <w:lvlJc w:val="left"/>
      <w:pPr>
        <w:ind w:left="72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A2ACE"/>
    <w:multiLevelType w:val="multilevel"/>
    <w:tmpl w:val="D996DE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D9A28CB"/>
    <w:multiLevelType w:val="hybridMultilevel"/>
    <w:tmpl w:val="58F2AE4C"/>
    <w:lvl w:ilvl="0" w:tplc="577A43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62162E"/>
    <w:multiLevelType w:val="hybridMultilevel"/>
    <w:tmpl w:val="10C2620A"/>
    <w:lvl w:ilvl="0" w:tplc="5CFA5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623C8"/>
    <w:multiLevelType w:val="hybridMultilevel"/>
    <w:tmpl w:val="BAFCD516"/>
    <w:lvl w:ilvl="0" w:tplc="5CFA5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54F7C"/>
    <w:multiLevelType w:val="hybridMultilevel"/>
    <w:tmpl w:val="BAFCD516"/>
    <w:lvl w:ilvl="0" w:tplc="5CFA5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45648"/>
    <w:multiLevelType w:val="hybridMultilevel"/>
    <w:tmpl w:val="BAFCD516"/>
    <w:lvl w:ilvl="0" w:tplc="5CFA5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95016"/>
    <w:multiLevelType w:val="hybridMultilevel"/>
    <w:tmpl w:val="BAFCD516"/>
    <w:lvl w:ilvl="0" w:tplc="5CFA5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2C3C72"/>
    <w:multiLevelType w:val="multilevel"/>
    <w:tmpl w:val="24B21C9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9710C3A"/>
    <w:multiLevelType w:val="hybridMultilevel"/>
    <w:tmpl w:val="BAFCD516"/>
    <w:lvl w:ilvl="0" w:tplc="5CFA5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3758C"/>
    <w:multiLevelType w:val="hybridMultilevel"/>
    <w:tmpl w:val="7F569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16591"/>
    <w:multiLevelType w:val="hybridMultilevel"/>
    <w:tmpl w:val="9006AC60"/>
    <w:lvl w:ilvl="0" w:tplc="577A43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AB1039"/>
    <w:multiLevelType w:val="hybridMultilevel"/>
    <w:tmpl w:val="BAFCD516"/>
    <w:lvl w:ilvl="0" w:tplc="5CFA5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5"/>
  </w:num>
  <w:num w:numId="5">
    <w:abstractNumId w:val="11"/>
  </w:num>
  <w:num w:numId="6">
    <w:abstractNumId w:val="6"/>
  </w:num>
  <w:num w:numId="7">
    <w:abstractNumId w:val="14"/>
  </w:num>
  <w:num w:numId="8">
    <w:abstractNumId w:val="9"/>
  </w:num>
  <w:num w:numId="9">
    <w:abstractNumId w:val="0"/>
  </w:num>
  <w:num w:numId="10">
    <w:abstractNumId w:val="8"/>
  </w:num>
  <w:num w:numId="11">
    <w:abstractNumId w:val="7"/>
  </w:num>
  <w:num w:numId="12">
    <w:abstractNumId w:val="3"/>
  </w:num>
  <w:num w:numId="13">
    <w:abstractNumId w:val="10"/>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0B390B"/>
    <w:rsid w:val="000004F4"/>
    <w:rsid w:val="00000797"/>
    <w:rsid w:val="00001259"/>
    <w:rsid w:val="0000155B"/>
    <w:rsid w:val="00001A2C"/>
    <w:rsid w:val="00001E73"/>
    <w:rsid w:val="00002516"/>
    <w:rsid w:val="00002A9E"/>
    <w:rsid w:val="00002FDC"/>
    <w:rsid w:val="00003150"/>
    <w:rsid w:val="000036FB"/>
    <w:rsid w:val="00003A9F"/>
    <w:rsid w:val="00003E5A"/>
    <w:rsid w:val="0000525B"/>
    <w:rsid w:val="00005D18"/>
    <w:rsid w:val="00006341"/>
    <w:rsid w:val="0000645C"/>
    <w:rsid w:val="00006D2C"/>
    <w:rsid w:val="00007057"/>
    <w:rsid w:val="000070D6"/>
    <w:rsid w:val="00007348"/>
    <w:rsid w:val="00007BD4"/>
    <w:rsid w:val="00010BB2"/>
    <w:rsid w:val="00010BB4"/>
    <w:rsid w:val="00010D88"/>
    <w:rsid w:val="00015A3A"/>
    <w:rsid w:val="00015BF4"/>
    <w:rsid w:val="00015F56"/>
    <w:rsid w:val="000163DF"/>
    <w:rsid w:val="000165E9"/>
    <w:rsid w:val="00020007"/>
    <w:rsid w:val="000208D2"/>
    <w:rsid w:val="00021379"/>
    <w:rsid w:val="0002159D"/>
    <w:rsid w:val="00021724"/>
    <w:rsid w:val="00022796"/>
    <w:rsid w:val="0002287A"/>
    <w:rsid w:val="000229A2"/>
    <w:rsid w:val="00022F7B"/>
    <w:rsid w:val="000230F0"/>
    <w:rsid w:val="000231E1"/>
    <w:rsid w:val="00023DE7"/>
    <w:rsid w:val="0002502A"/>
    <w:rsid w:val="000256C1"/>
    <w:rsid w:val="0002570E"/>
    <w:rsid w:val="0002576C"/>
    <w:rsid w:val="000258EA"/>
    <w:rsid w:val="00025BD6"/>
    <w:rsid w:val="00025D80"/>
    <w:rsid w:val="00025DAB"/>
    <w:rsid w:val="00025F4B"/>
    <w:rsid w:val="00026C7E"/>
    <w:rsid w:val="000278DE"/>
    <w:rsid w:val="000279AB"/>
    <w:rsid w:val="00027E91"/>
    <w:rsid w:val="0003004C"/>
    <w:rsid w:val="000302C7"/>
    <w:rsid w:val="00030531"/>
    <w:rsid w:val="00030917"/>
    <w:rsid w:val="000327D7"/>
    <w:rsid w:val="000328CF"/>
    <w:rsid w:val="000328D4"/>
    <w:rsid w:val="00032F80"/>
    <w:rsid w:val="000332ED"/>
    <w:rsid w:val="000336DD"/>
    <w:rsid w:val="0003395C"/>
    <w:rsid w:val="00033D29"/>
    <w:rsid w:val="00033E76"/>
    <w:rsid w:val="00034308"/>
    <w:rsid w:val="00034859"/>
    <w:rsid w:val="00034C38"/>
    <w:rsid w:val="000367F8"/>
    <w:rsid w:val="00036816"/>
    <w:rsid w:val="00036D61"/>
    <w:rsid w:val="00036E27"/>
    <w:rsid w:val="000374E9"/>
    <w:rsid w:val="00037E8F"/>
    <w:rsid w:val="00040E40"/>
    <w:rsid w:val="00041E77"/>
    <w:rsid w:val="0004252B"/>
    <w:rsid w:val="00043E41"/>
    <w:rsid w:val="00045664"/>
    <w:rsid w:val="00045ED7"/>
    <w:rsid w:val="0004788D"/>
    <w:rsid w:val="00047C5B"/>
    <w:rsid w:val="00050C7E"/>
    <w:rsid w:val="000522A7"/>
    <w:rsid w:val="00052CF4"/>
    <w:rsid w:val="000532EE"/>
    <w:rsid w:val="0005392D"/>
    <w:rsid w:val="00053992"/>
    <w:rsid w:val="00054CBE"/>
    <w:rsid w:val="00054E9D"/>
    <w:rsid w:val="000559A0"/>
    <w:rsid w:val="00055E08"/>
    <w:rsid w:val="00055F9B"/>
    <w:rsid w:val="0005603A"/>
    <w:rsid w:val="00056260"/>
    <w:rsid w:val="000568F2"/>
    <w:rsid w:val="00056BE4"/>
    <w:rsid w:val="00056DC3"/>
    <w:rsid w:val="00060F75"/>
    <w:rsid w:val="000615EE"/>
    <w:rsid w:val="000616F2"/>
    <w:rsid w:val="00062456"/>
    <w:rsid w:val="00062591"/>
    <w:rsid w:val="00062652"/>
    <w:rsid w:val="00062797"/>
    <w:rsid w:val="000631B6"/>
    <w:rsid w:val="000632C3"/>
    <w:rsid w:val="00064491"/>
    <w:rsid w:val="000650C0"/>
    <w:rsid w:val="00066C2F"/>
    <w:rsid w:val="00067277"/>
    <w:rsid w:val="000678F4"/>
    <w:rsid w:val="00067E9B"/>
    <w:rsid w:val="00070929"/>
    <w:rsid w:val="00072028"/>
    <w:rsid w:val="00072799"/>
    <w:rsid w:val="0007292A"/>
    <w:rsid w:val="00072F05"/>
    <w:rsid w:val="00072F4F"/>
    <w:rsid w:val="00073219"/>
    <w:rsid w:val="000733EF"/>
    <w:rsid w:val="00073536"/>
    <w:rsid w:val="00073CAC"/>
    <w:rsid w:val="0007407C"/>
    <w:rsid w:val="00074CD8"/>
    <w:rsid w:val="00076024"/>
    <w:rsid w:val="00076B00"/>
    <w:rsid w:val="00076FAD"/>
    <w:rsid w:val="0007734B"/>
    <w:rsid w:val="00077571"/>
    <w:rsid w:val="000775DC"/>
    <w:rsid w:val="00080D65"/>
    <w:rsid w:val="0008117F"/>
    <w:rsid w:val="00081EDF"/>
    <w:rsid w:val="00083AE6"/>
    <w:rsid w:val="00084454"/>
    <w:rsid w:val="00084958"/>
    <w:rsid w:val="00084F9B"/>
    <w:rsid w:val="00086498"/>
    <w:rsid w:val="00086BE5"/>
    <w:rsid w:val="00086EF1"/>
    <w:rsid w:val="00087530"/>
    <w:rsid w:val="0008772B"/>
    <w:rsid w:val="000878A6"/>
    <w:rsid w:val="000878FC"/>
    <w:rsid w:val="00087E5B"/>
    <w:rsid w:val="00090089"/>
    <w:rsid w:val="00090090"/>
    <w:rsid w:val="00091598"/>
    <w:rsid w:val="0009206F"/>
    <w:rsid w:val="00092A7F"/>
    <w:rsid w:val="00093A8D"/>
    <w:rsid w:val="00094BFF"/>
    <w:rsid w:val="00094CBE"/>
    <w:rsid w:val="00095728"/>
    <w:rsid w:val="00096575"/>
    <w:rsid w:val="00096B02"/>
    <w:rsid w:val="00097AE0"/>
    <w:rsid w:val="000A0C69"/>
    <w:rsid w:val="000A0EDA"/>
    <w:rsid w:val="000A1848"/>
    <w:rsid w:val="000A1C95"/>
    <w:rsid w:val="000A2A73"/>
    <w:rsid w:val="000A3849"/>
    <w:rsid w:val="000A3AF7"/>
    <w:rsid w:val="000A4277"/>
    <w:rsid w:val="000A5650"/>
    <w:rsid w:val="000A5CA8"/>
    <w:rsid w:val="000A6768"/>
    <w:rsid w:val="000A77E0"/>
    <w:rsid w:val="000A7879"/>
    <w:rsid w:val="000B0040"/>
    <w:rsid w:val="000B0113"/>
    <w:rsid w:val="000B0563"/>
    <w:rsid w:val="000B0CA8"/>
    <w:rsid w:val="000B1248"/>
    <w:rsid w:val="000B13CF"/>
    <w:rsid w:val="000B1400"/>
    <w:rsid w:val="000B184F"/>
    <w:rsid w:val="000B1F18"/>
    <w:rsid w:val="000B1FB6"/>
    <w:rsid w:val="000B24C9"/>
    <w:rsid w:val="000B2B87"/>
    <w:rsid w:val="000B3309"/>
    <w:rsid w:val="000B34A7"/>
    <w:rsid w:val="000B390B"/>
    <w:rsid w:val="000B3D34"/>
    <w:rsid w:val="000B42CB"/>
    <w:rsid w:val="000B478D"/>
    <w:rsid w:val="000B47A1"/>
    <w:rsid w:val="000B4D43"/>
    <w:rsid w:val="000B57B3"/>
    <w:rsid w:val="000B5F1B"/>
    <w:rsid w:val="000B5FA2"/>
    <w:rsid w:val="000B6C69"/>
    <w:rsid w:val="000B755F"/>
    <w:rsid w:val="000B7CD3"/>
    <w:rsid w:val="000C01D6"/>
    <w:rsid w:val="000C13B3"/>
    <w:rsid w:val="000C2311"/>
    <w:rsid w:val="000C3ACE"/>
    <w:rsid w:val="000C46BC"/>
    <w:rsid w:val="000C4721"/>
    <w:rsid w:val="000C5EB4"/>
    <w:rsid w:val="000C5EFB"/>
    <w:rsid w:val="000C72E1"/>
    <w:rsid w:val="000D195B"/>
    <w:rsid w:val="000D1B9A"/>
    <w:rsid w:val="000D1D9F"/>
    <w:rsid w:val="000D1E6E"/>
    <w:rsid w:val="000D1F46"/>
    <w:rsid w:val="000D261E"/>
    <w:rsid w:val="000D2B3E"/>
    <w:rsid w:val="000D45DB"/>
    <w:rsid w:val="000D4815"/>
    <w:rsid w:val="000D4A50"/>
    <w:rsid w:val="000D5390"/>
    <w:rsid w:val="000D5A03"/>
    <w:rsid w:val="000D6C22"/>
    <w:rsid w:val="000D7528"/>
    <w:rsid w:val="000E0AD2"/>
    <w:rsid w:val="000E0ADA"/>
    <w:rsid w:val="000E261C"/>
    <w:rsid w:val="000E2D39"/>
    <w:rsid w:val="000E31CD"/>
    <w:rsid w:val="000E3664"/>
    <w:rsid w:val="000E40BC"/>
    <w:rsid w:val="000E5131"/>
    <w:rsid w:val="000E5A28"/>
    <w:rsid w:val="000E5A35"/>
    <w:rsid w:val="000E5D94"/>
    <w:rsid w:val="000E651A"/>
    <w:rsid w:val="000E7167"/>
    <w:rsid w:val="000E748C"/>
    <w:rsid w:val="000E7960"/>
    <w:rsid w:val="000E7C69"/>
    <w:rsid w:val="000F00E6"/>
    <w:rsid w:val="000F027F"/>
    <w:rsid w:val="000F07FD"/>
    <w:rsid w:val="000F303C"/>
    <w:rsid w:val="000F35BD"/>
    <w:rsid w:val="000F481B"/>
    <w:rsid w:val="000F5B06"/>
    <w:rsid w:val="000F5B26"/>
    <w:rsid w:val="000F5DDD"/>
    <w:rsid w:val="000F5EDD"/>
    <w:rsid w:val="000F730D"/>
    <w:rsid w:val="001004FC"/>
    <w:rsid w:val="0010059C"/>
    <w:rsid w:val="00101708"/>
    <w:rsid w:val="001020EF"/>
    <w:rsid w:val="001025D6"/>
    <w:rsid w:val="00102F03"/>
    <w:rsid w:val="00103F9A"/>
    <w:rsid w:val="00103FEA"/>
    <w:rsid w:val="00104468"/>
    <w:rsid w:val="001046F1"/>
    <w:rsid w:val="001048EF"/>
    <w:rsid w:val="00105282"/>
    <w:rsid w:val="00105DE2"/>
    <w:rsid w:val="00106858"/>
    <w:rsid w:val="00106D1D"/>
    <w:rsid w:val="00107595"/>
    <w:rsid w:val="00107A8B"/>
    <w:rsid w:val="00107B1C"/>
    <w:rsid w:val="00107F17"/>
    <w:rsid w:val="00110072"/>
    <w:rsid w:val="00111472"/>
    <w:rsid w:val="001119EE"/>
    <w:rsid w:val="001127DA"/>
    <w:rsid w:val="00114011"/>
    <w:rsid w:val="00114BA7"/>
    <w:rsid w:val="0011503E"/>
    <w:rsid w:val="00115F1E"/>
    <w:rsid w:val="00117A9D"/>
    <w:rsid w:val="00117B35"/>
    <w:rsid w:val="001202EB"/>
    <w:rsid w:val="00120BC0"/>
    <w:rsid w:val="00120ED8"/>
    <w:rsid w:val="00121059"/>
    <w:rsid w:val="0012191D"/>
    <w:rsid w:val="001220B2"/>
    <w:rsid w:val="001223E4"/>
    <w:rsid w:val="001225B9"/>
    <w:rsid w:val="0012270F"/>
    <w:rsid w:val="00122917"/>
    <w:rsid w:val="00122981"/>
    <w:rsid w:val="00123079"/>
    <w:rsid w:val="001234FE"/>
    <w:rsid w:val="00123705"/>
    <w:rsid w:val="0012488F"/>
    <w:rsid w:val="001248AD"/>
    <w:rsid w:val="00124D11"/>
    <w:rsid w:val="0012542F"/>
    <w:rsid w:val="00127464"/>
    <w:rsid w:val="0012759C"/>
    <w:rsid w:val="00127A50"/>
    <w:rsid w:val="001319C2"/>
    <w:rsid w:val="00132A5E"/>
    <w:rsid w:val="00132D68"/>
    <w:rsid w:val="0013304F"/>
    <w:rsid w:val="0013324A"/>
    <w:rsid w:val="00133F48"/>
    <w:rsid w:val="00134631"/>
    <w:rsid w:val="001351C2"/>
    <w:rsid w:val="00135567"/>
    <w:rsid w:val="00135FCA"/>
    <w:rsid w:val="00136A96"/>
    <w:rsid w:val="00136BAB"/>
    <w:rsid w:val="001372B9"/>
    <w:rsid w:val="00137AAD"/>
    <w:rsid w:val="00140571"/>
    <w:rsid w:val="001406B6"/>
    <w:rsid w:val="0014071F"/>
    <w:rsid w:val="0014127E"/>
    <w:rsid w:val="00141BD3"/>
    <w:rsid w:val="00141D7D"/>
    <w:rsid w:val="00141FCA"/>
    <w:rsid w:val="00142087"/>
    <w:rsid w:val="001424BD"/>
    <w:rsid w:val="00142AAF"/>
    <w:rsid w:val="00143373"/>
    <w:rsid w:val="0014385B"/>
    <w:rsid w:val="00143943"/>
    <w:rsid w:val="00143DE8"/>
    <w:rsid w:val="00144847"/>
    <w:rsid w:val="00144BBF"/>
    <w:rsid w:val="001455E7"/>
    <w:rsid w:val="00145904"/>
    <w:rsid w:val="00146C32"/>
    <w:rsid w:val="00147062"/>
    <w:rsid w:val="00147E4D"/>
    <w:rsid w:val="00150311"/>
    <w:rsid w:val="00152A6E"/>
    <w:rsid w:val="00155029"/>
    <w:rsid w:val="001563B1"/>
    <w:rsid w:val="00156A65"/>
    <w:rsid w:val="0015773E"/>
    <w:rsid w:val="00160713"/>
    <w:rsid w:val="00160803"/>
    <w:rsid w:val="00160B71"/>
    <w:rsid w:val="00160DBC"/>
    <w:rsid w:val="00161C75"/>
    <w:rsid w:val="001623E3"/>
    <w:rsid w:val="00163122"/>
    <w:rsid w:val="001642C1"/>
    <w:rsid w:val="00164836"/>
    <w:rsid w:val="0016623C"/>
    <w:rsid w:val="00166B7B"/>
    <w:rsid w:val="00166D42"/>
    <w:rsid w:val="00167958"/>
    <w:rsid w:val="00170028"/>
    <w:rsid w:val="00172A51"/>
    <w:rsid w:val="001744FB"/>
    <w:rsid w:val="001747E6"/>
    <w:rsid w:val="00175135"/>
    <w:rsid w:val="0017522E"/>
    <w:rsid w:val="001753EF"/>
    <w:rsid w:val="001770F5"/>
    <w:rsid w:val="0017729B"/>
    <w:rsid w:val="0017798F"/>
    <w:rsid w:val="00180368"/>
    <w:rsid w:val="00180AAC"/>
    <w:rsid w:val="00180DA9"/>
    <w:rsid w:val="00181C14"/>
    <w:rsid w:val="00181E60"/>
    <w:rsid w:val="00182756"/>
    <w:rsid w:val="001829D6"/>
    <w:rsid w:val="00182ADC"/>
    <w:rsid w:val="00182DFB"/>
    <w:rsid w:val="00183703"/>
    <w:rsid w:val="00183E61"/>
    <w:rsid w:val="00184D15"/>
    <w:rsid w:val="00185CF3"/>
    <w:rsid w:val="00186DF3"/>
    <w:rsid w:val="00186F01"/>
    <w:rsid w:val="00187DC5"/>
    <w:rsid w:val="00190E70"/>
    <w:rsid w:val="00191079"/>
    <w:rsid w:val="00191B84"/>
    <w:rsid w:val="00192884"/>
    <w:rsid w:val="00192DAB"/>
    <w:rsid w:val="00193102"/>
    <w:rsid w:val="00194663"/>
    <w:rsid w:val="00194AA9"/>
    <w:rsid w:val="00195F86"/>
    <w:rsid w:val="0019669F"/>
    <w:rsid w:val="00197925"/>
    <w:rsid w:val="001A0692"/>
    <w:rsid w:val="001A0FE6"/>
    <w:rsid w:val="001A11DC"/>
    <w:rsid w:val="001A14C6"/>
    <w:rsid w:val="001A1565"/>
    <w:rsid w:val="001A17C5"/>
    <w:rsid w:val="001A1B4D"/>
    <w:rsid w:val="001A2832"/>
    <w:rsid w:val="001A2F12"/>
    <w:rsid w:val="001A3256"/>
    <w:rsid w:val="001A332D"/>
    <w:rsid w:val="001A3D51"/>
    <w:rsid w:val="001A3D97"/>
    <w:rsid w:val="001A5116"/>
    <w:rsid w:val="001A5971"/>
    <w:rsid w:val="001A5D82"/>
    <w:rsid w:val="001A6FF0"/>
    <w:rsid w:val="001A7F01"/>
    <w:rsid w:val="001A7F6F"/>
    <w:rsid w:val="001B007F"/>
    <w:rsid w:val="001B01D7"/>
    <w:rsid w:val="001B1968"/>
    <w:rsid w:val="001B29C3"/>
    <w:rsid w:val="001B2B52"/>
    <w:rsid w:val="001B2F32"/>
    <w:rsid w:val="001B3171"/>
    <w:rsid w:val="001B3246"/>
    <w:rsid w:val="001B3273"/>
    <w:rsid w:val="001B3376"/>
    <w:rsid w:val="001B3D2B"/>
    <w:rsid w:val="001B46F8"/>
    <w:rsid w:val="001B663D"/>
    <w:rsid w:val="001B68B3"/>
    <w:rsid w:val="001B7F19"/>
    <w:rsid w:val="001B7F7F"/>
    <w:rsid w:val="001C01CF"/>
    <w:rsid w:val="001C0C3D"/>
    <w:rsid w:val="001C0E5A"/>
    <w:rsid w:val="001C0F94"/>
    <w:rsid w:val="001C10BA"/>
    <w:rsid w:val="001C1AFC"/>
    <w:rsid w:val="001C1FF0"/>
    <w:rsid w:val="001C2DAE"/>
    <w:rsid w:val="001C30E6"/>
    <w:rsid w:val="001C3A48"/>
    <w:rsid w:val="001C3F44"/>
    <w:rsid w:val="001C3F58"/>
    <w:rsid w:val="001C4B49"/>
    <w:rsid w:val="001C4F1C"/>
    <w:rsid w:val="001C6187"/>
    <w:rsid w:val="001C739D"/>
    <w:rsid w:val="001C75E7"/>
    <w:rsid w:val="001C7BB5"/>
    <w:rsid w:val="001D0EE1"/>
    <w:rsid w:val="001D1C59"/>
    <w:rsid w:val="001D2103"/>
    <w:rsid w:val="001D26F5"/>
    <w:rsid w:val="001D30F1"/>
    <w:rsid w:val="001D3B01"/>
    <w:rsid w:val="001D3CD9"/>
    <w:rsid w:val="001D3F08"/>
    <w:rsid w:val="001D41E2"/>
    <w:rsid w:val="001D4B8B"/>
    <w:rsid w:val="001D558A"/>
    <w:rsid w:val="001D5763"/>
    <w:rsid w:val="001D58DA"/>
    <w:rsid w:val="001D5D1B"/>
    <w:rsid w:val="001D68D6"/>
    <w:rsid w:val="001D6A2A"/>
    <w:rsid w:val="001D6FE0"/>
    <w:rsid w:val="001D7340"/>
    <w:rsid w:val="001D761E"/>
    <w:rsid w:val="001D77D6"/>
    <w:rsid w:val="001D7AB9"/>
    <w:rsid w:val="001E07EC"/>
    <w:rsid w:val="001E1AB6"/>
    <w:rsid w:val="001E2C9B"/>
    <w:rsid w:val="001E3269"/>
    <w:rsid w:val="001E464F"/>
    <w:rsid w:val="001E4832"/>
    <w:rsid w:val="001E5935"/>
    <w:rsid w:val="001E5B6D"/>
    <w:rsid w:val="001E612A"/>
    <w:rsid w:val="001E69C8"/>
    <w:rsid w:val="001E6FE1"/>
    <w:rsid w:val="001E739A"/>
    <w:rsid w:val="001E7763"/>
    <w:rsid w:val="001E790C"/>
    <w:rsid w:val="001F0E2C"/>
    <w:rsid w:val="001F143F"/>
    <w:rsid w:val="001F165F"/>
    <w:rsid w:val="001F23EF"/>
    <w:rsid w:val="001F272E"/>
    <w:rsid w:val="001F33D4"/>
    <w:rsid w:val="001F3643"/>
    <w:rsid w:val="001F380A"/>
    <w:rsid w:val="001F3D63"/>
    <w:rsid w:val="001F3FF8"/>
    <w:rsid w:val="001F401F"/>
    <w:rsid w:val="001F42F5"/>
    <w:rsid w:val="001F4B66"/>
    <w:rsid w:val="001F50EF"/>
    <w:rsid w:val="001F5EB4"/>
    <w:rsid w:val="001F6168"/>
    <w:rsid w:val="001F683A"/>
    <w:rsid w:val="001F6A40"/>
    <w:rsid w:val="001F6BC9"/>
    <w:rsid w:val="001F7948"/>
    <w:rsid w:val="001F7D2B"/>
    <w:rsid w:val="002005BC"/>
    <w:rsid w:val="00200864"/>
    <w:rsid w:val="002008D2"/>
    <w:rsid w:val="00200B7E"/>
    <w:rsid w:val="002010AE"/>
    <w:rsid w:val="00201349"/>
    <w:rsid w:val="0020154A"/>
    <w:rsid w:val="0020196B"/>
    <w:rsid w:val="00201A3D"/>
    <w:rsid w:val="002025C3"/>
    <w:rsid w:val="0020299D"/>
    <w:rsid w:val="00202CD9"/>
    <w:rsid w:val="00204534"/>
    <w:rsid w:val="00204A19"/>
    <w:rsid w:val="002051D6"/>
    <w:rsid w:val="0020525A"/>
    <w:rsid w:val="002057F1"/>
    <w:rsid w:val="00205C5C"/>
    <w:rsid w:val="00205CB4"/>
    <w:rsid w:val="00205D2B"/>
    <w:rsid w:val="00206001"/>
    <w:rsid w:val="002069E8"/>
    <w:rsid w:val="00206A37"/>
    <w:rsid w:val="00206C91"/>
    <w:rsid w:val="00206FD1"/>
    <w:rsid w:val="002076C8"/>
    <w:rsid w:val="00207887"/>
    <w:rsid w:val="00207B08"/>
    <w:rsid w:val="00211376"/>
    <w:rsid w:val="0021211A"/>
    <w:rsid w:val="00212B2C"/>
    <w:rsid w:val="00212C47"/>
    <w:rsid w:val="00212FEB"/>
    <w:rsid w:val="00213956"/>
    <w:rsid w:val="0021548B"/>
    <w:rsid w:val="0021568C"/>
    <w:rsid w:val="00216BFD"/>
    <w:rsid w:val="00216FF5"/>
    <w:rsid w:val="002176DA"/>
    <w:rsid w:val="00220AA9"/>
    <w:rsid w:val="00221398"/>
    <w:rsid w:val="002219FA"/>
    <w:rsid w:val="0022237A"/>
    <w:rsid w:val="00222C7E"/>
    <w:rsid w:val="00222F6F"/>
    <w:rsid w:val="00223B2E"/>
    <w:rsid w:val="00224160"/>
    <w:rsid w:val="002243D5"/>
    <w:rsid w:val="0022455C"/>
    <w:rsid w:val="00224A28"/>
    <w:rsid w:val="00224A8E"/>
    <w:rsid w:val="0022507C"/>
    <w:rsid w:val="00225B3A"/>
    <w:rsid w:val="00226E60"/>
    <w:rsid w:val="00226F28"/>
    <w:rsid w:val="002309BE"/>
    <w:rsid w:val="00230AE9"/>
    <w:rsid w:val="002310CC"/>
    <w:rsid w:val="002313D2"/>
    <w:rsid w:val="0023193B"/>
    <w:rsid w:val="00232339"/>
    <w:rsid w:val="00233BDE"/>
    <w:rsid w:val="00233D26"/>
    <w:rsid w:val="00234258"/>
    <w:rsid w:val="00234941"/>
    <w:rsid w:val="0023566B"/>
    <w:rsid w:val="0023583B"/>
    <w:rsid w:val="00235DC4"/>
    <w:rsid w:val="0023633D"/>
    <w:rsid w:val="002367DC"/>
    <w:rsid w:val="0023713B"/>
    <w:rsid w:val="00237BBE"/>
    <w:rsid w:val="00237E81"/>
    <w:rsid w:val="002402D0"/>
    <w:rsid w:val="0024045F"/>
    <w:rsid w:val="002419A3"/>
    <w:rsid w:val="00241EA5"/>
    <w:rsid w:val="002425C4"/>
    <w:rsid w:val="00242F4A"/>
    <w:rsid w:val="002438EF"/>
    <w:rsid w:val="00244144"/>
    <w:rsid w:val="00244643"/>
    <w:rsid w:val="00245082"/>
    <w:rsid w:val="00246449"/>
    <w:rsid w:val="002464BC"/>
    <w:rsid w:val="00246CC8"/>
    <w:rsid w:val="002507A9"/>
    <w:rsid w:val="00250B85"/>
    <w:rsid w:val="00250D50"/>
    <w:rsid w:val="00251031"/>
    <w:rsid w:val="00251597"/>
    <w:rsid w:val="00251661"/>
    <w:rsid w:val="002517BC"/>
    <w:rsid w:val="00251B48"/>
    <w:rsid w:val="002520B6"/>
    <w:rsid w:val="002522EE"/>
    <w:rsid w:val="002523CE"/>
    <w:rsid w:val="00252453"/>
    <w:rsid w:val="00252708"/>
    <w:rsid w:val="0025317C"/>
    <w:rsid w:val="0025370C"/>
    <w:rsid w:val="00253C10"/>
    <w:rsid w:val="002548B1"/>
    <w:rsid w:val="00255101"/>
    <w:rsid w:val="002551DA"/>
    <w:rsid w:val="00255881"/>
    <w:rsid w:val="00255A3A"/>
    <w:rsid w:val="00255C11"/>
    <w:rsid w:val="00256006"/>
    <w:rsid w:val="00257A7A"/>
    <w:rsid w:val="00257C05"/>
    <w:rsid w:val="002607B9"/>
    <w:rsid w:val="00262034"/>
    <w:rsid w:val="0026238F"/>
    <w:rsid w:val="00263553"/>
    <w:rsid w:val="002638E5"/>
    <w:rsid w:val="00263CAB"/>
    <w:rsid w:val="00263CDD"/>
    <w:rsid w:val="00264011"/>
    <w:rsid w:val="002640BA"/>
    <w:rsid w:val="00264246"/>
    <w:rsid w:val="002642F2"/>
    <w:rsid w:val="00264B18"/>
    <w:rsid w:val="00264B7B"/>
    <w:rsid w:val="00265067"/>
    <w:rsid w:val="002651E6"/>
    <w:rsid w:val="002654C2"/>
    <w:rsid w:val="0026637E"/>
    <w:rsid w:val="0026752F"/>
    <w:rsid w:val="0026755C"/>
    <w:rsid w:val="002718B2"/>
    <w:rsid w:val="00271B85"/>
    <w:rsid w:val="0027244A"/>
    <w:rsid w:val="0027321C"/>
    <w:rsid w:val="00273856"/>
    <w:rsid w:val="002742F2"/>
    <w:rsid w:val="0027507D"/>
    <w:rsid w:val="00276D3F"/>
    <w:rsid w:val="0027739E"/>
    <w:rsid w:val="00277441"/>
    <w:rsid w:val="0027774C"/>
    <w:rsid w:val="00277D1C"/>
    <w:rsid w:val="002806B0"/>
    <w:rsid w:val="00280B2D"/>
    <w:rsid w:val="00282824"/>
    <w:rsid w:val="00283B2A"/>
    <w:rsid w:val="0028453C"/>
    <w:rsid w:val="00284722"/>
    <w:rsid w:val="0028529C"/>
    <w:rsid w:val="00285573"/>
    <w:rsid w:val="002859F7"/>
    <w:rsid w:val="00285BFF"/>
    <w:rsid w:val="00286C84"/>
    <w:rsid w:val="002873DF"/>
    <w:rsid w:val="00287A17"/>
    <w:rsid w:val="002914F4"/>
    <w:rsid w:val="002918F9"/>
    <w:rsid w:val="002921FF"/>
    <w:rsid w:val="002923D2"/>
    <w:rsid w:val="0029242E"/>
    <w:rsid w:val="00292B7C"/>
    <w:rsid w:val="0029322A"/>
    <w:rsid w:val="00294DD8"/>
    <w:rsid w:val="002950E9"/>
    <w:rsid w:val="002954B1"/>
    <w:rsid w:val="002958ED"/>
    <w:rsid w:val="00295BDA"/>
    <w:rsid w:val="00295C22"/>
    <w:rsid w:val="00295E4F"/>
    <w:rsid w:val="00296275"/>
    <w:rsid w:val="002965A9"/>
    <w:rsid w:val="0029676F"/>
    <w:rsid w:val="002971E7"/>
    <w:rsid w:val="002974AF"/>
    <w:rsid w:val="00297756"/>
    <w:rsid w:val="002979FE"/>
    <w:rsid w:val="002A080D"/>
    <w:rsid w:val="002A2138"/>
    <w:rsid w:val="002A2981"/>
    <w:rsid w:val="002A3D5F"/>
    <w:rsid w:val="002A617F"/>
    <w:rsid w:val="002A65E1"/>
    <w:rsid w:val="002A6D5A"/>
    <w:rsid w:val="002A78E2"/>
    <w:rsid w:val="002A78F5"/>
    <w:rsid w:val="002A7954"/>
    <w:rsid w:val="002A7F40"/>
    <w:rsid w:val="002B057E"/>
    <w:rsid w:val="002B1534"/>
    <w:rsid w:val="002B1CA0"/>
    <w:rsid w:val="002B235F"/>
    <w:rsid w:val="002B3A0E"/>
    <w:rsid w:val="002B4315"/>
    <w:rsid w:val="002B47EF"/>
    <w:rsid w:val="002B4B23"/>
    <w:rsid w:val="002B4F88"/>
    <w:rsid w:val="002B65F1"/>
    <w:rsid w:val="002B6747"/>
    <w:rsid w:val="002B6DBB"/>
    <w:rsid w:val="002B7337"/>
    <w:rsid w:val="002B76B9"/>
    <w:rsid w:val="002B7A35"/>
    <w:rsid w:val="002B7E7C"/>
    <w:rsid w:val="002C0CD1"/>
    <w:rsid w:val="002C24A1"/>
    <w:rsid w:val="002C2A00"/>
    <w:rsid w:val="002C3D22"/>
    <w:rsid w:val="002C4367"/>
    <w:rsid w:val="002C4747"/>
    <w:rsid w:val="002C5FF1"/>
    <w:rsid w:val="002C6CE2"/>
    <w:rsid w:val="002C70ED"/>
    <w:rsid w:val="002C714F"/>
    <w:rsid w:val="002C7510"/>
    <w:rsid w:val="002C7E6A"/>
    <w:rsid w:val="002C7E9C"/>
    <w:rsid w:val="002D1289"/>
    <w:rsid w:val="002D1A2B"/>
    <w:rsid w:val="002D1B78"/>
    <w:rsid w:val="002D1DFD"/>
    <w:rsid w:val="002D20C6"/>
    <w:rsid w:val="002D268D"/>
    <w:rsid w:val="002D2D83"/>
    <w:rsid w:val="002D2DAC"/>
    <w:rsid w:val="002D2F39"/>
    <w:rsid w:val="002D330C"/>
    <w:rsid w:val="002D3596"/>
    <w:rsid w:val="002D3EDF"/>
    <w:rsid w:val="002D4421"/>
    <w:rsid w:val="002D4630"/>
    <w:rsid w:val="002D4CB5"/>
    <w:rsid w:val="002D538A"/>
    <w:rsid w:val="002D5EE1"/>
    <w:rsid w:val="002D7245"/>
    <w:rsid w:val="002D742A"/>
    <w:rsid w:val="002E0105"/>
    <w:rsid w:val="002E0C23"/>
    <w:rsid w:val="002E1116"/>
    <w:rsid w:val="002E1136"/>
    <w:rsid w:val="002E1C25"/>
    <w:rsid w:val="002E29A6"/>
    <w:rsid w:val="002E36F9"/>
    <w:rsid w:val="002E3BDC"/>
    <w:rsid w:val="002E4C4F"/>
    <w:rsid w:val="002E50A8"/>
    <w:rsid w:val="002E50B3"/>
    <w:rsid w:val="002E5953"/>
    <w:rsid w:val="002E5A4A"/>
    <w:rsid w:val="002E5BE6"/>
    <w:rsid w:val="002E60C4"/>
    <w:rsid w:val="002E6454"/>
    <w:rsid w:val="002E6A66"/>
    <w:rsid w:val="002E709D"/>
    <w:rsid w:val="002F03ED"/>
    <w:rsid w:val="002F13DB"/>
    <w:rsid w:val="002F283E"/>
    <w:rsid w:val="002F2E42"/>
    <w:rsid w:val="002F2F40"/>
    <w:rsid w:val="002F3640"/>
    <w:rsid w:val="002F522C"/>
    <w:rsid w:val="002F5524"/>
    <w:rsid w:val="002F59C3"/>
    <w:rsid w:val="002F5AD3"/>
    <w:rsid w:val="002F5D28"/>
    <w:rsid w:val="002F6559"/>
    <w:rsid w:val="002F69DD"/>
    <w:rsid w:val="002F74BC"/>
    <w:rsid w:val="002F786B"/>
    <w:rsid w:val="002F7D60"/>
    <w:rsid w:val="003005B7"/>
    <w:rsid w:val="003006EC"/>
    <w:rsid w:val="00300AD1"/>
    <w:rsid w:val="00300F54"/>
    <w:rsid w:val="00300F85"/>
    <w:rsid w:val="00301D16"/>
    <w:rsid w:val="00302548"/>
    <w:rsid w:val="00302AC6"/>
    <w:rsid w:val="00302C56"/>
    <w:rsid w:val="003030F3"/>
    <w:rsid w:val="00303802"/>
    <w:rsid w:val="003040DC"/>
    <w:rsid w:val="003041C9"/>
    <w:rsid w:val="00304374"/>
    <w:rsid w:val="0030489D"/>
    <w:rsid w:val="00304AC2"/>
    <w:rsid w:val="00305247"/>
    <w:rsid w:val="0030566C"/>
    <w:rsid w:val="0030582D"/>
    <w:rsid w:val="0030647C"/>
    <w:rsid w:val="00307302"/>
    <w:rsid w:val="003078CA"/>
    <w:rsid w:val="00310749"/>
    <w:rsid w:val="00310BB5"/>
    <w:rsid w:val="003115F7"/>
    <w:rsid w:val="00311613"/>
    <w:rsid w:val="00311A1F"/>
    <w:rsid w:val="00312351"/>
    <w:rsid w:val="003141E7"/>
    <w:rsid w:val="0031494A"/>
    <w:rsid w:val="00314A53"/>
    <w:rsid w:val="003164E7"/>
    <w:rsid w:val="00316586"/>
    <w:rsid w:val="003165D2"/>
    <w:rsid w:val="00316714"/>
    <w:rsid w:val="00316938"/>
    <w:rsid w:val="003170B5"/>
    <w:rsid w:val="003174A4"/>
    <w:rsid w:val="003177E7"/>
    <w:rsid w:val="00320411"/>
    <w:rsid w:val="003204FE"/>
    <w:rsid w:val="00323388"/>
    <w:rsid w:val="00324EB6"/>
    <w:rsid w:val="0032688E"/>
    <w:rsid w:val="00327959"/>
    <w:rsid w:val="00327B52"/>
    <w:rsid w:val="00330214"/>
    <w:rsid w:val="003304B8"/>
    <w:rsid w:val="00331204"/>
    <w:rsid w:val="00331E83"/>
    <w:rsid w:val="00332F55"/>
    <w:rsid w:val="00333B92"/>
    <w:rsid w:val="00333C6A"/>
    <w:rsid w:val="00335FDB"/>
    <w:rsid w:val="003361B7"/>
    <w:rsid w:val="003375B6"/>
    <w:rsid w:val="0033781F"/>
    <w:rsid w:val="00340016"/>
    <w:rsid w:val="003415C7"/>
    <w:rsid w:val="0034256D"/>
    <w:rsid w:val="003436B2"/>
    <w:rsid w:val="00343A9E"/>
    <w:rsid w:val="00343C41"/>
    <w:rsid w:val="00344011"/>
    <w:rsid w:val="003443F3"/>
    <w:rsid w:val="003448EF"/>
    <w:rsid w:val="0034569D"/>
    <w:rsid w:val="003457E3"/>
    <w:rsid w:val="00345E5D"/>
    <w:rsid w:val="00346002"/>
    <w:rsid w:val="00346838"/>
    <w:rsid w:val="00346F79"/>
    <w:rsid w:val="003470EA"/>
    <w:rsid w:val="00347517"/>
    <w:rsid w:val="00347A6C"/>
    <w:rsid w:val="00350B63"/>
    <w:rsid w:val="00350D8E"/>
    <w:rsid w:val="0035195B"/>
    <w:rsid w:val="00351C40"/>
    <w:rsid w:val="0035203D"/>
    <w:rsid w:val="00352777"/>
    <w:rsid w:val="00352C38"/>
    <w:rsid w:val="00352F21"/>
    <w:rsid w:val="0035404D"/>
    <w:rsid w:val="00354DA3"/>
    <w:rsid w:val="003553D4"/>
    <w:rsid w:val="00355605"/>
    <w:rsid w:val="00355770"/>
    <w:rsid w:val="003561BA"/>
    <w:rsid w:val="003567DD"/>
    <w:rsid w:val="00356844"/>
    <w:rsid w:val="003621B0"/>
    <w:rsid w:val="0036226E"/>
    <w:rsid w:val="00362547"/>
    <w:rsid w:val="00363345"/>
    <w:rsid w:val="00363546"/>
    <w:rsid w:val="00364269"/>
    <w:rsid w:val="003647EA"/>
    <w:rsid w:val="003648FE"/>
    <w:rsid w:val="00365151"/>
    <w:rsid w:val="00365162"/>
    <w:rsid w:val="003654C3"/>
    <w:rsid w:val="00365EEA"/>
    <w:rsid w:val="00365FCB"/>
    <w:rsid w:val="00366E46"/>
    <w:rsid w:val="00366F7C"/>
    <w:rsid w:val="00367502"/>
    <w:rsid w:val="0036751F"/>
    <w:rsid w:val="0037077B"/>
    <w:rsid w:val="00370E2E"/>
    <w:rsid w:val="0037102F"/>
    <w:rsid w:val="0037129B"/>
    <w:rsid w:val="00371C11"/>
    <w:rsid w:val="003727BA"/>
    <w:rsid w:val="00372B5F"/>
    <w:rsid w:val="00372F2D"/>
    <w:rsid w:val="003739FD"/>
    <w:rsid w:val="003743BE"/>
    <w:rsid w:val="00374601"/>
    <w:rsid w:val="00374AE4"/>
    <w:rsid w:val="00374AF0"/>
    <w:rsid w:val="00374EDE"/>
    <w:rsid w:val="00375253"/>
    <w:rsid w:val="00375725"/>
    <w:rsid w:val="00375921"/>
    <w:rsid w:val="00375FA5"/>
    <w:rsid w:val="00376724"/>
    <w:rsid w:val="00376D64"/>
    <w:rsid w:val="003772BD"/>
    <w:rsid w:val="003776B4"/>
    <w:rsid w:val="00377953"/>
    <w:rsid w:val="00377EDA"/>
    <w:rsid w:val="003807D9"/>
    <w:rsid w:val="0038097E"/>
    <w:rsid w:val="00380E35"/>
    <w:rsid w:val="00381283"/>
    <w:rsid w:val="003813DF"/>
    <w:rsid w:val="00381A35"/>
    <w:rsid w:val="00381D57"/>
    <w:rsid w:val="003827CD"/>
    <w:rsid w:val="00382C63"/>
    <w:rsid w:val="00384F43"/>
    <w:rsid w:val="00384F4D"/>
    <w:rsid w:val="00385970"/>
    <w:rsid w:val="00385CC7"/>
    <w:rsid w:val="00386347"/>
    <w:rsid w:val="00386ADF"/>
    <w:rsid w:val="0038735D"/>
    <w:rsid w:val="003908EA"/>
    <w:rsid w:val="00390A16"/>
    <w:rsid w:val="003910ED"/>
    <w:rsid w:val="003911CE"/>
    <w:rsid w:val="00391C7D"/>
    <w:rsid w:val="00391CD2"/>
    <w:rsid w:val="00391D1C"/>
    <w:rsid w:val="003926D9"/>
    <w:rsid w:val="00392F37"/>
    <w:rsid w:val="0039393B"/>
    <w:rsid w:val="003941EF"/>
    <w:rsid w:val="0039557D"/>
    <w:rsid w:val="0039562F"/>
    <w:rsid w:val="00395908"/>
    <w:rsid w:val="00395E04"/>
    <w:rsid w:val="00396369"/>
    <w:rsid w:val="00396CC9"/>
    <w:rsid w:val="0039740C"/>
    <w:rsid w:val="003974ED"/>
    <w:rsid w:val="003A069A"/>
    <w:rsid w:val="003A0C21"/>
    <w:rsid w:val="003A0FB4"/>
    <w:rsid w:val="003A1206"/>
    <w:rsid w:val="003A126E"/>
    <w:rsid w:val="003A1A66"/>
    <w:rsid w:val="003A1FC0"/>
    <w:rsid w:val="003A2D65"/>
    <w:rsid w:val="003A32D9"/>
    <w:rsid w:val="003A4F41"/>
    <w:rsid w:val="003A518A"/>
    <w:rsid w:val="003A608B"/>
    <w:rsid w:val="003A6476"/>
    <w:rsid w:val="003A6535"/>
    <w:rsid w:val="003A7491"/>
    <w:rsid w:val="003A7F7B"/>
    <w:rsid w:val="003B2284"/>
    <w:rsid w:val="003B22E5"/>
    <w:rsid w:val="003B2562"/>
    <w:rsid w:val="003B3437"/>
    <w:rsid w:val="003B419B"/>
    <w:rsid w:val="003B4C24"/>
    <w:rsid w:val="003B6507"/>
    <w:rsid w:val="003B68B2"/>
    <w:rsid w:val="003B70C3"/>
    <w:rsid w:val="003B7198"/>
    <w:rsid w:val="003B77AF"/>
    <w:rsid w:val="003B7857"/>
    <w:rsid w:val="003C061A"/>
    <w:rsid w:val="003C0A38"/>
    <w:rsid w:val="003C11DC"/>
    <w:rsid w:val="003C24B9"/>
    <w:rsid w:val="003C3353"/>
    <w:rsid w:val="003C3A5D"/>
    <w:rsid w:val="003C5052"/>
    <w:rsid w:val="003C5133"/>
    <w:rsid w:val="003C57DF"/>
    <w:rsid w:val="003C5CEE"/>
    <w:rsid w:val="003C5FD0"/>
    <w:rsid w:val="003C6848"/>
    <w:rsid w:val="003C6894"/>
    <w:rsid w:val="003C75F3"/>
    <w:rsid w:val="003C7CBF"/>
    <w:rsid w:val="003D06E4"/>
    <w:rsid w:val="003D0D2C"/>
    <w:rsid w:val="003D17DD"/>
    <w:rsid w:val="003D269F"/>
    <w:rsid w:val="003D3081"/>
    <w:rsid w:val="003D30FB"/>
    <w:rsid w:val="003D4243"/>
    <w:rsid w:val="003D46D2"/>
    <w:rsid w:val="003D4911"/>
    <w:rsid w:val="003D492E"/>
    <w:rsid w:val="003D4968"/>
    <w:rsid w:val="003D4B74"/>
    <w:rsid w:val="003D6401"/>
    <w:rsid w:val="003D660B"/>
    <w:rsid w:val="003D6E52"/>
    <w:rsid w:val="003D7891"/>
    <w:rsid w:val="003D7FF4"/>
    <w:rsid w:val="003E0141"/>
    <w:rsid w:val="003E1BFB"/>
    <w:rsid w:val="003E2000"/>
    <w:rsid w:val="003E2163"/>
    <w:rsid w:val="003E23C3"/>
    <w:rsid w:val="003E2615"/>
    <w:rsid w:val="003E4825"/>
    <w:rsid w:val="003E5881"/>
    <w:rsid w:val="003E689A"/>
    <w:rsid w:val="003E7965"/>
    <w:rsid w:val="003F0216"/>
    <w:rsid w:val="003F13CC"/>
    <w:rsid w:val="003F17C0"/>
    <w:rsid w:val="003F24EC"/>
    <w:rsid w:val="003F369B"/>
    <w:rsid w:val="003F36C4"/>
    <w:rsid w:val="003F39EC"/>
    <w:rsid w:val="003F3C0D"/>
    <w:rsid w:val="003F3F1E"/>
    <w:rsid w:val="003F40A5"/>
    <w:rsid w:val="003F5BB8"/>
    <w:rsid w:val="003F6FB9"/>
    <w:rsid w:val="003F7A86"/>
    <w:rsid w:val="003F7F3B"/>
    <w:rsid w:val="004005A9"/>
    <w:rsid w:val="00400BC5"/>
    <w:rsid w:val="00401941"/>
    <w:rsid w:val="0040201D"/>
    <w:rsid w:val="00402329"/>
    <w:rsid w:val="00402C4E"/>
    <w:rsid w:val="00403436"/>
    <w:rsid w:val="00403803"/>
    <w:rsid w:val="00404552"/>
    <w:rsid w:val="004046C7"/>
    <w:rsid w:val="00404F00"/>
    <w:rsid w:val="00405292"/>
    <w:rsid w:val="00405913"/>
    <w:rsid w:val="00406C17"/>
    <w:rsid w:val="00407007"/>
    <w:rsid w:val="0040741B"/>
    <w:rsid w:val="00411789"/>
    <w:rsid w:val="004118CB"/>
    <w:rsid w:val="0041241C"/>
    <w:rsid w:val="00412658"/>
    <w:rsid w:val="00412EDB"/>
    <w:rsid w:val="0041329F"/>
    <w:rsid w:val="004138A4"/>
    <w:rsid w:val="00413BA6"/>
    <w:rsid w:val="00413CC0"/>
    <w:rsid w:val="00416099"/>
    <w:rsid w:val="0041613C"/>
    <w:rsid w:val="004161ED"/>
    <w:rsid w:val="004166BF"/>
    <w:rsid w:val="0041686D"/>
    <w:rsid w:val="00416D6E"/>
    <w:rsid w:val="004173D3"/>
    <w:rsid w:val="00417556"/>
    <w:rsid w:val="00417F86"/>
    <w:rsid w:val="00421FD6"/>
    <w:rsid w:val="00422190"/>
    <w:rsid w:val="004225A5"/>
    <w:rsid w:val="00422AD7"/>
    <w:rsid w:val="00422ED9"/>
    <w:rsid w:val="00424307"/>
    <w:rsid w:val="00424716"/>
    <w:rsid w:val="004259C9"/>
    <w:rsid w:val="00425A8E"/>
    <w:rsid w:val="00426108"/>
    <w:rsid w:val="00426928"/>
    <w:rsid w:val="00426E22"/>
    <w:rsid w:val="00426FDD"/>
    <w:rsid w:val="00427175"/>
    <w:rsid w:val="004273FE"/>
    <w:rsid w:val="00430F6B"/>
    <w:rsid w:val="00430F92"/>
    <w:rsid w:val="004313C1"/>
    <w:rsid w:val="0043147B"/>
    <w:rsid w:val="00431639"/>
    <w:rsid w:val="0043215C"/>
    <w:rsid w:val="00432351"/>
    <w:rsid w:val="00432AD7"/>
    <w:rsid w:val="00432D01"/>
    <w:rsid w:val="00432F8A"/>
    <w:rsid w:val="00433291"/>
    <w:rsid w:val="00433387"/>
    <w:rsid w:val="00433A96"/>
    <w:rsid w:val="004341E6"/>
    <w:rsid w:val="0043491E"/>
    <w:rsid w:val="00435467"/>
    <w:rsid w:val="00435980"/>
    <w:rsid w:val="00436784"/>
    <w:rsid w:val="004370D5"/>
    <w:rsid w:val="0043757A"/>
    <w:rsid w:val="00437602"/>
    <w:rsid w:val="00440306"/>
    <w:rsid w:val="004408DA"/>
    <w:rsid w:val="004408E5"/>
    <w:rsid w:val="00440999"/>
    <w:rsid w:val="00440A2D"/>
    <w:rsid w:val="004415F2"/>
    <w:rsid w:val="00441643"/>
    <w:rsid w:val="00441701"/>
    <w:rsid w:val="00441A5A"/>
    <w:rsid w:val="0044206C"/>
    <w:rsid w:val="00443A72"/>
    <w:rsid w:val="00443BBC"/>
    <w:rsid w:val="004441A5"/>
    <w:rsid w:val="00445543"/>
    <w:rsid w:val="004461C4"/>
    <w:rsid w:val="00446295"/>
    <w:rsid w:val="004464A9"/>
    <w:rsid w:val="00446913"/>
    <w:rsid w:val="00446F66"/>
    <w:rsid w:val="004474FC"/>
    <w:rsid w:val="0045039C"/>
    <w:rsid w:val="004512F0"/>
    <w:rsid w:val="0045262D"/>
    <w:rsid w:val="004555F0"/>
    <w:rsid w:val="00455BFD"/>
    <w:rsid w:val="00455C07"/>
    <w:rsid w:val="00456D07"/>
    <w:rsid w:val="004571DF"/>
    <w:rsid w:val="0045727E"/>
    <w:rsid w:val="004573E9"/>
    <w:rsid w:val="00457702"/>
    <w:rsid w:val="00457D28"/>
    <w:rsid w:val="00460188"/>
    <w:rsid w:val="00462315"/>
    <w:rsid w:val="00462635"/>
    <w:rsid w:val="004627FB"/>
    <w:rsid w:val="00462FAE"/>
    <w:rsid w:val="00463E22"/>
    <w:rsid w:val="00464273"/>
    <w:rsid w:val="00465690"/>
    <w:rsid w:val="00465EA0"/>
    <w:rsid w:val="0046637F"/>
    <w:rsid w:val="00466624"/>
    <w:rsid w:val="004666FF"/>
    <w:rsid w:val="00467260"/>
    <w:rsid w:val="004678AE"/>
    <w:rsid w:val="00467A31"/>
    <w:rsid w:val="00470587"/>
    <w:rsid w:val="00471DB9"/>
    <w:rsid w:val="0047230B"/>
    <w:rsid w:val="00473F97"/>
    <w:rsid w:val="0047455A"/>
    <w:rsid w:val="0047483C"/>
    <w:rsid w:val="00474EB1"/>
    <w:rsid w:val="00475003"/>
    <w:rsid w:val="004753F2"/>
    <w:rsid w:val="004759E8"/>
    <w:rsid w:val="00475CF1"/>
    <w:rsid w:val="004766B3"/>
    <w:rsid w:val="00476E9B"/>
    <w:rsid w:val="004804F1"/>
    <w:rsid w:val="004805D2"/>
    <w:rsid w:val="00480C6C"/>
    <w:rsid w:val="00480E5A"/>
    <w:rsid w:val="00481814"/>
    <w:rsid w:val="00481F9C"/>
    <w:rsid w:val="0048210F"/>
    <w:rsid w:val="004828D5"/>
    <w:rsid w:val="00483C8D"/>
    <w:rsid w:val="00485110"/>
    <w:rsid w:val="00486FA4"/>
    <w:rsid w:val="004872D4"/>
    <w:rsid w:val="00490AC8"/>
    <w:rsid w:val="00490CFB"/>
    <w:rsid w:val="004910C7"/>
    <w:rsid w:val="00491199"/>
    <w:rsid w:val="004919D1"/>
    <w:rsid w:val="00492834"/>
    <w:rsid w:val="00492B34"/>
    <w:rsid w:val="00493BB2"/>
    <w:rsid w:val="00493E6C"/>
    <w:rsid w:val="0049471F"/>
    <w:rsid w:val="00494A8C"/>
    <w:rsid w:val="00494D0D"/>
    <w:rsid w:val="004950D9"/>
    <w:rsid w:val="004951E9"/>
    <w:rsid w:val="004964ED"/>
    <w:rsid w:val="004969BE"/>
    <w:rsid w:val="00496F73"/>
    <w:rsid w:val="00497207"/>
    <w:rsid w:val="004A056C"/>
    <w:rsid w:val="004A05F1"/>
    <w:rsid w:val="004A1006"/>
    <w:rsid w:val="004A156D"/>
    <w:rsid w:val="004A1667"/>
    <w:rsid w:val="004A1773"/>
    <w:rsid w:val="004A19E5"/>
    <w:rsid w:val="004A24DB"/>
    <w:rsid w:val="004A29E2"/>
    <w:rsid w:val="004A35BC"/>
    <w:rsid w:val="004A39A6"/>
    <w:rsid w:val="004A3E3C"/>
    <w:rsid w:val="004A4387"/>
    <w:rsid w:val="004A48F1"/>
    <w:rsid w:val="004A5011"/>
    <w:rsid w:val="004A5188"/>
    <w:rsid w:val="004A78F4"/>
    <w:rsid w:val="004B0675"/>
    <w:rsid w:val="004B06F0"/>
    <w:rsid w:val="004B0FED"/>
    <w:rsid w:val="004B167A"/>
    <w:rsid w:val="004B1861"/>
    <w:rsid w:val="004B20D8"/>
    <w:rsid w:val="004B3219"/>
    <w:rsid w:val="004B39F2"/>
    <w:rsid w:val="004B3A31"/>
    <w:rsid w:val="004B3B42"/>
    <w:rsid w:val="004B3BA3"/>
    <w:rsid w:val="004B3EE7"/>
    <w:rsid w:val="004B4BE7"/>
    <w:rsid w:val="004B4D9E"/>
    <w:rsid w:val="004B4E6F"/>
    <w:rsid w:val="004B5450"/>
    <w:rsid w:val="004B6A48"/>
    <w:rsid w:val="004B7233"/>
    <w:rsid w:val="004B7F42"/>
    <w:rsid w:val="004C0370"/>
    <w:rsid w:val="004C14E3"/>
    <w:rsid w:val="004C19A1"/>
    <w:rsid w:val="004C22E1"/>
    <w:rsid w:val="004C2881"/>
    <w:rsid w:val="004C317C"/>
    <w:rsid w:val="004C3209"/>
    <w:rsid w:val="004C36E3"/>
    <w:rsid w:val="004C415B"/>
    <w:rsid w:val="004C6E12"/>
    <w:rsid w:val="004C6FAA"/>
    <w:rsid w:val="004C7B29"/>
    <w:rsid w:val="004D05E5"/>
    <w:rsid w:val="004D1009"/>
    <w:rsid w:val="004D1BDC"/>
    <w:rsid w:val="004D21F4"/>
    <w:rsid w:val="004D345B"/>
    <w:rsid w:val="004D3E32"/>
    <w:rsid w:val="004D4C38"/>
    <w:rsid w:val="004D523B"/>
    <w:rsid w:val="004D61D5"/>
    <w:rsid w:val="004D7DFC"/>
    <w:rsid w:val="004E0701"/>
    <w:rsid w:val="004E0BC6"/>
    <w:rsid w:val="004E155C"/>
    <w:rsid w:val="004E16BF"/>
    <w:rsid w:val="004E18BE"/>
    <w:rsid w:val="004E1F24"/>
    <w:rsid w:val="004E2246"/>
    <w:rsid w:val="004E22F5"/>
    <w:rsid w:val="004E2F1A"/>
    <w:rsid w:val="004E35F4"/>
    <w:rsid w:val="004E376D"/>
    <w:rsid w:val="004E3958"/>
    <w:rsid w:val="004E4365"/>
    <w:rsid w:val="004E49A0"/>
    <w:rsid w:val="004E4CDD"/>
    <w:rsid w:val="004E6632"/>
    <w:rsid w:val="004E6C5A"/>
    <w:rsid w:val="004E6C80"/>
    <w:rsid w:val="004E7B7B"/>
    <w:rsid w:val="004E7C0B"/>
    <w:rsid w:val="004F03B1"/>
    <w:rsid w:val="004F0911"/>
    <w:rsid w:val="004F0C3F"/>
    <w:rsid w:val="004F0D08"/>
    <w:rsid w:val="004F11D0"/>
    <w:rsid w:val="004F2C06"/>
    <w:rsid w:val="004F2CE0"/>
    <w:rsid w:val="004F3416"/>
    <w:rsid w:val="004F38CC"/>
    <w:rsid w:val="004F4DC8"/>
    <w:rsid w:val="004F4DE5"/>
    <w:rsid w:val="004F504E"/>
    <w:rsid w:val="004F58D9"/>
    <w:rsid w:val="004F64F4"/>
    <w:rsid w:val="004F6F8D"/>
    <w:rsid w:val="004F73C9"/>
    <w:rsid w:val="004F782E"/>
    <w:rsid w:val="004F7AA3"/>
    <w:rsid w:val="005006F8"/>
    <w:rsid w:val="00501B9B"/>
    <w:rsid w:val="00501DE6"/>
    <w:rsid w:val="00502BD9"/>
    <w:rsid w:val="005033F7"/>
    <w:rsid w:val="0050404A"/>
    <w:rsid w:val="00504644"/>
    <w:rsid w:val="00504A5F"/>
    <w:rsid w:val="00504D8C"/>
    <w:rsid w:val="00504F31"/>
    <w:rsid w:val="00505670"/>
    <w:rsid w:val="005056D6"/>
    <w:rsid w:val="005056E0"/>
    <w:rsid w:val="00505DD4"/>
    <w:rsid w:val="00506644"/>
    <w:rsid w:val="005066B5"/>
    <w:rsid w:val="00506857"/>
    <w:rsid w:val="005070FF"/>
    <w:rsid w:val="00507375"/>
    <w:rsid w:val="00507D87"/>
    <w:rsid w:val="00510745"/>
    <w:rsid w:val="00510CE4"/>
    <w:rsid w:val="005110CD"/>
    <w:rsid w:val="00511178"/>
    <w:rsid w:val="00511225"/>
    <w:rsid w:val="00511CD8"/>
    <w:rsid w:val="005123CA"/>
    <w:rsid w:val="005129C9"/>
    <w:rsid w:val="00512D01"/>
    <w:rsid w:val="00512FBE"/>
    <w:rsid w:val="00514301"/>
    <w:rsid w:val="00514922"/>
    <w:rsid w:val="00514D9F"/>
    <w:rsid w:val="00514F4C"/>
    <w:rsid w:val="00515835"/>
    <w:rsid w:val="00515EC1"/>
    <w:rsid w:val="0051663D"/>
    <w:rsid w:val="00517101"/>
    <w:rsid w:val="005173F1"/>
    <w:rsid w:val="005179CF"/>
    <w:rsid w:val="00517F1C"/>
    <w:rsid w:val="005206A9"/>
    <w:rsid w:val="00520C1A"/>
    <w:rsid w:val="00520D86"/>
    <w:rsid w:val="005210A3"/>
    <w:rsid w:val="00521CB1"/>
    <w:rsid w:val="005235A5"/>
    <w:rsid w:val="00523683"/>
    <w:rsid w:val="00523ABB"/>
    <w:rsid w:val="00523F26"/>
    <w:rsid w:val="00524561"/>
    <w:rsid w:val="00524B71"/>
    <w:rsid w:val="00524F9C"/>
    <w:rsid w:val="005252C1"/>
    <w:rsid w:val="00525A6F"/>
    <w:rsid w:val="00525D83"/>
    <w:rsid w:val="005263DE"/>
    <w:rsid w:val="005267B1"/>
    <w:rsid w:val="00526B7A"/>
    <w:rsid w:val="00526C3C"/>
    <w:rsid w:val="005310D5"/>
    <w:rsid w:val="00531CA4"/>
    <w:rsid w:val="0053246A"/>
    <w:rsid w:val="00533A91"/>
    <w:rsid w:val="00533F3D"/>
    <w:rsid w:val="00534466"/>
    <w:rsid w:val="00535700"/>
    <w:rsid w:val="00535705"/>
    <w:rsid w:val="00535BC9"/>
    <w:rsid w:val="00535F1C"/>
    <w:rsid w:val="005361FA"/>
    <w:rsid w:val="00536AA2"/>
    <w:rsid w:val="005373EE"/>
    <w:rsid w:val="00537880"/>
    <w:rsid w:val="00537BE3"/>
    <w:rsid w:val="00540280"/>
    <w:rsid w:val="00542646"/>
    <w:rsid w:val="00543095"/>
    <w:rsid w:val="005430EF"/>
    <w:rsid w:val="005436DA"/>
    <w:rsid w:val="00544798"/>
    <w:rsid w:val="00544FE9"/>
    <w:rsid w:val="0054623A"/>
    <w:rsid w:val="00546D74"/>
    <w:rsid w:val="005473B4"/>
    <w:rsid w:val="0054783A"/>
    <w:rsid w:val="005504DB"/>
    <w:rsid w:val="005506BB"/>
    <w:rsid w:val="00550F77"/>
    <w:rsid w:val="0055130F"/>
    <w:rsid w:val="005513E8"/>
    <w:rsid w:val="00551671"/>
    <w:rsid w:val="00551678"/>
    <w:rsid w:val="00551D6F"/>
    <w:rsid w:val="00551EEA"/>
    <w:rsid w:val="00551F70"/>
    <w:rsid w:val="0055218E"/>
    <w:rsid w:val="00553321"/>
    <w:rsid w:val="00553467"/>
    <w:rsid w:val="00553545"/>
    <w:rsid w:val="00553D8A"/>
    <w:rsid w:val="00555CA6"/>
    <w:rsid w:val="00555E9E"/>
    <w:rsid w:val="005573B1"/>
    <w:rsid w:val="00557759"/>
    <w:rsid w:val="005579F0"/>
    <w:rsid w:val="00557EBD"/>
    <w:rsid w:val="00560BB1"/>
    <w:rsid w:val="00560D6A"/>
    <w:rsid w:val="005614EC"/>
    <w:rsid w:val="00562137"/>
    <w:rsid w:val="00562AB3"/>
    <w:rsid w:val="005632FA"/>
    <w:rsid w:val="00563442"/>
    <w:rsid w:val="005636BE"/>
    <w:rsid w:val="00563947"/>
    <w:rsid w:val="00564A3A"/>
    <w:rsid w:val="00565C57"/>
    <w:rsid w:val="00565DBB"/>
    <w:rsid w:val="00565F62"/>
    <w:rsid w:val="0056615F"/>
    <w:rsid w:val="00566E9A"/>
    <w:rsid w:val="00567913"/>
    <w:rsid w:val="00567A45"/>
    <w:rsid w:val="0057027C"/>
    <w:rsid w:val="00571B33"/>
    <w:rsid w:val="005733EA"/>
    <w:rsid w:val="00573AD3"/>
    <w:rsid w:val="00573E4D"/>
    <w:rsid w:val="00574046"/>
    <w:rsid w:val="0057437A"/>
    <w:rsid w:val="005752D4"/>
    <w:rsid w:val="005760D6"/>
    <w:rsid w:val="0057610E"/>
    <w:rsid w:val="0057611C"/>
    <w:rsid w:val="005770BC"/>
    <w:rsid w:val="005774CF"/>
    <w:rsid w:val="0057772D"/>
    <w:rsid w:val="00577D8C"/>
    <w:rsid w:val="00577FC5"/>
    <w:rsid w:val="005805D3"/>
    <w:rsid w:val="0058094D"/>
    <w:rsid w:val="005809D4"/>
    <w:rsid w:val="00581F30"/>
    <w:rsid w:val="00582A5F"/>
    <w:rsid w:val="00582DB9"/>
    <w:rsid w:val="00584EC3"/>
    <w:rsid w:val="00584FA5"/>
    <w:rsid w:val="005852E2"/>
    <w:rsid w:val="005860A3"/>
    <w:rsid w:val="005865D8"/>
    <w:rsid w:val="00586A50"/>
    <w:rsid w:val="00586F21"/>
    <w:rsid w:val="005872D2"/>
    <w:rsid w:val="00587538"/>
    <w:rsid w:val="005878D5"/>
    <w:rsid w:val="00590F20"/>
    <w:rsid w:val="00591FCB"/>
    <w:rsid w:val="0059203C"/>
    <w:rsid w:val="00593337"/>
    <w:rsid w:val="005935AA"/>
    <w:rsid w:val="00593BE6"/>
    <w:rsid w:val="00594384"/>
    <w:rsid w:val="005954D0"/>
    <w:rsid w:val="00595B2B"/>
    <w:rsid w:val="00596D67"/>
    <w:rsid w:val="00597014"/>
    <w:rsid w:val="0059770D"/>
    <w:rsid w:val="00597760"/>
    <w:rsid w:val="005978DC"/>
    <w:rsid w:val="00597F5D"/>
    <w:rsid w:val="005A18E8"/>
    <w:rsid w:val="005A2501"/>
    <w:rsid w:val="005A27E2"/>
    <w:rsid w:val="005A2820"/>
    <w:rsid w:val="005A2B4A"/>
    <w:rsid w:val="005A3849"/>
    <w:rsid w:val="005A3C83"/>
    <w:rsid w:val="005A4227"/>
    <w:rsid w:val="005A4A01"/>
    <w:rsid w:val="005A4F52"/>
    <w:rsid w:val="005A5766"/>
    <w:rsid w:val="005A5D93"/>
    <w:rsid w:val="005A5DE0"/>
    <w:rsid w:val="005A674C"/>
    <w:rsid w:val="005A699E"/>
    <w:rsid w:val="005A7847"/>
    <w:rsid w:val="005A796A"/>
    <w:rsid w:val="005B0082"/>
    <w:rsid w:val="005B02F8"/>
    <w:rsid w:val="005B0644"/>
    <w:rsid w:val="005B069C"/>
    <w:rsid w:val="005B0B63"/>
    <w:rsid w:val="005B0F62"/>
    <w:rsid w:val="005B15C7"/>
    <w:rsid w:val="005B2849"/>
    <w:rsid w:val="005B2BB9"/>
    <w:rsid w:val="005B3B45"/>
    <w:rsid w:val="005B4099"/>
    <w:rsid w:val="005B44A6"/>
    <w:rsid w:val="005B46C2"/>
    <w:rsid w:val="005B478D"/>
    <w:rsid w:val="005B480E"/>
    <w:rsid w:val="005B4FCD"/>
    <w:rsid w:val="005B5BE6"/>
    <w:rsid w:val="005B5EB6"/>
    <w:rsid w:val="005B7B27"/>
    <w:rsid w:val="005C0360"/>
    <w:rsid w:val="005C06A3"/>
    <w:rsid w:val="005C0F31"/>
    <w:rsid w:val="005C0FAC"/>
    <w:rsid w:val="005C1432"/>
    <w:rsid w:val="005C1B4B"/>
    <w:rsid w:val="005C2050"/>
    <w:rsid w:val="005C2346"/>
    <w:rsid w:val="005C3643"/>
    <w:rsid w:val="005C4CF1"/>
    <w:rsid w:val="005C52A2"/>
    <w:rsid w:val="005C5325"/>
    <w:rsid w:val="005C5F89"/>
    <w:rsid w:val="005C62A1"/>
    <w:rsid w:val="005C6536"/>
    <w:rsid w:val="005C6666"/>
    <w:rsid w:val="005C6FB8"/>
    <w:rsid w:val="005D059B"/>
    <w:rsid w:val="005D2AFA"/>
    <w:rsid w:val="005D4F79"/>
    <w:rsid w:val="005D589A"/>
    <w:rsid w:val="005D5CC3"/>
    <w:rsid w:val="005D5FD1"/>
    <w:rsid w:val="005D6424"/>
    <w:rsid w:val="005D6498"/>
    <w:rsid w:val="005D7BD2"/>
    <w:rsid w:val="005D7EC2"/>
    <w:rsid w:val="005E05F2"/>
    <w:rsid w:val="005E142A"/>
    <w:rsid w:val="005E1D93"/>
    <w:rsid w:val="005E2502"/>
    <w:rsid w:val="005E25D4"/>
    <w:rsid w:val="005E2982"/>
    <w:rsid w:val="005E3350"/>
    <w:rsid w:val="005E713A"/>
    <w:rsid w:val="005E71EA"/>
    <w:rsid w:val="005F03BE"/>
    <w:rsid w:val="005F0833"/>
    <w:rsid w:val="005F0E0B"/>
    <w:rsid w:val="005F14FA"/>
    <w:rsid w:val="005F1C77"/>
    <w:rsid w:val="005F1EAF"/>
    <w:rsid w:val="005F2457"/>
    <w:rsid w:val="005F3063"/>
    <w:rsid w:val="005F31E5"/>
    <w:rsid w:val="005F34C9"/>
    <w:rsid w:val="005F37B6"/>
    <w:rsid w:val="005F5112"/>
    <w:rsid w:val="005F5B4A"/>
    <w:rsid w:val="005F635B"/>
    <w:rsid w:val="005F67A5"/>
    <w:rsid w:val="005F7677"/>
    <w:rsid w:val="005F7DDF"/>
    <w:rsid w:val="00601299"/>
    <w:rsid w:val="006014D8"/>
    <w:rsid w:val="006019CF"/>
    <w:rsid w:val="00601A14"/>
    <w:rsid w:val="00601A42"/>
    <w:rsid w:val="00601B7B"/>
    <w:rsid w:val="00602B4D"/>
    <w:rsid w:val="0060306C"/>
    <w:rsid w:val="006030BE"/>
    <w:rsid w:val="0060348F"/>
    <w:rsid w:val="00603ADE"/>
    <w:rsid w:val="006046E5"/>
    <w:rsid w:val="00604938"/>
    <w:rsid w:val="00604A27"/>
    <w:rsid w:val="00605482"/>
    <w:rsid w:val="0060597A"/>
    <w:rsid w:val="006063E4"/>
    <w:rsid w:val="006067BB"/>
    <w:rsid w:val="00606E89"/>
    <w:rsid w:val="006073D1"/>
    <w:rsid w:val="00607D47"/>
    <w:rsid w:val="00607D63"/>
    <w:rsid w:val="00610C7D"/>
    <w:rsid w:val="00610DA4"/>
    <w:rsid w:val="00610E7B"/>
    <w:rsid w:val="006115B1"/>
    <w:rsid w:val="00611FB2"/>
    <w:rsid w:val="00611FCB"/>
    <w:rsid w:val="00612081"/>
    <w:rsid w:val="00612630"/>
    <w:rsid w:val="00613877"/>
    <w:rsid w:val="00613A08"/>
    <w:rsid w:val="00613E16"/>
    <w:rsid w:val="00614137"/>
    <w:rsid w:val="006142CB"/>
    <w:rsid w:val="00614FAB"/>
    <w:rsid w:val="006156EB"/>
    <w:rsid w:val="00615BB3"/>
    <w:rsid w:val="00615FBE"/>
    <w:rsid w:val="00616612"/>
    <w:rsid w:val="006168F6"/>
    <w:rsid w:val="00616BEC"/>
    <w:rsid w:val="00616DD0"/>
    <w:rsid w:val="00616E4A"/>
    <w:rsid w:val="006175EC"/>
    <w:rsid w:val="00617F31"/>
    <w:rsid w:val="0062082E"/>
    <w:rsid w:val="00621F8C"/>
    <w:rsid w:val="00621F9E"/>
    <w:rsid w:val="006220ED"/>
    <w:rsid w:val="00623E6E"/>
    <w:rsid w:val="00623F91"/>
    <w:rsid w:val="0062423B"/>
    <w:rsid w:val="00624351"/>
    <w:rsid w:val="00624DE2"/>
    <w:rsid w:val="00625205"/>
    <w:rsid w:val="006255F7"/>
    <w:rsid w:val="00625A36"/>
    <w:rsid w:val="0062660A"/>
    <w:rsid w:val="00626E1A"/>
    <w:rsid w:val="00627940"/>
    <w:rsid w:val="00627D88"/>
    <w:rsid w:val="00630996"/>
    <w:rsid w:val="00630F62"/>
    <w:rsid w:val="00635474"/>
    <w:rsid w:val="006357E2"/>
    <w:rsid w:val="00637557"/>
    <w:rsid w:val="00637F3A"/>
    <w:rsid w:val="00640A67"/>
    <w:rsid w:val="00641355"/>
    <w:rsid w:val="00641F6E"/>
    <w:rsid w:val="006425B8"/>
    <w:rsid w:val="00642873"/>
    <w:rsid w:val="006432B9"/>
    <w:rsid w:val="0064384C"/>
    <w:rsid w:val="00643D2F"/>
    <w:rsid w:val="00643D4A"/>
    <w:rsid w:val="00643ECB"/>
    <w:rsid w:val="00644C6F"/>
    <w:rsid w:val="00645D60"/>
    <w:rsid w:val="006461BD"/>
    <w:rsid w:val="0064632D"/>
    <w:rsid w:val="00646480"/>
    <w:rsid w:val="00646A57"/>
    <w:rsid w:val="00646CDD"/>
    <w:rsid w:val="00647747"/>
    <w:rsid w:val="0064775B"/>
    <w:rsid w:val="006500B8"/>
    <w:rsid w:val="006507C1"/>
    <w:rsid w:val="00650853"/>
    <w:rsid w:val="00650BFB"/>
    <w:rsid w:val="00651241"/>
    <w:rsid w:val="006516EA"/>
    <w:rsid w:val="0065287E"/>
    <w:rsid w:val="00652E85"/>
    <w:rsid w:val="006532D9"/>
    <w:rsid w:val="00653502"/>
    <w:rsid w:val="00653940"/>
    <w:rsid w:val="00653964"/>
    <w:rsid w:val="00655141"/>
    <w:rsid w:val="006553B0"/>
    <w:rsid w:val="0065619B"/>
    <w:rsid w:val="00656EB8"/>
    <w:rsid w:val="006577B1"/>
    <w:rsid w:val="00657F2F"/>
    <w:rsid w:val="00661A3C"/>
    <w:rsid w:val="00661F20"/>
    <w:rsid w:val="0066223D"/>
    <w:rsid w:val="00662DDC"/>
    <w:rsid w:val="00663665"/>
    <w:rsid w:val="006638AA"/>
    <w:rsid w:val="00663DC8"/>
    <w:rsid w:val="0066555D"/>
    <w:rsid w:val="00665B30"/>
    <w:rsid w:val="0066644E"/>
    <w:rsid w:val="0066697A"/>
    <w:rsid w:val="00667314"/>
    <w:rsid w:val="00667345"/>
    <w:rsid w:val="00667E3A"/>
    <w:rsid w:val="0067034E"/>
    <w:rsid w:val="00670996"/>
    <w:rsid w:val="00670BBC"/>
    <w:rsid w:val="00670C88"/>
    <w:rsid w:val="00670DD0"/>
    <w:rsid w:val="006710B4"/>
    <w:rsid w:val="006714E1"/>
    <w:rsid w:val="00671C11"/>
    <w:rsid w:val="00671CBF"/>
    <w:rsid w:val="00671D97"/>
    <w:rsid w:val="0067223E"/>
    <w:rsid w:val="006722EC"/>
    <w:rsid w:val="00672CBC"/>
    <w:rsid w:val="00672D00"/>
    <w:rsid w:val="00672D7A"/>
    <w:rsid w:val="00673229"/>
    <w:rsid w:val="00674DE5"/>
    <w:rsid w:val="00675111"/>
    <w:rsid w:val="0067524D"/>
    <w:rsid w:val="00675698"/>
    <w:rsid w:val="006759C0"/>
    <w:rsid w:val="0067670E"/>
    <w:rsid w:val="0067736B"/>
    <w:rsid w:val="00677535"/>
    <w:rsid w:val="006779B6"/>
    <w:rsid w:val="00677BC1"/>
    <w:rsid w:val="0068019C"/>
    <w:rsid w:val="0068099E"/>
    <w:rsid w:val="00680E16"/>
    <w:rsid w:val="0068100E"/>
    <w:rsid w:val="0068150D"/>
    <w:rsid w:val="00682009"/>
    <w:rsid w:val="006820B8"/>
    <w:rsid w:val="006828E9"/>
    <w:rsid w:val="00683442"/>
    <w:rsid w:val="00683FAD"/>
    <w:rsid w:val="006855EA"/>
    <w:rsid w:val="006856B2"/>
    <w:rsid w:val="006857D8"/>
    <w:rsid w:val="00686F25"/>
    <w:rsid w:val="00687425"/>
    <w:rsid w:val="00687777"/>
    <w:rsid w:val="00687C39"/>
    <w:rsid w:val="00687FA1"/>
    <w:rsid w:val="00690143"/>
    <w:rsid w:val="00690AF0"/>
    <w:rsid w:val="006914A7"/>
    <w:rsid w:val="00691835"/>
    <w:rsid w:val="00691F82"/>
    <w:rsid w:val="006931BD"/>
    <w:rsid w:val="00693A3E"/>
    <w:rsid w:val="00693E08"/>
    <w:rsid w:val="0069506C"/>
    <w:rsid w:val="006951A2"/>
    <w:rsid w:val="006951A4"/>
    <w:rsid w:val="0069683F"/>
    <w:rsid w:val="00696BA8"/>
    <w:rsid w:val="00697168"/>
    <w:rsid w:val="00697C45"/>
    <w:rsid w:val="00697DF5"/>
    <w:rsid w:val="006A1FBD"/>
    <w:rsid w:val="006A26D0"/>
    <w:rsid w:val="006A286A"/>
    <w:rsid w:val="006A2A3A"/>
    <w:rsid w:val="006A39A3"/>
    <w:rsid w:val="006A3A4F"/>
    <w:rsid w:val="006A4521"/>
    <w:rsid w:val="006A4F3F"/>
    <w:rsid w:val="006A58B8"/>
    <w:rsid w:val="006A5A72"/>
    <w:rsid w:val="006A5F85"/>
    <w:rsid w:val="006A6485"/>
    <w:rsid w:val="006A71FC"/>
    <w:rsid w:val="006A7BDB"/>
    <w:rsid w:val="006B0BE0"/>
    <w:rsid w:val="006B1120"/>
    <w:rsid w:val="006B258F"/>
    <w:rsid w:val="006B4F0D"/>
    <w:rsid w:val="006B5188"/>
    <w:rsid w:val="006B5483"/>
    <w:rsid w:val="006B6463"/>
    <w:rsid w:val="006B64F3"/>
    <w:rsid w:val="006B6639"/>
    <w:rsid w:val="006B74BB"/>
    <w:rsid w:val="006B7C99"/>
    <w:rsid w:val="006B7CEB"/>
    <w:rsid w:val="006C0151"/>
    <w:rsid w:val="006C0771"/>
    <w:rsid w:val="006C0938"/>
    <w:rsid w:val="006C15F6"/>
    <w:rsid w:val="006C17D6"/>
    <w:rsid w:val="006C19E8"/>
    <w:rsid w:val="006C1F74"/>
    <w:rsid w:val="006C4256"/>
    <w:rsid w:val="006C47E6"/>
    <w:rsid w:val="006C5913"/>
    <w:rsid w:val="006C5B00"/>
    <w:rsid w:val="006C5D64"/>
    <w:rsid w:val="006C6554"/>
    <w:rsid w:val="006C6F9A"/>
    <w:rsid w:val="006C70BD"/>
    <w:rsid w:val="006C78E2"/>
    <w:rsid w:val="006D0891"/>
    <w:rsid w:val="006D1360"/>
    <w:rsid w:val="006D2896"/>
    <w:rsid w:val="006D3C7F"/>
    <w:rsid w:val="006D447B"/>
    <w:rsid w:val="006D44BF"/>
    <w:rsid w:val="006D4F0C"/>
    <w:rsid w:val="006D52B8"/>
    <w:rsid w:val="006D5491"/>
    <w:rsid w:val="006D58DA"/>
    <w:rsid w:val="006D5BB6"/>
    <w:rsid w:val="006D65E4"/>
    <w:rsid w:val="006E054D"/>
    <w:rsid w:val="006E0B06"/>
    <w:rsid w:val="006E0F1B"/>
    <w:rsid w:val="006E0FD0"/>
    <w:rsid w:val="006E1607"/>
    <w:rsid w:val="006E2786"/>
    <w:rsid w:val="006E2913"/>
    <w:rsid w:val="006E2C8C"/>
    <w:rsid w:val="006E2E0C"/>
    <w:rsid w:val="006E327A"/>
    <w:rsid w:val="006E382E"/>
    <w:rsid w:val="006E51D4"/>
    <w:rsid w:val="006E5907"/>
    <w:rsid w:val="006E5C69"/>
    <w:rsid w:val="006E69C6"/>
    <w:rsid w:val="006E6DE5"/>
    <w:rsid w:val="006E7A01"/>
    <w:rsid w:val="006F0731"/>
    <w:rsid w:val="006F0825"/>
    <w:rsid w:val="006F10F9"/>
    <w:rsid w:val="006F126E"/>
    <w:rsid w:val="006F19B8"/>
    <w:rsid w:val="006F1C39"/>
    <w:rsid w:val="006F1EE6"/>
    <w:rsid w:val="006F2E84"/>
    <w:rsid w:val="006F4BCA"/>
    <w:rsid w:val="006F5BAC"/>
    <w:rsid w:val="006F6955"/>
    <w:rsid w:val="006F6A91"/>
    <w:rsid w:val="006F6CE3"/>
    <w:rsid w:val="006F6D99"/>
    <w:rsid w:val="006F7C7D"/>
    <w:rsid w:val="006F7CBA"/>
    <w:rsid w:val="007018A8"/>
    <w:rsid w:val="00701BBD"/>
    <w:rsid w:val="007022E6"/>
    <w:rsid w:val="00702957"/>
    <w:rsid w:val="00703505"/>
    <w:rsid w:val="007038B6"/>
    <w:rsid w:val="007047A5"/>
    <w:rsid w:val="00705A10"/>
    <w:rsid w:val="00705E79"/>
    <w:rsid w:val="007069E9"/>
    <w:rsid w:val="00706EC4"/>
    <w:rsid w:val="00707167"/>
    <w:rsid w:val="007075A9"/>
    <w:rsid w:val="00707B2F"/>
    <w:rsid w:val="007101FD"/>
    <w:rsid w:val="007103D1"/>
    <w:rsid w:val="00710623"/>
    <w:rsid w:val="00711634"/>
    <w:rsid w:val="00712345"/>
    <w:rsid w:val="00712F9A"/>
    <w:rsid w:val="007139C1"/>
    <w:rsid w:val="00713F89"/>
    <w:rsid w:val="007143AE"/>
    <w:rsid w:val="007145DF"/>
    <w:rsid w:val="007147D7"/>
    <w:rsid w:val="00714986"/>
    <w:rsid w:val="0071537C"/>
    <w:rsid w:val="007157F8"/>
    <w:rsid w:val="00716F95"/>
    <w:rsid w:val="00717117"/>
    <w:rsid w:val="00717207"/>
    <w:rsid w:val="0071736E"/>
    <w:rsid w:val="00720429"/>
    <w:rsid w:val="00720C3E"/>
    <w:rsid w:val="00720DA7"/>
    <w:rsid w:val="00722022"/>
    <w:rsid w:val="00722D72"/>
    <w:rsid w:val="007245FD"/>
    <w:rsid w:val="00725BB1"/>
    <w:rsid w:val="0072617B"/>
    <w:rsid w:val="0072633A"/>
    <w:rsid w:val="0072759E"/>
    <w:rsid w:val="00731008"/>
    <w:rsid w:val="00731CD0"/>
    <w:rsid w:val="00731DA9"/>
    <w:rsid w:val="0073284E"/>
    <w:rsid w:val="00732D26"/>
    <w:rsid w:val="00733A6E"/>
    <w:rsid w:val="00734464"/>
    <w:rsid w:val="007346B6"/>
    <w:rsid w:val="00737B25"/>
    <w:rsid w:val="00737C98"/>
    <w:rsid w:val="00737F59"/>
    <w:rsid w:val="00741645"/>
    <w:rsid w:val="00741F90"/>
    <w:rsid w:val="00742A5A"/>
    <w:rsid w:val="00742BE8"/>
    <w:rsid w:val="00743F88"/>
    <w:rsid w:val="00744B15"/>
    <w:rsid w:val="00744DF8"/>
    <w:rsid w:val="007455FA"/>
    <w:rsid w:val="0074597B"/>
    <w:rsid w:val="00745B6A"/>
    <w:rsid w:val="00746203"/>
    <w:rsid w:val="00746534"/>
    <w:rsid w:val="00746B6B"/>
    <w:rsid w:val="0074752F"/>
    <w:rsid w:val="00747F0B"/>
    <w:rsid w:val="00750509"/>
    <w:rsid w:val="0075087C"/>
    <w:rsid w:val="00752196"/>
    <w:rsid w:val="00752B29"/>
    <w:rsid w:val="007530E3"/>
    <w:rsid w:val="007535C4"/>
    <w:rsid w:val="00753DA3"/>
    <w:rsid w:val="0075401C"/>
    <w:rsid w:val="00754F3A"/>
    <w:rsid w:val="0075502D"/>
    <w:rsid w:val="007553E4"/>
    <w:rsid w:val="00755AF3"/>
    <w:rsid w:val="00756118"/>
    <w:rsid w:val="007577D7"/>
    <w:rsid w:val="00760973"/>
    <w:rsid w:val="00761512"/>
    <w:rsid w:val="00761623"/>
    <w:rsid w:val="007617D3"/>
    <w:rsid w:val="007622D1"/>
    <w:rsid w:val="0076246E"/>
    <w:rsid w:val="00762CC1"/>
    <w:rsid w:val="007637A4"/>
    <w:rsid w:val="007648AD"/>
    <w:rsid w:val="007653BA"/>
    <w:rsid w:val="0076564C"/>
    <w:rsid w:val="00766428"/>
    <w:rsid w:val="00766695"/>
    <w:rsid w:val="00766D08"/>
    <w:rsid w:val="00767736"/>
    <w:rsid w:val="00767BC9"/>
    <w:rsid w:val="00767ECA"/>
    <w:rsid w:val="007721B0"/>
    <w:rsid w:val="00772235"/>
    <w:rsid w:val="00773518"/>
    <w:rsid w:val="00773A7A"/>
    <w:rsid w:val="00774191"/>
    <w:rsid w:val="00774342"/>
    <w:rsid w:val="00774666"/>
    <w:rsid w:val="00774C1C"/>
    <w:rsid w:val="007751A3"/>
    <w:rsid w:val="00775356"/>
    <w:rsid w:val="00777334"/>
    <w:rsid w:val="00777653"/>
    <w:rsid w:val="00777771"/>
    <w:rsid w:val="00777DC4"/>
    <w:rsid w:val="0078004F"/>
    <w:rsid w:val="007801CD"/>
    <w:rsid w:val="007806BB"/>
    <w:rsid w:val="00780D2E"/>
    <w:rsid w:val="00780E83"/>
    <w:rsid w:val="00781298"/>
    <w:rsid w:val="00781585"/>
    <w:rsid w:val="007817A3"/>
    <w:rsid w:val="00781B11"/>
    <w:rsid w:val="00781E2C"/>
    <w:rsid w:val="00783226"/>
    <w:rsid w:val="007836EA"/>
    <w:rsid w:val="00783EA3"/>
    <w:rsid w:val="00783FB1"/>
    <w:rsid w:val="0078463E"/>
    <w:rsid w:val="007869FD"/>
    <w:rsid w:val="00786F93"/>
    <w:rsid w:val="00787534"/>
    <w:rsid w:val="00787544"/>
    <w:rsid w:val="007910D8"/>
    <w:rsid w:val="00791124"/>
    <w:rsid w:val="0079115F"/>
    <w:rsid w:val="00791214"/>
    <w:rsid w:val="007917AD"/>
    <w:rsid w:val="00791C8E"/>
    <w:rsid w:val="00791EE6"/>
    <w:rsid w:val="007947DE"/>
    <w:rsid w:val="007952BE"/>
    <w:rsid w:val="00795F51"/>
    <w:rsid w:val="00795F8F"/>
    <w:rsid w:val="007A0847"/>
    <w:rsid w:val="007A1070"/>
    <w:rsid w:val="007A16C9"/>
    <w:rsid w:val="007A1E4F"/>
    <w:rsid w:val="007A22B2"/>
    <w:rsid w:val="007A26A5"/>
    <w:rsid w:val="007A32CA"/>
    <w:rsid w:val="007A36C3"/>
    <w:rsid w:val="007A37AE"/>
    <w:rsid w:val="007A46F1"/>
    <w:rsid w:val="007A4B0C"/>
    <w:rsid w:val="007A4D46"/>
    <w:rsid w:val="007A5735"/>
    <w:rsid w:val="007A575A"/>
    <w:rsid w:val="007A7B83"/>
    <w:rsid w:val="007B00D2"/>
    <w:rsid w:val="007B0506"/>
    <w:rsid w:val="007B0665"/>
    <w:rsid w:val="007B0A05"/>
    <w:rsid w:val="007B0A85"/>
    <w:rsid w:val="007B12E1"/>
    <w:rsid w:val="007B18E6"/>
    <w:rsid w:val="007B2656"/>
    <w:rsid w:val="007B2BE7"/>
    <w:rsid w:val="007B3042"/>
    <w:rsid w:val="007B4C84"/>
    <w:rsid w:val="007B539C"/>
    <w:rsid w:val="007B5AD6"/>
    <w:rsid w:val="007B5BCB"/>
    <w:rsid w:val="007B5FBE"/>
    <w:rsid w:val="007B6903"/>
    <w:rsid w:val="007B6E1B"/>
    <w:rsid w:val="007B7D38"/>
    <w:rsid w:val="007C068D"/>
    <w:rsid w:val="007C0ECE"/>
    <w:rsid w:val="007C185D"/>
    <w:rsid w:val="007C1B6B"/>
    <w:rsid w:val="007C1F65"/>
    <w:rsid w:val="007C2467"/>
    <w:rsid w:val="007C2DF4"/>
    <w:rsid w:val="007C333A"/>
    <w:rsid w:val="007C39D0"/>
    <w:rsid w:val="007C472C"/>
    <w:rsid w:val="007C7C66"/>
    <w:rsid w:val="007D00A8"/>
    <w:rsid w:val="007D0954"/>
    <w:rsid w:val="007D105C"/>
    <w:rsid w:val="007D1060"/>
    <w:rsid w:val="007D1D64"/>
    <w:rsid w:val="007D26E0"/>
    <w:rsid w:val="007D2805"/>
    <w:rsid w:val="007D31C2"/>
    <w:rsid w:val="007D459C"/>
    <w:rsid w:val="007D45B4"/>
    <w:rsid w:val="007D4C53"/>
    <w:rsid w:val="007D73F9"/>
    <w:rsid w:val="007D7AD6"/>
    <w:rsid w:val="007D7CA0"/>
    <w:rsid w:val="007D7F15"/>
    <w:rsid w:val="007E165F"/>
    <w:rsid w:val="007E1AB3"/>
    <w:rsid w:val="007E2697"/>
    <w:rsid w:val="007E4873"/>
    <w:rsid w:val="007E4EF7"/>
    <w:rsid w:val="007E526E"/>
    <w:rsid w:val="007E58DD"/>
    <w:rsid w:val="007E6036"/>
    <w:rsid w:val="007E616D"/>
    <w:rsid w:val="007E6228"/>
    <w:rsid w:val="007E67B2"/>
    <w:rsid w:val="007E6938"/>
    <w:rsid w:val="007E79E2"/>
    <w:rsid w:val="007F0F39"/>
    <w:rsid w:val="007F1926"/>
    <w:rsid w:val="007F1C9E"/>
    <w:rsid w:val="007F260F"/>
    <w:rsid w:val="007F2CA6"/>
    <w:rsid w:val="007F30A2"/>
    <w:rsid w:val="007F34FF"/>
    <w:rsid w:val="007F352B"/>
    <w:rsid w:val="007F46ED"/>
    <w:rsid w:val="007F5036"/>
    <w:rsid w:val="007F561A"/>
    <w:rsid w:val="007F5662"/>
    <w:rsid w:val="007F613A"/>
    <w:rsid w:val="007F71B7"/>
    <w:rsid w:val="007F788D"/>
    <w:rsid w:val="0080133A"/>
    <w:rsid w:val="00801D3C"/>
    <w:rsid w:val="00801FB0"/>
    <w:rsid w:val="00803BC2"/>
    <w:rsid w:val="00804640"/>
    <w:rsid w:val="008047EB"/>
    <w:rsid w:val="00804B5C"/>
    <w:rsid w:val="00804FA8"/>
    <w:rsid w:val="00805E5C"/>
    <w:rsid w:val="008069FD"/>
    <w:rsid w:val="00806C58"/>
    <w:rsid w:val="00806F60"/>
    <w:rsid w:val="00807128"/>
    <w:rsid w:val="008075DC"/>
    <w:rsid w:val="00807971"/>
    <w:rsid w:val="00810626"/>
    <w:rsid w:val="0081096A"/>
    <w:rsid w:val="008116D5"/>
    <w:rsid w:val="008117E6"/>
    <w:rsid w:val="00811854"/>
    <w:rsid w:val="00811F58"/>
    <w:rsid w:val="00812A94"/>
    <w:rsid w:val="00812D27"/>
    <w:rsid w:val="0081341A"/>
    <w:rsid w:val="0081368E"/>
    <w:rsid w:val="00813D25"/>
    <w:rsid w:val="00814C14"/>
    <w:rsid w:val="00814D17"/>
    <w:rsid w:val="00815D9B"/>
    <w:rsid w:val="00816497"/>
    <w:rsid w:val="008169E9"/>
    <w:rsid w:val="008175FF"/>
    <w:rsid w:val="008176CC"/>
    <w:rsid w:val="00820DCF"/>
    <w:rsid w:val="00820E62"/>
    <w:rsid w:val="00821A3D"/>
    <w:rsid w:val="00821CD9"/>
    <w:rsid w:val="00821F08"/>
    <w:rsid w:val="00822131"/>
    <w:rsid w:val="008222CC"/>
    <w:rsid w:val="008226E0"/>
    <w:rsid w:val="0082309E"/>
    <w:rsid w:val="00823F34"/>
    <w:rsid w:val="008248C4"/>
    <w:rsid w:val="00824975"/>
    <w:rsid w:val="00825354"/>
    <w:rsid w:val="00825FB0"/>
    <w:rsid w:val="0082655B"/>
    <w:rsid w:val="0082686C"/>
    <w:rsid w:val="00826B3E"/>
    <w:rsid w:val="00826B63"/>
    <w:rsid w:val="00827745"/>
    <w:rsid w:val="008279E0"/>
    <w:rsid w:val="00827BAC"/>
    <w:rsid w:val="00827FEE"/>
    <w:rsid w:val="008300DB"/>
    <w:rsid w:val="0083010E"/>
    <w:rsid w:val="00831428"/>
    <w:rsid w:val="00831A2D"/>
    <w:rsid w:val="00832272"/>
    <w:rsid w:val="0083236E"/>
    <w:rsid w:val="00832984"/>
    <w:rsid w:val="00832B21"/>
    <w:rsid w:val="00832B91"/>
    <w:rsid w:val="00832C61"/>
    <w:rsid w:val="00832DD0"/>
    <w:rsid w:val="00833607"/>
    <w:rsid w:val="00833A74"/>
    <w:rsid w:val="00834071"/>
    <w:rsid w:val="00834433"/>
    <w:rsid w:val="00834C51"/>
    <w:rsid w:val="008355DC"/>
    <w:rsid w:val="00835740"/>
    <w:rsid w:val="00837576"/>
    <w:rsid w:val="00837661"/>
    <w:rsid w:val="00837C3B"/>
    <w:rsid w:val="008400B1"/>
    <w:rsid w:val="0084030E"/>
    <w:rsid w:val="0084075A"/>
    <w:rsid w:val="00841128"/>
    <w:rsid w:val="00841169"/>
    <w:rsid w:val="00841957"/>
    <w:rsid w:val="008419B8"/>
    <w:rsid w:val="00842073"/>
    <w:rsid w:val="00842314"/>
    <w:rsid w:val="00842938"/>
    <w:rsid w:val="0084331A"/>
    <w:rsid w:val="008436C6"/>
    <w:rsid w:val="00843F0B"/>
    <w:rsid w:val="00844471"/>
    <w:rsid w:val="00844E63"/>
    <w:rsid w:val="00845188"/>
    <w:rsid w:val="008458B3"/>
    <w:rsid w:val="008459E6"/>
    <w:rsid w:val="00846124"/>
    <w:rsid w:val="0084688A"/>
    <w:rsid w:val="00847955"/>
    <w:rsid w:val="00847EC2"/>
    <w:rsid w:val="00850899"/>
    <w:rsid w:val="008514BB"/>
    <w:rsid w:val="008517A9"/>
    <w:rsid w:val="008524FC"/>
    <w:rsid w:val="008525A9"/>
    <w:rsid w:val="008525E1"/>
    <w:rsid w:val="00852786"/>
    <w:rsid w:val="00852E5E"/>
    <w:rsid w:val="008541C2"/>
    <w:rsid w:val="008548D8"/>
    <w:rsid w:val="0085559E"/>
    <w:rsid w:val="008566F6"/>
    <w:rsid w:val="00856700"/>
    <w:rsid w:val="00857816"/>
    <w:rsid w:val="00857A0E"/>
    <w:rsid w:val="00857CED"/>
    <w:rsid w:val="00857E1F"/>
    <w:rsid w:val="00860308"/>
    <w:rsid w:val="00860E98"/>
    <w:rsid w:val="00860EAA"/>
    <w:rsid w:val="00861861"/>
    <w:rsid w:val="008623F1"/>
    <w:rsid w:val="0086376E"/>
    <w:rsid w:val="00863AE3"/>
    <w:rsid w:val="008644AE"/>
    <w:rsid w:val="008650EB"/>
    <w:rsid w:val="008657A1"/>
    <w:rsid w:val="00865B9C"/>
    <w:rsid w:val="00865BFE"/>
    <w:rsid w:val="008665E9"/>
    <w:rsid w:val="00867035"/>
    <w:rsid w:val="008704ED"/>
    <w:rsid w:val="00871C5C"/>
    <w:rsid w:val="00871C70"/>
    <w:rsid w:val="00871FD5"/>
    <w:rsid w:val="00872369"/>
    <w:rsid w:val="008726E0"/>
    <w:rsid w:val="0087369E"/>
    <w:rsid w:val="00873784"/>
    <w:rsid w:val="00873870"/>
    <w:rsid w:val="008738C7"/>
    <w:rsid w:val="00874A0A"/>
    <w:rsid w:val="00875E3E"/>
    <w:rsid w:val="00876573"/>
    <w:rsid w:val="008766BA"/>
    <w:rsid w:val="008767A9"/>
    <w:rsid w:val="00876E9A"/>
    <w:rsid w:val="008770D7"/>
    <w:rsid w:val="00877390"/>
    <w:rsid w:val="00880F26"/>
    <w:rsid w:val="00881C7A"/>
    <w:rsid w:val="0088201E"/>
    <w:rsid w:val="00882536"/>
    <w:rsid w:val="00882C19"/>
    <w:rsid w:val="0088313C"/>
    <w:rsid w:val="00883B02"/>
    <w:rsid w:val="00883D03"/>
    <w:rsid w:val="00883F55"/>
    <w:rsid w:val="00883F8A"/>
    <w:rsid w:val="00884AD8"/>
    <w:rsid w:val="00884CF6"/>
    <w:rsid w:val="008853D5"/>
    <w:rsid w:val="0088542B"/>
    <w:rsid w:val="00885738"/>
    <w:rsid w:val="0088670E"/>
    <w:rsid w:val="00887415"/>
    <w:rsid w:val="008878E0"/>
    <w:rsid w:val="00887B71"/>
    <w:rsid w:val="00887DBA"/>
    <w:rsid w:val="008903AD"/>
    <w:rsid w:val="00890A86"/>
    <w:rsid w:val="00890CD3"/>
    <w:rsid w:val="0089143D"/>
    <w:rsid w:val="00892529"/>
    <w:rsid w:val="00892ABE"/>
    <w:rsid w:val="00892FE2"/>
    <w:rsid w:val="00893284"/>
    <w:rsid w:val="008932A9"/>
    <w:rsid w:val="0089401D"/>
    <w:rsid w:val="008940CF"/>
    <w:rsid w:val="008946E8"/>
    <w:rsid w:val="00894916"/>
    <w:rsid w:val="00894972"/>
    <w:rsid w:val="00894B49"/>
    <w:rsid w:val="00894ED4"/>
    <w:rsid w:val="00895366"/>
    <w:rsid w:val="008953CB"/>
    <w:rsid w:val="008959BB"/>
    <w:rsid w:val="0089616C"/>
    <w:rsid w:val="00896F13"/>
    <w:rsid w:val="00897582"/>
    <w:rsid w:val="008978F7"/>
    <w:rsid w:val="008A00E7"/>
    <w:rsid w:val="008A04A9"/>
    <w:rsid w:val="008A0D51"/>
    <w:rsid w:val="008A17B0"/>
    <w:rsid w:val="008A1861"/>
    <w:rsid w:val="008A282C"/>
    <w:rsid w:val="008A339E"/>
    <w:rsid w:val="008A33D3"/>
    <w:rsid w:val="008A3D95"/>
    <w:rsid w:val="008A3FFD"/>
    <w:rsid w:val="008A4C91"/>
    <w:rsid w:val="008A5462"/>
    <w:rsid w:val="008A5BCD"/>
    <w:rsid w:val="008A63E6"/>
    <w:rsid w:val="008A6737"/>
    <w:rsid w:val="008A6DDB"/>
    <w:rsid w:val="008A71E8"/>
    <w:rsid w:val="008B06AB"/>
    <w:rsid w:val="008B1DDB"/>
    <w:rsid w:val="008B1E9C"/>
    <w:rsid w:val="008B3410"/>
    <w:rsid w:val="008B3977"/>
    <w:rsid w:val="008B39E0"/>
    <w:rsid w:val="008B4846"/>
    <w:rsid w:val="008B4907"/>
    <w:rsid w:val="008B4AAD"/>
    <w:rsid w:val="008B4CD1"/>
    <w:rsid w:val="008B6863"/>
    <w:rsid w:val="008B6D95"/>
    <w:rsid w:val="008B728D"/>
    <w:rsid w:val="008C08BE"/>
    <w:rsid w:val="008C1E32"/>
    <w:rsid w:val="008C1EC7"/>
    <w:rsid w:val="008C20A5"/>
    <w:rsid w:val="008C2A87"/>
    <w:rsid w:val="008C2DE9"/>
    <w:rsid w:val="008C383D"/>
    <w:rsid w:val="008C394C"/>
    <w:rsid w:val="008C3F50"/>
    <w:rsid w:val="008C3F6E"/>
    <w:rsid w:val="008C43E2"/>
    <w:rsid w:val="008C56A1"/>
    <w:rsid w:val="008C57DA"/>
    <w:rsid w:val="008C6243"/>
    <w:rsid w:val="008C6CDD"/>
    <w:rsid w:val="008C73C0"/>
    <w:rsid w:val="008C7589"/>
    <w:rsid w:val="008C7FA6"/>
    <w:rsid w:val="008D0596"/>
    <w:rsid w:val="008D1351"/>
    <w:rsid w:val="008D1596"/>
    <w:rsid w:val="008D1C63"/>
    <w:rsid w:val="008D2AA1"/>
    <w:rsid w:val="008D2D7E"/>
    <w:rsid w:val="008D39E8"/>
    <w:rsid w:val="008D477F"/>
    <w:rsid w:val="008D4F7B"/>
    <w:rsid w:val="008D5986"/>
    <w:rsid w:val="008D6118"/>
    <w:rsid w:val="008D6D51"/>
    <w:rsid w:val="008D7B61"/>
    <w:rsid w:val="008E0C79"/>
    <w:rsid w:val="008E2041"/>
    <w:rsid w:val="008E22E9"/>
    <w:rsid w:val="008E2810"/>
    <w:rsid w:val="008E2E6D"/>
    <w:rsid w:val="008E3D5F"/>
    <w:rsid w:val="008E3E28"/>
    <w:rsid w:val="008E4C71"/>
    <w:rsid w:val="008E4CA8"/>
    <w:rsid w:val="008E5119"/>
    <w:rsid w:val="008E5619"/>
    <w:rsid w:val="008E5930"/>
    <w:rsid w:val="008E5DCD"/>
    <w:rsid w:val="008E5E2F"/>
    <w:rsid w:val="008E6B42"/>
    <w:rsid w:val="008E7243"/>
    <w:rsid w:val="008E7438"/>
    <w:rsid w:val="008E7719"/>
    <w:rsid w:val="008F0143"/>
    <w:rsid w:val="008F01B5"/>
    <w:rsid w:val="008F01F4"/>
    <w:rsid w:val="008F03A3"/>
    <w:rsid w:val="008F03AD"/>
    <w:rsid w:val="008F0F81"/>
    <w:rsid w:val="008F1D49"/>
    <w:rsid w:val="008F223B"/>
    <w:rsid w:val="008F23CA"/>
    <w:rsid w:val="008F3782"/>
    <w:rsid w:val="008F4693"/>
    <w:rsid w:val="008F53B1"/>
    <w:rsid w:val="008F5AFB"/>
    <w:rsid w:val="008F6063"/>
    <w:rsid w:val="008F674A"/>
    <w:rsid w:val="008F72A0"/>
    <w:rsid w:val="00901742"/>
    <w:rsid w:val="00901A4C"/>
    <w:rsid w:val="00903684"/>
    <w:rsid w:val="00904262"/>
    <w:rsid w:val="009048B2"/>
    <w:rsid w:val="00905085"/>
    <w:rsid w:val="00905410"/>
    <w:rsid w:val="0090577E"/>
    <w:rsid w:val="0090591C"/>
    <w:rsid w:val="00905A21"/>
    <w:rsid w:val="00905D09"/>
    <w:rsid w:val="00906420"/>
    <w:rsid w:val="0090663D"/>
    <w:rsid w:val="00910203"/>
    <w:rsid w:val="0091068B"/>
    <w:rsid w:val="00910721"/>
    <w:rsid w:val="00911059"/>
    <w:rsid w:val="009116AF"/>
    <w:rsid w:val="00912376"/>
    <w:rsid w:val="0091267A"/>
    <w:rsid w:val="009136AC"/>
    <w:rsid w:val="00913725"/>
    <w:rsid w:val="00913F58"/>
    <w:rsid w:val="009147C3"/>
    <w:rsid w:val="0091484F"/>
    <w:rsid w:val="00915565"/>
    <w:rsid w:val="0091569B"/>
    <w:rsid w:val="00915E77"/>
    <w:rsid w:val="00916110"/>
    <w:rsid w:val="00917113"/>
    <w:rsid w:val="00917F89"/>
    <w:rsid w:val="009211EC"/>
    <w:rsid w:val="0092162E"/>
    <w:rsid w:val="00921828"/>
    <w:rsid w:val="00921A25"/>
    <w:rsid w:val="009224DE"/>
    <w:rsid w:val="009225AE"/>
    <w:rsid w:val="00923C68"/>
    <w:rsid w:val="0092464A"/>
    <w:rsid w:val="00924978"/>
    <w:rsid w:val="0092518F"/>
    <w:rsid w:val="00925E9E"/>
    <w:rsid w:val="00926520"/>
    <w:rsid w:val="00926BB2"/>
    <w:rsid w:val="0093177D"/>
    <w:rsid w:val="00931C66"/>
    <w:rsid w:val="00933134"/>
    <w:rsid w:val="00933187"/>
    <w:rsid w:val="00933205"/>
    <w:rsid w:val="00933877"/>
    <w:rsid w:val="009338AF"/>
    <w:rsid w:val="0093390B"/>
    <w:rsid w:val="00933C5A"/>
    <w:rsid w:val="00934195"/>
    <w:rsid w:val="009352DF"/>
    <w:rsid w:val="009356CD"/>
    <w:rsid w:val="00935A28"/>
    <w:rsid w:val="00935F91"/>
    <w:rsid w:val="0093644B"/>
    <w:rsid w:val="00937258"/>
    <w:rsid w:val="00940D4D"/>
    <w:rsid w:val="0094135F"/>
    <w:rsid w:val="00941E1A"/>
    <w:rsid w:val="0094284B"/>
    <w:rsid w:val="009428EF"/>
    <w:rsid w:val="00942BB3"/>
    <w:rsid w:val="009436FE"/>
    <w:rsid w:val="009437F0"/>
    <w:rsid w:val="009449EC"/>
    <w:rsid w:val="00944C4D"/>
    <w:rsid w:val="0094516A"/>
    <w:rsid w:val="00945F5C"/>
    <w:rsid w:val="009464B6"/>
    <w:rsid w:val="00946E52"/>
    <w:rsid w:val="009472DB"/>
    <w:rsid w:val="0094742B"/>
    <w:rsid w:val="00950004"/>
    <w:rsid w:val="00950116"/>
    <w:rsid w:val="00951341"/>
    <w:rsid w:val="009515C8"/>
    <w:rsid w:val="009521C8"/>
    <w:rsid w:val="00952793"/>
    <w:rsid w:val="00952BA1"/>
    <w:rsid w:val="009533BD"/>
    <w:rsid w:val="00953884"/>
    <w:rsid w:val="00953CC2"/>
    <w:rsid w:val="00954AD9"/>
    <w:rsid w:val="009552F8"/>
    <w:rsid w:val="009553B4"/>
    <w:rsid w:val="009563D5"/>
    <w:rsid w:val="00957A85"/>
    <w:rsid w:val="00957B2A"/>
    <w:rsid w:val="00957D1D"/>
    <w:rsid w:val="009609E3"/>
    <w:rsid w:val="0096175B"/>
    <w:rsid w:val="00961B6F"/>
    <w:rsid w:val="00962F0D"/>
    <w:rsid w:val="00963479"/>
    <w:rsid w:val="009637A2"/>
    <w:rsid w:val="00963967"/>
    <w:rsid w:val="00964310"/>
    <w:rsid w:val="009655C8"/>
    <w:rsid w:val="009656AE"/>
    <w:rsid w:val="009662EA"/>
    <w:rsid w:val="00966AD3"/>
    <w:rsid w:val="00967C7E"/>
    <w:rsid w:val="00967CCB"/>
    <w:rsid w:val="009700A4"/>
    <w:rsid w:val="009701C1"/>
    <w:rsid w:val="009706A8"/>
    <w:rsid w:val="00972742"/>
    <w:rsid w:val="00972B46"/>
    <w:rsid w:val="00973C09"/>
    <w:rsid w:val="009745D2"/>
    <w:rsid w:val="00975C46"/>
    <w:rsid w:val="00976302"/>
    <w:rsid w:val="00977A53"/>
    <w:rsid w:val="00981588"/>
    <w:rsid w:val="00981866"/>
    <w:rsid w:val="009824D1"/>
    <w:rsid w:val="0098265A"/>
    <w:rsid w:val="009833A0"/>
    <w:rsid w:val="009837FD"/>
    <w:rsid w:val="00983F7B"/>
    <w:rsid w:val="0098431D"/>
    <w:rsid w:val="0098469A"/>
    <w:rsid w:val="00984A02"/>
    <w:rsid w:val="0098549F"/>
    <w:rsid w:val="009854FF"/>
    <w:rsid w:val="00985DD7"/>
    <w:rsid w:val="00985E79"/>
    <w:rsid w:val="009862A6"/>
    <w:rsid w:val="00986DCD"/>
    <w:rsid w:val="00986E21"/>
    <w:rsid w:val="00986E86"/>
    <w:rsid w:val="00987F09"/>
    <w:rsid w:val="00990285"/>
    <w:rsid w:val="009906AD"/>
    <w:rsid w:val="0099201D"/>
    <w:rsid w:val="009932AE"/>
    <w:rsid w:val="0099332B"/>
    <w:rsid w:val="00993755"/>
    <w:rsid w:val="00993927"/>
    <w:rsid w:val="00993B43"/>
    <w:rsid w:val="00993DA9"/>
    <w:rsid w:val="00994646"/>
    <w:rsid w:val="00994CD3"/>
    <w:rsid w:val="00996FF8"/>
    <w:rsid w:val="009973E1"/>
    <w:rsid w:val="009A058B"/>
    <w:rsid w:val="009A0A92"/>
    <w:rsid w:val="009A0C11"/>
    <w:rsid w:val="009A0E67"/>
    <w:rsid w:val="009A1E96"/>
    <w:rsid w:val="009A33F3"/>
    <w:rsid w:val="009A3D22"/>
    <w:rsid w:val="009A3FB7"/>
    <w:rsid w:val="009A4D94"/>
    <w:rsid w:val="009A4DBA"/>
    <w:rsid w:val="009A66FC"/>
    <w:rsid w:val="009A7D72"/>
    <w:rsid w:val="009B0179"/>
    <w:rsid w:val="009B119E"/>
    <w:rsid w:val="009B13DD"/>
    <w:rsid w:val="009B15BE"/>
    <w:rsid w:val="009B1A8C"/>
    <w:rsid w:val="009B1D49"/>
    <w:rsid w:val="009B26E8"/>
    <w:rsid w:val="009B28A0"/>
    <w:rsid w:val="009B2B68"/>
    <w:rsid w:val="009B3313"/>
    <w:rsid w:val="009B3739"/>
    <w:rsid w:val="009B375A"/>
    <w:rsid w:val="009B40DA"/>
    <w:rsid w:val="009B4A04"/>
    <w:rsid w:val="009B535D"/>
    <w:rsid w:val="009B66DB"/>
    <w:rsid w:val="009B6B4C"/>
    <w:rsid w:val="009B7317"/>
    <w:rsid w:val="009B758F"/>
    <w:rsid w:val="009B7A40"/>
    <w:rsid w:val="009B7F2F"/>
    <w:rsid w:val="009C17C5"/>
    <w:rsid w:val="009C1AEA"/>
    <w:rsid w:val="009C1B13"/>
    <w:rsid w:val="009C298F"/>
    <w:rsid w:val="009C553B"/>
    <w:rsid w:val="009C5639"/>
    <w:rsid w:val="009C641A"/>
    <w:rsid w:val="009C64FE"/>
    <w:rsid w:val="009C7874"/>
    <w:rsid w:val="009C7F02"/>
    <w:rsid w:val="009D00EB"/>
    <w:rsid w:val="009D054B"/>
    <w:rsid w:val="009D0624"/>
    <w:rsid w:val="009D0B0A"/>
    <w:rsid w:val="009D169E"/>
    <w:rsid w:val="009D34F6"/>
    <w:rsid w:val="009D3D91"/>
    <w:rsid w:val="009D4040"/>
    <w:rsid w:val="009D5E38"/>
    <w:rsid w:val="009D6079"/>
    <w:rsid w:val="009D64F8"/>
    <w:rsid w:val="009E02C9"/>
    <w:rsid w:val="009E12CC"/>
    <w:rsid w:val="009E25B3"/>
    <w:rsid w:val="009E2701"/>
    <w:rsid w:val="009E27E2"/>
    <w:rsid w:val="009E2A49"/>
    <w:rsid w:val="009E2BC0"/>
    <w:rsid w:val="009E2F18"/>
    <w:rsid w:val="009E35ED"/>
    <w:rsid w:val="009E3689"/>
    <w:rsid w:val="009E3846"/>
    <w:rsid w:val="009E3CB2"/>
    <w:rsid w:val="009E50D2"/>
    <w:rsid w:val="009E52BA"/>
    <w:rsid w:val="009E5527"/>
    <w:rsid w:val="009E556A"/>
    <w:rsid w:val="009E5E57"/>
    <w:rsid w:val="009E61B5"/>
    <w:rsid w:val="009E69B9"/>
    <w:rsid w:val="009E6A5B"/>
    <w:rsid w:val="009E6F37"/>
    <w:rsid w:val="009E78A8"/>
    <w:rsid w:val="009F02B3"/>
    <w:rsid w:val="009F066B"/>
    <w:rsid w:val="009F170F"/>
    <w:rsid w:val="009F2367"/>
    <w:rsid w:val="009F4E96"/>
    <w:rsid w:val="009F5169"/>
    <w:rsid w:val="009F62D5"/>
    <w:rsid w:val="009F6569"/>
    <w:rsid w:val="009F688F"/>
    <w:rsid w:val="009F7257"/>
    <w:rsid w:val="009F7D17"/>
    <w:rsid w:val="00A00EE0"/>
    <w:rsid w:val="00A010B4"/>
    <w:rsid w:val="00A010F8"/>
    <w:rsid w:val="00A01212"/>
    <w:rsid w:val="00A015FF"/>
    <w:rsid w:val="00A0209A"/>
    <w:rsid w:val="00A02306"/>
    <w:rsid w:val="00A02384"/>
    <w:rsid w:val="00A02581"/>
    <w:rsid w:val="00A04F51"/>
    <w:rsid w:val="00A05477"/>
    <w:rsid w:val="00A0619B"/>
    <w:rsid w:val="00A0647F"/>
    <w:rsid w:val="00A100B3"/>
    <w:rsid w:val="00A100D4"/>
    <w:rsid w:val="00A109F0"/>
    <w:rsid w:val="00A116A9"/>
    <w:rsid w:val="00A11959"/>
    <w:rsid w:val="00A123CA"/>
    <w:rsid w:val="00A12AE9"/>
    <w:rsid w:val="00A12E6D"/>
    <w:rsid w:val="00A131F0"/>
    <w:rsid w:val="00A13302"/>
    <w:rsid w:val="00A1364A"/>
    <w:rsid w:val="00A13BCA"/>
    <w:rsid w:val="00A13BF5"/>
    <w:rsid w:val="00A142F4"/>
    <w:rsid w:val="00A14352"/>
    <w:rsid w:val="00A14C8F"/>
    <w:rsid w:val="00A14D1A"/>
    <w:rsid w:val="00A1531B"/>
    <w:rsid w:val="00A155B0"/>
    <w:rsid w:val="00A16854"/>
    <w:rsid w:val="00A16C3A"/>
    <w:rsid w:val="00A17BB8"/>
    <w:rsid w:val="00A17C07"/>
    <w:rsid w:val="00A17DF6"/>
    <w:rsid w:val="00A20250"/>
    <w:rsid w:val="00A2123D"/>
    <w:rsid w:val="00A218EC"/>
    <w:rsid w:val="00A21942"/>
    <w:rsid w:val="00A21BB0"/>
    <w:rsid w:val="00A21E6E"/>
    <w:rsid w:val="00A21E96"/>
    <w:rsid w:val="00A22583"/>
    <w:rsid w:val="00A2291C"/>
    <w:rsid w:val="00A22C8A"/>
    <w:rsid w:val="00A23039"/>
    <w:rsid w:val="00A238EB"/>
    <w:rsid w:val="00A23F06"/>
    <w:rsid w:val="00A25217"/>
    <w:rsid w:val="00A25DA9"/>
    <w:rsid w:val="00A26099"/>
    <w:rsid w:val="00A26694"/>
    <w:rsid w:val="00A30662"/>
    <w:rsid w:val="00A30D4E"/>
    <w:rsid w:val="00A31846"/>
    <w:rsid w:val="00A332FE"/>
    <w:rsid w:val="00A34019"/>
    <w:rsid w:val="00A35C5F"/>
    <w:rsid w:val="00A36117"/>
    <w:rsid w:val="00A367A1"/>
    <w:rsid w:val="00A36FFE"/>
    <w:rsid w:val="00A37712"/>
    <w:rsid w:val="00A4073E"/>
    <w:rsid w:val="00A41620"/>
    <w:rsid w:val="00A419BF"/>
    <w:rsid w:val="00A41D64"/>
    <w:rsid w:val="00A420CB"/>
    <w:rsid w:val="00A427A0"/>
    <w:rsid w:val="00A42E8B"/>
    <w:rsid w:val="00A43262"/>
    <w:rsid w:val="00A43AB8"/>
    <w:rsid w:val="00A43D7E"/>
    <w:rsid w:val="00A4478B"/>
    <w:rsid w:val="00A452C9"/>
    <w:rsid w:val="00A45639"/>
    <w:rsid w:val="00A458CA"/>
    <w:rsid w:val="00A458FC"/>
    <w:rsid w:val="00A46065"/>
    <w:rsid w:val="00A46C49"/>
    <w:rsid w:val="00A4731B"/>
    <w:rsid w:val="00A474E9"/>
    <w:rsid w:val="00A47DF4"/>
    <w:rsid w:val="00A506C9"/>
    <w:rsid w:val="00A50F41"/>
    <w:rsid w:val="00A51B51"/>
    <w:rsid w:val="00A51FD2"/>
    <w:rsid w:val="00A52036"/>
    <w:rsid w:val="00A523D8"/>
    <w:rsid w:val="00A52DB5"/>
    <w:rsid w:val="00A533C5"/>
    <w:rsid w:val="00A53560"/>
    <w:rsid w:val="00A53EAC"/>
    <w:rsid w:val="00A5427D"/>
    <w:rsid w:val="00A545BB"/>
    <w:rsid w:val="00A54BDE"/>
    <w:rsid w:val="00A54CBE"/>
    <w:rsid w:val="00A551AE"/>
    <w:rsid w:val="00A55370"/>
    <w:rsid w:val="00A558D1"/>
    <w:rsid w:val="00A576C0"/>
    <w:rsid w:val="00A600FF"/>
    <w:rsid w:val="00A6028C"/>
    <w:rsid w:val="00A60A83"/>
    <w:rsid w:val="00A60D31"/>
    <w:rsid w:val="00A62302"/>
    <w:rsid w:val="00A64A89"/>
    <w:rsid w:val="00A64CEA"/>
    <w:rsid w:val="00A65090"/>
    <w:rsid w:val="00A652F9"/>
    <w:rsid w:val="00A652FF"/>
    <w:rsid w:val="00A654AF"/>
    <w:rsid w:val="00A66979"/>
    <w:rsid w:val="00A669F8"/>
    <w:rsid w:val="00A66D0E"/>
    <w:rsid w:val="00A67097"/>
    <w:rsid w:val="00A6796D"/>
    <w:rsid w:val="00A702F1"/>
    <w:rsid w:val="00A7059B"/>
    <w:rsid w:val="00A7067A"/>
    <w:rsid w:val="00A7143B"/>
    <w:rsid w:val="00A71B97"/>
    <w:rsid w:val="00A72A8F"/>
    <w:rsid w:val="00A73912"/>
    <w:rsid w:val="00A73CF2"/>
    <w:rsid w:val="00A73E02"/>
    <w:rsid w:val="00A740E8"/>
    <w:rsid w:val="00A74C91"/>
    <w:rsid w:val="00A754EA"/>
    <w:rsid w:val="00A7568B"/>
    <w:rsid w:val="00A76FC1"/>
    <w:rsid w:val="00A77FE6"/>
    <w:rsid w:val="00A80159"/>
    <w:rsid w:val="00A80925"/>
    <w:rsid w:val="00A8123B"/>
    <w:rsid w:val="00A814AC"/>
    <w:rsid w:val="00A814B1"/>
    <w:rsid w:val="00A819CA"/>
    <w:rsid w:val="00A8276B"/>
    <w:rsid w:val="00A828ED"/>
    <w:rsid w:val="00A82A30"/>
    <w:rsid w:val="00A83E0F"/>
    <w:rsid w:val="00A83FA2"/>
    <w:rsid w:val="00A84111"/>
    <w:rsid w:val="00A84664"/>
    <w:rsid w:val="00A84B14"/>
    <w:rsid w:val="00A852B7"/>
    <w:rsid w:val="00A856B6"/>
    <w:rsid w:val="00A86832"/>
    <w:rsid w:val="00A868EA"/>
    <w:rsid w:val="00A87B17"/>
    <w:rsid w:val="00A90508"/>
    <w:rsid w:val="00A905FA"/>
    <w:rsid w:val="00A90F72"/>
    <w:rsid w:val="00A91FC5"/>
    <w:rsid w:val="00A921F8"/>
    <w:rsid w:val="00A92913"/>
    <w:rsid w:val="00A9366F"/>
    <w:rsid w:val="00A9457D"/>
    <w:rsid w:val="00A9582D"/>
    <w:rsid w:val="00A966B0"/>
    <w:rsid w:val="00A973F0"/>
    <w:rsid w:val="00A97566"/>
    <w:rsid w:val="00A97694"/>
    <w:rsid w:val="00AA0CA0"/>
    <w:rsid w:val="00AA10CE"/>
    <w:rsid w:val="00AA11CB"/>
    <w:rsid w:val="00AA27A0"/>
    <w:rsid w:val="00AA2A56"/>
    <w:rsid w:val="00AA3365"/>
    <w:rsid w:val="00AA3664"/>
    <w:rsid w:val="00AA371D"/>
    <w:rsid w:val="00AA3BBC"/>
    <w:rsid w:val="00AA3CBA"/>
    <w:rsid w:val="00AA43F6"/>
    <w:rsid w:val="00AA46CE"/>
    <w:rsid w:val="00AA55C3"/>
    <w:rsid w:val="00AA5987"/>
    <w:rsid w:val="00AA5AFE"/>
    <w:rsid w:val="00AA693C"/>
    <w:rsid w:val="00AA6D8E"/>
    <w:rsid w:val="00AA6DE0"/>
    <w:rsid w:val="00AA7532"/>
    <w:rsid w:val="00AB0742"/>
    <w:rsid w:val="00AB0F92"/>
    <w:rsid w:val="00AB0FF6"/>
    <w:rsid w:val="00AB1EE9"/>
    <w:rsid w:val="00AB2400"/>
    <w:rsid w:val="00AB24F4"/>
    <w:rsid w:val="00AB29A7"/>
    <w:rsid w:val="00AB34CE"/>
    <w:rsid w:val="00AB378C"/>
    <w:rsid w:val="00AB4783"/>
    <w:rsid w:val="00AB47F1"/>
    <w:rsid w:val="00AB4C97"/>
    <w:rsid w:val="00AB5A72"/>
    <w:rsid w:val="00AB5EC7"/>
    <w:rsid w:val="00AB6BBA"/>
    <w:rsid w:val="00AB72E8"/>
    <w:rsid w:val="00AB738A"/>
    <w:rsid w:val="00AB74FD"/>
    <w:rsid w:val="00AB7A8E"/>
    <w:rsid w:val="00AC03F3"/>
    <w:rsid w:val="00AC12B5"/>
    <w:rsid w:val="00AC1703"/>
    <w:rsid w:val="00AC17CD"/>
    <w:rsid w:val="00AC1D0F"/>
    <w:rsid w:val="00AC3FD4"/>
    <w:rsid w:val="00AC4058"/>
    <w:rsid w:val="00AC4165"/>
    <w:rsid w:val="00AC42BE"/>
    <w:rsid w:val="00AC538F"/>
    <w:rsid w:val="00AC70AC"/>
    <w:rsid w:val="00AC721C"/>
    <w:rsid w:val="00AC7F8C"/>
    <w:rsid w:val="00AD0B21"/>
    <w:rsid w:val="00AD0D0B"/>
    <w:rsid w:val="00AD0FFC"/>
    <w:rsid w:val="00AD15FE"/>
    <w:rsid w:val="00AD16C4"/>
    <w:rsid w:val="00AD2B0B"/>
    <w:rsid w:val="00AD2C78"/>
    <w:rsid w:val="00AD3123"/>
    <w:rsid w:val="00AD31A3"/>
    <w:rsid w:val="00AD3329"/>
    <w:rsid w:val="00AD3343"/>
    <w:rsid w:val="00AD34BE"/>
    <w:rsid w:val="00AD3C85"/>
    <w:rsid w:val="00AD49D7"/>
    <w:rsid w:val="00AD4B2D"/>
    <w:rsid w:val="00AD4CE2"/>
    <w:rsid w:val="00AD4E8C"/>
    <w:rsid w:val="00AD50BF"/>
    <w:rsid w:val="00AD5E8D"/>
    <w:rsid w:val="00AD6A19"/>
    <w:rsid w:val="00AD78AA"/>
    <w:rsid w:val="00AD7921"/>
    <w:rsid w:val="00AD7CC9"/>
    <w:rsid w:val="00AE018C"/>
    <w:rsid w:val="00AE0315"/>
    <w:rsid w:val="00AE0587"/>
    <w:rsid w:val="00AE06AF"/>
    <w:rsid w:val="00AE0B5E"/>
    <w:rsid w:val="00AE10E6"/>
    <w:rsid w:val="00AE186E"/>
    <w:rsid w:val="00AE1E38"/>
    <w:rsid w:val="00AE2351"/>
    <w:rsid w:val="00AE3155"/>
    <w:rsid w:val="00AE316D"/>
    <w:rsid w:val="00AE4902"/>
    <w:rsid w:val="00AE5017"/>
    <w:rsid w:val="00AE606D"/>
    <w:rsid w:val="00AE60AC"/>
    <w:rsid w:val="00AE708D"/>
    <w:rsid w:val="00AE7643"/>
    <w:rsid w:val="00AE79EE"/>
    <w:rsid w:val="00AF0AC6"/>
    <w:rsid w:val="00AF24C7"/>
    <w:rsid w:val="00AF2A0A"/>
    <w:rsid w:val="00AF2B0A"/>
    <w:rsid w:val="00AF2D7F"/>
    <w:rsid w:val="00AF30BB"/>
    <w:rsid w:val="00AF3982"/>
    <w:rsid w:val="00AF3B49"/>
    <w:rsid w:val="00AF4523"/>
    <w:rsid w:val="00AF4C88"/>
    <w:rsid w:val="00AF50CA"/>
    <w:rsid w:val="00AF53DE"/>
    <w:rsid w:val="00AF5B0B"/>
    <w:rsid w:val="00AF5EA7"/>
    <w:rsid w:val="00AF6221"/>
    <w:rsid w:val="00AF7B28"/>
    <w:rsid w:val="00B007CE"/>
    <w:rsid w:val="00B00D32"/>
    <w:rsid w:val="00B01205"/>
    <w:rsid w:val="00B01458"/>
    <w:rsid w:val="00B01F20"/>
    <w:rsid w:val="00B0315E"/>
    <w:rsid w:val="00B03561"/>
    <w:rsid w:val="00B046F8"/>
    <w:rsid w:val="00B04ACA"/>
    <w:rsid w:val="00B04B2E"/>
    <w:rsid w:val="00B05055"/>
    <w:rsid w:val="00B059B7"/>
    <w:rsid w:val="00B05BF5"/>
    <w:rsid w:val="00B0613E"/>
    <w:rsid w:val="00B06145"/>
    <w:rsid w:val="00B06644"/>
    <w:rsid w:val="00B06B49"/>
    <w:rsid w:val="00B06EE3"/>
    <w:rsid w:val="00B06F07"/>
    <w:rsid w:val="00B07CA0"/>
    <w:rsid w:val="00B10225"/>
    <w:rsid w:val="00B113EF"/>
    <w:rsid w:val="00B116CE"/>
    <w:rsid w:val="00B11868"/>
    <w:rsid w:val="00B118D5"/>
    <w:rsid w:val="00B12147"/>
    <w:rsid w:val="00B124AC"/>
    <w:rsid w:val="00B12A4F"/>
    <w:rsid w:val="00B13745"/>
    <w:rsid w:val="00B14788"/>
    <w:rsid w:val="00B153E8"/>
    <w:rsid w:val="00B15532"/>
    <w:rsid w:val="00B15C1F"/>
    <w:rsid w:val="00B15F83"/>
    <w:rsid w:val="00B16705"/>
    <w:rsid w:val="00B16963"/>
    <w:rsid w:val="00B17684"/>
    <w:rsid w:val="00B17BF5"/>
    <w:rsid w:val="00B206CF"/>
    <w:rsid w:val="00B207A1"/>
    <w:rsid w:val="00B20AFF"/>
    <w:rsid w:val="00B2175A"/>
    <w:rsid w:val="00B221BC"/>
    <w:rsid w:val="00B221C2"/>
    <w:rsid w:val="00B2314B"/>
    <w:rsid w:val="00B236F7"/>
    <w:rsid w:val="00B23897"/>
    <w:rsid w:val="00B23CAF"/>
    <w:rsid w:val="00B23E24"/>
    <w:rsid w:val="00B24F25"/>
    <w:rsid w:val="00B2511E"/>
    <w:rsid w:val="00B2524A"/>
    <w:rsid w:val="00B2575D"/>
    <w:rsid w:val="00B26943"/>
    <w:rsid w:val="00B26C5E"/>
    <w:rsid w:val="00B300CA"/>
    <w:rsid w:val="00B30302"/>
    <w:rsid w:val="00B3060E"/>
    <w:rsid w:val="00B30F56"/>
    <w:rsid w:val="00B3215F"/>
    <w:rsid w:val="00B322EF"/>
    <w:rsid w:val="00B3248D"/>
    <w:rsid w:val="00B3288C"/>
    <w:rsid w:val="00B32D31"/>
    <w:rsid w:val="00B32EE2"/>
    <w:rsid w:val="00B3362B"/>
    <w:rsid w:val="00B3424B"/>
    <w:rsid w:val="00B34D3E"/>
    <w:rsid w:val="00B34E0A"/>
    <w:rsid w:val="00B356AB"/>
    <w:rsid w:val="00B3578C"/>
    <w:rsid w:val="00B36EC0"/>
    <w:rsid w:val="00B37B7D"/>
    <w:rsid w:val="00B412B7"/>
    <w:rsid w:val="00B41878"/>
    <w:rsid w:val="00B4199E"/>
    <w:rsid w:val="00B41AC8"/>
    <w:rsid w:val="00B42F15"/>
    <w:rsid w:val="00B432BD"/>
    <w:rsid w:val="00B434A9"/>
    <w:rsid w:val="00B43921"/>
    <w:rsid w:val="00B43C50"/>
    <w:rsid w:val="00B44AAF"/>
    <w:rsid w:val="00B44BEA"/>
    <w:rsid w:val="00B4797D"/>
    <w:rsid w:val="00B51185"/>
    <w:rsid w:val="00B518D9"/>
    <w:rsid w:val="00B51B81"/>
    <w:rsid w:val="00B5207D"/>
    <w:rsid w:val="00B524FC"/>
    <w:rsid w:val="00B530FE"/>
    <w:rsid w:val="00B5353B"/>
    <w:rsid w:val="00B535FE"/>
    <w:rsid w:val="00B53837"/>
    <w:rsid w:val="00B53C72"/>
    <w:rsid w:val="00B5421C"/>
    <w:rsid w:val="00B54B25"/>
    <w:rsid w:val="00B54B9C"/>
    <w:rsid w:val="00B55321"/>
    <w:rsid w:val="00B55BD1"/>
    <w:rsid w:val="00B560E3"/>
    <w:rsid w:val="00B564E5"/>
    <w:rsid w:val="00B601C0"/>
    <w:rsid w:val="00B60FDA"/>
    <w:rsid w:val="00B61117"/>
    <w:rsid w:val="00B6151E"/>
    <w:rsid w:val="00B6218D"/>
    <w:rsid w:val="00B63A52"/>
    <w:rsid w:val="00B63C07"/>
    <w:rsid w:val="00B6461A"/>
    <w:rsid w:val="00B64FE2"/>
    <w:rsid w:val="00B65200"/>
    <w:rsid w:val="00B657E8"/>
    <w:rsid w:val="00B659E2"/>
    <w:rsid w:val="00B65A4A"/>
    <w:rsid w:val="00B66FF1"/>
    <w:rsid w:val="00B67260"/>
    <w:rsid w:val="00B674C5"/>
    <w:rsid w:val="00B67EE1"/>
    <w:rsid w:val="00B718D5"/>
    <w:rsid w:val="00B71AEE"/>
    <w:rsid w:val="00B72135"/>
    <w:rsid w:val="00B7232A"/>
    <w:rsid w:val="00B72B55"/>
    <w:rsid w:val="00B72B60"/>
    <w:rsid w:val="00B7305A"/>
    <w:rsid w:val="00B735AF"/>
    <w:rsid w:val="00B736FF"/>
    <w:rsid w:val="00B7479B"/>
    <w:rsid w:val="00B75308"/>
    <w:rsid w:val="00B75AAA"/>
    <w:rsid w:val="00B76A93"/>
    <w:rsid w:val="00B771F4"/>
    <w:rsid w:val="00B77F7F"/>
    <w:rsid w:val="00B804B0"/>
    <w:rsid w:val="00B808FD"/>
    <w:rsid w:val="00B80C4B"/>
    <w:rsid w:val="00B80ED9"/>
    <w:rsid w:val="00B81B23"/>
    <w:rsid w:val="00B82024"/>
    <w:rsid w:val="00B820CA"/>
    <w:rsid w:val="00B824C4"/>
    <w:rsid w:val="00B8302C"/>
    <w:rsid w:val="00B83842"/>
    <w:rsid w:val="00B838E0"/>
    <w:rsid w:val="00B84176"/>
    <w:rsid w:val="00B84C94"/>
    <w:rsid w:val="00B84D56"/>
    <w:rsid w:val="00B8558D"/>
    <w:rsid w:val="00B869DB"/>
    <w:rsid w:val="00B872E1"/>
    <w:rsid w:val="00B916AF"/>
    <w:rsid w:val="00B91C5E"/>
    <w:rsid w:val="00B91E4E"/>
    <w:rsid w:val="00B92510"/>
    <w:rsid w:val="00B92F0C"/>
    <w:rsid w:val="00B93AE3"/>
    <w:rsid w:val="00B93D66"/>
    <w:rsid w:val="00B93D9A"/>
    <w:rsid w:val="00B94352"/>
    <w:rsid w:val="00B9476E"/>
    <w:rsid w:val="00B952D7"/>
    <w:rsid w:val="00B956A8"/>
    <w:rsid w:val="00B95F2A"/>
    <w:rsid w:val="00B972AE"/>
    <w:rsid w:val="00B97B22"/>
    <w:rsid w:val="00B97E11"/>
    <w:rsid w:val="00BA021C"/>
    <w:rsid w:val="00BA0A4E"/>
    <w:rsid w:val="00BA0AA6"/>
    <w:rsid w:val="00BA0AF4"/>
    <w:rsid w:val="00BA144B"/>
    <w:rsid w:val="00BA153E"/>
    <w:rsid w:val="00BA2955"/>
    <w:rsid w:val="00BA36EA"/>
    <w:rsid w:val="00BA3C1B"/>
    <w:rsid w:val="00BA4D7F"/>
    <w:rsid w:val="00BA5B57"/>
    <w:rsid w:val="00BA5C66"/>
    <w:rsid w:val="00BA6442"/>
    <w:rsid w:val="00BA6A8D"/>
    <w:rsid w:val="00BA6AD8"/>
    <w:rsid w:val="00BB11A6"/>
    <w:rsid w:val="00BB1206"/>
    <w:rsid w:val="00BB13AF"/>
    <w:rsid w:val="00BB13C7"/>
    <w:rsid w:val="00BB1688"/>
    <w:rsid w:val="00BB1737"/>
    <w:rsid w:val="00BB17F6"/>
    <w:rsid w:val="00BB1A25"/>
    <w:rsid w:val="00BB3158"/>
    <w:rsid w:val="00BB3334"/>
    <w:rsid w:val="00BB3A60"/>
    <w:rsid w:val="00BB5DB0"/>
    <w:rsid w:val="00BB6881"/>
    <w:rsid w:val="00BB6A0C"/>
    <w:rsid w:val="00BB74C2"/>
    <w:rsid w:val="00BB7FE2"/>
    <w:rsid w:val="00BC04D0"/>
    <w:rsid w:val="00BC09E9"/>
    <w:rsid w:val="00BC0A7E"/>
    <w:rsid w:val="00BC11A5"/>
    <w:rsid w:val="00BC13C7"/>
    <w:rsid w:val="00BC167F"/>
    <w:rsid w:val="00BC1D7D"/>
    <w:rsid w:val="00BC2452"/>
    <w:rsid w:val="00BC25BD"/>
    <w:rsid w:val="00BC28CF"/>
    <w:rsid w:val="00BC401A"/>
    <w:rsid w:val="00BC548A"/>
    <w:rsid w:val="00BD004E"/>
    <w:rsid w:val="00BD0832"/>
    <w:rsid w:val="00BD1B71"/>
    <w:rsid w:val="00BD1CFD"/>
    <w:rsid w:val="00BD2CA9"/>
    <w:rsid w:val="00BD2D44"/>
    <w:rsid w:val="00BD3F1D"/>
    <w:rsid w:val="00BD4B85"/>
    <w:rsid w:val="00BD4D18"/>
    <w:rsid w:val="00BD4FB9"/>
    <w:rsid w:val="00BD50BA"/>
    <w:rsid w:val="00BD5A10"/>
    <w:rsid w:val="00BD6E0D"/>
    <w:rsid w:val="00BD7117"/>
    <w:rsid w:val="00BD75F1"/>
    <w:rsid w:val="00BD78BF"/>
    <w:rsid w:val="00BD7C14"/>
    <w:rsid w:val="00BD7E04"/>
    <w:rsid w:val="00BE0360"/>
    <w:rsid w:val="00BE07BB"/>
    <w:rsid w:val="00BE0C3C"/>
    <w:rsid w:val="00BE132B"/>
    <w:rsid w:val="00BE188C"/>
    <w:rsid w:val="00BE2796"/>
    <w:rsid w:val="00BE2DAF"/>
    <w:rsid w:val="00BE3F1B"/>
    <w:rsid w:val="00BE4D7E"/>
    <w:rsid w:val="00BE517A"/>
    <w:rsid w:val="00BE53A9"/>
    <w:rsid w:val="00BE6435"/>
    <w:rsid w:val="00BE6D98"/>
    <w:rsid w:val="00BE75B9"/>
    <w:rsid w:val="00BE794D"/>
    <w:rsid w:val="00BE7F7A"/>
    <w:rsid w:val="00BF1860"/>
    <w:rsid w:val="00BF2642"/>
    <w:rsid w:val="00BF3669"/>
    <w:rsid w:val="00BF3DFE"/>
    <w:rsid w:val="00BF48B5"/>
    <w:rsid w:val="00BF4C21"/>
    <w:rsid w:val="00BF5441"/>
    <w:rsid w:val="00BF676C"/>
    <w:rsid w:val="00BF7087"/>
    <w:rsid w:val="00C003D2"/>
    <w:rsid w:val="00C004C8"/>
    <w:rsid w:val="00C00621"/>
    <w:rsid w:val="00C00A0B"/>
    <w:rsid w:val="00C00CA6"/>
    <w:rsid w:val="00C01222"/>
    <w:rsid w:val="00C028D7"/>
    <w:rsid w:val="00C0335B"/>
    <w:rsid w:val="00C04C97"/>
    <w:rsid w:val="00C05865"/>
    <w:rsid w:val="00C05A2C"/>
    <w:rsid w:val="00C05C7B"/>
    <w:rsid w:val="00C06530"/>
    <w:rsid w:val="00C079DD"/>
    <w:rsid w:val="00C07E10"/>
    <w:rsid w:val="00C11201"/>
    <w:rsid w:val="00C12135"/>
    <w:rsid w:val="00C133D3"/>
    <w:rsid w:val="00C13444"/>
    <w:rsid w:val="00C13490"/>
    <w:rsid w:val="00C139DB"/>
    <w:rsid w:val="00C13A19"/>
    <w:rsid w:val="00C13D6A"/>
    <w:rsid w:val="00C1452B"/>
    <w:rsid w:val="00C14E1E"/>
    <w:rsid w:val="00C14FF0"/>
    <w:rsid w:val="00C15BA6"/>
    <w:rsid w:val="00C15CB3"/>
    <w:rsid w:val="00C16E6D"/>
    <w:rsid w:val="00C21E68"/>
    <w:rsid w:val="00C22594"/>
    <w:rsid w:val="00C244AA"/>
    <w:rsid w:val="00C24A66"/>
    <w:rsid w:val="00C253DB"/>
    <w:rsid w:val="00C25EE3"/>
    <w:rsid w:val="00C26B5F"/>
    <w:rsid w:val="00C273AC"/>
    <w:rsid w:val="00C2761F"/>
    <w:rsid w:val="00C30369"/>
    <w:rsid w:val="00C30C1E"/>
    <w:rsid w:val="00C312E7"/>
    <w:rsid w:val="00C319FA"/>
    <w:rsid w:val="00C32466"/>
    <w:rsid w:val="00C32826"/>
    <w:rsid w:val="00C32AAF"/>
    <w:rsid w:val="00C32EA8"/>
    <w:rsid w:val="00C33223"/>
    <w:rsid w:val="00C33E91"/>
    <w:rsid w:val="00C34A92"/>
    <w:rsid w:val="00C36691"/>
    <w:rsid w:val="00C40A94"/>
    <w:rsid w:val="00C40B5F"/>
    <w:rsid w:val="00C40F7F"/>
    <w:rsid w:val="00C418CA"/>
    <w:rsid w:val="00C41BC6"/>
    <w:rsid w:val="00C41D18"/>
    <w:rsid w:val="00C42062"/>
    <w:rsid w:val="00C424CF"/>
    <w:rsid w:val="00C42E71"/>
    <w:rsid w:val="00C4308A"/>
    <w:rsid w:val="00C4360D"/>
    <w:rsid w:val="00C43955"/>
    <w:rsid w:val="00C43B05"/>
    <w:rsid w:val="00C4423E"/>
    <w:rsid w:val="00C44448"/>
    <w:rsid w:val="00C45727"/>
    <w:rsid w:val="00C45C66"/>
    <w:rsid w:val="00C46083"/>
    <w:rsid w:val="00C46182"/>
    <w:rsid w:val="00C4733E"/>
    <w:rsid w:val="00C47845"/>
    <w:rsid w:val="00C4793A"/>
    <w:rsid w:val="00C47CDA"/>
    <w:rsid w:val="00C47D4D"/>
    <w:rsid w:val="00C519D2"/>
    <w:rsid w:val="00C519F1"/>
    <w:rsid w:val="00C52184"/>
    <w:rsid w:val="00C524B8"/>
    <w:rsid w:val="00C53B44"/>
    <w:rsid w:val="00C5440E"/>
    <w:rsid w:val="00C552F9"/>
    <w:rsid w:val="00C55D0C"/>
    <w:rsid w:val="00C55E7F"/>
    <w:rsid w:val="00C56234"/>
    <w:rsid w:val="00C564A9"/>
    <w:rsid w:val="00C56CB0"/>
    <w:rsid w:val="00C56E03"/>
    <w:rsid w:val="00C57117"/>
    <w:rsid w:val="00C57A56"/>
    <w:rsid w:val="00C57BB4"/>
    <w:rsid w:val="00C57FF5"/>
    <w:rsid w:val="00C60D9D"/>
    <w:rsid w:val="00C61109"/>
    <w:rsid w:val="00C618AA"/>
    <w:rsid w:val="00C61C4E"/>
    <w:rsid w:val="00C61CDB"/>
    <w:rsid w:val="00C62750"/>
    <w:rsid w:val="00C63D7F"/>
    <w:rsid w:val="00C65B8C"/>
    <w:rsid w:val="00C65BEE"/>
    <w:rsid w:val="00C65C8A"/>
    <w:rsid w:val="00C660CC"/>
    <w:rsid w:val="00C66803"/>
    <w:rsid w:val="00C67111"/>
    <w:rsid w:val="00C677E0"/>
    <w:rsid w:val="00C67939"/>
    <w:rsid w:val="00C7021E"/>
    <w:rsid w:val="00C7268F"/>
    <w:rsid w:val="00C72A27"/>
    <w:rsid w:val="00C72DA5"/>
    <w:rsid w:val="00C735CF"/>
    <w:rsid w:val="00C74A91"/>
    <w:rsid w:val="00C74DDF"/>
    <w:rsid w:val="00C8157B"/>
    <w:rsid w:val="00C821E3"/>
    <w:rsid w:val="00C8230B"/>
    <w:rsid w:val="00C8239A"/>
    <w:rsid w:val="00C82AAD"/>
    <w:rsid w:val="00C82B8D"/>
    <w:rsid w:val="00C82C17"/>
    <w:rsid w:val="00C82DD0"/>
    <w:rsid w:val="00C83E33"/>
    <w:rsid w:val="00C83EA3"/>
    <w:rsid w:val="00C8470A"/>
    <w:rsid w:val="00C84C36"/>
    <w:rsid w:val="00C872F2"/>
    <w:rsid w:val="00C87F31"/>
    <w:rsid w:val="00C907F4"/>
    <w:rsid w:val="00C909EC"/>
    <w:rsid w:val="00C915B8"/>
    <w:rsid w:val="00C91A3A"/>
    <w:rsid w:val="00C91C44"/>
    <w:rsid w:val="00C91E05"/>
    <w:rsid w:val="00C92367"/>
    <w:rsid w:val="00C92C8F"/>
    <w:rsid w:val="00C92DA6"/>
    <w:rsid w:val="00C93544"/>
    <w:rsid w:val="00C93677"/>
    <w:rsid w:val="00C93731"/>
    <w:rsid w:val="00C93B1A"/>
    <w:rsid w:val="00C9448B"/>
    <w:rsid w:val="00C94701"/>
    <w:rsid w:val="00C9518A"/>
    <w:rsid w:val="00C956F3"/>
    <w:rsid w:val="00CA0720"/>
    <w:rsid w:val="00CA094B"/>
    <w:rsid w:val="00CA0EB9"/>
    <w:rsid w:val="00CA1DF1"/>
    <w:rsid w:val="00CA219E"/>
    <w:rsid w:val="00CA2B7C"/>
    <w:rsid w:val="00CA2C25"/>
    <w:rsid w:val="00CA2CB1"/>
    <w:rsid w:val="00CA35B5"/>
    <w:rsid w:val="00CA3A33"/>
    <w:rsid w:val="00CA41AA"/>
    <w:rsid w:val="00CA420B"/>
    <w:rsid w:val="00CA6AA1"/>
    <w:rsid w:val="00CA6DC2"/>
    <w:rsid w:val="00CB0813"/>
    <w:rsid w:val="00CB08BA"/>
    <w:rsid w:val="00CB1D2C"/>
    <w:rsid w:val="00CB29C4"/>
    <w:rsid w:val="00CB2EFE"/>
    <w:rsid w:val="00CB40BC"/>
    <w:rsid w:val="00CB4510"/>
    <w:rsid w:val="00CB4574"/>
    <w:rsid w:val="00CB461A"/>
    <w:rsid w:val="00CB4DDF"/>
    <w:rsid w:val="00CB5C0B"/>
    <w:rsid w:val="00CB600B"/>
    <w:rsid w:val="00CB61DB"/>
    <w:rsid w:val="00CB635B"/>
    <w:rsid w:val="00CB662C"/>
    <w:rsid w:val="00CB66E1"/>
    <w:rsid w:val="00CB67B8"/>
    <w:rsid w:val="00CB6E9C"/>
    <w:rsid w:val="00CB780F"/>
    <w:rsid w:val="00CC0718"/>
    <w:rsid w:val="00CC0A14"/>
    <w:rsid w:val="00CC0FB5"/>
    <w:rsid w:val="00CC135E"/>
    <w:rsid w:val="00CC2563"/>
    <w:rsid w:val="00CC2CE2"/>
    <w:rsid w:val="00CC2DA3"/>
    <w:rsid w:val="00CC2E5B"/>
    <w:rsid w:val="00CC35CA"/>
    <w:rsid w:val="00CC3E9B"/>
    <w:rsid w:val="00CC50FD"/>
    <w:rsid w:val="00CC5B7D"/>
    <w:rsid w:val="00CC651E"/>
    <w:rsid w:val="00CC74B8"/>
    <w:rsid w:val="00CC761A"/>
    <w:rsid w:val="00CC7D4D"/>
    <w:rsid w:val="00CD02D3"/>
    <w:rsid w:val="00CD18A4"/>
    <w:rsid w:val="00CD1C75"/>
    <w:rsid w:val="00CD1E7E"/>
    <w:rsid w:val="00CD281C"/>
    <w:rsid w:val="00CD2E53"/>
    <w:rsid w:val="00CD2FC3"/>
    <w:rsid w:val="00CD3867"/>
    <w:rsid w:val="00CD42AF"/>
    <w:rsid w:val="00CD452A"/>
    <w:rsid w:val="00CD4C05"/>
    <w:rsid w:val="00CD526A"/>
    <w:rsid w:val="00CD542C"/>
    <w:rsid w:val="00CD5675"/>
    <w:rsid w:val="00CD7227"/>
    <w:rsid w:val="00CD7561"/>
    <w:rsid w:val="00CE00C3"/>
    <w:rsid w:val="00CE0117"/>
    <w:rsid w:val="00CE045C"/>
    <w:rsid w:val="00CE0541"/>
    <w:rsid w:val="00CE0CC1"/>
    <w:rsid w:val="00CE0D37"/>
    <w:rsid w:val="00CE0DC6"/>
    <w:rsid w:val="00CE17B3"/>
    <w:rsid w:val="00CE3A4D"/>
    <w:rsid w:val="00CE5DD2"/>
    <w:rsid w:val="00CE686D"/>
    <w:rsid w:val="00CF0841"/>
    <w:rsid w:val="00CF0EB5"/>
    <w:rsid w:val="00CF102E"/>
    <w:rsid w:val="00CF30C0"/>
    <w:rsid w:val="00CF4180"/>
    <w:rsid w:val="00CF4984"/>
    <w:rsid w:val="00CF4E52"/>
    <w:rsid w:val="00CF53FF"/>
    <w:rsid w:val="00CF602F"/>
    <w:rsid w:val="00CF644D"/>
    <w:rsid w:val="00CF6453"/>
    <w:rsid w:val="00CF72F8"/>
    <w:rsid w:val="00CF7DCE"/>
    <w:rsid w:val="00D0040E"/>
    <w:rsid w:val="00D00804"/>
    <w:rsid w:val="00D00961"/>
    <w:rsid w:val="00D00F73"/>
    <w:rsid w:val="00D00F81"/>
    <w:rsid w:val="00D01327"/>
    <w:rsid w:val="00D01A24"/>
    <w:rsid w:val="00D01FC5"/>
    <w:rsid w:val="00D03738"/>
    <w:rsid w:val="00D05B02"/>
    <w:rsid w:val="00D10753"/>
    <w:rsid w:val="00D107AA"/>
    <w:rsid w:val="00D1192C"/>
    <w:rsid w:val="00D12069"/>
    <w:rsid w:val="00D12322"/>
    <w:rsid w:val="00D12C5B"/>
    <w:rsid w:val="00D12F01"/>
    <w:rsid w:val="00D12F65"/>
    <w:rsid w:val="00D1305F"/>
    <w:rsid w:val="00D1311E"/>
    <w:rsid w:val="00D13E8D"/>
    <w:rsid w:val="00D14122"/>
    <w:rsid w:val="00D15CF0"/>
    <w:rsid w:val="00D15E8C"/>
    <w:rsid w:val="00D17BBA"/>
    <w:rsid w:val="00D17D1A"/>
    <w:rsid w:val="00D20145"/>
    <w:rsid w:val="00D203B4"/>
    <w:rsid w:val="00D209BE"/>
    <w:rsid w:val="00D20C17"/>
    <w:rsid w:val="00D2142C"/>
    <w:rsid w:val="00D2169A"/>
    <w:rsid w:val="00D21705"/>
    <w:rsid w:val="00D2204A"/>
    <w:rsid w:val="00D2295F"/>
    <w:rsid w:val="00D235AE"/>
    <w:rsid w:val="00D23A2F"/>
    <w:rsid w:val="00D25867"/>
    <w:rsid w:val="00D25A25"/>
    <w:rsid w:val="00D266C4"/>
    <w:rsid w:val="00D3019F"/>
    <w:rsid w:val="00D305B0"/>
    <w:rsid w:val="00D31766"/>
    <w:rsid w:val="00D31B13"/>
    <w:rsid w:val="00D3210A"/>
    <w:rsid w:val="00D32778"/>
    <w:rsid w:val="00D32918"/>
    <w:rsid w:val="00D32B90"/>
    <w:rsid w:val="00D32CBF"/>
    <w:rsid w:val="00D33065"/>
    <w:rsid w:val="00D3328D"/>
    <w:rsid w:val="00D34BCB"/>
    <w:rsid w:val="00D35226"/>
    <w:rsid w:val="00D37E92"/>
    <w:rsid w:val="00D40A41"/>
    <w:rsid w:val="00D40CC8"/>
    <w:rsid w:val="00D41A3B"/>
    <w:rsid w:val="00D41EE8"/>
    <w:rsid w:val="00D42B33"/>
    <w:rsid w:val="00D436C1"/>
    <w:rsid w:val="00D4453C"/>
    <w:rsid w:val="00D445C2"/>
    <w:rsid w:val="00D44873"/>
    <w:rsid w:val="00D46600"/>
    <w:rsid w:val="00D46B40"/>
    <w:rsid w:val="00D476C9"/>
    <w:rsid w:val="00D47BAD"/>
    <w:rsid w:val="00D47C97"/>
    <w:rsid w:val="00D47F3C"/>
    <w:rsid w:val="00D50729"/>
    <w:rsid w:val="00D50871"/>
    <w:rsid w:val="00D50EC6"/>
    <w:rsid w:val="00D5142C"/>
    <w:rsid w:val="00D51703"/>
    <w:rsid w:val="00D519F4"/>
    <w:rsid w:val="00D51FC0"/>
    <w:rsid w:val="00D52163"/>
    <w:rsid w:val="00D52368"/>
    <w:rsid w:val="00D5274F"/>
    <w:rsid w:val="00D52BDD"/>
    <w:rsid w:val="00D52DCB"/>
    <w:rsid w:val="00D533CC"/>
    <w:rsid w:val="00D54BBC"/>
    <w:rsid w:val="00D55422"/>
    <w:rsid w:val="00D55C54"/>
    <w:rsid w:val="00D56116"/>
    <w:rsid w:val="00D56302"/>
    <w:rsid w:val="00D5635D"/>
    <w:rsid w:val="00D56A8F"/>
    <w:rsid w:val="00D574BD"/>
    <w:rsid w:val="00D57A6A"/>
    <w:rsid w:val="00D606FD"/>
    <w:rsid w:val="00D61808"/>
    <w:rsid w:val="00D61C11"/>
    <w:rsid w:val="00D630DE"/>
    <w:rsid w:val="00D633D8"/>
    <w:rsid w:val="00D63BD5"/>
    <w:rsid w:val="00D63DEF"/>
    <w:rsid w:val="00D654F0"/>
    <w:rsid w:val="00D65CEC"/>
    <w:rsid w:val="00D67526"/>
    <w:rsid w:val="00D675B2"/>
    <w:rsid w:val="00D67D7E"/>
    <w:rsid w:val="00D704A0"/>
    <w:rsid w:val="00D705CC"/>
    <w:rsid w:val="00D71275"/>
    <w:rsid w:val="00D713A2"/>
    <w:rsid w:val="00D73434"/>
    <w:rsid w:val="00D73637"/>
    <w:rsid w:val="00D73B4B"/>
    <w:rsid w:val="00D73C02"/>
    <w:rsid w:val="00D73E98"/>
    <w:rsid w:val="00D7432C"/>
    <w:rsid w:val="00D74CFC"/>
    <w:rsid w:val="00D757DC"/>
    <w:rsid w:val="00D76632"/>
    <w:rsid w:val="00D76684"/>
    <w:rsid w:val="00D76CBB"/>
    <w:rsid w:val="00D76F1C"/>
    <w:rsid w:val="00D77115"/>
    <w:rsid w:val="00D775BA"/>
    <w:rsid w:val="00D776A2"/>
    <w:rsid w:val="00D779E3"/>
    <w:rsid w:val="00D77AF9"/>
    <w:rsid w:val="00D81425"/>
    <w:rsid w:val="00D822FE"/>
    <w:rsid w:val="00D824BF"/>
    <w:rsid w:val="00D828FD"/>
    <w:rsid w:val="00D836B2"/>
    <w:rsid w:val="00D83A33"/>
    <w:rsid w:val="00D840AA"/>
    <w:rsid w:val="00D842EE"/>
    <w:rsid w:val="00D846EF"/>
    <w:rsid w:val="00D849C9"/>
    <w:rsid w:val="00D84ABB"/>
    <w:rsid w:val="00D858D9"/>
    <w:rsid w:val="00D85A99"/>
    <w:rsid w:val="00D85B52"/>
    <w:rsid w:val="00D900E0"/>
    <w:rsid w:val="00D9040C"/>
    <w:rsid w:val="00D92264"/>
    <w:rsid w:val="00D92A59"/>
    <w:rsid w:val="00D92FBA"/>
    <w:rsid w:val="00D93885"/>
    <w:rsid w:val="00D945D6"/>
    <w:rsid w:val="00D95389"/>
    <w:rsid w:val="00D954AF"/>
    <w:rsid w:val="00D968A9"/>
    <w:rsid w:val="00D9705E"/>
    <w:rsid w:val="00D97219"/>
    <w:rsid w:val="00D9791C"/>
    <w:rsid w:val="00DA018D"/>
    <w:rsid w:val="00DA0357"/>
    <w:rsid w:val="00DA0AFB"/>
    <w:rsid w:val="00DA190A"/>
    <w:rsid w:val="00DA1A29"/>
    <w:rsid w:val="00DA1C64"/>
    <w:rsid w:val="00DA34E5"/>
    <w:rsid w:val="00DA388D"/>
    <w:rsid w:val="00DA390A"/>
    <w:rsid w:val="00DA50C0"/>
    <w:rsid w:val="00DA594E"/>
    <w:rsid w:val="00DA5F40"/>
    <w:rsid w:val="00DA63C0"/>
    <w:rsid w:val="00DA6B5C"/>
    <w:rsid w:val="00DA706D"/>
    <w:rsid w:val="00DA74ED"/>
    <w:rsid w:val="00DA7508"/>
    <w:rsid w:val="00DB1014"/>
    <w:rsid w:val="00DB192E"/>
    <w:rsid w:val="00DB1A08"/>
    <w:rsid w:val="00DB1D21"/>
    <w:rsid w:val="00DB1EB9"/>
    <w:rsid w:val="00DB208D"/>
    <w:rsid w:val="00DB211B"/>
    <w:rsid w:val="00DB290D"/>
    <w:rsid w:val="00DB2B84"/>
    <w:rsid w:val="00DB2EE3"/>
    <w:rsid w:val="00DB3232"/>
    <w:rsid w:val="00DB39CC"/>
    <w:rsid w:val="00DB4394"/>
    <w:rsid w:val="00DB43E5"/>
    <w:rsid w:val="00DB48CA"/>
    <w:rsid w:val="00DB4B98"/>
    <w:rsid w:val="00DB4C1D"/>
    <w:rsid w:val="00DB511D"/>
    <w:rsid w:val="00DB56DB"/>
    <w:rsid w:val="00DB64BA"/>
    <w:rsid w:val="00DB66BF"/>
    <w:rsid w:val="00DB67E9"/>
    <w:rsid w:val="00DB71F0"/>
    <w:rsid w:val="00DC0B51"/>
    <w:rsid w:val="00DC1506"/>
    <w:rsid w:val="00DC19D5"/>
    <w:rsid w:val="00DC1A01"/>
    <w:rsid w:val="00DC2042"/>
    <w:rsid w:val="00DC25AE"/>
    <w:rsid w:val="00DC2FE8"/>
    <w:rsid w:val="00DC3648"/>
    <w:rsid w:val="00DC3CA9"/>
    <w:rsid w:val="00DC44E5"/>
    <w:rsid w:val="00DC5AC3"/>
    <w:rsid w:val="00DC5DAC"/>
    <w:rsid w:val="00DC6557"/>
    <w:rsid w:val="00DC67A1"/>
    <w:rsid w:val="00DC68B9"/>
    <w:rsid w:val="00DC6E1F"/>
    <w:rsid w:val="00DC7957"/>
    <w:rsid w:val="00DC7CD8"/>
    <w:rsid w:val="00DD0836"/>
    <w:rsid w:val="00DD0FA4"/>
    <w:rsid w:val="00DD1087"/>
    <w:rsid w:val="00DD1886"/>
    <w:rsid w:val="00DD1A0C"/>
    <w:rsid w:val="00DD1A42"/>
    <w:rsid w:val="00DD27F6"/>
    <w:rsid w:val="00DD2869"/>
    <w:rsid w:val="00DD288E"/>
    <w:rsid w:val="00DD30A8"/>
    <w:rsid w:val="00DD334B"/>
    <w:rsid w:val="00DD4C81"/>
    <w:rsid w:val="00DD5747"/>
    <w:rsid w:val="00DD5A57"/>
    <w:rsid w:val="00DD5AE2"/>
    <w:rsid w:val="00DD6DD4"/>
    <w:rsid w:val="00DD6FBA"/>
    <w:rsid w:val="00DE2860"/>
    <w:rsid w:val="00DE2DE8"/>
    <w:rsid w:val="00DE3317"/>
    <w:rsid w:val="00DE349E"/>
    <w:rsid w:val="00DE37F8"/>
    <w:rsid w:val="00DE3900"/>
    <w:rsid w:val="00DE4092"/>
    <w:rsid w:val="00DE421C"/>
    <w:rsid w:val="00DE52D0"/>
    <w:rsid w:val="00DE5475"/>
    <w:rsid w:val="00DE5926"/>
    <w:rsid w:val="00DE6B50"/>
    <w:rsid w:val="00DE6E1D"/>
    <w:rsid w:val="00DF0C07"/>
    <w:rsid w:val="00DF11F0"/>
    <w:rsid w:val="00DF18F2"/>
    <w:rsid w:val="00DF2106"/>
    <w:rsid w:val="00DF2661"/>
    <w:rsid w:val="00DF2F2D"/>
    <w:rsid w:val="00DF3547"/>
    <w:rsid w:val="00DF367C"/>
    <w:rsid w:val="00DF3B56"/>
    <w:rsid w:val="00DF42B1"/>
    <w:rsid w:val="00DF4DB0"/>
    <w:rsid w:val="00DF53E3"/>
    <w:rsid w:val="00DF5501"/>
    <w:rsid w:val="00DF580F"/>
    <w:rsid w:val="00DF5A83"/>
    <w:rsid w:val="00DF5D74"/>
    <w:rsid w:val="00DF6D67"/>
    <w:rsid w:val="00DF6F7D"/>
    <w:rsid w:val="00E0017A"/>
    <w:rsid w:val="00E00757"/>
    <w:rsid w:val="00E008AC"/>
    <w:rsid w:val="00E0132E"/>
    <w:rsid w:val="00E016E2"/>
    <w:rsid w:val="00E0194C"/>
    <w:rsid w:val="00E0197C"/>
    <w:rsid w:val="00E01A80"/>
    <w:rsid w:val="00E02859"/>
    <w:rsid w:val="00E02884"/>
    <w:rsid w:val="00E02B70"/>
    <w:rsid w:val="00E02E3E"/>
    <w:rsid w:val="00E03868"/>
    <w:rsid w:val="00E0391E"/>
    <w:rsid w:val="00E03DDC"/>
    <w:rsid w:val="00E05375"/>
    <w:rsid w:val="00E0594C"/>
    <w:rsid w:val="00E05B11"/>
    <w:rsid w:val="00E05E44"/>
    <w:rsid w:val="00E067F2"/>
    <w:rsid w:val="00E06A82"/>
    <w:rsid w:val="00E06D80"/>
    <w:rsid w:val="00E06FA4"/>
    <w:rsid w:val="00E07433"/>
    <w:rsid w:val="00E109E2"/>
    <w:rsid w:val="00E12560"/>
    <w:rsid w:val="00E12A39"/>
    <w:rsid w:val="00E12F5E"/>
    <w:rsid w:val="00E13BFA"/>
    <w:rsid w:val="00E14970"/>
    <w:rsid w:val="00E14B97"/>
    <w:rsid w:val="00E15850"/>
    <w:rsid w:val="00E15E00"/>
    <w:rsid w:val="00E15F06"/>
    <w:rsid w:val="00E16081"/>
    <w:rsid w:val="00E16810"/>
    <w:rsid w:val="00E16E74"/>
    <w:rsid w:val="00E17637"/>
    <w:rsid w:val="00E17660"/>
    <w:rsid w:val="00E200BC"/>
    <w:rsid w:val="00E20671"/>
    <w:rsid w:val="00E207C7"/>
    <w:rsid w:val="00E20E85"/>
    <w:rsid w:val="00E212DA"/>
    <w:rsid w:val="00E214E2"/>
    <w:rsid w:val="00E21B70"/>
    <w:rsid w:val="00E22147"/>
    <w:rsid w:val="00E22206"/>
    <w:rsid w:val="00E24C5F"/>
    <w:rsid w:val="00E25D01"/>
    <w:rsid w:val="00E263D7"/>
    <w:rsid w:val="00E301EE"/>
    <w:rsid w:val="00E3040F"/>
    <w:rsid w:val="00E3050F"/>
    <w:rsid w:val="00E3083B"/>
    <w:rsid w:val="00E31F9B"/>
    <w:rsid w:val="00E32429"/>
    <w:rsid w:val="00E32DDA"/>
    <w:rsid w:val="00E33488"/>
    <w:rsid w:val="00E33795"/>
    <w:rsid w:val="00E33E27"/>
    <w:rsid w:val="00E346D2"/>
    <w:rsid w:val="00E3479C"/>
    <w:rsid w:val="00E3526A"/>
    <w:rsid w:val="00E360D1"/>
    <w:rsid w:val="00E36865"/>
    <w:rsid w:val="00E37BB9"/>
    <w:rsid w:val="00E37FF2"/>
    <w:rsid w:val="00E405D2"/>
    <w:rsid w:val="00E40ABD"/>
    <w:rsid w:val="00E40BEE"/>
    <w:rsid w:val="00E410F7"/>
    <w:rsid w:val="00E41826"/>
    <w:rsid w:val="00E43B4C"/>
    <w:rsid w:val="00E4405D"/>
    <w:rsid w:val="00E44B8B"/>
    <w:rsid w:val="00E44D9B"/>
    <w:rsid w:val="00E45872"/>
    <w:rsid w:val="00E4606B"/>
    <w:rsid w:val="00E46A2A"/>
    <w:rsid w:val="00E470CB"/>
    <w:rsid w:val="00E4715C"/>
    <w:rsid w:val="00E47271"/>
    <w:rsid w:val="00E47344"/>
    <w:rsid w:val="00E475AC"/>
    <w:rsid w:val="00E477EF"/>
    <w:rsid w:val="00E47832"/>
    <w:rsid w:val="00E5087A"/>
    <w:rsid w:val="00E52821"/>
    <w:rsid w:val="00E53582"/>
    <w:rsid w:val="00E53988"/>
    <w:rsid w:val="00E54EA9"/>
    <w:rsid w:val="00E55148"/>
    <w:rsid w:val="00E55794"/>
    <w:rsid w:val="00E564B1"/>
    <w:rsid w:val="00E57600"/>
    <w:rsid w:val="00E57B7D"/>
    <w:rsid w:val="00E57C06"/>
    <w:rsid w:val="00E60154"/>
    <w:rsid w:val="00E60EF8"/>
    <w:rsid w:val="00E60F0E"/>
    <w:rsid w:val="00E613C1"/>
    <w:rsid w:val="00E629F7"/>
    <w:rsid w:val="00E65687"/>
    <w:rsid w:val="00E65AFF"/>
    <w:rsid w:val="00E65FF2"/>
    <w:rsid w:val="00E66CF3"/>
    <w:rsid w:val="00E66F3E"/>
    <w:rsid w:val="00E67614"/>
    <w:rsid w:val="00E679C1"/>
    <w:rsid w:val="00E67E19"/>
    <w:rsid w:val="00E7077D"/>
    <w:rsid w:val="00E70867"/>
    <w:rsid w:val="00E708D3"/>
    <w:rsid w:val="00E7096B"/>
    <w:rsid w:val="00E70BD1"/>
    <w:rsid w:val="00E70CB3"/>
    <w:rsid w:val="00E71A87"/>
    <w:rsid w:val="00E71D9E"/>
    <w:rsid w:val="00E7235D"/>
    <w:rsid w:val="00E7297C"/>
    <w:rsid w:val="00E72D39"/>
    <w:rsid w:val="00E72F64"/>
    <w:rsid w:val="00E73279"/>
    <w:rsid w:val="00E734CD"/>
    <w:rsid w:val="00E73726"/>
    <w:rsid w:val="00E737A5"/>
    <w:rsid w:val="00E738D1"/>
    <w:rsid w:val="00E73F75"/>
    <w:rsid w:val="00E7449C"/>
    <w:rsid w:val="00E74580"/>
    <w:rsid w:val="00E74859"/>
    <w:rsid w:val="00E74981"/>
    <w:rsid w:val="00E760CC"/>
    <w:rsid w:val="00E766CD"/>
    <w:rsid w:val="00E767FE"/>
    <w:rsid w:val="00E77A22"/>
    <w:rsid w:val="00E77A95"/>
    <w:rsid w:val="00E77DAC"/>
    <w:rsid w:val="00E77DB6"/>
    <w:rsid w:val="00E80925"/>
    <w:rsid w:val="00E81059"/>
    <w:rsid w:val="00E82CC6"/>
    <w:rsid w:val="00E82E27"/>
    <w:rsid w:val="00E82F1E"/>
    <w:rsid w:val="00E83172"/>
    <w:rsid w:val="00E83914"/>
    <w:rsid w:val="00E83CD9"/>
    <w:rsid w:val="00E845E1"/>
    <w:rsid w:val="00E859B0"/>
    <w:rsid w:val="00E85D62"/>
    <w:rsid w:val="00E8666E"/>
    <w:rsid w:val="00E866F6"/>
    <w:rsid w:val="00E872E8"/>
    <w:rsid w:val="00E87CED"/>
    <w:rsid w:val="00E92B92"/>
    <w:rsid w:val="00E92F96"/>
    <w:rsid w:val="00E939CD"/>
    <w:rsid w:val="00E93FB2"/>
    <w:rsid w:val="00E9487F"/>
    <w:rsid w:val="00E97167"/>
    <w:rsid w:val="00E97362"/>
    <w:rsid w:val="00E97810"/>
    <w:rsid w:val="00E97D0F"/>
    <w:rsid w:val="00EA03B4"/>
    <w:rsid w:val="00EA1E2E"/>
    <w:rsid w:val="00EA343B"/>
    <w:rsid w:val="00EA3CE2"/>
    <w:rsid w:val="00EA4A4E"/>
    <w:rsid w:val="00EA5D12"/>
    <w:rsid w:val="00EA5E4D"/>
    <w:rsid w:val="00EA73E1"/>
    <w:rsid w:val="00EA74B3"/>
    <w:rsid w:val="00EB01CF"/>
    <w:rsid w:val="00EB0601"/>
    <w:rsid w:val="00EB07DC"/>
    <w:rsid w:val="00EB1396"/>
    <w:rsid w:val="00EB153D"/>
    <w:rsid w:val="00EB210C"/>
    <w:rsid w:val="00EB2341"/>
    <w:rsid w:val="00EB2A8B"/>
    <w:rsid w:val="00EB334D"/>
    <w:rsid w:val="00EB33BB"/>
    <w:rsid w:val="00EB5C07"/>
    <w:rsid w:val="00EB6351"/>
    <w:rsid w:val="00EB7130"/>
    <w:rsid w:val="00EB7E7E"/>
    <w:rsid w:val="00EC0023"/>
    <w:rsid w:val="00EC09CA"/>
    <w:rsid w:val="00EC0F6B"/>
    <w:rsid w:val="00EC12E3"/>
    <w:rsid w:val="00EC2355"/>
    <w:rsid w:val="00EC270C"/>
    <w:rsid w:val="00EC331D"/>
    <w:rsid w:val="00EC369A"/>
    <w:rsid w:val="00EC3CC3"/>
    <w:rsid w:val="00EC54A7"/>
    <w:rsid w:val="00EC59F3"/>
    <w:rsid w:val="00EC5C05"/>
    <w:rsid w:val="00EC713B"/>
    <w:rsid w:val="00EC75AB"/>
    <w:rsid w:val="00EC7CC1"/>
    <w:rsid w:val="00EC7CFD"/>
    <w:rsid w:val="00EC7D87"/>
    <w:rsid w:val="00ED08D8"/>
    <w:rsid w:val="00ED0CEC"/>
    <w:rsid w:val="00ED13BF"/>
    <w:rsid w:val="00ED16AF"/>
    <w:rsid w:val="00ED1730"/>
    <w:rsid w:val="00ED18F1"/>
    <w:rsid w:val="00ED199E"/>
    <w:rsid w:val="00ED1D67"/>
    <w:rsid w:val="00ED2380"/>
    <w:rsid w:val="00ED2BDE"/>
    <w:rsid w:val="00ED2DE7"/>
    <w:rsid w:val="00ED38E5"/>
    <w:rsid w:val="00ED401B"/>
    <w:rsid w:val="00ED484F"/>
    <w:rsid w:val="00ED4AD7"/>
    <w:rsid w:val="00ED5EC1"/>
    <w:rsid w:val="00ED5F45"/>
    <w:rsid w:val="00ED5F87"/>
    <w:rsid w:val="00ED5F9C"/>
    <w:rsid w:val="00ED70BB"/>
    <w:rsid w:val="00ED7482"/>
    <w:rsid w:val="00ED79A8"/>
    <w:rsid w:val="00EE055F"/>
    <w:rsid w:val="00EE0611"/>
    <w:rsid w:val="00EE0C45"/>
    <w:rsid w:val="00EE15EC"/>
    <w:rsid w:val="00EE198A"/>
    <w:rsid w:val="00EE210A"/>
    <w:rsid w:val="00EE2535"/>
    <w:rsid w:val="00EE28C9"/>
    <w:rsid w:val="00EE2A24"/>
    <w:rsid w:val="00EE3971"/>
    <w:rsid w:val="00EE474F"/>
    <w:rsid w:val="00EE4EAE"/>
    <w:rsid w:val="00EE523E"/>
    <w:rsid w:val="00EE5D0F"/>
    <w:rsid w:val="00EE6036"/>
    <w:rsid w:val="00EE74F0"/>
    <w:rsid w:val="00EE75ED"/>
    <w:rsid w:val="00EE7D4C"/>
    <w:rsid w:val="00EF09F2"/>
    <w:rsid w:val="00EF310F"/>
    <w:rsid w:val="00EF3F9C"/>
    <w:rsid w:val="00EF42A3"/>
    <w:rsid w:val="00EF448B"/>
    <w:rsid w:val="00EF4593"/>
    <w:rsid w:val="00EF4B71"/>
    <w:rsid w:val="00EF4E51"/>
    <w:rsid w:val="00EF5717"/>
    <w:rsid w:val="00EF5912"/>
    <w:rsid w:val="00EF5F37"/>
    <w:rsid w:val="00EF67B9"/>
    <w:rsid w:val="00EF7073"/>
    <w:rsid w:val="00EF71E1"/>
    <w:rsid w:val="00EF7422"/>
    <w:rsid w:val="00EF7758"/>
    <w:rsid w:val="00EF7E97"/>
    <w:rsid w:val="00F00B99"/>
    <w:rsid w:val="00F0161A"/>
    <w:rsid w:val="00F03E0A"/>
    <w:rsid w:val="00F04AF8"/>
    <w:rsid w:val="00F04F41"/>
    <w:rsid w:val="00F05344"/>
    <w:rsid w:val="00F053D7"/>
    <w:rsid w:val="00F05E4E"/>
    <w:rsid w:val="00F05F9A"/>
    <w:rsid w:val="00F065D0"/>
    <w:rsid w:val="00F06A50"/>
    <w:rsid w:val="00F0740C"/>
    <w:rsid w:val="00F07546"/>
    <w:rsid w:val="00F076B3"/>
    <w:rsid w:val="00F103A6"/>
    <w:rsid w:val="00F103FD"/>
    <w:rsid w:val="00F1066A"/>
    <w:rsid w:val="00F1070C"/>
    <w:rsid w:val="00F110AD"/>
    <w:rsid w:val="00F11BA7"/>
    <w:rsid w:val="00F11BE3"/>
    <w:rsid w:val="00F11C60"/>
    <w:rsid w:val="00F11F51"/>
    <w:rsid w:val="00F1231A"/>
    <w:rsid w:val="00F12C10"/>
    <w:rsid w:val="00F12EE7"/>
    <w:rsid w:val="00F133CC"/>
    <w:rsid w:val="00F14083"/>
    <w:rsid w:val="00F148ED"/>
    <w:rsid w:val="00F1504E"/>
    <w:rsid w:val="00F163E5"/>
    <w:rsid w:val="00F16B09"/>
    <w:rsid w:val="00F21218"/>
    <w:rsid w:val="00F2124F"/>
    <w:rsid w:val="00F212F6"/>
    <w:rsid w:val="00F21AED"/>
    <w:rsid w:val="00F22D93"/>
    <w:rsid w:val="00F241C2"/>
    <w:rsid w:val="00F2460D"/>
    <w:rsid w:val="00F246EE"/>
    <w:rsid w:val="00F252F8"/>
    <w:rsid w:val="00F25B51"/>
    <w:rsid w:val="00F26165"/>
    <w:rsid w:val="00F269AD"/>
    <w:rsid w:val="00F270F9"/>
    <w:rsid w:val="00F27138"/>
    <w:rsid w:val="00F30003"/>
    <w:rsid w:val="00F313EC"/>
    <w:rsid w:val="00F31D16"/>
    <w:rsid w:val="00F3208A"/>
    <w:rsid w:val="00F333B2"/>
    <w:rsid w:val="00F333BF"/>
    <w:rsid w:val="00F33BC9"/>
    <w:rsid w:val="00F34CA9"/>
    <w:rsid w:val="00F34D40"/>
    <w:rsid w:val="00F34F40"/>
    <w:rsid w:val="00F350AB"/>
    <w:rsid w:val="00F368D7"/>
    <w:rsid w:val="00F36929"/>
    <w:rsid w:val="00F36CBB"/>
    <w:rsid w:val="00F378F1"/>
    <w:rsid w:val="00F37D77"/>
    <w:rsid w:val="00F37E4A"/>
    <w:rsid w:val="00F40EEE"/>
    <w:rsid w:val="00F411E2"/>
    <w:rsid w:val="00F43730"/>
    <w:rsid w:val="00F439E9"/>
    <w:rsid w:val="00F43D7F"/>
    <w:rsid w:val="00F442B0"/>
    <w:rsid w:val="00F456DB"/>
    <w:rsid w:val="00F45A89"/>
    <w:rsid w:val="00F46C97"/>
    <w:rsid w:val="00F47A9E"/>
    <w:rsid w:val="00F47C18"/>
    <w:rsid w:val="00F47EBF"/>
    <w:rsid w:val="00F50015"/>
    <w:rsid w:val="00F5039D"/>
    <w:rsid w:val="00F50B3B"/>
    <w:rsid w:val="00F50B64"/>
    <w:rsid w:val="00F51060"/>
    <w:rsid w:val="00F513ED"/>
    <w:rsid w:val="00F519DD"/>
    <w:rsid w:val="00F5236C"/>
    <w:rsid w:val="00F540A9"/>
    <w:rsid w:val="00F54378"/>
    <w:rsid w:val="00F5494A"/>
    <w:rsid w:val="00F549FB"/>
    <w:rsid w:val="00F54BD9"/>
    <w:rsid w:val="00F54C09"/>
    <w:rsid w:val="00F55137"/>
    <w:rsid w:val="00F5519F"/>
    <w:rsid w:val="00F56057"/>
    <w:rsid w:val="00F57A20"/>
    <w:rsid w:val="00F57CF2"/>
    <w:rsid w:val="00F602C9"/>
    <w:rsid w:val="00F60741"/>
    <w:rsid w:val="00F609E7"/>
    <w:rsid w:val="00F60B65"/>
    <w:rsid w:val="00F616D2"/>
    <w:rsid w:val="00F620CF"/>
    <w:rsid w:val="00F6258D"/>
    <w:rsid w:val="00F63B36"/>
    <w:rsid w:val="00F64F1C"/>
    <w:rsid w:val="00F65254"/>
    <w:rsid w:val="00F654FC"/>
    <w:rsid w:val="00F659C5"/>
    <w:rsid w:val="00F66324"/>
    <w:rsid w:val="00F6683C"/>
    <w:rsid w:val="00F66B37"/>
    <w:rsid w:val="00F70AD4"/>
    <w:rsid w:val="00F70D49"/>
    <w:rsid w:val="00F71218"/>
    <w:rsid w:val="00F7219A"/>
    <w:rsid w:val="00F7264E"/>
    <w:rsid w:val="00F729A0"/>
    <w:rsid w:val="00F737D6"/>
    <w:rsid w:val="00F74538"/>
    <w:rsid w:val="00F74C2D"/>
    <w:rsid w:val="00F74EF0"/>
    <w:rsid w:val="00F7510D"/>
    <w:rsid w:val="00F75233"/>
    <w:rsid w:val="00F75278"/>
    <w:rsid w:val="00F76083"/>
    <w:rsid w:val="00F76882"/>
    <w:rsid w:val="00F76B70"/>
    <w:rsid w:val="00F77093"/>
    <w:rsid w:val="00F778FC"/>
    <w:rsid w:val="00F8009E"/>
    <w:rsid w:val="00F804C4"/>
    <w:rsid w:val="00F80546"/>
    <w:rsid w:val="00F8055F"/>
    <w:rsid w:val="00F80563"/>
    <w:rsid w:val="00F8066F"/>
    <w:rsid w:val="00F814FE"/>
    <w:rsid w:val="00F81C07"/>
    <w:rsid w:val="00F82228"/>
    <w:rsid w:val="00F82709"/>
    <w:rsid w:val="00F83050"/>
    <w:rsid w:val="00F83809"/>
    <w:rsid w:val="00F84316"/>
    <w:rsid w:val="00F85685"/>
    <w:rsid w:val="00F85A77"/>
    <w:rsid w:val="00F86652"/>
    <w:rsid w:val="00F87928"/>
    <w:rsid w:val="00F87EE8"/>
    <w:rsid w:val="00F90471"/>
    <w:rsid w:val="00F906F5"/>
    <w:rsid w:val="00F90DC3"/>
    <w:rsid w:val="00F915B9"/>
    <w:rsid w:val="00F92883"/>
    <w:rsid w:val="00F936C5"/>
    <w:rsid w:val="00F937EE"/>
    <w:rsid w:val="00F93F16"/>
    <w:rsid w:val="00F94973"/>
    <w:rsid w:val="00F95147"/>
    <w:rsid w:val="00F95258"/>
    <w:rsid w:val="00F9565E"/>
    <w:rsid w:val="00F961E4"/>
    <w:rsid w:val="00F96389"/>
    <w:rsid w:val="00F96403"/>
    <w:rsid w:val="00F9679C"/>
    <w:rsid w:val="00F97142"/>
    <w:rsid w:val="00FA0893"/>
    <w:rsid w:val="00FA0C89"/>
    <w:rsid w:val="00FA0DE7"/>
    <w:rsid w:val="00FA0E07"/>
    <w:rsid w:val="00FA105D"/>
    <w:rsid w:val="00FA17E0"/>
    <w:rsid w:val="00FA27F7"/>
    <w:rsid w:val="00FA32C3"/>
    <w:rsid w:val="00FA370B"/>
    <w:rsid w:val="00FA4E6D"/>
    <w:rsid w:val="00FA4E89"/>
    <w:rsid w:val="00FA553F"/>
    <w:rsid w:val="00FA5ED0"/>
    <w:rsid w:val="00FA65AB"/>
    <w:rsid w:val="00FA676F"/>
    <w:rsid w:val="00FA6C79"/>
    <w:rsid w:val="00FA7759"/>
    <w:rsid w:val="00FA7E1B"/>
    <w:rsid w:val="00FB0507"/>
    <w:rsid w:val="00FB1CCE"/>
    <w:rsid w:val="00FB2143"/>
    <w:rsid w:val="00FB2185"/>
    <w:rsid w:val="00FB4030"/>
    <w:rsid w:val="00FB5F1B"/>
    <w:rsid w:val="00FB664D"/>
    <w:rsid w:val="00FB7C56"/>
    <w:rsid w:val="00FB7FEA"/>
    <w:rsid w:val="00FC109D"/>
    <w:rsid w:val="00FC1640"/>
    <w:rsid w:val="00FC17BA"/>
    <w:rsid w:val="00FC1C88"/>
    <w:rsid w:val="00FC22B6"/>
    <w:rsid w:val="00FC3546"/>
    <w:rsid w:val="00FC36D0"/>
    <w:rsid w:val="00FC394F"/>
    <w:rsid w:val="00FC3FCF"/>
    <w:rsid w:val="00FC43BE"/>
    <w:rsid w:val="00FC4ECB"/>
    <w:rsid w:val="00FC596C"/>
    <w:rsid w:val="00FC624C"/>
    <w:rsid w:val="00FC6F68"/>
    <w:rsid w:val="00FC72F2"/>
    <w:rsid w:val="00FC7434"/>
    <w:rsid w:val="00FC7596"/>
    <w:rsid w:val="00FC7947"/>
    <w:rsid w:val="00FC7AEA"/>
    <w:rsid w:val="00FC7CCF"/>
    <w:rsid w:val="00FD076A"/>
    <w:rsid w:val="00FD0A8A"/>
    <w:rsid w:val="00FD0F52"/>
    <w:rsid w:val="00FD16A4"/>
    <w:rsid w:val="00FD2144"/>
    <w:rsid w:val="00FD226B"/>
    <w:rsid w:val="00FD24E8"/>
    <w:rsid w:val="00FD2EE5"/>
    <w:rsid w:val="00FD36B2"/>
    <w:rsid w:val="00FD38F1"/>
    <w:rsid w:val="00FD3DAA"/>
    <w:rsid w:val="00FD4386"/>
    <w:rsid w:val="00FD44A8"/>
    <w:rsid w:val="00FD44EC"/>
    <w:rsid w:val="00FD4D31"/>
    <w:rsid w:val="00FD608C"/>
    <w:rsid w:val="00FD660B"/>
    <w:rsid w:val="00FD6675"/>
    <w:rsid w:val="00FD6A67"/>
    <w:rsid w:val="00FD6ECE"/>
    <w:rsid w:val="00FD79DF"/>
    <w:rsid w:val="00FD7BDE"/>
    <w:rsid w:val="00FD7E8E"/>
    <w:rsid w:val="00FE0B07"/>
    <w:rsid w:val="00FE0C62"/>
    <w:rsid w:val="00FE1482"/>
    <w:rsid w:val="00FE1612"/>
    <w:rsid w:val="00FE1691"/>
    <w:rsid w:val="00FE34D0"/>
    <w:rsid w:val="00FE4768"/>
    <w:rsid w:val="00FE75E3"/>
    <w:rsid w:val="00FE794F"/>
    <w:rsid w:val="00FF0469"/>
    <w:rsid w:val="00FF0A0A"/>
    <w:rsid w:val="00FF129C"/>
    <w:rsid w:val="00FF1900"/>
    <w:rsid w:val="00FF1E9A"/>
    <w:rsid w:val="00FF2237"/>
    <w:rsid w:val="00FF3087"/>
    <w:rsid w:val="00FF3845"/>
    <w:rsid w:val="00FF4AB0"/>
    <w:rsid w:val="00FF51B5"/>
    <w:rsid w:val="00FF6049"/>
    <w:rsid w:val="00FF60F6"/>
    <w:rsid w:val="00FF64EE"/>
    <w:rsid w:val="00FF6E05"/>
    <w:rsid w:val="00FF7174"/>
    <w:rsid w:val="00FF76FC"/>
    <w:rsid w:val="00FF7718"/>
    <w:rsid w:val="00FF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5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D00EB"/>
    <w:rPr>
      <w:i/>
      <w:iCs/>
    </w:rPr>
  </w:style>
  <w:style w:type="paragraph" w:styleId="FootnoteText">
    <w:name w:val="footnote text"/>
    <w:basedOn w:val="Normal"/>
    <w:link w:val="FootnoteTextChar"/>
    <w:uiPriority w:val="99"/>
    <w:semiHidden/>
    <w:unhideWhenUsed/>
    <w:rsid w:val="00BA29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955"/>
    <w:rPr>
      <w:rFonts w:eastAsiaTheme="minorEastAsia"/>
      <w:sz w:val="20"/>
      <w:szCs w:val="20"/>
      <w:lang w:val="en-US"/>
    </w:rPr>
  </w:style>
  <w:style w:type="character" w:styleId="FootnoteReference">
    <w:name w:val="footnote reference"/>
    <w:basedOn w:val="DefaultParagraphFont"/>
    <w:uiPriority w:val="99"/>
    <w:semiHidden/>
    <w:unhideWhenUsed/>
    <w:rsid w:val="00BA2955"/>
    <w:rPr>
      <w:vertAlign w:val="superscript"/>
    </w:rPr>
  </w:style>
  <w:style w:type="character" w:customStyle="1" w:styleId="hps">
    <w:name w:val="hps"/>
    <w:basedOn w:val="DefaultParagraphFont"/>
    <w:rsid w:val="00BA2955"/>
  </w:style>
  <w:style w:type="paragraph" w:styleId="ListParagraph">
    <w:name w:val="List Paragraph"/>
    <w:basedOn w:val="Normal"/>
    <w:uiPriority w:val="34"/>
    <w:qFormat/>
    <w:rsid w:val="00BA2955"/>
    <w:pPr>
      <w:ind w:left="720"/>
      <w:contextualSpacing/>
    </w:pPr>
  </w:style>
  <w:style w:type="table" w:styleId="TableGrid">
    <w:name w:val="Table Grid"/>
    <w:basedOn w:val="TableNormal"/>
    <w:uiPriority w:val="59"/>
    <w:rsid w:val="00BA295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BA2955"/>
    <w:pPr>
      <w:tabs>
        <w:tab w:val="center" w:pos="4320"/>
        <w:tab w:val="right" w:pos="8640"/>
      </w:tabs>
      <w:spacing w:after="0" w:line="240" w:lineRule="auto"/>
    </w:pPr>
    <w:rPr>
      <w:rFonts w:ascii="Garamond" w:eastAsia="MS Mincho" w:hAnsi="Garamond" w:cs="Times New Roman"/>
      <w:sz w:val="24"/>
      <w:szCs w:val="20"/>
    </w:rPr>
  </w:style>
  <w:style w:type="character" w:customStyle="1" w:styleId="FooterChar">
    <w:name w:val="Footer Char"/>
    <w:basedOn w:val="DefaultParagraphFont"/>
    <w:link w:val="Footer"/>
    <w:uiPriority w:val="99"/>
    <w:rsid w:val="00BA2955"/>
    <w:rPr>
      <w:rFonts w:ascii="Garamond" w:eastAsia="MS Mincho" w:hAnsi="Garamond" w:cs="Times New Roman"/>
      <w:sz w:val="24"/>
      <w:szCs w:val="20"/>
      <w:lang w:val="en-US"/>
    </w:rPr>
  </w:style>
  <w:style w:type="character" w:customStyle="1" w:styleId="atn">
    <w:name w:val="atn"/>
    <w:basedOn w:val="DefaultParagraphFont"/>
    <w:rsid w:val="00BA2955"/>
  </w:style>
  <w:style w:type="paragraph" w:styleId="PlainText">
    <w:name w:val="Plain Text"/>
    <w:basedOn w:val="Normal"/>
    <w:link w:val="PlainTextChar"/>
    <w:uiPriority w:val="99"/>
    <w:unhideWhenUsed/>
    <w:rsid w:val="00BA2955"/>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BA2955"/>
    <w:rPr>
      <w:rFonts w:ascii="Consolas" w:hAnsi="Consolas"/>
      <w:sz w:val="21"/>
      <w:szCs w:val="21"/>
      <w:lang w:val="en-US"/>
    </w:rPr>
  </w:style>
  <w:style w:type="paragraph" w:styleId="NormalWeb">
    <w:name w:val="Normal (Web)"/>
    <w:basedOn w:val="Normal"/>
    <w:uiPriority w:val="99"/>
    <w:unhideWhenUsed/>
    <w:rsid w:val="006E5C6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1C07"/>
    <w:rPr>
      <w:sz w:val="16"/>
      <w:szCs w:val="16"/>
    </w:rPr>
  </w:style>
  <w:style w:type="paragraph" w:styleId="CommentText">
    <w:name w:val="annotation text"/>
    <w:basedOn w:val="Normal"/>
    <w:link w:val="CommentTextChar"/>
    <w:uiPriority w:val="99"/>
    <w:semiHidden/>
    <w:unhideWhenUsed/>
    <w:rsid w:val="00F81C07"/>
    <w:pPr>
      <w:spacing w:line="240" w:lineRule="auto"/>
    </w:pPr>
    <w:rPr>
      <w:sz w:val="20"/>
      <w:szCs w:val="20"/>
    </w:rPr>
  </w:style>
  <w:style w:type="character" w:customStyle="1" w:styleId="CommentTextChar">
    <w:name w:val="Comment Text Char"/>
    <w:basedOn w:val="DefaultParagraphFont"/>
    <w:link w:val="CommentText"/>
    <w:uiPriority w:val="99"/>
    <w:semiHidden/>
    <w:rsid w:val="00F81C0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81C07"/>
    <w:rPr>
      <w:b/>
      <w:bCs/>
    </w:rPr>
  </w:style>
  <w:style w:type="character" w:customStyle="1" w:styleId="CommentSubjectChar">
    <w:name w:val="Comment Subject Char"/>
    <w:basedOn w:val="CommentTextChar"/>
    <w:link w:val="CommentSubject"/>
    <w:uiPriority w:val="99"/>
    <w:semiHidden/>
    <w:rsid w:val="00F81C07"/>
    <w:rPr>
      <w:rFonts w:eastAsiaTheme="minorEastAsia"/>
      <w:b/>
      <w:bCs/>
      <w:sz w:val="20"/>
      <w:szCs w:val="20"/>
      <w:lang w:val="en-US"/>
    </w:rPr>
  </w:style>
  <w:style w:type="paragraph" w:styleId="BalloonText">
    <w:name w:val="Balloon Text"/>
    <w:basedOn w:val="Normal"/>
    <w:link w:val="BalloonTextChar"/>
    <w:uiPriority w:val="99"/>
    <w:semiHidden/>
    <w:unhideWhenUsed/>
    <w:rsid w:val="00F8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C07"/>
    <w:rPr>
      <w:rFonts w:ascii="Tahoma" w:eastAsiaTheme="minorEastAsia" w:hAnsi="Tahoma" w:cs="Tahoma"/>
      <w:sz w:val="16"/>
      <w:szCs w:val="16"/>
      <w:lang w:val="en-US"/>
    </w:rPr>
  </w:style>
  <w:style w:type="paragraph" w:styleId="EndnoteText">
    <w:name w:val="endnote text"/>
    <w:basedOn w:val="Normal"/>
    <w:link w:val="EndnoteTextChar"/>
    <w:uiPriority w:val="99"/>
    <w:semiHidden/>
    <w:unhideWhenUsed/>
    <w:rsid w:val="002358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583B"/>
    <w:rPr>
      <w:rFonts w:eastAsiaTheme="minorEastAsia"/>
      <w:sz w:val="20"/>
      <w:szCs w:val="20"/>
      <w:lang w:val="en-US"/>
    </w:rPr>
  </w:style>
  <w:style w:type="character" w:styleId="EndnoteReference">
    <w:name w:val="endnote reference"/>
    <w:basedOn w:val="DefaultParagraphFont"/>
    <w:uiPriority w:val="99"/>
    <w:semiHidden/>
    <w:unhideWhenUsed/>
    <w:rsid w:val="0023583B"/>
    <w:rPr>
      <w:vertAlign w:val="superscript"/>
    </w:rPr>
  </w:style>
  <w:style w:type="character" w:styleId="LineNumber">
    <w:name w:val="line number"/>
    <w:basedOn w:val="DefaultParagraphFont"/>
    <w:uiPriority w:val="99"/>
    <w:semiHidden/>
    <w:unhideWhenUsed/>
    <w:rsid w:val="000D2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5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D00EB"/>
    <w:rPr>
      <w:i/>
      <w:iCs/>
    </w:rPr>
  </w:style>
  <w:style w:type="paragraph" w:styleId="FootnoteText">
    <w:name w:val="footnote text"/>
    <w:basedOn w:val="Normal"/>
    <w:link w:val="FootnoteTextChar"/>
    <w:uiPriority w:val="99"/>
    <w:semiHidden/>
    <w:unhideWhenUsed/>
    <w:rsid w:val="00BA29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955"/>
    <w:rPr>
      <w:rFonts w:eastAsiaTheme="minorEastAsia"/>
      <w:sz w:val="20"/>
      <w:szCs w:val="20"/>
      <w:lang w:val="en-US"/>
    </w:rPr>
  </w:style>
  <w:style w:type="character" w:styleId="FootnoteReference">
    <w:name w:val="footnote reference"/>
    <w:basedOn w:val="DefaultParagraphFont"/>
    <w:uiPriority w:val="99"/>
    <w:semiHidden/>
    <w:unhideWhenUsed/>
    <w:rsid w:val="00BA2955"/>
    <w:rPr>
      <w:vertAlign w:val="superscript"/>
    </w:rPr>
  </w:style>
  <w:style w:type="character" w:customStyle="1" w:styleId="hps">
    <w:name w:val="hps"/>
    <w:basedOn w:val="DefaultParagraphFont"/>
    <w:rsid w:val="00BA2955"/>
  </w:style>
  <w:style w:type="paragraph" w:styleId="ListParagraph">
    <w:name w:val="List Paragraph"/>
    <w:basedOn w:val="Normal"/>
    <w:uiPriority w:val="34"/>
    <w:qFormat/>
    <w:rsid w:val="00BA2955"/>
    <w:pPr>
      <w:ind w:left="720"/>
      <w:contextualSpacing/>
    </w:pPr>
  </w:style>
  <w:style w:type="table" w:styleId="TableGrid">
    <w:name w:val="Table Grid"/>
    <w:basedOn w:val="TableNormal"/>
    <w:uiPriority w:val="59"/>
    <w:rsid w:val="00BA295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BA2955"/>
    <w:pPr>
      <w:tabs>
        <w:tab w:val="center" w:pos="4320"/>
        <w:tab w:val="right" w:pos="8640"/>
      </w:tabs>
      <w:spacing w:after="0" w:line="240" w:lineRule="auto"/>
    </w:pPr>
    <w:rPr>
      <w:rFonts w:ascii="Garamond" w:eastAsia="MS Mincho" w:hAnsi="Garamond" w:cs="Times New Roman"/>
      <w:sz w:val="24"/>
      <w:szCs w:val="20"/>
    </w:rPr>
  </w:style>
  <w:style w:type="character" w:customStyle="1" w:styleId="FooterChar">
    <w:name w:val="Footer Char"/>
    <w:basedOn w:val="DefaultParagraphFont"/>
    <w:link w:val="Footer"/>
    <w:uiPriority w:val="99"/>
    <w:rsid w:val="00BA2955"/>
    <w:rPr>
      <w:rFonts w:ascii="Garamond" w:eastAsia="MS Mincho" w:hAnsi="Garamond" w:cs="Times New Roman"/>
      <w:sz w:val="24"/>
      <w:szCs w:val="20"/>
      <w:lang w:val="en-US"/>
    </w:rPr>
  </w:style>
  <w:style w:type="character" w:customStyle="1" w:styleId="atn">
    <w:name w:val="atn"/>
    <w:basedOn w:val="DefaultParagraphFont"/>
    <w:rsid w:val="00BA2955"/>
  </w:style>
  <w:style w:type="paragraph" w:styleId="PlainText">
    <w:name w:val="Plain Text"/>
    <w:basedOn w:val="Normal"/>
    <w:link w:val="PlainTextChar"/>
    <w:uiPriority w:val="99"/>
    <w:unhideWhenUsed/>
    <w:rsid w:val="00BA2955"/>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BA2955"/>
    <w:rPr>
      <w:rFonts w:ascii="Consolas" w:hAnsi="Consolas"/>
      <w:sz w:val="21"/>
      <w:szCs w:val="21"/>
      <w:lang w:val="en-US"/>
    </w:rPr>
  </w:style>
  <w:style w:type="paragraph" w:styleId="NormalWeb">
    <w:name w:val="Normal (Web)"/>
    <w:basedOn w:val="Normal"/>
    <w:uiPriority w:val="99"/>
    <w:unhideWhenUsed/>
    <w:rsid w:val="006E5C6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1C07"/>
    <w:rPr>
      <w:sz w:val="16"/>
      <w:szCs w:val="16"/>
    </w:rPr>
  </w:style>
  <w:style w:type="paragraph" w:styleId="CommentText">
    <w:name w:val="annotation text"/>
    <w:basedOn w:val="Normal"/>
    <w:link w:val="CommentTextChar"/>
    <w:uiPriority w:val="99"/>
    <w:semiHidden/>
    <w:unhideWhenUsed/>
    <w:rsid w:val="00F81C07"/>
    <w:pPr>
      <w:spacing w:line="240" w:lineRule="auto"/>
    </w:pPr>
    <w:rPr>
      <w:sz w:val="20"/>
      <w:szCs w:val="20"/>
    </w:rPr>
  </w:style>
  <w:style w:type="character" w:customStyle="1" w:styleId="CommentTextChar">
    <w:name w:val="Comment Text Char"/>
    <w:basedOn w:val="DefaultParagraphFont"/>
    <w:link w:val="CommentText"/>
    <w:uiPriority w:val="99"/>
    <w:semiHidden/>
    <w:rsid w:val="00F81C0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81C07"/>
    <w:rPr>
      <w:b/>
      <w:bCs/>
    </w:rPr>
  </w:style>
  <w:style w:type="character" w:customStyle="1" w:styleId="CommentSubjectChar">
    <w:name w:val="Comment Subject Char"/>
    <w:basedOn w:val="CommentTextChar"/>
    <w:link w:val="CommentSubject"/>
    <w:uiPriority w:val="99"/>
    <w:semiHidden/>
    <w:rsid w:val="00F81C07"/>
    <w:rPr>
      <w:rFonts w:eastAsiaTheme="minorEastAsia"/>
      <w:b/>
      <w:bCs/>
      <w:sz w:val="20"/>
      <w:szCs w:val="20"/>
      <w:lang w:val="en-US"/>
    </w:rPr>
  </w:style>
  <w:style w:type="paragraph" w:styleId="BalloonText">
    <w:name w:val="Balloon Text"/>
    <w:basedOn w:val="Normal"/>
    <w:link w:val="BalloonTextChar"/>
    <w:uiPriority w:val="99"/>
    <w:semiHidden/>
    <w:unhideWhenUsed/>
    <w:rsid w:val="00F8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C07"/>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1909">
      <w:bodyDiv w:val="1"/>
      <w:marLeft w:val="0"/>
      <w:marRight w:val="0"/>
      <w:marTop w:val="0"/>
      <w:marBottom w:val="0"/>
      <w:divBdr>
        <w:top w:val="none" w:sz="0" w:space="0" w:color="auto"/>
        <w:left w:val="none" w:sz="0" w:space="0" w:color="auto"/>
        <w:bottom w:val="none" w:sz="0" w:space="0" w:color="auto"/>
        <w:right w:val="none" w:sz="0" w:space="0" w:color="auto"/>
      </w:divBdr>
    </w:div>
    <w:div w:id="260338541">
      <w:bodyDiv w:val="1"/>
      <w:marLeft w:val="0"/>
      <w:marRight w:val="0"/>
      <w:marTop w:val="0"/>
      <w:marBottom w:val="0"/>
      <w:divBdr>
        <w:top w:val="none" w:sz="0" w:space="0" w:color="auto"/>
        <w:left w:val="none" w:sz="0" w:space="0" w:color="auto"/>
        <w:bottom w:val="none" w:sz="0" w:space="0" w:color="auto"/>
        <w:right w:val="none" w:sz="0" w:space="0" w:color="auto"/>
      </w:divBdr>
    </w:div>
    <w:div w:id="431242592">
      <w:bodyDiv w:val="1"/>
      <w:marLeft w:val="0"/>
      <w:marRight w:val="0"/>
      <w:marTop w:val="0"/>
      <w:marBottom w:val="0"/>
      <w:divBdr>
        <w:top w:val="none" w:sz="0" w:space="0" w:color="auto"/>
        <w:left w:val="none" w:sz="0" w:space="0" w:color="auto"/>
        <w:bottom w:val="none" w:sz="0" w:space="0" w:color="auto"/>
        <w:right w:val="none" w:sz="0" w:space="0" w:color="auto"/>
      </w:divBdr>
    </w:div>
    <w:div w:id="1210606866">
      <w:bodyDiv w:val="1"/>
      <w:marLeft w:val="0"/>
      <w:marRight w:val="0"/>
      <w:marTop w:val="0"/>
      <w:marBottom w:val="0"/>
      <w:divBdr>
        <w:top w:val="none" w:sz="0" w:space="0" w:color="auto"/>
        <w:left w:val="none" w:sz="0" w:space="0" w:color="auto"/>
        <w:bottom w:val="none" w:sz="0" w:space="0" w:color="auto"/>
        <w:right w:val="none" w:sz="0" w:space="0" w:color="auto"/>
      </w:divBdr>
    </w:div>
    <w:div w:id="1466385302">
      <w:bodyDiv w:val="1"/>
      <w:marLeft w:val="0"/>
      <w:marRight w:val="0"/>
      <w:marTop w:val="0"/>
      <w:marBottom w:val="0"/>
      <w:divBdr>
        <w:top w:val="none" w:sz="0" w:space="0" w:color="auto"/>
        <w:left w:val="none" w:sz="0" w:space="0" w:color="auto"/>
        <w:bottom w:val="none" w:sz="0" w:space="0" w:color="auto"/>
        <w:right w:val="none" w:sz="0" w:space="0" w:color="auto"/>
      </w:divBdr>
    </w:div>
    <w:div w:id="1581669997">
      <w:bodyDiv w:val="1"/>
      <w:marLeft w:val="0"/>
      <w:marRight w:val="0"/>
      <w:marTop w:val="0"/>
      <w:marBottom w:val="0"/>
      <w:divBdr>
        <w:top w:val="none" w:sz="0" w:space="0" w:color="auto"/>
        <w:left w:val="none" w:sz="0" w:space="0" w:color="auto"/>
        <w:bottom w:val="none" w:sz="0" w:space="0" w:color="auto"/>
        <w:right w:val="none" w:sz="0" w:space="0" w:color="auto"/>
      </w:divBdr>
    </w:div>
    <w:div w:id="1703509828">
      <w:bodyDiv w:val="1"/>
      <w:marLeft w:val="0"/>
      <w:marRight w:val="0"/>
      <w:marTop w:val="0"/>
      <w:marBottom w:val="0"/>
      <w:divBdr>
        <w:top w:val="none" w:sz="0" w:space="0" w:color="auto"/>
        <w:left w:val="none" w:sz="0" w:space="0" w:color="auto"/>
        <w:bottom w:val="none" w:sz="0" w:space="0" w:color="auto"/>
        <w:right w:val="none" w:sz="0" w:space="0" w:color="auto"/>
      </w:divBdr>
    </w:div>
    <w:div w:id="1714571946">
      <w:bodyDiv w:val="1"/>
      <w:marLeft w:val="0"/>
      <w:marRight w:val="0"/>
      <w:marTop w:val="0"/>
      <w:marBottom w:val="0"/>
      <w:divBdr>
        <w:top w:val="none" w:sz="0" w:space="0" w:color="auto"/>
        <w:left w:val="none" w:sz="0" w:space="0" w:color="auto"/>
        <w:bottom w:val="none" w:sz="0" w:space="0" w:color="auto"/>
        <w:right w:val="none" w:sz="0" w:space="0" w:color="auto"/>
      </w:divBdr>
    </w:div>
    <w:div w:id="1862619832">
      <w:bodyDiv w:val="1"/>
      <w:marLeft w:val="0"/>
      <w:marRight w:val="0"/>
      <w:marTop w:val="0"/>
      <w:marBottom w:val="0"/>
      <w:divBdr>
        <w:top w:val="none" w:sz="0" w:space="0" w:color="auto"/>
        <w:left w:val="none" w:sz="0" w:space="0" w:color="auto"/>
        <w:bottom w:val="none" w:sz="0" w:space="0" w:color="auto"/>
        <w:right w:val="none" w:sz="0" w:space="0" w:color="auto"/>
      </w:divBdr>
    </w:div>
    <w:div w:id="20748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1A8A-9E5D-4868-B2D7-6DD39876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3751</Words>
  <Characters>21386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Đurović</dc:creator>
  <cp:lastModifiedBy>Dijana Đurović</cp:lastModifiedBy>
  <cp:revision>4</cp:revision>
  <cp:lastPrinted>2016-05-04T09:55:00Z</cp:lastPrinted>
  <dcterms:created xsi:type="dcterms:W3CDTF">2016-05-11T15:38:00Z</dcterms:created>
  <dcterms:modified xsi:type="dcterms:W3CDTF">2016-05-11T16:58:00Z</dcterms:modified>
</cp:coreProperties>
</file>