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989" w:rsidRPr="004704BD" w:rsidRDefault="00396FEA" w:rsidP="00EC44D2">
      <w:pPr>
        <w:spacing w:after="0" w:line="360" w:lineRule="auto"/>
        <w:jc w:val="both"/>
        <w:rPr>
          <w:lang w:val="en-US"/>
        </w:rPr>
      </w:pPr>
      <w:r w:rsidRPr="004704BD">
        <w:rPr>
          <w:b/>
          <w:lang w:val="en-US"/>
        </w:rPr>
        <w:t>Effect of process parameters on the physicochemical properties of</w:t>
      </w:r>
      <w:r w:rsidRPr="00C84914">
        <w:rPr>
          <w:b/>
          <w:lang w:val="en-GB"/>
        </w:rPr>
        <w:t xml:space="preserve"> nano</w:t>
      </w:r>
      <w:r w:rsidR="00F06CD6" w:rsidRPr="004704BD">
        <w:rPr>
          <w:b/>
          <w:lang w:val="en-US"/>
        </w:rPr>
        <w:t>- and micro</w:t>
      </w:r>
      <w:r w:rsidRPr="004704BD">
        <w:rPr>
          <w:b/>
          <w:lang w:val="en-US"/>
        </w:rPr>
        <w:t>metric zinc oxide</w:t>
      </w:r>
    </w:p>
    <w:p w:rsidR="00E82989" w:rsidRPr="004704BD" w:rsidRDefault="00E82989" w:rsidP="00EC44D2">
      <w:pPr>
        <w:spacing w:after="0" w:line="360" w:lineRule="auto"/>
        <w:jc w:val="both"/>
        <w:rPr>
          <w:b/>
          <w:lang w:val="en-US"/>
        </w:rPr>
      </w:pPr>
    </w:p>
    <w:p w:rsidR="00525AA6" w:rsidRPr="00525AA6" w:rsidRDefault="00525AA6" w:rsidP="00EC44D2">
      <w:pPr>
        <w:pStyle w:val="Bezodstpw"/>
        <w:spacing w:line="360" w:lineRule="auto"/>
        <w:jc w:val="both"/>
        <w:rPr>
          <w:rFonts w:ascii="Times New Roman" w:hAnsi="Times New Roman" w:cstheme="minorBidi"/>
          <w:sz w:val="24"/>
          <w:vertAlign w:val="superscript"/>
          <w:lang w:val="en-US"/>
        </w:rPr>
      </w:pPr>
      <w:r w:rsidRPr="00525AA6">
        <w:rPr>
          <w:rFonts w:ascii="Times New Roman" w:hAnsi="Times New Roman" w:cstheme="minorBidi"/>
          <w:sz w:val="24"/>
          <w:lang w:val="en-US"/>
        </w:rPr>
        <w:t>Jolanta PULIT-PROCIAK</w:t>
      </w:r>
      <w:r>
        <w:rPr>
          <w:rFonts w:ascii="Times New Roman" w:hAnsi="Times New Roman" w:cstheme="minorBidi"/>
          <w:sz w:val="24"/>
          <w:vertAlign w:val="superscript"/>
          <w:lang w:val="en-US"/>
        </w:rPr>
        <w:t>a</w:t>
      </w:r>
      <w:r>
        <w:rPr>
          <w:rFonts w:ascii="Times New Roman" w:hAnsi="Times New Roman" w:cstheme="minorBidi"/>
          <w:sz w:val="24"/>
          <w:lang w:val="en-US"/>
        </w:rPr>
        <w:t>, Marcin BANACH</w:t>
      </w:r>
      <w:r>
        <w:rPr>
          <w:rFonts w:ascii="Times New Roman" w:hAnsi="Times New Roman" w:cstheme="minorBidi"/>
          <w:sz w:val="24"/>
          <w:vertAlign w:val="superscript"/>
          <w:lang w:val="en-US"/>
        </w:rPr>
        <w:t>a</w:t>
      </w:r>
    </w:p>
    <w:p w:rsidR="00525AA6" w:rsidRPr="00525AA6" w:rsidRDefault="00525AA6" w:rsidP="00EC44D2">
      <w:pPr>
        <w:pStyle w:val="Bezodstpw"/>
        <w:spacing w:line="360" w:lineRule="auto"/>
        <w:jc w:val="both"/>
        <w:rPr>
          <w:rFonts w:ascii="Times New Roman" w:hAnsi="Times New Roman" w:cstheme="minorBidi"/>
          <w:sz w:val="24"/>
          <w:lang w:val="en-US"/>
        </w:rPr>
      </w:pPr>
    </w:p>
    <w:p w:rsidR="00525AA6" w:rsidRPr="00525AA6" w:rsidRDefault="00525AA6" w:rsidP="00EC44D2">
      <w:pPr>
        <w:pStyle w:val="Bezodstpw"/>
        <w:spacing w:line="360" w:lineRule="auto"/>
        <w:jc w:val="both"/>
        <w:rPr>
          <w:rFonts w:ascii="Times New Roman" w:hAnsi="Times New Roman" w:cstheme="minorBidi"/>
          <w:sz w:val="24"/>
          <w:lang w:val="en-US"/>
        </w:rPr>
      </w:pPr>
    </w:p>
    <w:p w:rsidR="00525AA6" w:rsidRPr="00525AA6" w:rsidRDefault="00525AA6" w:rsidP="00EC44D2">
      <w:pPr>
        <w:pStyle w:val="Bezodstpw"/>
        <w:spacing w:line="360" w:lineRule="auto"/>
        <w:jc w:val="both"/>
        <w:rPr>
          <w:rFonts w:ascii="Times New Roman" w:hAnsi="Times New Roman" w:cstheme="minorBidi"/>
          <w:sz w:val="24"/>
          <w:lang w:val="en-US"/>
        </w:rPr>
      </w:pPr>
      <w:r>
        <w:rPr>
          <w:rFonts w:ascii="Times New Roman" w:hAnsi="Times New Roman" w:cstheme="minorBidi"/>
          <w:sz w:val="24"/>
          <w:vertAlign w:val="superscript"/>
          <w:lang w:val="en-US"/>
        </w:rPr>
        <w:t>a</w:t>
      </w:r>
      <w:r w:rsidRPr="00525AA6">
        <w:rPr>
          <w:rFonts w:ascii="Times New Roman" w:hAnsi="Times New Roman" w:cstheme="minorBidi"/>
          <w:sz w:val="24"/>
          <w:lang w:val="en-US"/>
        </w:rPr>
        <w:t>Cracow University of Technology, Faculty of Chemical Engineering and Technology, 24 Warszawska St., 31-155 Cracow, Poland</w:t>
      </w:r>
    </w:p>
    <w:p w:rsidR="00525AA6" w:rsidRPr="00525AA6" w:rsidRDefault="00525AA6" w:rsidP="00EC44D2">
      <w:pPr>
        <w:pStyle w:val="Bezodstpw"/>
        <w:spacing w:line="360" w:lineRule="auto"/>
        <w:jc w:val="both"/>
        <w:rPr>
          <w:rFonts w:ascii="Times New Roman" w:hAnsi="Times New Roman" w:cstheme="minorBidi"/>
          <w:sz w:val="24"/>
          <w:lang w:val="en-US"/>
        </w:rPr>
      </w:pPr>
    </w:p>
    <w:p w:rsidR="00525AA6" w:rsidRPr="00525AA6" w:rsidRDefault="00525AA6" w:rsidP="00EC44D2">
      <w:pPr>
        <w:pStyle w:val="Bezodstpw"/>
        <w:spacing w:line="360" w:lineRule="auto"/>
        <w:jc w:val="both"/>
        <w:rPr>
          <w:rFonts w:ascii="Times New Roman" w:hAnsi="Times New Roman" w:cstheme="minorBidi"/>
          <w:sz w:val="24"/>
          <w:lang w:val="en-US"/>
        </w:rPr>
      </w:pPr>
      <w:r w:rsidRPr="00525AA6">
        <w:rPr>
          <w:rFonts w:ascii="Times New Roman" w:hAnsi="Times New Roman" w:cstheme="minorBidi"/>
          <w:sz w:val="24"/>
          <w:lang w:val="en-US"/>
        </w:rPr>
        <w:t xml:space="preserve">corresponding author: Jolanta PULIT-PROCIAK, </w:t>
      </w:r>
    </w:p>
    <w:p w:rsidR="00EA0A9B" w:rsidRDefault="00525AA6" w:rsidP="00EA0A9B">
      <w:pPr>
        <w:pStyle w:val="Bezodstpw"/>
        <w:spacing w:line="360" w:lineRule="auto"/>
        <w:jc w:val="both"/>
        <w:rPr>
          <w:rFonts w:ascii="Times New Roman" w:hAnsi="Times New Roman" w:cstheme="minorBidi"/>
          <w:sz w:val="24"/>
          <w:lang w:val="en-US"/>
        </w:rPr>
      </w:pPr>
      <w:r w:rsidRPr="00525AA6">
        <w:rPr>
          <w:rFonts w:ascii="Times New Roman" w:hAnsi="Times New Roman" w:cstheme="minorBidi"/>
          <w:sz w:val="24"/>
          <w:lang w:val="en-US"/>
        </w:rPr>
        <w:t>e-mail: jolantapulit@indy.chemia.pk.edu.pl, Cracow University of Technology, Faculty of Chemical Engineering and Technology, 24 Warszawska St., 31-155 Cracow, Poland</w:t>
      </w:r>
      <w:r w:rsidR="00EA0A9B">
        <w:rPr>
          <w:rFonts w:ascii="Times New Roman" w:hAnsi="Times New Roman" w:cstheme="minorBidi"/>
          <w:sz w:val="24"/>
          <w:lang w:val="en-US"/>
        </w:rPr>
        <w:t xml:space="preserve">, </w:t>
      </w:r>
      <w:r w:rsidR="00234918">
        <w:rPr>
          <w:rFonts w:ascii="Times New Roman" w:hAnsi="Times New Roman" w:cstheme="minorBidi"/>
          <w:sz w:val="24"/>
          <w:lang w:val="en-US"/>
        </w:rPr>
        <w:t xml:space="preserve">tel. </w:t>
      </w:r>
      <w:r w:rsidR="00EA0A9B">
        <w:rPr>
          <w:rFonts w:ascii="Times New Roman" w:hAnsi="Times New Roman" w:cstheme="minorBidi"/>
          <w:sz w:val="24"/>
          <w:lang w:val="en-US"/>
        </w:rPr>
        <w:t>+48</w:t>
      </w:r>
      <w:r w:rsidR="00234918">
        <w:rPr>
          <w:rFonts w:ascii="Times New Roman" w:hAnsi="Times New Roman" w:cstheme="minorBidi"/>
          <w:sz w:val="24"/>
          <w:lang w:val="en-US"/>
        </w:rPr>
        <w:t xml:space="preserve"> </w:t>
      </w:r>
      <w:r w:rsidR="00EA0A9B">
        <w:rPr>
          <w:rFonts w:ascii="Times New Roman" w:hAnsi="Times New Roman" w:cstheme="minorBidi"/>
          <w:sz w:val="24"/>
          <w:lang w:val="en-US"/>
        </w:rPr>
        <w:t>12 628 20</w:t>
      </w:r>
      <w:r w:rsidR="00E9155C">
        <w:rPr>
          <w:rFonts w:ascii="Times New Roman" w:hAnsi="Times New Roman" w:cstheme="minorBidi"/>
          <w:sz w:val="24"/>
          <w:lang w:val="en-US"/>
        </w:rPr>
        <w:t xml:space="preserve"> </w:t>
      </w:r>
      <w:r w:rsidR="00EA0A9B">
        <w:rPr>
          <w:rFonts w:ascii="Times New Roman" w:hAnsi="Times New Roman" w:cstheme="minorBidi"/>
          <w:sz w:val="24"/>
          <w:lang w:val="en-US"/>
        </w:rPr>
        <w:t>92</w:t>
      </w:r>
      <w:r w:rsidR="00234918">
        <w:rPr>
          <w:rFonts w:ascii="Times New Roman" w:hAnsi="Times New Roman" w:cstheme="minorBidi"/>
          <w:sz w:val="24"/>
          <w:lang w:val="en-US"/>
        </w:rPr>
        <w:t xml:space="preserve">, fax. </w:t>
      </w:r>
      <w:r w:rsidR="00234918" w:rsidRPr="00234918">
        <w:rPr>
          <w:rFonts w:ascii="Times New Roman" w:hAnsi="Times New Roman" w:cstheme="minorBidi"/>
          <w:sz w:val="24"/>
          <w:lang w:val="en-US"/>
        </w:rPr>
        <w:t>+48 12 628 20 35</w:t>
      </w:r>
    </w:p>
    <w:p w:rsidR="00234918" w:rsidRPr="00EA0A9B" w:rsidRDefault="00234918" w:rsidP="00EA0A9B">
      <w:pPr>
        <w:pStyle w:val="Bezodstpw"/>
        <w:spacing w:line="360" w:lineRule="auto"/>
        <w:jc w:val="both"/>
        <w:rPr>
          <w:rFonts w:ascii="Times New Roman" w:hAnsi="Times New Roman" w:cstheme="minorBidi"/>
          <w:sz w:val="24"/>
          <w:lang w:val="en-US"/>
        </w:rPr>
        <w:sectPr w:rsidR="00234918" w:rsidRPr="00EA0A9B" w:rsidSect="00FC296D">
          <w:footerReference w:type="default" r:id="rId9"/>
          <w:pgSz w:w="11906" w:h="16838"/>
          <w:pgMar w:top="1417" w:right="1417" w:bottom="1417" w:left="1417" w:header="0" w:footer="0" w:gutter="0"/>
          <w:lnNumType w:countBy="1" w:restart="continuous"/>
          <w:cols w:space="708"/>
          <w:formProt w:val="0"/>
          <w:docGrid w:linePitch="360" w:charSpace="-6145"/>
        </w:sectPr>
      </w:pPr>
    </w:p>
    <w:p w:rsidR="00E82989" w:rsidRPr="00BE30ED" w:rsidRDefault="00BE30ED" w:rsidP="00EC44D2">
      <w:pPr>
        <w:pStyle w:val="Bezodstpw"/>
        <w:spacing w:line="360" w:lineRule="auto"/>
        <w:jc w:val="both"/>
        <w:rPr>
          <w:rFonts w:ascii="Times New Roman" w:hAnsi="Times New Roman"/>
          <w:bCs/>
          <w:sz w:val="24"/>
          <w:szCs w:val="24"/>
          <w:lang w:val="en-GB" w:eastAsia="sv-SE"/>
        </w:rPr>
      </w:pPr>
      <w:r w:rsidRPr="00BE30ED">
        <w:rPr>
          <w:rFonts w:ascii="Times New Roman" w:eastAsia="Calibri" w:hAnsi="Times New Roman"/>
          <w:bCs/>
          <w:sz w:val="24"/>
          <w:szCs w:val="24"/>
          <w:lang w:val="en-GB" w:eastAsia="sv-SE"/>
        </w:rPr>
        <w:lastRenderedPageBreak/>
        <w:t>ABSTRACT</w:t>
      </w:r>
    </w:p>
    <w:p w:rsidR="00E82989" w:rsidRDefault="00396FEA" w:rsidP="00EC44D2">
      <w:pPr>
        <w:pStyle w:val="Bezodstpw"/>
        <w:spacing w:line="360" w:lineRule="auto"/>
        <w:jc w:val="both"/>
        <w:rPr>
          <w:rFonts w:ascii="Times New Roman" w:eastAsia="Calibri" w:hAnsi="Times New Roman"/>
          <w:sz w:val="24"/>
          <w:szCs w:val="24"/>
          <w:lang w:val="en-GB" w:eastAsia="sv-SE"/>
        </w:rPr>
      </w:pPr>
      <w:r w:rsidRPr="004704BD">
        <w:rPr>
          <w:rFonts w:ascii="Times New Roman" w:eastAsia="Calibri" w:hAnsi="Times New Roman"/>
          <w:sz w:val="24"/>
          <w:szCs w:val="24"/>
          <w:lang w:val="en-GB" w:eastAsia="sv-SE"/>
        </w:rPr>
        <w:t xml:space="preserve">The paper presents </w:t>
      </w:r>
      <w:r w:rsidR="00C84914" w:rsidRPr="004704BD">
        <w:rPr>
          <w:rFonts w:ascii="Times New Roman" w:eastAsia="Calibri" w:hAnsi="Times New Roman"/>
          <w:sz w:val="24"/>
          <w:szCs w:val="24"/>
          <w:lang w:val="en-GB" w:eastAsia="sv-SE"/>
        </w:rPr>
        <w:t>a method</w:t>
      </w:r>
      <w:r w:rsidRPr="004704BD">
        <w:rPr>
          <w:rFonts w:ascii="Times New Roman" w:eastAsia="Calibri" w:hAnsi="Times New Roman"/>
          <w:sz w:val="24"/>
          <w:szCs w:val="24"/>
          <w:lang w:val="en-GB" w:eastAsia="sv-SE"/>
        </w:rPr>
        <w:t xml:space="preserve"> of obtaining zinc oxide nano</w:t>
      </w:r>
      <w:r w:rsidR="00F20C04" w:rsidRPr="004704BD">
        <w:rPr>
          <w:rFonts w:ascii="Times New Roman" w:eastAsia="Calibri" w:hAnsi="Times New Roman"/>
          <w:sz w:val="24"/>
          <w:szCs w:val="24"/>
          <w:lang w:val="en-GB" w:eastAsia="sv-SE"/>
        </w:rPr>
        <w:t>- and micro</w:t>
      </w:r>
      <w:r w:rsidRPr="004704BD">
        <w:rPr>
          <w:rFonts w:ascii="Times New Roman" w:eastAsia="Calibri" w:hAnsi="Times New Roman"/>
          <w:sz w:val="24"/>
          <w:szCs w:val="24"/>
          <w:lang w:val="en-GB" w:eastAsia="sv-SE"/>
        </w:rPr>
        <w:t xml:space="preserve">particles. In these studies microwave reactor and laboratory pressure reactor were used. Since microwave radiation accelerates proceeding of reactions, this way was found to be an effective method in the process of obtaining fine nanocrystallines of zinc oxide. The size of prepared particles did not exceed 500 nm. </w:t>
      </w:r>
    </w:p>
    <w:p w:rsidR="00E95A56" w:rsidRPr="004704BD" w:rsidRDefault="00E95A56" w:rsidP="00EC44D2">
      <w:pPr>
        <w:pStyle w:val="Bezodstpw"/>
        <w:spacing w:line="360" w:lineRule="auto"/>
        <w:jc w:val="both"/>
        <w:rPr>
          <w:rFonts w:ascii="Times New Roman" w:hAnsi="Times New Roman"/>
          <w:sz w:val="24"/>
          <w:szCs w:val="24"/>
          <w:lang w:val="en-GB" w:eastAsia="sv-SE"/>
        </w:rPr>
      </w:pPr>
    </w:p>
    <w:p w:rsidR="00E82989" w:rsidRPr="004704BD" w:rsidRDefault="00BE30ED" w:rsidP="00EC44D2">
      <w:pPr>
        <w:pStyle w:val="Bezodstpw"/>
        <w:spacing w:line="360" w:lineRule="auto"/>
        <w:jc w:val="both"/>
      </w:pPr>
      <w:r w:rsidRPr="00BE30ED">
        <w:rPr>
          <w:rFonts w:ascii="Times New Roman" w:eastAsia="Calibri" w:hAnsi="Times New Roman"/>
          <w:bCs/>
          <w:sz w:val="24"/>
          <w:szCs w:val="24"/>
          <w:lang w:val="en-GB" w:eastAsia="sv-SE"/>
        </w:rPr>
        <w:t>KEYWORDS</w:t>
      </w:r>
      <w:r w:rsidR="00396FEA" w:rsidRPr="004704BD">
        <w:rPr>
          <w:rFonts w:ascii="Times New Roman" w:eastAsia="Calibri" w:hAnsi="Times New Roman"/>
          <w:b/>
          <w:bCs/>
          <w:sz w:val="24"/>
          <w:szCs w:val="24"/>
          <w:lang w:val="en-GB" w:eastAsia="sv-SE"/>
        </w:rPr>
        <w:t xml:space="preserve">: </w:t>
      </w:r>
      <w:r w:rsidR="00396FEA" w:rsidRPr="004704BD">
        <w:rPr>
          <w:rFonts w:ascii="Times New Roman" w:eastAsia="Calibri" w:hAnsi="Times New Roman"/>
          <w:sz w:val="24"/>
          <w:szCs w:val="24"/>
          <w:lang w:val="en-GB" w:eastAsia="sv-SE"/>
        </w:rPr>
        <w:t>zinc oxide, nanoparticles, green chemistry</w:t>
      </w:r>
    </w:p>
    <w:p w:rsidR="00E82989" w:rsidRPr="004704BD" w:rsidRDefault="00E82989" w:rsidP="00EC44D2">
      <w:pPr>
        <w:pStyle w:val="Bezodstpw"/>
        <w:spacing w:line="360" w:lineRule="auto"/>
        <w:jc w:val="both"/>
        <w:rPr>
          <w:rFonts w:ascii="Times New Roman" w:hAnsi="Times New Roman"/>
          <w:sz w:val="24"/>
          <w:szCs w:val="24"/>
          <w:lang w:val="en-GB" w:eastAsia="sv-SE"/>
        </w:rPr>
      </w:pPr>
    </w:p>
    <w:p w:rsidR="00E82989" w:rsidRPr="004704BD" w:rsidRDefault="00396FEA" w:rsidP="00EC44D2">
      <w:pPr>
        <w:spacing w:after="0" w:line="360" w:lineRule="auto"/>
        <w:jc w:val="both"/>
        <w:rPr>
          <w:lang w:val="en-US"/>
        </w:rPr>
      </w:pPr>
      <w:r w:rsidRPr="004704BD">
        <w:rPr>
          <w:b/>
          <w:szCs w:val="24"/>
          <w:lang w:val="en-US"/>
        </w:rPr>
        <w:t>Introduction</w:t>
      </w:r>
    </w:p>
    <w:p w:rsidR="00E82989" w:rsidRPr="004843F3" w:rsidRDefault="00396FEA" w:rsidP="00EC44D2">
      <w:pPr>
        <w:spacing w:after="0" w:line="360" w:lineRule="auto"/>
        <w:jc w:val="both"/>
        <w:rPr>
          <w:vertAlign w:val="superscript"/>
          <w:lang w:val="en-US"/>
        </w:rPr>
      </w:pPr>
      <w:r w:rsidRPr="004704BD">
        <w:rPr>
          <w:lang w:val="en-US"/>
        </w:rPr>
        <w:tab/>
        <w:t>Metal oxides occurring in nanometric scale are characterized by more valuable properties comparing to the characteristics of the same macro-scale-materials. Such structures may be defined by ratio of surface area to their mass. This value is large enough so that other material properties are determined by surface properties. Due to their larger ratio of surface area to volume, they exhibit a higher chemical activity. Increased chemical activity of such materials may be explained by analyzing their structure. The size of the nanoparticles surface area increases significantly with decreasing their size. Small nanoparticle with a diameter of 1 nm has 100% of atoms disposed on its surface, while the particle with diameter of 10 nm has only 15% of surface atoms. Therefore, smaller particles are mor</w:t>
      </w:r>
      <w:r w:rsidR="004843F3">
        <w:rPr>
          <w:lang w:val="en-US"/>
        </w:rPr>
        <w:t>e chemically reactive</w:t>
      </w:r>
      <w:r w:rsidRPr="004704BD">
        <w:rPr>
          <w:lang w:val="en-US"/>
        </w:rPr>
        <w:t>.</w:t>
      </w:r>
      <w:r w:rsidR="004843F3">
        <w:rPr>
          <w:vertAlign w:val="superscript"/>
          <w:lang w:val="en-US"/>
        </w:rPr>
        <w:t>1</w:t>
      </w:r>
    </w:p>
    <w:p w:rsidR="00E82989" w:rsidRPr="000E5C64" w:rsidRDefault="00396FEA" w:rsidP="00EC44D2">
      <w:pPr>
        <w:spacing w:after="0" w:line="360" w:lineRule="auto"/>
        <w:jc w:val="both"/>
        <w:rPr>
          <w:vertAlign w:val="superscript"/>
          <w:lang w:val="en-US"/>
        </w:rPr>
      </w:pPr>
      <w:r w:rsidRPr="004704BD">
        <w:rPr>
          <w:lang w:val="en-US"/>
        </w:rPr>
        <w:tab/>
        <w:t xml:space="preserve">Zinc oxide is known primarily for its bleaching properties. </w:t>
      </w:r>
      <w:r w:rsidR="004843F3">
        <w:rPr>
          <w:lang w:val="en-US"/>
        </w:rPr>
        <w:t>It is used as inorganic pigment</w:t>
      </w:r>
      <w:r w:rsidRPr="004704BD">
        <w:rPr>
          <w:lang w:val="en-US"/>
        </w:rPr>
        <w:t>,</w:t>
      </w:r>
      <w:r w:rsidR="004843F3">
        <w:rPr>
          <w:vertAlign w:val="superscript"/>
          <w:lang w:val="en-US"/>
        </w:rPr>
        <w:t>2,3</w:t>
      </w:r>
      <w:r w:rsidR="004843F3">
        <w:rPr>
          <w:lang w:val="en-US"/>
        </w:rPr>
        <w:t xml:space="preserve"> catalyst</w:t>
      </w:r>
      <w:r w:rsidR="004843F3">
        <w:rPr>
          <w:vertAlign w:val="superscript"/>
          <w:lang w:val="en-US"/>
        </w:rPr>
        <w:t>4,5</w:t>
      </w:r>
      <w:r w:rsidRPr="004704BD">
        <w:rPr>
          <w:lang w:val="en-US"/>
        </w:rPr>
        <w:t xml:space="preserve"> as well as sunglasses or wood coating material. Thanks to the fact that it is transparent for visible wavelength range of sunlight nanosized zinc oxide may be used as a blocker of harmful ultraviolet irradiation</w:t>
      </w:r>
      <w:r w:rsidR="004843F3">
        <w:rPr>
          <w:lang w:val="en-US"/>
        </w:rPr>
        <w:t>.</w:t>
      </w:r>
      <w:r w:rsidR="004843F3">
        <w:rPr>
          <w:vertAlign w:val="superscript"/>
          <w:lang w:val="en-US"/>
        </w:rPr>
        <w:t>6,7</w:t>
      </w:r>
      <w:r w:rsidRPr="004704BD">
        <w:rPr>
          <w:lang w:val="en-US"/>
        </w:rPr>
        <w:t xml:space="preserve"> In addition, zinc oxide nanoparticles have antibacteri</w:t>
      </w:r>
      <w:r w:rsidR="000E5C64">
        <w:rPr>
          <w:lang w:val="en-US"/>
        </w:rPr>
        <w:t>al and wound-healing properties</w:t>
      </w:r>
      <w:r w:rsidRPr="004704BD">
        <w:rPr>
          <w:lang w:val="en-US"/>
        </w:rPr>
        <w:t>.</w:t>
      </w:r>
      <w:r w:rsidR="000E5C64">
        <w:rPr>
          <w:vertAlign w:val="superscript"/>
          <w:lang w:val="en-US"/>
        </w:rPr>
        <w:t>8,9</w:t>
      </w:r>
      <w:r w:rsidRPr="004704BD">
        <w:rPr>
          <w:lang w:val="en-US"/>
        </w:rPr>
        <w:t xml:space="preserve"> Thanks to their biocidal properties they found application for example in the producti</w:t>
      </w:r>
      <w:r w:rsidR="000E5C64">
        <w:rPr>
          <w:lang w:val="en-US"/>
        </w:rPr>
        <w:t>on of antimicrobial textiles</w:t>
      </w:r>
      <w:r w:rsidRPr="004704BD">
        <w:rPr>
          <w:lang w:val="en-US"/>
        </w:rPr>
        <w:t>.</w:t>
      </w:r>
      <w:r w:rsidR="000E5C64">
        <w:rPr>
          <w:vertAlign w:val="superscript"/>
          <w:lang w:val="en-US"/>
        </w:rPr>
        <w:t>10</w:t>
      </w:r>
      <w:r w:rsidRPr="004704BD">
        <w:rPr>
          <w:lang w:val="en-US"/>
        </w:rPr>
        <w:t xml:space="preserve"> Since zinc oxide has valuable electrical, optielectronic and photochemical properties, it has bee</w:t>
      </w:r>
      <w:r w:rsidR="000E5C64">
        <w:rPr>
          <w:lang w:val="en-US"/>
        </w:rPr>
        <w:t>n also used in electrotechnique</w:t>
      </w:r>
      <w:r w:rsidRPr="004704BD">
        <w:rPr>
          <w:lang w:val="en-US"/>
        </w:rPr>
        <w:t>.</w:t>
      </w:r>
      <w:r w:rsidR="000E5C64">
        <w:rPr>
          <w:vertAlign w:val="superscript"/>
          <w:lang w:val="en-US"/>
        </w:rPr>
        <w:t>11</w:t>
      </w:r>
    </w:p>
    <w:p w:rsidR="00E82989" w:rsidRPr="004704BD" w:rsidRDefault="00396FEA" w:rsidP="00EC44D2">
      <w:pPr>
        <w:spacing w:after="0" w:line="360" w:lineRule="auto"/>
        <w:jc w:val="both"/>
        <w:rPr>
          <w:lang w:val="en-US"/>
        </w:rPr>
      </w:pPr>
      <w:r w:rsidRPr="004704BD">
        <w:rPr>
          <w:lang w:val="en-US"/>
        </w:rPr>
        <w:tab/>
        <w:t>There are many methods for the preparation of zinc oxide in the nanocrystalline form. Nawaz and colleagues have described a synthesizing of zinc nanooxide by wet chemical method using zinc nitrate, sodium hydroxide and starch which served as stabilizing agent. Obtained product exh</w:t>
      </w:r>
      <w:r w:rsidR="00F4010F">
        <w:rPr>
          <w:lang w:val="en-US"/>
        </w:rPr>
        <w:t>ibited antibacterial properties</w:t>
      </w:r>
      <w:r w:rsidRPr="004704BD">
        <w:rPr>
          <w:lang w:val="en-US"/>
        </w:rPr>
        <w:t>.</w:t>
      </w:r>
      <w:r w:rsidR="00F4010F">
        <w:rPr>
          <w:vertAlign w:val="superscript"/>
          <w:lang w:val="en-US"/>
        </w:rPr>
        <w:t>12</w:t>
      </w:r>
      <w:r w:rsidRPr="004704BD">
        <w:rPr>
          <w:lang w:val="en-US"/>
        </w:rPr>
        <w:t xml:space="preserve"> Parashar synthesized nanometric zinc oxide by mixing an organic solution of a zinc precursor with an alcoholic base solution and adding acetone in order to preci</w:t>
      </w:r>
      <w:r w:rsidR="00F4010F">
        <w:rPr>
          <w:lang w:val="en-US"/>
        </w:rPr>
        <w:t>pitate a milky white zinc oxide</w:t>
      </w:r>
      <w:r w:rsidRPr="004704BD">
        <w:rPr>
          <w:lang w:val="en-US"/>
        </w:rPr>
        <w:t>.</w:t>
      </w:r>
      <w:r w:rsidR="00F4010F">
        <w:rPr>
          <w:vertAlign w:val="superscript"/>
          <w:lang w:val="en-US"/>
        </w:rPr>
        <w:t>13</w:t>
      </w:r>
      <w:r w:rsidRPr="004704BD">
        <w:rPr>
          <w:lang w:val="en-US"/>
        </w:rPr>
        <w:t xml:space="preserve"> Nanometric zinc oxide may be also synthesized by metallurgical and mechanochemical processes, controlled precipitation </w:t>
      </w:r>
      <w:r w:rsidRPr="004704BD">
        <w:rPr>
          <w:lang w:val="en-US"/>
        </w:rPr>
        <w:lastRenderedPageBreak/>
        <w:t>method as well as by sol-gel, solvothermal and hydrother</w:t>
      </w:r>
      <w:r w:rsidRPr="004704BD">
        <w:rPr>
          <w:shd w:val="clear" w:color="auto" w:fill="FFFFFF"/>
          <w:lang w:val="en-US"/>
        </w:rPr>
        <w:t>mal methods.</w:t>
      </w:r>
      <w:r w:rsidR="00F4010F">
        <w:rPr>
          <w:shd w:val="clear" w:color="auto" w:fill="FFFFFF"/>
          <w:vertAlign w:val="superscript"/>
          <w:lang w:val="en-US"/>
        </w:rPr>
        <w:t>14</w:t>
      </w:r>
      <w:r w:rsidRPr="004704BD">
        <w:rPr>
          <w:shd w:val="clear" w:color="auto" w:fill="FFFFFF"/>
          <w:lang w:val="en-US"/>
        </w:rPr>
        <w:t xml:space="preserve"> Ohara and colleagues obtained highly crystalline zinc oxide nanoparticles by the way of supercritic</w:t>
      </w:r>
      <w:r w:rsidR="00F4010F">
        <w:rPr>
          <w:shd w:val="clear" w:color="auto" w:fill="FFFFFF"/>
          <w:lang w:val="en-US"/>
        </w:rPr>
        <w:t>al water hydrothermal synthesis</w:t>
      </w:r>
      <w:r w:rsidRPr="004704BD">
        <w:rPr>
          <w:shd w:val="clear" w:color="auto" w:fill="FFFFFF"/>
          <w:lang w:val="en-US"/>
        </w:rPr>
        <w:t>.</w:t>
      </w:r>
      <w:r w:rsidR="00F4010F">
        <w:rPr>
          <w:shd w:val="clear" w:color="auto" w:fill="FFFFFF"/>
          <w:vertAlign w:val="superscript"/>
          <w:lang w:val="en-US"/>
        </w:rPr>
        <w:t>15</w:t>
      </w:r>
      <w:r w:rsidRPr="004704BD">
        <w:rPr>
          <w:shd w:val="clear" w:color="auto" w:fill="FFFFFF"/>
          <w:lang w:val="en-US"/>
        </w:rPr>
        <w:t xml:space="preserve">  </w:t>
      </w:r>
    </w:p>
    <w:p w:rsidR="00E82989" w:rsidRPr="004704BD" w:rsidRDefault="00396FEA" w:rsidP="00EC44D2">
      <w:pPr>
        <w:spacing w:after="0" w:line="360" w:lineRule="auto"/>
        <w:jc w:val="both"/>
        <w:rPr>
          <w:lang w:val="en-US"/>
        </w:rPr>
      </w:pPr>
      <w:r w:rsidRPr="004704BD">
        <w:rPr>
          <w:lang w:val="en-US"/>
        </w:rPr>
        <w:tab/>
        <w:t>In this paper studies on obtaining zinc oxide nano</w:t>
      </w:r>
      <w:r w:rsidR="00F20C04" w:rsidRPr="004704BD">
        <w:rPr>
          <w:lang w:val="en-US"/>
        </w:rPr>
        <w:t>- and micro</w:t>
      </w:r>
      <w:r w:rsidRPr="004704BD">
        <w:rPr>
          <w:lang w:val="en-US"/>
        </w:rPr>
        <w:t>particles in a field of microwave radiation and in the laboratory pressure reactor have been described. The aim of the work was to also compare the physicochemical properties of obtained products.</w:t>
      </w:r>
    </w:p>
    <w:p w:rsidR="00E82989" w:rsidRDefault="00E82989" w:rsidP="00EC44D2">
      <w:pPr>
        <w:spacing w:after="0" w:line="360" w:lineRule="auto"/>
        <w:jc w:val="both"/>
        <w:rPr>
          <w:lang w:val="en-US"/>
        </w:rPr>
      </w:pPr>
    </w:p>
    <w:p w:rsidR="005D7869" w:rsidRPr="005D7869" w:rsidRDefault="005D7869" w:rsidP="00EC44D2">
      <w:pPr>
        <w:spacing w:after="0" w:line="360" w:lineRule="auto"/>
        <w:jc w:val="both"/>
        <w:rPr>
          <w:b/>
          <w:lang w:val="en-US"/>
        </w:rPr>
      </w:pPr>
      <w:r w:rsidRPr="005D7869">
        <w:rPr>
          <w:b/>
          <w:lang w:val="en-US"/>
        </w:rPr>
        <w:t xml:space="preserve">Experimental </w:t>
      </w:r>
    </w:p>
    <w:p w:rsidR="00E82989" w:rsidRPr="004704BD" w:rsidRDefault="00396FEA" w:rsidP="00EC44D2">
      <w:pPr>
        <w:spacing w:after="0" w:line="360" w:lineRule="auto"/>
        <w:jc w:val="both"/>
        <w:rPr>
          <w:lang w:val="en-US"/>
        </w:rPr>
      </w:pPr>
      <w:r w:rsidRPr="004704BD">
        <w:rPr>
          <w:b/>
          <w:lang w:val="en-US"/>
        </w:rPr>
        <w:t xml:space="preserve">Materials </w:t>
      </w:r>
    </w:p>
    <w:p w:rsidR="00E82989" w:rsidRPr="004704BD" w:rsidRDefault="00396FEA" w:rsidP="00EC44D2">
      <w:pPr>
        <w:spacing w:after="0" w:line="360" w:lineRule="auto"/>
        <w:jc w:val="both"/>
        <w:rPr>
          <w:lang w:val="en-US"/>
        </w:rPr>
      </w:pPr>
      <w:r w:rsidRPr="004704BD">
        <w:rPr>
          <w:lang w:val="en-US"/>
        </w:rPr>
        <w:t>Zinc nitrate hexahydrate (</w:t>
      </w:r>
      <w:r w:rsidRPr="004704BD">
        <w:rPr>
          <w:rFonts w:cs="Times New Roman"/>
          <w:lang w:val="en-US"/>
        </w:rPr>
        <w:t>≥</w:t>
      </w:r>
      <w:r w:rsidRPr="004704BD">
        <w:rPr>
          <w:lang w:val="en-US"/>
        </w:rPr>
        <w:t>99.0%) was used as zinc precursor. Sodium hydroxide (</w:t>
      </w:r>
      <w:r w:rsidRPr="004704BD">
        <w:rPr>
          <w:rFonts w:cs="Times New Roman"/>
          <w:lang w:val="en-US"/>
        </w:rPr>
        <w:t>≥</w:t>
      </w:r>
      <w:r w:rsidRPr="004704BD">
        <w:rPr>
          <w:lang w:val="en-US"/>
        </w:rPr>
        <w:t>98%) served as precipitating substance. Both chemicals were obtained from Sigma Aldrich. Solutions were prepared in deionized water.</w:t>
      </w:r>
    </w:p>
    <w:p w:rsidR="00E82989" w:rsidRPr="004704BD" w:rsidRDefault="00E82989" w:rsidP="00EC44D2">
      <w:pPr>
        <w:spacing w:after="0" w:line="360" w:lineRule="auto"/>
        <w:jc w:val="both"/>
        <w:rPr>
          <w:lang w:val="en-US"/>
        </w:rPr>
      </w:pPr>
    </w:p>
    <w:p w:rsidR="00E82989" w:rsidRPr="004704BD" w:rsidRDefault="00396FEA" w:rsidP="00EC44D2">
      <w:pPr>
        <w:spacing w:after="0" w:line="360" w:lineRule="auto"/>
        <w:jc w:val="both"/>
        <w:rPr>
          <w:lang w:val="en-US"/>
        </w:rPr>
      </w:pPr>
      <w:r w:rsidRPr="004704BD">
        <w:rPr>
          <w:b/>
          <w:lang w:val="en-US"/>
        </w:rPr>
        <w:t>Methods</w:t>
      </w:r>
    </w:p>
    <w:p w:rsidR="00E82989" w:rsidRDefault="00396FEA" w:rsidP="00EC44D2">
      <w:pPr>
        <w:spacing w:after="0" w:line="360" w:lineRule="auto"/>
        <w:jc w:val="both"/>
        <w:rPr>
          <w:lang w:val="en-US"/>
        </w:rPr>
      </w:pPr>
      <w:r w:rsidRPr="004704BD">
        <w:rPr>
          <w:lang w:val="en-US"/>
        </w:rPr>
        <w:t xml:space="preserve">The first phase of studies was common for both types of processes. It concerned the precipitation of zinc hydroxide by adding an aqueous solution of sodium hydroxide to an aqueous solution of zinc nitrate. </w:t>
      </w:r>
      <w:r w:rsidR="00C84914" w:rsidRPr="004704BD">
        <w:rPr>
          <w:lang w:val="en-US"/>
        </w:rPr>
        <w:t>The process run</w:t>
      </w:r>
      <w:r w:rsidR="00C84914">
        <w:rPr>
          <w:lang w:val="en-US"/>
        </w:rPr>
        <w:t>s</w:t>
      </w:r>
      <w:r w:rsidR="00C84914" w:rsidRPr="004704BD">
        <w:rPr>
          <w:lang w:val="en-US"/>
        </w:rPr>
        <w:t xml:space="preserve"> at room temperature under continuous stirring. </w:t>
      </w:r>
      <w:r w:rsidRPr="004704BD">
        <w:rPr>
          <w:lang w:val="en-US"/>
        </w:rPr>
        <w:t xml:space="preserve">Sodium hydroxide was used in a stoichiometric amount. Accurate amounts of substrates used are presented in Table 1. </w:t>
      </w:r>
    </w:p>
    <w:p w:rsidR="008C3FA9" w:rsidRDefault="008C3FA9" w:rsidP="00EC44D2">
      <w:pPr>
        <w:spacing w:after="0" w:line="360" w:lineRule="auto"/>
        <w:jc w:val="both"/>
        <w:rPr>
          <w:lang w:val="en-US"/>
        </w:rPr>
      </w:pPr>
    </w:p>
    <w:p w:rsidR="008C3FA9" w:rsidRPr="004704BD" w:rsidRDefault="008C3FA9" w:rsidP="00EC44D2">
      <w:pPr>
        <w:spacing w:after="0" w:line="360" w:lineRule="auto"/>
        <w:jc w:val="both"/>
        <w:rPr>
          <w:lang w:val="en-US"/>
        </w:rPr>
      </w:pPr>
      <w:r w:rsidRPr="004704BD">
        <w:rPr>
          <w:lang w:val="en-US"/>
        </w:rPr>
        <w:t>Table 1</w:t>
      </w:r>
      <w:r>
        <w:rPr>
          <w:lang w:val="en-US"/>
        </w:rPr>
        <w:t xml:space="preserve">. </w:t>
      </w:r>
      <w:r w:rsidRPr="004704BD">
        <w:rPr>
          <w:lang w:val="en-US"/>
        </w:rPr>
        <w:t>Substrates used in the precipitation process</w:t>
      </w:r>
    </w:p>
    <w:tbl>
      <w:tblPr>
        <w:tblStyle w:val="Tabela-Siatka"/>
        <w:tblW w:w="0" w:type="auto"/>
        <w:tblInd w:w="-5" w:type="dxa"/>
        <w:tblCellMar>
          <w:left w:w="103" w:type="dxa"/>
        </w:tblCellMar>
        <w:tblLook w:val="04A0" w:firstRow="1" w:lastRow="0" w:firstColumn="1" w:lastColumn="0" w:noHBand="0" w:noVBand="1"/>
      </w:tblPr>
      <w:tblGrid>
        <w:gridCol w:w="1065"/>
        <w:gridCol w:w="3637"/>
        <w:gridCol w:w="1911"/>
      </w:tblGrid>
      <w:tr w:rsidR="008C3FA9" w:rsidRPr="004704BD" w:rsidTr="002C6999">
        <w:tc>
          <w:tcPr>
            <w:tcW w:w="0" w:type="auto"/>
            <w:shd w:val="clear" w:color="auto" w:fill="auto"/>
            <w:tcMar>
              <w:left w:w="103" w:type="dxa"/>
            </w:tcMar>
            <w:vAlign w:val="center"/>
          </w:tcPr>
          <w:p w:rsidR="008C3FA9" w:rsidRPr="004704BD" w:rsidRDefault="008C3FA9" w:rsidP="00EC44D2">
            <w:pPr>
              <w:spacing w:after="0" w:line="360" w:lineRule="auto"/>
              <w:jc w:val="center"/>
              <w:rPr>
                <w:b/>
              </w:rPr>
            </w:pPr>
            <w:r w:rsidRPr="004704BD">
              <w:rPr>
                <w:b/>
                <w:lang w:val="en-US"/>
              </w:rPr>
              <w:t>Reagent</w:t>
            </w:r>
          </w:p>
        </w:tc>
        <w:tc>
          <w:tcPr>
            <w:tcW w:w="0" w:type="auto"/>
            <w:shd w:val="clear" w:color="auto" w:fill="auto"/>
            <w:tcMar>
              <w:left w:w="103" w:type="dxa"/>
            </w:tcMar>
            <w:vAlign w:val="center"/>
          </w:tcPr>
          <w:p w:rsidR="008C3FA9" w:rsidRPr="004704BD" w:rsidRDefault="008C3FA9" w:rsidP="00EC44D2">
            <w:pPr>
              <w:spacing w:after="0" w:line="360" w:lineRule="auto"/>
              <w:jc w:val="center"/>
              <w:rPr>
                <w:b/>
                <w:lang w:val="en-US"/>
              </w:rPr>
            </w:pPr>
            <w:r w:rsidRPr="004704BD">
              <w:rPr>
                <w:b/>
                <w:lang w:val="en-US"/>
              </w:rPr>
              <w:t>Molar concentration, c [mol/dm</w:t>
            </w:r>
            <w:r w:rsidRPr="004704BD">
              <w:rPr>
                <w:b/>
                <w:vertAlign w:val="superscript"/>
                <w:lang w:val="en-US"/>
              </w:rPr>
              <w:t>3</w:t>
            </w:r>
            <w:r w:rsidRPr="004704BD">
              <w:rPr>
                <w:b/>
                <w:lang w:val="en-US"/>
              </w:rPr>
              <w:t>]</w:t>
            </w:r>
          </w:p>
        </w:tc>
        <w:tc>
          <w:tcPr>
            <w:tcW w:w="0" w:type="auto"/>
            <w:shd w:val="clear" w:color="auto" w:fill="auto"/>
            <w:tcMar>
              <w:left w:w="103" w:type="dxa"/>
            </w:tcMar>
            <w:vAlign w:val="center"/>
          </w:tcPr>
          <w:p w:rsidR="008C3FA9" w:rsidRPr="004704BD" w:rsidRDefault="008C3FA9" w:rsidP="00EC44D2">
            <w:pPr>
              <w:spacing w:after="0" w:line="360" w:lineRule="auto"/>
              <w:jc w:val="center"/>
              <w:rPr>
                <w:b/>
              </w:rPr>
            </w:pPr>
            <w:r w:rsidRPr="004704BD">
              <w:rPr>
                <w:b/>
                <w:lang w:val="en-US"/>
              </w:rPr>
              <w:t>Volume, V [cm</w:t>
            </w:r>
            <w:r w:rsidRPr="004704BD">
              <w:rPr>
                <w:b/>
                <w:vertAlign w:val="superscript"/>
                <w:lang w:val="en-US"/>
              </w:rPr>
              <w:t>3</w:t>
            </w:r>
            <w:r w:rsidRPr="004704BD">
              <w:rPr>
                <w:b/>
                <w:lang w:val="en-US"/>
              </w:rPr>
              <w:t>]</w:t>
            </w:r>
          </w:p>
        </w:tc>
      </w:tr>
      <w:tr w:rsidR="008C3FA9" w:rsidRPr="004704BD" w:rsidTr="002C6999">
        <w:tc>
          <w:tcPr>
            <w:tcW w:w="0" w:type="auto"/>
            <w:shd w:val="clear" w:color="auto" w:fill="auto"/>
            <w:tcMar>
              <w:left w:w="103" w:type="dxa"/>
            </w:tcMar>
            <w:vAlign w:val="center"/>
          </w:tcPr>
          <w:p w:rsidR="008C3FA9" w:rsidRPr="004704BD" w:rsidRDefault="008C3FA9" w:rsidP="00EC44D2">
            <w:pPr>
              <w:spacing w:after="0" w:line="360" w:lineRule="auto"/>
              <w:jc w:val="center"/>
            </w:pPr>
            <w:r w:rsidRPr="004704BD">
              <w:rPr>
                <w:lang w:val="en-US"/>
              </w:rPr>
              <w:t>Zn(NO)</w:t>
            </w:r>
            <w:r w:rsidRPr="004704BD">
              <w:rPr>
                <w:vertAlign w:val="subscript"/>
                <w:lang w:val="en-US"/>
              </w:rPr>
              <w:t>3</w:t>
            </w:r>
          </w:p>
        </w:tc>
        <w:tc>
          <w:tcPr>
            <w:tcW w:w="0" w:type="auto"/>
            <w:shd w:val="clear" w:color="auto" w:fill="auto"/>
            <w:tcMar>
              <w:left w:w="103" w:type="dxa"/>
            </w:tcMar>
            <w:vAlign w:val="center"/>
          </w:tcPr>
          <w:p w:rsidR="008C3FA9" w:rsidRPr="004704BD" w:rsidRDefault="008C3FA9" w:rsidP="00EC44D2">
            <w:pPr>
              <w:spacing w:after="0" w:line="360" w:lineRule="auto"/>
              <w:jc w:val="center"/>
            </w:pPr>
            <w:r w:rsidRPr="004704BD">
              <w:rPr>
                <w:lang w:val="en-US"/>
              </w:rPr>
              <w:t>0,1</w:t>
            </w:r>
          </w:p>
        </w:tc>
        <w:tc>
          <w:tcPr>
            <w:tcW w:w="0" w:type="auto"/>
            <w:shd w:val="clear" w:color="auto" w:fill="auto"/>
            <w:tcMar>
              <w:left w:w="103" w:type="dxa"/>
            </w:tcMar>
            <w:vAlign w:val="center"/>
          </w:tcPr>
          <w:p w:rsidR="008C3FA9" w:rsidRPr="004704BD" w:rsidRDefault="008C3FA9" w:rsidP="00EC44D2">
            <w:pPr>
              <w:spacing w:after="0" w:line="360" w:lineRule="auto"/>
              <w:jc w:val="center"/>
            </w:pPr>
            <w:r w:rsidRPr="004704BD">
              <w:rPr>
                <w:lang w:val="en-US"/>
              </w:rPr>
              <w:t>25</w:t>
            </w:r>
          </w:p>
        </w:tc>
      </w:tr>
      <w:tr w:rsidR="008C3FA9" w:rsidRPr="004704BD" w:rsidTr="002C6999">
        <w:tc>
          <w:tcPr>
            <w:tcW w:w="0" w:type="auto"/>
            <w:shd w:val="clear" w:color="auto" w:fill="auto"/>
            <w:tcMar>
              <w:left w:w="103" w:type="dxa"/>
            </w:tcMar>
            <w:vAlign w:val="center"/>
          </w:tcPr>
          <w:p w:rsidR="008C3FA9" w:rsidRPr="004704BD" w:rsidRDefault="008C3FA9" w:rsidP="00EC44D2">
            <w:pPr>
              <w:spacing w:after="0" w:line="360" w:lineRule="auto"/>
              <w:jc w:val="center"/>
            </w:pPr>
            <w:r w:rsidRPr="004704BD">
              <w:rPr>
                <w:lang w:val="en-US"/>
              </w:rPr>
              <w:t>NaOH</w:t>
            </w:r>
          </w:p>
        </w:tc>
        <w:tc>
          <w:tcPr>
            <w:tcW w:w="0" w:type="auto"/>
            <w:shd w:val="clear" w:color="auto" w:fill="auto"/>
            <w:tcMar>
              <w:left w:w="103" w:type="dxa"/>
            </w:tcMar>
            <w:vAlign w:val="center"/>
          </w:tcPr>
          <w:p w:rsidR="008C3FA9" w:rsidRPr="004704BD" w:rsidRDefault="008C3FA9" w:rsidP="00EC44D2">
            <w:pPr>
              <w:spacing w:after="0" w:line="360" w:lineRule="auto"/>
              <w:jc w:val="center"/>
            </w:pPr>
            <w:r w:rsidRPr="004704BD">
              <w:rPr>
                <w:lang w:val="en-US"/>
              </w:rPr>
              <w:t>2,0</w:t>
            </w:r>
          </w:p>
        </w:tc>
        <w:tc>
          <w:tcPr>
            <w:tcW w:w="0" w:type="auto"/>
            <w:shd w:val="clear" w:color="auto" w:fill="auto"/>
            <w:tcMar>
              <w:left w:w="103" w:type="dxa"/>
            </w:tcMar>
            <w:vAlign w:val="center"/>
          </w:tcPr>
          <w:p w:rsidR="008C3FA9" w:rsidRPr="004704BD" w:rsidRDefault="008C3FA9" w:rsidP="00EC44D2">
            <w:pPr>
              <w:spacing w:after="0" w:line="360" w:lineRule="auto"/>
              <w:jc w:val="center"/>
            </w:pPr>
            <w:r w:rsidRPr="004704BD">
              <w:rPr>
                <w:lang w:val="en-US"/>
              </w:rPr>
              <w:t>2,5</w:t>
            </w:r>
          </w:p>
        </w:tc>
      </w:tr>
    </w:tbl>
    <w:p w:rsidR="008C3FA9" w:rsidRPr="004704BD" w:rsidRDefault="008C3FA9" w:rsidP="00EC44D2">
      <w:pPr>
        <w:spacing w:after="0" w:line="360" w:lineRule="auto"/>
        <w:jc w:val="both"/>
        <w:rPr>
          <w:lang w:val="en-US"/>
        </w:rPr>
      </w:pPr>
    </w:p>
    <w:p w:rsidR="00E82989" w:rsidRPr="004704BD" w:rsidRDefault="00396FEA" w:rsidP="00EC44D2">
      <w:pPr>
        <w:spacing w:after="0" w:line="360" w:lineRule="auto"/>
        <w:jc w:val="both"/>
        <w:rPr>
          <w:lang w:val="en-US"/>
        </w:rPr>
      </w:pPr>
      <w:r w:rsidRPr="004704BD">
        <w:rPr>
          <w:lang w:val="en-US"/>
        </w:rPr>
        <w:t>In a further step, a dehydration process occurred. In order to accelerate that process, zinc hydroxide suspension was subjected to elevated temperature and pressure treatment. It was expected that the acceleration of dehydration process by applying elevated heat and pressure, promotes the formation of smaller crystallites of zinc oxide so that their size would be in the nanometric range. For this purpose, the suspension was transferred to a microwave reactor or laboratory pressure reactor.</w:t>
      </w:r>
    </w:p>
    <w:p w:rsidR="00E82989" w:rsidRPr="004704BD" w:rsidRDefault="00E82989" w:rsidP="00EC44D2">
      <w:pPr>
        <w:spacing w:after="0" w:line="360" w:lineRule="auto"/>
        <w:jc w:val="both"/>
        <w:rPr>
          <w:lang w:val="en-US"/>
        </w:rPr>
      </w:pPr>
    </w:p>
    <w:p w:rsidR="00E82989" w:rsidRPr="004704BD" w:rsidRDefault="00396FEA" w:rsidP="00EC44D2">
      <w:pPr>
        <w:spacing w:after="0" w:line="360" w:lineRule="auto"/>
        <w:jc w:val="both"/>
        <w:rPr>
          <w:lang w:val="en-US"/>
        </w:rPr>
      </w:pPr>
      <w:r w:rsidRPr="004704BD">
        <w:rPr>
          <w:b/>
          <w:i/>
          <w:lang w:val="en-US"/>
        </w:rPr>
        <w:t>Processes carried out in a microwave reactor</w:t>
      </w:r>
    </w:p>
    <w:p w:rsidR="00E82989" w:rsidRDefault="00396FEA" w:rsidP="00EC44D2">
      <w:pPr>
        <w:spacing w:after="0" w:line="360" w:lineRule="auto"/>
        <w:jc w:val="both"/>
        <w:rPr>
          <w:lang w:val="en-US"/>
        </w:rPr>
      </w:pPr>
      <w:r w:rsidRPr="004704BD">
        <w:rPr>
          <w:lang w:val="en-US"/>
        </w:rPr>
        <w:lastRenderedPageBreak/>
        <w:t xml:space="preserve">The use of polar solvent (water) in the field of microwave radiation is possible to efficiently transfer the heat in a short time in the whole volume of the reaction mixture, which accelerates the process of dehydration. Dehydration processes carried out in a microwave reactor were varied </w:t>
      </w:r>
      <w:r w:rsidR="006C1711" w:rsidRPr="004704BD">
        <w:rPr>
          <w:lang w:val="en-US"/>
        </w:rPr>
        <w:t xml:space="preserve">directly </w:t>
      </w:r>
      <w:r w:rsidRPr="004704BD">
        <w:rPr>
          <w:lang w:val="en-US"/>
        </w:rPr>
        <w:t xml:space="preserve">through selection of different temperature-pressure conditions. </w:t>
      </w:r>
      <w:r w:rsidR="00363DC8" w:rsidRPr="004704BD">
        <w:rPr>
          <w:lang w:val="en-US"/>
        </w:rPr>
        <w:t>In fact</w:t>
      </w:r>
      <w:r w:rsidR="00A2112B" w:rsidRPr="004704BD">
        <w:rPr>
          <w:lang w:val="en-US"/>
        </w:rPr>
        <w:t>,</w:t>
      </w:r>
      <w:r w:rsidR="00363DC8" w:rsidRPr="004704BD">
        <w:rPr>
          <w:lang w:val="en-US"/>
        </w:rPr>
        <w:t xml:space="preserve"> these parameters were determined by specific </w:t>
      </w:r>
      <w:r w:rsidR="00A2112B" w:rsidRPr="004704BD">
        <w:rPr>
          <w:lang w:val="en-US"/>
        </w:rPr>
        <w:t>values of</w:t>
      </w:r>
      <w:r w:rsidR="00363DC8" w:rsidRPr="004704BD">
        <w:rPr>
          <w:lang w:val="en-US"/>
        </w:rPr>
        <w:t xml:space="preserve"> </w:t>
      </w:r>
      <w:r w:rsidRPr="004704BD">
        <w:rPr>
          <w:lang w:val="en-US"/>
        </w:rPr>
        <w:t>microwave power and the residence time of the sample in the microwave field. Microwave power and residence time were independent parameters, which took three levels of volatility. Process parameters are given in Table 2. In the studies a microwave reactor Magnum II from Ertec Poland was used.</w:t>
      </w:r>
    </w:p>
    <w:p w:rsidR="002310CF" w:rsidRDefault="002310CF" w:rsidP="00EC44D2">
      <w:pPr>
        <w:spacing w:after="0" w:line="360" w:lineRule="auto"/>
        <w:jc w:val="both"/>
        <w:rPr>
          <w:lang w:val="en-US"/>
        </w:rPr>
      </w:pPr>
    </w:p>
    <w:p w:rsidR="002310CF" w:rsidRPr="004704BD" w:rsidRDefault="002310CF" w:rsidP="00EC44D2">
      <w:pPr>
        <w:spacing w:after="0" w:line="360" w:lineRule="auto"/>
        <w:jc w:val="both"/>
        <w:rPr>
          <w:lang w:val="en-US"/>
        </w:rPr>
      </w:pPr>
      <w:r w:rsidRPr="004704BD">
        <w:rPr>
          <w:lang w:val="en-US"/>
        </w:rPr>
        <w:t>Table 2.</w:t>
      </w:r>
      <w:r w:rsidRPr="002310CF">
        <w:rPr>
          <w:lang w:val="en-US"/>
        </w:rPr>
        <w:t xml:space="preserve"> </w:t>
      </w:r>
      <w:r w:rsidRPr="004704BD">
        <w:rPr>
          <w:lang w:val="en-US"/>
        </w:rPr>
        <w:t>Parameters of dehydration processes carried out in microwave reactor</w:t>
      </w:r>
    </w:p>
    <w:tbl>
      <w:tblPr>
        <w:tblStyle w:val="Tabela-Siatka"/>
        <w:tblW w:w="9606" w:type="dxa"/>
        <w:tblInd w:w="-5" w:type="dxa"/>
        <w:tblCellMar>
          <w:left w:w="103" w:type="dxa"/>
        </w:tblCellMar>
        <w:tblLook w:val="04A0" w:firstRow="1" w:lastRow="0" w:firstColumn="1" w:lastColumn="0" w:noHBand="0" w:noVBand="1"/>
      </w:tblPr>
      <w:tblGrid>
        <w:gridCol w:w="974"/>
        <w:gridCol w:w="1484"/>
        <w:gridCol w:w="1363"/>
        <w:gridCol w:w="1726"/>
        <w:gridCol w:w="1272"/>
        <w:gridCol w:w="1221"/>
        <w:gridCol w:w="1566"/>
      </w:tblGrid>
      <w:tr w:rsidR="002310CF" w:rsidRPr="0094521C" w:rsidTr="00847CB3">
        <w:tc>
          <w:tcPr>
            <w:tcW w:w="974" w:type="dxa"/>
            <w:vMerge w:val="restart"/>
            <w:shd w:val="clear" w:color="auto" w:fill="auto"/>
            <w:tcMar>
              <w:left w:w="103" w:type="dxa"/>
            </w:tcMar>
            <w:vAlign w:val="center"/>
          </w:tcPr>
          <w:p w:rsidR="002310CF" w:rsidRPr="004704BD" w:rsidRDefault="002310CF" w:rsidP="00EC44D2">
            <w:pPr>
              <w:spacing w:after="0" w:line="360" w:lineRule="auto"/>
              <w:jc w:val="both"/>
            </w:pPr>
            <w:r w:rsidRPr="004704BD">
              <w:rPr>
                <w:b/>
                <w:lang w:val="en-US"/>
              </w:rPr>
              <w:t>Sample</w:t>
            </w:r>
          </w:p>
        </w:tc>
        <w:tc>
          <w:tcPr>
            <w:tcW w:w="2847" w:type="dxa"/>
            <w:gridSpan w:val="2"/>
            <w:shd w:val="clear" w:color="auto" w:fill="auto"/>
            <w:tcMar>
              <w:left w:w="103" w:type="dxa"/>
            </w:tcMar>
            <w:vAlign w:val="center"/>
          </w:tcPr>
          <w:p w:rsidR="002310CF" w:rsidRPr="004704BD" w:rsidRDefault="002310CF" w:rsidP="00EC44D2">
            <w:pPr>
              <w:spacing w:after="0" w:line="360" w:lineRule="auto"/>
              <w:jc w:val="both"/>
            </w:pPr>
            <w:r w:rsidRPr="004704BD">
              <w:rPr>
                <w:b/>
                <w:lang w:val="en-US"/>
              </w:rPr>
              <w:t>Input variables</w:t>
            </w:r>
          </w:p>
        </w:tc>
        <w:tc>
          <w:tcPr>
            <w:tcW w:w="1726" w:type="dxa"/>
            <w:vMerge w:val="restart"/>
            <w:shd w:val="clear" w:color="auto" w:fill="auto"/>
            <w:tcMar>
              <w:left w:w="103" w:type="dxa"/>
            </w:tcMar>
            <w:vAlign w:val="center"/>
          </w:tcPr>
          <w:p w:rsidR="002310CF" w:rsidRPr="004704BD" w:rsidRDefault="002310CF" w:rsidP="00EC44D2">
            <w:pPr>
              <w:spacing w:after="0" w:line="360" w:lineRule="auto"/>
              <w:jc w:val="both"/>
            </w:pPr>
            <w:r w:rsidRPr="004704BD">
              <w:rPr>
                <w:b/>
                <w:lang w:val="en-US"/>
              </w:rPr>
              <w:t>Temperature achieved [</w:t>
            </w:r>
            <w:r w:rsidRPr="004704BD">
              <w:rPr>
                <w:rFonts w:cs="Times New Roman"/>
                <w:b/>
                <w:lang w:val="en-US"/>
              </w:rPr>
              <w:t>°</w:t>
            </w:r>
            <w:r w:rsidRPr="004704BD">
              <w:rPr>
                <w:b/>
                <w:lang w:val="en-US"/>
              </w:rPr>
              <w:t>C]</w:t>
            </w:r>
          </w:p>
        </w:tc>
        <w:tc>
          <w:tcPr>
            <w:tcW w:w="1272" w:type="dxa"/>
            <w:vMerge w:val="restart"/>
            <w:shd w:val="clear" w:color="auto" w:fill="auto"/>
            <w:tcMar>
              <w:left w:w="103" w:type="dxa"/>
            </w:tcMar>
            <w:vAlign w:val="center"/>
          </w:tcPr>
          <w:p w:rsidR="002310CF" w:rsidRPr="004704BD" w:rsidRDefault="002310CF" w:rsidP="00EC44D2">
            <w:pPr>
              <w:spacing w:after="0" w:line="360" w:lineRule="auto"/>
              <w:jc w:val="both"/>
            </w:pPr>
            <w:r w:rsidRPr="004704BD">
              <w:rPr>
                <w:b/>
                <w:lang w:val="en-US"/>
              </w:rPr>
              <w:t>Pressure achieved [bar]</w:t>
            </w:r>
          </w:p>
        </w:tc>
        <w:tc>
          <w:tcPr>
            <w:tcW w:w="1221" w:type="dxa"/>
            <w:vMerge w:val="restart"/>
            <w:shd w:val="clear" w:color="auto" w:fill="auto"/>
            <w:tcMar>
              <w:left w:w="103" w:type="dxa"/>
            </w:tcMar>
            <w:vAlign w:val="center"/>
          </w:tcPr>
          <w:p w:rsidR="002310CF" w:rsidRPr="004704BD" w:rsidRDefault="002310CF" w:rsidP="00EC44D2">
            <w:pPr>
              <w:spacing w:after="0" w:line="360" w:lineRule="auto"/>
              <w:jc w:val="both"/>
              <w:rPr>
                <w:lang w:val="en-US"/>
              </w:rPr>
            </w:pPr>
            <w:r w:rsidRPr="004704BD">
              <w:rPr>
                <w:b/>
                <w:lang w:val="en-US"/>
              </w:rPr>
              <w:t>d</w:t>
            </w:r>
            <w:r w:rsidRPr="004704BD">
              <w:rPr>
                <w:b/>
                <w:vertAlign w:val="subscript"/>
                <w:lang w:val="en-US"/>
              </w:rPr>
              <w:t xml:space="preserve">med </w:t>
            </w:r>
            <w:r w:rsidRPr="004704BD">
              <w:rPr>
                <w:b/>
                <w:lang w:val="en-US"/>
              </w:rPr>
              <w:t xml:space="preserve">[nm] </w:t>
            </w:r>
            <w:r w:rsidRPr="004704BD">
              <w:rPr>
                <w:i/>
                <w:lang w:val="en-US"/>
              </w:rPr>
              <w:t>(based on SEM)</w:t>
            </w:r>
          </w:p>
        </w:tc>
        <w:tc>
          <w:tcPr>
            <w:tcW w:w="1566" w:type="dxa"/>
            <w:vMerge w:val="restart"/>
            <w:shd w:val="clear" w:color="auto" w:fill="auto"/>
            <w:tcMar>
              <w:left w:w="103" w:type="dxa"/>
            </w:tcMar>
            <w:vAlign w:val="center"/>
          </w:tcPr>
          <w:p w:rsidR="002310CF" w:rsidRPr="004704BD" w:rsidRDefault="002310CF" w:rsidP="00EC44D2">
            <w:pPr>
              <w:spacing w:after="0" w:line="360" w:lineRule="auto"/>
              <w:jc w:val="both"/>
              <w:rPr>
                <w:lang w:val="en-US"/>
              </w:rPr>
            </w:pPr>
            <w:r w:rsidRPr="004704BD">
              <w:rPr>
                <w:b/>
                <w:lang w:val="en-US"/>
              </w:rPr>
              <w:t>d</w:t>
            </w:r>
            <w:r w:rsidRPr="004704BD">
              <w:rPr>
                <w:b/>
                <w:vertAlign w:val="subscript"/>
                <w:lang w:val="en-US"/>
              </w:rPr>
              <w:t xml:space="preserve">med </w:t>
            </w:r>
            <w:r w:rsidRPr="004704BD">
              <w:rPr>
                <w:b/>
                <w:lang w:val="en-US"/>
              </w:rPr>
              <w:t xml:space="preserve">[nm] </w:t>
            </w:r>
            <w:r w:rsidRPr="004704BD">
              <w:rPr>
                <w:i/>
                <w:lang w:val="en-US"/>
              </w:rPr>
              <w:t>(based on Scherrer eq.)</w:t>
            </w:r>
          </w:p>
        </w:tc>
      </w:tr>
      <w:tr w:rsidR="002310CF" w:rsidRPr="004704BD" w:rsidTr="00847CB3">
        <w:tc>
          <w:tcPr>
            <w:tcW w:w="974" w:type="dxa"/>
            <w:vMerge/>
            <w:shd w:val="clear" w:color="auto" w:fill="auto"/>
            <w:tcMar>
              <w:left w:w="103" w:type="dxa"/>
            </w:tcMar>
            <w:vAlign w:val="center"/>
          </w:tcPr>
          <w:p w:rsidR="002310CF" w:rsidRPr="004704BD" w:rsidRDefault="002310CF" w:rsidP="00EC44D2">
            <w:pPr>
              <w:spacing w:after="0" w:line="360" w:lineRule="auto"/>
              <w:jc w:val="both"/>
              <w:rPr>
                <w:b/>
                <w:lang w:val="en-US"/>
              </w:rPr>
            </w:pPr>
          </w:p>
        </w:tc>
        <w:tc>
          <w:tcPr>
            <w:tcW w:w="1484" w:type="dxa"/>
            <w:shd w:val="clear" w:color="auto" w:fill="auto"/>
            <w:tcMar>
              <w:left w:w="103" w:type="dxa"/>
            </w:tcMar>
            <w:vAlign w:val="center"/>
          </w:tcPr>
          <w:p w:rsidR="002310CF" w:rsidRPr="004704BD" w:rsidRDefault="002310CF" w:rsidP="00EC44D2">
            <w:pPr>
              <w:spacing w:after="0" w:line="360" w:lineRule="auto"/>
              <w:jc w:val="both"/>
            </w:pPr>
            <w:r w:rsidRPr="004704BD">
              <w:rPr>
                <w:b/>
                <w:lang w:val="en-US"/>
              </w:rPr>
              <w:t>Microwave power [%]</w:t>
            </w:r>
          </w:p>
        </w:tc>
        <w:tc>
          <w:tcPr>
            <w:tcW w:w="1363" w:type="dxa"/>
            <w:shd w:val="clear" w:color="auto" w:fill="auto"/>
            <w:tcMar>
              <w:left w:w="103" w:type="dxa"/>
            </w:tcMar>
            <w:vAlign w:val="center"/>
          </w:tcPr>
          <w:p w:rsidR="002310CF" w:rsidRPr="004704BD" w:rsidRDefault="002310CF" w:rsidP="00EC44D2">
            <w:pPr>
              <w:spacing w:after="0" w:line="360" w:lineRule="auto"/>
              <w:jc w:val="both"/>
            </w:pPr>
            <w:r w:rsidRPr="004704BD">
              <w:rPr>
                <w:b/>
                <w:lang w:val="en-US"/>
              </w:rPr>
              <w:t>Residence time [min]</w:t>
            </w:r>
          </w:p>
        </w:tc>
        <w:tc>
          <w:tcPr>
            <w:tcW w:w="1726" w:type="dxa"/>
            <w:vMerge/>
            <w:shd w:val="clear" w:color="auto" w:fill="auto"/>
            <w:tcMar>
              <w:left w:w="103" w:type="dxa"/>
            </w:tcMar>
            <w:vAlign w:val="center"/>
          </w:tcPr>
          <w:p w:rsidR="002310CF" w:rsidRPr="004704BD" w:rsidRDefault="002310CF" w:rsidP="00EC44D2">
            <w:pPr>
              <w:spacing w:after="0" w:line="360" w:lineRule="auto"/>
              <w:jc w:val="both"/>
              <w:rPr>
                <w:b/>
                <w:lang w:val="en-US"/>
              </w:rPr>
            </w:pPr>
          </w:p>
        </w:tc>
        <w:tc>
          <w:tcPr>
            <w:tcW w:w="1272" w:type="dxa"/>
            <w:vMerge/>
            <w:shd w:val="clear" w:color="auto" w:fill="auto"/>
            <w:tcMar>
              <w:left w:w="103" w:type="dxa"/>
            </w:tcMar>
            <w:vAlign w:val="center"/>
          </w:tcPr>
          <w:p w:rsidR="002310CF" w:rsidRPr="004704BD" w:rsidRDefault="002310CF" w:rsidP="00EC44D2">
            <w:pPr>
              <w:spacing w:after="0" w:line="360" w:lineRule="auto"/>
              <w:jc w:val="both"/>
              <w:rPr>
                <w:b/>
                <w:lang w:val="en-US"/>
              </w:rPr>
            </w:pPr>
          </w:p>
        </w:tc>
        <w:tc>
          <w:tcPr>
            <w:tcW w:w="1221" w:type="dxa"/>
            <w:vMerge/>
            <w:shd w:val="clear" w:color="auto" w:fill="auto"/>
            <w:tcMar>
              <w:left w:w="103" w:type="dxa"/>
            </w:tcMar>
            <w:vAlign w:val="center"/>
          </w:tcPr>
          <w:p w:rsidR="002310CF" w:rsidRPr="004704BD" w:rsidRDefault="002310CF" w:rsidP="00EC44D2">
            <w:pPr>
              <w:spacing w:after="0" w:line="360" w:lineRule="auto"/>
              <w:jc w:val="both"/>
              <w:rPr>
                <w:b/>
                <w:lang w:val="en-US"/>
              </w:rPr>
            </w:pPr>
          </w:p>
        </w:tc>
        <w:tc>
          <w:tcPr>
            <w:tcW w:w="1566" w:type="dxa"/>
            <w:vMerge/>
            <w:shd w:val="clear" w:color="auto" w:fill="auto"/>
            <w:tcMar>
              <w:left w:w="103" w:type="dxa"/>
            </w:tcMar>
            <w:vAlign w:val="center"/>
          </w:tcPr>
          <w:p w:rsidR="002310CF" w:rsidRPr="004704BD" w:rsidRDefault="002310CF" w:rsidP="00EC44D2">
            <w:pPr>
              <w:spacing w:after="0" w:line="360" w:lineRule="auto"/>
              <w:jc w:val="both"/>
              <w:rPr>
                <w:b/>
                <w:i/>
                <w:lang w:val="en-US"/>
              </w:rPr>
            </w:pPr>
          </w:p>
        </w:tc>
      </w:tr>
      <w:tr w:rsidR="002310CF" w:rsidRPr="004704BD" w:rsidTr="00847CB3">
        <w:tc>
          <w:tcPr>
            <w:tcW w:w="97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M1</w:t>
            </w:r>
          </w:p>
        </w:tc>
        <w:tc>
          <w:tcPr>
            <w:tcW w:w="148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70</w:t>
            </w:r>
          </w:p>
        </w:tc>
        <w:tc>
          <w:tcPr>
            <w:tcW w:w="1363"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3</w:t>
            </w:r>
          </w:p>
        </w:tc>
        <w:tc>
          <w:tcPr>
            <w:tcW w:w="172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100</w:t>
            </w:r>
          </w:p>
        </w:tc>
        <w:tc>
          <w:tcPr>
            <w:tcW w:w="1272"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9</w:t>
            </w:r>
          </w:p>
        </w:tc>
        <w:tc>
          <w:tcPr>
            <w:tcW w:w="1221"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20-200</w:t>
            </w:r>
          </w:p>
        </w:tc>
        <w:tc>
          <w:tcPr>
            <w:tcW w:w="156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31</w:t>
            </w:r>
          </w:p>
        </w:tc>
      </w:tr>
      <w:tr w:rsidR="002310CF" w:rsidRPr="004704BD" w:rsidTr="00847CB3">
        <w:tc>
          <w:tcPr>
            <w:tcW w:w="97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M2</w:t>
            </w:r>
          </w:p>
        </w:tc>
        <w:tc>
          <w:tcPr>
            <w:tcW w:w="148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70</w:t>
            </w:r>
          </w:p>
        </w:tc>
        <w:tc>
          <w:tcPr>
            <w:tcW w:w="1363"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5</w:t>
            </w:r>
          </w:p>
        </w:tc>
        <w:tc>
          <w:tcPr>
            <w:tcW w:w="172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160</w:t>
            </w:r>
          </w:p>
        </w:tc>
        <w:tc>
          <w:tcPr>
            <w:tcW w:w="1272"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15</w:t>
            </w:r>
          </w:p>
        </w:tc>
        <w:tc>
          <w:tcPr>
            <w:tcW w:w="1221"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10-200</w:t>
            </w:r>
          </w:p>
        </w:tc>
        <w:tc>
          <w:tcPr>
            <w:tcW w:w="156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31</w:t>
            </w:r>
          </w:p>
        </w:tc>
      </w:tr>
      <w:tr w:rsidR="002310CF" w:rsidRPr="004704BD" w:rsidTr="00847CB3">
        <w:tc>
          <w:tcPr>
            <w:tcW w:w="97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M3</w:t>
            </w:r>
          </w:p>
        </w:tc>
        <w:tc>
          <w:tcPr>
            <w:tcW w:w="148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70</w:t>
            </w:r>
          </w:p>
        </w:tc>
        <w:tc>
          <w:tcPr>
            <w:tcW w:w="1363"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7</w:t>
            </w:r>
          </w:p>
        </w:tc>
        <w:tc>
          <w:tcPr>
            <w:tcW w:w="172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200</w:t>
            </w:r>
          </w:p>
        </w:tc>
        <w:tc>
          <w:tcPr>
            <w:tcW w:w="1272"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26</w:t>
            </w:r>
          </w:p>
        </w:tc>
        <w:tc>
          <w:tcPr>
            <w:tcW w:w="1221"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20-200</w:t>
            </w:r>
          </w:p>
        </w:tc>
        <w:tc>
          <w:tcPr>
            <w:tcW w:w="156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30</w:t>
            </w:r>
          </w:p>
        </w:tc>
      </w:tr>
      <w:tr w:rsidR="002310CF" w:rsidRPr="004704BD" w:rsidTr="00847CB3">
        <w:tc>
          <w:tcPr>
            <w:tcW w:w="97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M4</w:t>
            </w:r>
          </w:p>
        </w:tc>
        <w:tc>
          <w:tcPr>
            <w:tcW w:w="148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85</w:t>
            </w:r>
          </w:p>
        </w:tc>
        <w:tc>
          <w:tcPr>
            <w:tcW w:w="1363"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3</w:t>
            </w:r>
          </w:p>
        </w:tc>
        <w:tc>
          <w:tcPr>
            <w:tcW w:w="172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100</w:t>
            </w:r>
          </w:p>
        </w:tc>
        <w:tc>
          <w:tcPr>
            <w:tcW w:w="1272"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11</w:t>
            </w:r>
          </w:p>
        </w:tc>
        <w:tc>
          <w:tcPr>
            <w:tcW w:w="1221"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50-300</w:t>
            </w:r>
          </w:p>
        </w:tc>
        <w:tc>
          <w:tcPr>
            <w:tcW w:w="156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27</w:t>
            </w:r>
          </w:p>
        </w:tc>
      </w:tr>
      <w:tr w:rsidR="002310CF" w:rsidRPr="004704BD" w:rsidTr="00847CB3">
        <w:tc>
          <w:tcPr>
            <w:tcW w:w="97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M5</w:t>
            </w:r>
          </w:p>
        </w:tc>
        <w:tc>
          <w:tcPr>
            <w:tcW w:w="148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85</w:t>
            </w:r>
          </w:p>
        </w:tc>
        <w:tc>
          <w:tcPr>
            <w:tcW w:w="1363"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5</w:t>
            </w:r>
          </w:p>
        </w:tc>
        <w:tc>
          <w:tcPr>
            <w:tcW w:w="172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180</w:t>
            </w:r>
          </w:p>
        </w:tc>
        <w:tc>
          <w:tcPr>
            <w:tcW w:w="1272"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25</w:t>
            </w:r>
          </w:p>
        </w:tc>
        <w:tc>
          <w:tcPr>
            <w:tcW w:w="1221"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100-200</w:t>
            </w:r>
          </w:p>
        </w:tc>
        <w:tc>
          <w:tcPr>
            <w:tcW w:w="156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28</w:t>
            </w:r>
          </w:p>
        </w:tc>
      </w:tr>
      <w:tr w:rsidR="002310CF" w:rsidRPr="004704BD" w:rsidTr="00847CB3">
        <w:tc>
          <w:tcPr>
            <w:tcW w:w="97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M6</w:t>
            </w:r>
          </w:p>
        </w:tc>
        <w:tc>
          <w:tcPr>
            <w:tcW w:w="148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85</w:t>
            </w:r>
          </w:p>
        </w:tc>
        <w:tc>
          <w:tcPr>
            <w:tcW w:w="1363"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7</w:t>
            </w:r>
          </w:p>
        </w:tc>
        <w:tc>
          <w:tcPr>
            <w:tcW w:w="172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230</w:t>
            </w:r>
          </w:p>
        </w:tc>
        <w:tc>
          <w:tcPr>
            <w:tcW w:w="1272"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39</w:t>
            </w:r>
          </w:p>
        </w:tc>
        <w:tc>
          <w:tcPr>
            <w:tcW w:w="1221"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40-250</w:t>
            </w:r>
          </w:p>
        </w:tc>
        <w:tc>
          <w:tcPr>
            <w:tcW w:w="156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22</w:t>
            </w:r>
          </w:p>
        </w:tc>
      </w:tr>
      <w:tr w:rsidR="002310CF" w:rsidRPr="004704BD" w:rsidTr="00847CB3">
        <w:tc>
          <w:tcPr>
            <w:tcW w:w="97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M7</w:t>
            </w:r>
          </w:p>
        </w:tc>
        <w:tc>
          <w:tcPr>
            <w:tcW w:w="148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100</w:t>
            </w:r>
          </w:p>
        </w:tc>
        <w:tc>
          <w:tcPr>
            <w:tcW w:w="1363"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3</w:t>
            </w:r>
          </w:p>
        </w:tc>
        <w:tc>
          <w:tcPr>
            <w:tcW w:w="172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110</w:t>
            </w:r>
          </w:p>
        </w:tc>
        <w:tc>
          <w:tcPr>
            <w:tcW w:w="1272"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14</w:t>
            </w:r>
          </w:p>
        </w:tc>
        <w:tc>
          <w:tcPr>
            <w:tcW w:w="1221"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40-200</w:t>
            </w:r>
          </w:p>
        </w:tc>
        <w:tc>
          <w:tcPr>
            <w:tcW w:w="156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28</w:t>
            </w:r>
          </w:p>
        </w:tc>
      </w:tr>
      <w:tr w:rsidR="002310CF" w:rsidRPr="004704BD" w:rsidTr="00847CB3">
        <w:tc>
          <w:tcPr>
            <w:tcW w:w="97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M8</w:t>
            </w:r>
          </w:p>
        </w:tc>
        <w:tc>
          <w:tcPr>
            <w:tcW w:w="148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100</w:t>
            </w:r>
          </w:p>
        </w:tc>
        <w:tc>
          <w:tcPr>
            <w:tcW w:w="1363"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5</w:t>
            </w:r>
          </w:p>
        </w:tc>
        <w:tc>
          <w:tcPr>
            <w:tcW w:w="172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200</w:t>
            </w:r>
          </w:p>
        </w:tc>
        <w:tc>
          <w:tcPr>
            <w:tcW w:w="1272"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39</w:t>
            </w:r>
          </w:p>
        </w:tc>
        <w:tc>
          <w:tcPr>
            <w:tcW w:w="1221"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80-200</w:t>
            </w:r>
          </w:p>
        </w:tc>
        <w:tc>
          <w:tcPr>
            <w:tcW w:w="156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30</w:t>
            </w:r>
          </w:p>
        </w:tc>
      </w:tr>
      <w:tr w:rsidR="002310CF" w:rsidRPr="004704BD" w:rsidTr="00847CB3">
        <w:tc>
          <w:tcPr>
            <w:tcW w:w="97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M9</w:t>
            </w:r>
          </w:p>
        </w:tc>
        <w:tc>
          <w:tcPr>
            <w:tcW w:w="1484"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100</w:t>
            </w:r>
          </w:p>
        </w:tc>
        <w:tc>
          <w:tcPr>
            <w:tcW w:w="1363"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7</w:t>
            </w:r>
          </w:p>
        </w:tc>
        <w:tc>
          <w:tcPr>
            <w:tcW w:w="172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240</w:t>
            </w:r>
          </w:p>
        </w:tc>
        <w:tc>
          <w:tcPr>
            <w:tcW w:w="1272"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39</w:t>
            </w:r>
          </w:p>
        </w:tc>
        <w:tc>
          <w:tcPr>
            <w:tcW w:w="1221"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60-250</w:t>
            </w:r>
          </w:p>
        </w:tc>
        <w:tc>
          <w:tcPr>
            <w:tcW w:w="1566" w:type="dxa"/>
            <w:shd w:val="clear" w:color="auto" w:fill="auto"/>
            <w:tcMar>
              <w:left w:w="103" w:type="dxa"/>
            </w:tcMar>
            <w:vAlign w:val="center"/>
          </w:tcPr>
          <w:p w:rsidR="002310CF" w:rsidRPr="004704BD" w:rsidRDefault="002310CF" w:rsidP="00EC44D2">
            <w:pPr>
              <w:spacing w:after="0" w:line="360" w:lineRule="auto"/>
              <w:jc w:val="both"/>
            </w:pPr>
            <w:r w:rsidRPr="004704BD">
              <w:rPr>
                <w:lang w:val="en-US"/>
              </w:rPr>
              <w:t>30</w:t>
            </w:r>
          </w:p>
        </w:tc>
      </w:tr>
    </w:tbl>
    <w:p w:rsidR="002310CF" w:rsidRPr="004704BD" w:rsidRDefault="002310CF" w:rsidP="00EC44D2">
      <w:pPr>
        <w:spacing w:after="0" w:line="360" w:lineRule="auto"/>
        <w:jc w:val="both"/>
        <w:rPr>
          <w:lang w:val="en-US"/>
        </w:rPr>
      </w:pPr>
    </w:p>
    <w:p w:rsidR="00E82989" w:rsidRPr="004704BD" w:rsidRDefault="00396FEA" w:rsidP="00EC44D2">
      <w:pPr>
        <w:spacing w:after="0" w:line="360" w:lineRule="auto"/>
        <w:jc w:val="both"/>
        <w:rPr>
          <w:lang w:val="en-US"/>
        </w:rPr>
      </w:pPr>
      <w:r w:rsidRPr="004704BD">
        <w:rPr>
          <w:b/>
          <w:i/>
          <w:lang w:val="en-US"/>
        </w:rPr>
        <w:t>Processes carried out in a laboratory pressure reactor</w:t>
      </w:r>
    </w:p>
    <w:p w:rsidR="00E82989" w:rsidRDefault="00396FEA" w:rsidP="00EC44D2">
      <w:pPr>
        <w:spacing w:after="0" w:line="360" w:lineRule="auto"/>
        <w:jc w:val="both"/>
        <w:rPr>
          <w:lang w:val="en-US"/>
        </w:rPr>
      </w:pPr>
      <w:r w:rsidRPr="004704BD">
        <w:rPr>
          <w:lang w:val="en-US"/>
        </w:rPr>
        <w:t>Parameters of processes carried out in the laboratory pressure reactor were chosen arbitrarily, on the basis of preliminary studies. Their exact values are presented in Table 3</w:t>
      </w:r>
      <w:r w:rsidR="00D16FB9" w:rsidRPr="004704BD">
        <w:rPr>
          <w:lang w:val="en-US"/>
        </w:rPr>
        <w:t>.</w:t>
      </w:r>
    </w:p>
    <w:p w:rsidR="00F75242" w:rsidRDefault="00F75242" w:rsidP="00EC44D2">
      <w:pPr>
        <w:spacing w:after="0" w:line="360" w:lineRule="auto"/>
        <w:jc w:val="both"/>
        <w:rPr>
          <w:lang w:val="en-US"/>
        </w:rPr>
      </w:pPr>
    </w:p>
    <w:p w:rsidR="00F75242" w:rsidRPr="004704BD" w:rsidRDefault="00F75242" w:rsidP="00EC44D2">
      <w:pPr>
        <w:spacing w:after="0" w:line="360" w:lineRule="auto"/>
        <w:jc w:val="both"/>
        <w:rPr>
          <w:lang w:val="en-US"/>
        </w:rPr>
      </w:pPr>
      <w:r w:rsidRPr="004704BD">
        <w:rPr>
          <w:lang w:val="en-US"/>
        </w:rPr>
        <w:t>Table 3. Parameters of dehydration processes carried out in laboratory pressure reactor</w:t>
      </w:r>
    </w:p>
    <w:tbl>
      <w:tblPr>
        <w:tblStyle w:val="Tabela-Siatka"/>
        <w:tblW w:w="9288" w:type="dxa"/>
        <w:tblInd w:w="-5" w:type="dxa"/>
        <w:tblCellMar>
          <w:left w:w="103" w:type="dxa"/>
        </w:tblCellMar>
        <w:tblLook w:val="04A0" w:firstRow="1" w:lastRow="0" w:firstColumn="1" w:lastColumn="0" w:noHBand="0" w:noVBand="1"/>
      </w:tblPr>
      <w:tblGrid>
        <w:gridCol w:w="1074"/>
        <w:gridCol w:w="1789"/>
        <w:gridCol w:w="1675"/>
        <w:gridCol w:w="1698"/>
        <w:gridCol w:w="1524"/>
        <w:gridCol w:w="1528"/>
      </w:tblGrid>
      <w:tr w:rsidR="00F75242" w:rsidRPr="0094521C" w:rsidTr="00847CB3">
        <w:tc>
          <w:tcPr>
            <w:tcW w:w="1074" w:type="dxa"/>
            <w:vMerge w:val="restart"/>
            <w:shd w:val="clear" w:color="auto" w:fill="auto"/>
            <w:tcMar>
              <w:left w:w="103" w:type="dxa"/>
            </w:tcMar>
            <w:vAlign w:val="center"/>
          </w:tcPr>
          <w:p w:rsidR="00F75242" w:rsidRPr="004704BD" w:rsidRDefault="00F75242" w:rsidP="00EC44D2">
            <w:pPr>
              <w:spacing w:after="0" w:line="360" w:lineRule="auto"/>
              <w:jc w:val="both"/>
            </w:pPr>
            <w:r w:rsidRPr="004704BD">
              <w:rPr>
                <w:b/>
                <w:lang w:val="en-US"/>
              </w:rPr>
              <w:t>Sample</w:t>
            </w:r>
          </w:p>
        </w:tc>
        <w:tc>
          <w:tcPr>
            <w:tcW w:w="3464" w:type="dxa"/>
            <w:gridSpan w:val="2"/>
            <w:shd w:val="clear" w:color="auto" w:fill="auto"/>
            <w:tcMar>
              <w:left w:w="103" w:type="dxa"/>
            </w:tcMar>
            <w:vAlign w:val="center"/>
          </w:tcPr>
          <w:p w:rsidR="00F75242" w:rsidRPr="004704BD" w:rsidRDefault="00F75242" w:rsidP="00EC44D2">
            <w:pPr>
              <w:spacing w:after="0" w:line="360" w:lineRule="auto"/>
              <w:jc w:val="both"/>
            </w:pPr>
            <w:r w:rsidRPr="004704BD">
              <w:rPr>
                <w:b/>
                <w:lang w:val="en-US"/>
              </w:rPr>
              <w:t>Input variables</w:t>
            </w:r>
          </w:p>
        </w:tc>
        <w:tc>
          <w:tcPr>
            <w:tcW w:w="1698" w:type="dxa"/>
            <w:vMerge w:val="restart"/>
            <w:shd w:val="clear" w:color="auto" w:fill="auto"/>
            <w:tcMar>
              <w:left w:w="103" w:type="dxa"/>
            </w:tcMar>
            <w:vAlign w:val="center"/>
          </w:tcPr>
          <w:p w:rsidR="00F75242" w:rsidRPr="004704BD" w:rsidRDefault="00F75242" w:rsidP="00EC44D2">
            <w:pPr>
              <w:spacing w:after="0" w:line="360" w:lineRule="auto"/>
              <w:jc w:val="both"/>
            </w:pPr>
            <w:r w:rsidRPr="004704BD">
              <w:rPr>
                <w:b/>
                <w:lang w:val="en-US"/>
              </w:rPr>
              <w:t>Pressure achieved [bar]</w:t>
            </w:r>
          </w:p>
        </w:tc>
        <w:tc>
          <w:tcPr>
            <w:tcW w:w="1524" w:type="dxa"/>
            <w:vMerge w:val="restart"/>
            <w:shd w:val="clear" w:color="auto" w:fill="auto"/>
            <w:tcMar>
              <w:left w:w="103" w:type="dxa"/>
            </w:tcMar>
            <w:vAlign w:val="center"/>
          </w:tcPr>
          <w:p w:rsidR="00F75242" w:rsidRPr="004704BD" w:rsidRDefault="00F75242" w:rsidP="00EC44D2">
            <w:pPr>
              <w:spacing w:after="0" w:line="360" w:lineRule="auto"/>
              <w:jc w:val="both"/>
              <w:rPr>
                <w:lang w:val="en-US"/>
              </w:rPr>
            </w:pPr>
            <w:r w:rsidRPr="004704BD">
              <w:rPr>
                <w:b/>
                <w:lang w:val="en-US"/>
              </w:rPr>
              <w:t>d</w:t>
            </w:r>
            <w:r w:rsidRPr="004704BD">
              <w:rPr>
                <w:b/>
                <w:vertAlign w:val="subscript"/>
                <w:lang w:val="en-US"/>
              </w:rPr>
              <w:t xml:space="preserve">med </w:t>
            </w:r>
            <w:r w:rsidRPr="004704BD">
              <w:rPr>
                <w:b/>
                <w:lang w:val="en-US"/>
              </w:rPr>
              <w:t xml:space="preserve">[nm] </w:t>
            </w:r>
            <w:r w:rsidRPr="004704BD">
              <w:rPr>
                <w:i/>
                <w:lang w:val="en-US"/>
              </w:rPr>
              <w:t>(based on SEM)</w:t>
            </w:r>
          </w:p>
        </w:tc>
        <w:tc>
          <w:tcPr>
            <w:tcW w:w="1528" w:type="dxa"/>
            <w:vMerge w:val="restart"/>
            <w:shd w:val="clear" w:color="auto" w:fill="auto"/>
            <w:tcMar>
              <w:left w:w="103" w:type="dxa"/>
            </w:tcMar>
            <w:vAlign w:val="center"/>
          </w:tcPr>
          <w:p w:rsidR="00F75242" w:rsidRPr="004704BD" w:rsidRDefault="00F75242" w:rsidP="00EC44D2">
            <w:pPr>
              <w:spacing w:after="0" w:line="360" w:lineRule="auto"/>
              <w:jc w:val="both"/>
              <w:rPr>
                <w:lang w:val="en-US"/>
              </w:rPr>
            </w:pPr>
            <w:r w:rsidRPr="004704BD">
              <w:rPr>
                <w:b/>
                <w:lang w:val="en-US"/>
              </w:rPr>
              <w:t>d</w:t>
            </w:r>
            <w:r w:rsidRPr="004704BD">
              <w:rPr>
                <w:b/>
                <w:vertAlign w:val="subscript"/>
                <w:lang w:val="en-US"/>
              </w:rPr>
              <w:t xml:space="preserve">med </w:t>
            </w:r>
            <w:r w:rsidRPr="004704BD">
              <w:rPr>
                <w:b/>
                <w:lang w:val="en-US"/>
              </w:rPr>
              <w:t xml:space="preserve">[nm] </w:t>
            </w:r>
            <w:r w:rsidRPr="004704BD">
              <w:rPr>
                <w:i/>
                <w:lang w:val="en-US"/>
              </w:rPr>
              <w:t>(based on Scherrer eq.)</w:t>
            </w:r>
          </w:p>
        </w:tc>
      </w:tr>
      <w:tr w:rsidR="00F75242" w:rsidRPr="004704BD" w:rsidTr="00847CB3">
        <w:tc>
          <w:tcPr>
            <w:tcW w:w="1074" w:type="dxa"/>
            <w:vMerge/>
            <w:shd w:val="clear" w:color="auto" w:fill="auto"/>
            <w:tcMar>
              <w:left w:w="103" w:type="dxa"/>
            </w:tcMar>
            <w:vAlign w:val="center"/>
          </w:tcPr>
          <w:p w:rsidR="00F75242" w:rsidRPr="004704BD" w:rsidRDefault="00F75242" w:rsidP="00EC44D2">
            <w:pPr>
              <w:spacing w:after="0" w:line="360" w:lineRule="auto"/>
              <w:jc w:val="both"/>
              <w:rPr>
                <w:b/>
                <w:lang w:val="en-US"/>
              </w:rPr>
            </w:pPr>
          </w:p>
        </w:tc>
        <w:tc>
          <w:tcPr>
            <w:tcW w:w="1789" w:type="dxa"/>
            <w:shd w:val="clear" w:color="auto" w:fill="auto"/>
            <w:tcMar>
              <w:left w:w="103" w:type="dxa"/>
            </w:tcMar>
            <w:vAlign w:val="center"/>
          </w:tcPr>
          <w:p w:rsidR="00F75242" w:rsidRPr="004704BD" w:rsidRDefault="00F75242" w:rsidP="00EC44D2">
            <w:pPr>
              <w:spacing w:after="0" w:line="360" w:lineRule="auto"/>
              <w:jc w:val="both"/>
            </w:pPr>
            <w:r w:rsidRPr="004704BD">
              <w:rPr>
                <w:b/>
                <w:lang w:val="en-US"/>
              </w:rPr>
              <w:t>Temperature [</w:t>
            </w:r>
            <w:r w:rsidRPr="004704BD">
              <w:rPr>
                <w:rFonts w:cs="Times New Roman"/>
                <w:b/>
                <w:lang w:val="en-US"/>
              </w:rPr>
              <w:t>°</w:t>
            </w:r>
            <w:r w:rsidRPr="004704BD">
              <w:rPr>
                <w:b/>
                <w:lang w:val="en-US"/>
              </w:rPr>
              <w:t>C]</w:t>
            </w:r>
          </w:p>
        </w:tc>
        <w:tc>
          <w:tcPr>
            <w:tcW w:w="1675" w:type="dxa"/>
            <w:shd w:val="clear" w:color="auto" w:fill="auto"/>
            <w:tcMar>
              <w:left w:w="103" w:type="dxa"/>
            </w:tcMar>
            <w:vAlign w:val="center"/>
          </w:tcPr>
          <w:p w:rsidR="00F75242" w:rsidRPr="004704BD" w:rsidRDefault="00F75242" w:rsidP="00EC44D2">
            <w:pPr>
              <w:spacing w:after="0" w:line="360" w:lineRule="auto"/>
              <w:jc w:val="both"/>
            </w:pPr>
            <w:r w:rsidRPr="004704BD">
              <w:rPr>
                <w:b/>
                <w:lang w:val="en-US"/>
              </w:rPr>
              <w:t>Process time [min]</w:t>
            </w:r>
          </w:p>
        </w:tc>
        <w:tc>
          <w:tcPr>
            <w:tcW w:w="1698" w:type="dxa"/>
            <w:vMerge/>
            <w:shd w:val="clear" w:color="auto" w:fill="auto"/>
            <w:tcMar>
              <w:left w:w="103" w:type="dxa"/>
            </w:tcMar>
            <w:vAlign w:val="center"/>
          </w:tcPr>
          <w:p w:rsidR="00F75242" w:rsidRPr="004704BD" w:rsidRDefault="00F75242" w:rsidP="00EC44D2">
            <w:pPr>
              <w:spacing w:after="0" w:line="360" w:lineRule="auto"/>
              <w:jc w:val="both"/>
              <w:rPr>
                <w:b/>
                <w:lang w:val="en-US"/>
              </w:rPr>
            </w:pPr>
          </w:p>
        </w:tc>
        <w:tc>
          <w:tcPr>
            <w:tcW w:w="1524" w:type="dxa"/>
            <w:vMerge/>
            <w:shd w:val="clear" w:color="auto" w:fill="auto"/>
            <w:tcMar>
              <w:left w:w="103" w:type="dxa"/>
            </w:tcMar>
            <w:vAlign w:val="center"/>
          </w:tcPr>
          <w:p w:rsidR="00F75242" w:rsidRPr="004704BD" w:rsidRDefault="00F75242" w:rsidP="00EC44D2">
            <w:pPr>
              <w:spacing w:after="0" w:line="360" w:lineRule="auto"/>
              <w:jc w:val="both"/>
              <w:rPr>
                <w:b/>
                <w:lang w:val="en-US"/>
              </w:rPr>
            </w:pPr>
          </w:p>
        </w:tc>
        <w:tc>
          <w:tcPr>
            <w:tcW w:w="1528" w:type="dxa"/>
            <w:vMerge/>
            <w:shd w:val="clear" w:color="auto" w:fill="auto"/>
            <w:tcMar>
              <w:left w:w="103" w:type="dxa"/>
            </w:tcMar>
            <w:vAlign w:val="center"/>
          </w:tcPr>
          <w:p w:rsidR="00F75242" w:rsidRPr="004704BD" w:rsidRDefault="00F75242" w:rsidP="00EC44D2">
            <w:pPr>
              <w:spacing w:after="0" w:line="360" w:lineRule="auto"/>
              <w:jc w:val="both"/>
              <w:rPr>
                <w:b/>
                <w:i/>
                <w:lang w:val="en-US"/>
              </w:rPr>
            </w:pPr>
          </w:p>
        </w:tc>
      </w:tr>
      <w:tr w:rsidR="00F75242" w:rsidRPr="004704BD" w:rsidTr="00847CB3">
        <w:tc>
          <w:tcPr>
            <w:tcW w:w="1074"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R1</w:t>
            </w:r>
          </w:p>
        </w:tc>
        <w:tc>
          <w:tcPr>
            <w:tcW w:w="1789"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120</w:t>
            </w:r>
          </w:p>
        </w:tc>
        <w:tc>
          <w:tcPr>
            <w:tcW w:w="1675"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30</w:t>
            </w:r>
          </w:p>
        </w:tc>
        <w:tc>
          <w:tcPr>
            <w:tcW w:w="1698"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1</w:t>
            </w:r>
          </w:p>
        </w:tc>
        <w:tc>
          <w:tcPr>
            <w:tcW w:w="1524"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200-400</w:t>
            </w:r>
          </w:p>
        </w:tc>
        <w:tc>
          <w:tcPr>
            <w:tcW w:w="1528"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32</w:t>
            </w:r>
          </w:p>
        </w:tc>
      </w:tr>
      <w:tr w:rsidR="00F75242" w:rsidRPr="004704BD" w:rsidTr="00847CB3">
        <w:tc>
          <w:tcPr>
            <w:tcW w:w="1074"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R2</w:t>
            </w:r>
          </w:p>
        </w:tc>
        <w:tc>
          <w:tcPr>
            <w:tcW w:w="1789"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160</w:t>
            </w:r>
          </w:p>
        </w:tc>
        <w:tc>
          <w:tcPr>
            <w:tcW w:w="1675"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30</w:t>
            </w:r>
          </w:p>
        </w:tc>
        <w:tc>
          <w:tcPr>
            <w:tcW w:w="1698"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4</w:t>
            </w:r>
          </w:p>
        </w:tc>
        <w:tc>
          <w:tcPr>
            <w:tcW w:w="1524"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50-400</w:t>
            </w:r>
          </w:p>
        </w:tc>
        <w:tc>
          <w:tcPr>
            <w:tcW w:w="1528"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30</w:t>
            </w:r>
          </w:p>
        </w:tc>
      </w:tr>
      <w:tr w:rsidR="00F75242" w:rsidRPr="004704BD" w:rsidTr="00847CB3">
        <w:tc>
          <w:tcPr>
            <w:tcW w:w="1074"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lastRenderedPageBreak/>
              <w:t>R3</w:t>
            </w:r>
          </w:p>
        </w:tc>
        <w:tc>
          <w:tcPr>
            <w:tcW w:w="1789"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200</w:t>
            </w:r>
          </w:p>
        </w:tc>
        <w:tc>
          <w:tcPr>
            <w:tcW w:w="1675"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30</w:t>
            </w:r>
          </w:p>
        </w:tc>
        <w:tc>
          <w:tcPr>
            <w:tcW w:w="1698"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14</w:t>
            </w:r>
          </w:p>
        </w:tc>
        <w:tc>
          <w:tcPr>
            <w:tcW w:w="1524"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30-200</w:t>
            </w:r>
          </w:p>
        </w:tc>
        <w:tc>
          <w:tcPr>
            <w:tcW w:w="1528" w:type="dxa"/>
            <w:shd w:val="clear" w:color="auto" w:fill="auto"/>
            <w:tcMar>
              <w:left w:w="103" w:type="dxa"/>
            </w:tcMar>
            <w:vAlign w:val="center"/>
          </w:tcPr>
          <w:p w:rsidR="00F75242" w:rsidRPr="004704BD" w:rsidRDefault="00F75242" w:rsidP="00EC44D2">
            <w:pPr>
              <w:spacing w:after="0" w:line="360" w:lineRule="auto"/>
              <w:jc w:val="both"/>
            </w:pPr>
            <w:r w:rsidRPr="004704BD">
              <w:rPr>
                <w:lang w:val="en-US"/>
              </w:rPr>
              <w:t>30</w:t>
            </w:r>
          </w:p>
        </w:tc>
      </w:tr>
    </w:tbl>
    <w:p w:rsidR="00F75242" w:rsidRPr="004704BD" w:rsidRDefault="00F75242" w:rsidP="00EC44D2">
      <w:pPr>
        <w:spacing w:after="0" w:line="360" w:lineRule="auto"/>
        <w:jc w:val="both"/>
        <w:rPr>
          <w:lang w:val="en-US"/>
        </w:rPr>
      </w:pPr>
    </w:p>
    <w:p w:rsidR="00E82989" w:rsidRPr="004704BD" w:rsidRDefault="00396FEA" w:rsidP="00EC44D2">
      <w:pPr>
        <w:spacing w:after="0" w:line="360" w:lineRule="auto"/>
        <w:jc w:val="both"/>
        <w:rPr>
          <w:lang w:val="en-US"/>
        </w:rPr>
      </w:pPr>
      <w:r w:rsidRPr="004704BD">
        <w:rPr>
          <w:lang w:val="en-US"/>
        </w:rPr>
        <w:t xml:space="preserve">Obtained </w:t>
      </w:r>
      <w:r w:rsidRPr="004704BD">
        <w:rPr>
          <w:color w:val="auto"/>
          <w:lang w:val="en-US"/>
        </w:rPr>
        <w:t>suspensions were filtered on Buchner funnel using Whatman filters (d=0.45 µm) and washed with 160</w:t>
      </w:r>
      <w:r w:rsidR="00D96D46" w:rsidRPr="004704BD">
        <w:rPr>
          <w:color w:val="auto"/>
          <w:lang w:val="en-US"/>
        </w:rPr>
        <w:t xml:space="preserve"> cm</w:t>
      </w:r>
      <w:r w:rsidR="00D96D46" w:rsidRPr="004704BD">
        <w:rPr>
          <w:color w:val="auto"/>
          <w:vertAlign w:val="superscript"/>
          <w:lang w:val="en-US"/>
        </w:rPr>
        <w:t xml:space="preserve">3 </w:t>
      </w:r>
      <w:r w:rsidRPr="004704BD">
        <w:rPr>
          <w:color w:val="auto"/>
          <w:lang w:val="en-US"/>
        </w:rPr>
        <w:t xml:space="preserve">of deionized </w:t>
      </w:r>
      <w:r w:rsidRPr="004704BD">
        <w:rPr>
          <w:lang w:val="en-US"/>
        </w:rPr>
        <w:t xml:space="preserve">water so as sodium nitrate would be removed. Solids were dried in air-dryer at 50ºC within 2 hours. Obtained products were analyzed by instrumental techniques. In the course of scanning electron microscopy a determination of the shape and indirect determination of zinc oxide particles size was possible. The study was carried out using </w:t>
      </w:r>
      <w:r w:rsidRPr="004704BD">
        <w:rPr>
          <w:rFonts w:eastAsia="Times New Roman" w:cs="Times New Roman"/>
          <w:szCs w:val="24"/>
          <w:lang w:val="en-US" w:eastAsia="pl-PL"/>
        </w:rPr>
        <w:t xml:space="preserve">1430 VP </w:t>
      </w:r>
      <w:r w:rsidRPr="004704BD">
        <w:rPr>
          <w:lang w:val="en-US"/>
        </w:rPr>
        <w:t xml:space="preserve">microscope </w:t>
      </w:r>
      <w:r w:rsidRPr="004704BD">
        <w:rPr>
          <w:rFonts w:eastAsia="Times New Roman" w:cs="Times New Roman"/>
          <w:szCs w:val="24"/>
          <w:lang w:val="en-US" w:eastAsia="pl-PL"/>
        </w:rPr>
        <w:t>from LEO Electron Microscopy Ltd</w:t>
      </w:r>
      <w:r w:rsidRPr="004704BD">
        <w:rPr>
          <w:lang w:val="en-US"/>
        </w:rPr>
        <w:t>. In order to reveal the crystal structure, the sample was subjected to X-ray analysis conducted on X-ray diffractometer</w:t>
      </w:r>
      <w:r w:rsidRPr="004704BD">
        <w:rPr>
          <w:rFonts w:eastAsia="Times New Roman" w:cs="Times New Roman"/>
          <w:szCs w:val="24"/>
          <w:lang w:val="en-US" w:eastAsia="pl-PL"/>
        </w:rPr>
        <w:t xml:space="preserve"> X’Pert PW 1752/00 from Philips. In order to detect vibrations characteristic of zinc oxide, samples were subjected to Fourier transform infrared spectroscopy. For this purpose spectrophotometer Nicolet 380 from Nicolet was used. </w:t>
      </w:r>
    </w:p>
    <w:p w:rsidR="00E82989" w:rsidRPr="004704BD" w:rsidRDefault="00E82989" w:rsidP="00EC44D2">
      <w:pPr>
        <w:spacing w:after="0" w:line="360" w:lineRule="auto"/>
        <w:jc w:val="both"/>
        <w:rPr>
          <w:lang w:val="en-US"/>
        </w:rPr>
      </w:pPr>
    </w:p>
    <w:p w:rsidR="00E82989" w:rsidRPr="004704BD" w:rsidRDefault="00396FEA" w:rsidP="00EC44D2">
      <w:pPr>
        <w:spacing w:after="0" w:line="360" w:lineRule="auto"/>
        <w:jc w:val="both"/>
        <w:rPr>
          <w:lang w:val="en-US"/>
        </w:rPr>
      </w:pPr>
      <w:r w:rsidRPr="004704BD">
        <w:rPr>
          <w:b/>
          <w:lang w:val="en-US"/>
        </w:rPr>
        <w:t>Results</w:t>
      </w:r>
      <w:r w:rsidR="001F6CD0" w:rsidRPr="004704BD">
        <w:rPr>
          <w:b/>
          <w:lang w:val="en-US"/>
        </w:rPr>
        <w:t xml:space="preserve"> and Discussion</w:t>
      </w:r>
    </w:p>
    <w:p w:rsidR="00E82989" w:rsidRPr="004704BD" w:rsidRDefault="00396FEA" w:rsidP="00EC44D2">
      <w:pPr>
        <w:spacing w:after="0" w:line="360" w:lineRule="auto"/>
        <w:jc w:val="both"/>
        <w:rPr>
          <w:lang w:val="en-US"/>
        </w:rPr>
      </w:pPr>
      <w:r w:rsidRPr="004704BD">
        <w:rPr>
          <w:lang w:val="en-US"/>
        </w:rPr>
        <w:t xml:space="preserve">Preparation of zinc oxide proceeds according to the following equations: </w:t>
      </w:r>
    </w:p>
    <w:p w:rsidR="00E375F0" w:rsidRPr="004704BD" w:rsidRDefault="00303BC6" w:rsidP="00EC44D2">
      <w:pPr>
        <w:spacing w:after="0" w:line="360" w:lineRule="auto"/>
        <w:jc w:val="both"/>
      </w:pPr>
      <w:r w:rsidRPr="004704BD">
        <w:rPr>
          <w:position w:val="-32"/>
        </w:rPr>
        <w:object w:dxaOrig="46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05pt;height:38.2pt" o:ole="">
            <v:imagedata r:id="rId10" o:title=""/>
          </v:shape>
          <o:OLEObject Type="Embed" ProgID="Equation.3" ShapeID="_x0000_i1025" DrawAspect="Content" ObjectID="_1514180519" r:id="rId11"/>
        </w:object>
      </w:r>
    </w:p>
    <w:p w:rsidR="00E375F0" w:rsidRPr="004704BD" w:rsidRDefault="00E375F0" w:rsidP="00EC44D2">
      <w:pPr>
        <w:spacing w:after="0" w:line="360" w:lineRule="auto"/>
        <w:jc w:val="both"/>
      </w:pPr>
    </w:p>
    <w:p w:rsidR="00E82989" w:rsidRPr="004704BD" w:rsidRDefault="00396FEA" w:rsidP="00EC44D2">
      <w:pPr>
        <w:spacing w:after="0" w:line="360" w:lineRule="auto"/>
        <w:jc w:val="both"/>
        <w:rPr>
          <w:lang w:val="en-US"/>
        </w:rPr>
      </w:pPr>
      <w:r w:rsidRPr="004704BD">
        <w:rPr>
          <w:i/>
          <w:lang w:val="en-US"/>
        </w:rPr>
        <w:t>Scanning electron microscopy</w:t>
      </w:r>
    </w:p>
    <w:p w:rsidR="00E82989" w:rsidRDefault="00396FEA" w:rsidP="00EC44D2">
      <w:pPr>
        <w:spacing w:after="0" w:line="360" w:lineRule="auto"/>
        <w:jc w:val="both"/>
        <w:rPr>
          <w:lang w:val="en-US"/>
        </w:rPr>
      </w:pPr>
      <w:r w:rsidRPr="004704BD">
        <w:rPr>
          <w:lang w:val="en-US"/>
        </w:rPr>
        <w:t xml:space="preserve">Figure 1 presents SEM photomicrographs of obtained products. </w:t>
      </w:r>
    </w:p>
    <w:p w:rsidR="00B4695D" w:rsidRDefault="00B4695D" w:rsidP="006D1D8B">
      <w:pPr>
        <w:spacing w:after="0" w:line="360" w:lineRule="auto"/>
        <w:rPr>
          <w:lang w:val="en-US"/>
        </w:rPr>
      </w:pPr>
      <w:r w:rsidRPr="004704BD">
        <w:rPr>
          <w:noProof/>
          <w:lang w:eastAsia="pl-PL"/>
        </w:rPr>
        <w:drawing>
          <wp:inline distT="0" distB="0" distL="0" distR="0" wp14:anchorId="3DDD3FBC" wp14:editId="6BE2DB0C">
            <wp:extent cx="5760720" cy="1892300"/>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2"/>
                    <a:stretch>
                      <a:fillRect/>
                    </a:stretch>
                  </pic:blipFill>
                  <pic:spPr bwMode="auto">
                    <a:xfrm>
                      <a:off x="0" y="0"/>
                      <a:ext cx="5760720" cy="1892300"/>
                    </a:xfrm>
                    <a:prstGeom prst="rect">
                      <a:avLst/>
                    </a:prstGeom>
                    <a:noFill/>
                    <a:ln w="9525">
                      <a:noFill/>
                      <a:miter lim="800000"/>
                      <a:headEnd/>
                      <a:tailEnd/>
                    </a:ln>
                  </pic:spPr>
                </pic:pic>
              </a:graphicData>
            </a:graphic>
          </wp:inline>
        </w:drawing>
      </w:r>
    </w:p>
    <w:p w:rsidR="00B4695D" w:rsidRPr="004704BD" w:rsidRDefault="00B4695D" w:rsidP="00EC44D2">
      <w:pPr>
        <w:spacing w:after="0" w:line="360" w:lineRule="auto"/>
        <w:jc w:val="both"/>
        <w:rPr>
          <w:lang w:val="en-US"/>
        </w:rPr>
      </w:pPr>
      <w:r w:rsidRPr="004704BD">
        <w:rPr>
          <w:lang w:val="en-US"/>
        </w:rPr>
        <w:t>Fig. 1. Photomicrographs of obtained products</w:t>
      </w:r>
    </w:p>
    <w:p w:rsidR="00B4695D" w:rsidRPr="004704BD" w:rsidRDefault="00B4695D" w:rsidP="00EC44D2">
      <w:pPr>
        <w:spacing w:after="0" w:line="360" w:lineRule="auto"/>
        <w:jc w:val="both"/>
        <w:rPr>
          <w:lang w:val="en-US"/>
        </w:rPr>
      </w:pPr>
    </w:p>
    <w:p w:rsidR="00E82989" w:rsidRPr="004704BD" w:rsidRDefault="00396FEA" w:rsidP="00EC44D2">
      <w:pPr>
        <w:spacing w:after="0" w:line="360" w:lineRule="auto"/>
        <w:jc w:val="both"/>
        <w:rPr>
          <w:lang w:val="en-US"/>
        </w:rPr>
      </w:pPr>
      <w:r w:rsidRPr="004704BD">
        <w:rPr>
          <w:lang w:val="en-US"/>
        </w:rPr>
        <w:t>Based on obtained photomicrographs</w:t>
      </w:r>
      <w:r w:rsidR="00222811" w:rsidRPr="004704BD">
        <w:rPr>
          <w:lang w:val="en-US"/>
        </w:rPr>
        <w:t xml:space="preserve"> the shape of </w:t>
      </w:r>
      <w:r w:rsidR="0094679C" w:rsidRPr="004704BD">
        <w:rPr>
          <w:lang w:val="en-US"/>
        </w:rPr>
        <w:t>products</w:t>
      </w:r>
      <w:r w:rsidR="00222811" w:rsidRPr="004704BD">
        <w:rPr>
          <w:lang w:val="en-US"/>
        </w:rPr>
        <w:t xml:space="preserve"> may be defined as flower-like particles.</w:t>
      </w:r>
      <w:r w:rsidRPr="004704BD">
        <w:rPr>
          <w:lang w:val="en-US"/>
        </w:rPr>
        <w:t xml:space="preserve"> </w:t>
      </w:r>
      <w:r w:rsidR="00222811" w:rsidRPr="004704BD">
        <w:rPr>
          <w:lang w:val="en-US"/>
        </w:rPr>
        <w:t>I</w:t>
      </w:r>
      <w:r w:rsidRPr="004704BD">
        <w:rPr>
          <w:lang w:val="en-US"/>
        </w:rPr>
        <w:t>t may be concl</w:t>
      </w:r>
      <w:r w:rsidR="004B1CA9" w:rsidRPr="004704BD">
        <w:rPr>
          <w:lang w:val="en-US"/>
        </w:rPr>
        <w:t xml:space="preserve">uded that shape the size of </w:t>
      </w:r>
      <w:r w:rsidRPr="004704BD">
        <w:rPr>
          <w:lang w:val="en-US"/>
        </w:rPr>
        <w:t xml:space="preserve">particles depend on the conditions of their preparation. Comparing both reactors, it has been found out that the greater degree of variation in particles shape </w:t>
      </w:r>
      <w:r w:rsidR="00C84914" w:rsidRPr="004704BD">
        <w:rPr>
          <w:lang w:val="en-US"/>
        </w:rPr>
        <w:t>was reached</w:t>
      </w:r>
      <w:r w:rsidRPr="004704BD">
        <w:rPr>
          <w:lang w:val="en-US"/>
        </w:rPr>
        <w:t xml:space="preserve"> when microwave reactor was used. Despite a greater </w:t>
      </w:r>
      <w:r w:rsidRPr="004704BD">
        <w:rPr>
          <w:lang w:val="en-US"/>
        </w:rPr>
        <w:lastRenderedPageBreak/>
        <w:t xml:space="preserve">diversity of shape and size of products obtained in the microwave radiation field, the particles size was ranged from 20 to 200 nm, while the particles obtained in the laboratory pressure reactor were larger – their medium diameter was in the range from 30 to 400 nm. </w:t>
      </w:r>
      <w:r w:rsidR="005E5269" w:rsidRPr="004704BD">
        <w:rPr>
          <w:lang w:val="en-GB"/>
        </w:rPr>
        <w:t>Moreover, the influence of temperature on the minimum size difference between the largest and smallest particles is perceptible. Higher temperature determines lower size variation.</w:t>
      </w:r>
      <w:r w:rsidR="00266B4D" w:rsidRPr="004704BD">
        <w:rPr>
          <w:lang w:val="en-GB"/>
        </w:rPr>
        <w:t xml:space="preserve"> </w:t>
      </w:r>
      <w:r w:rsidR="001D28E2" w:rsidRPr="004704BD">
        <w:rPr>
          <w:lang w:val="en-GB"/>
        </w:rPr>
        <w:t>It</w:t>
      </w:r>
      <w:r w:rsidR="00266B4D" w:rsidRPr="004704BD">
        <w:rPr>
          <w:lang w:val="en-GB"/>
        </w:rPr>
        <w:t xml:space="preserve"> favours </w:t>
      </w:r>
      <w:r w:rsidR="00323EB9" w:rsidRPr="004704BD">
        <w:rPr>
          <w:lang w:val="en-GB"/>
        </w:rPr>
        <w:t xml:space="preserve">obtaining </w:t>
      </w:r>
      <w:r w:rsidR="00F842BA" w:rsidRPr="004704BD">
        <w:rPr>
          <w:lang w:val="en-GB"/>
        </w:rPr>
        <w:t>larger number of</w:t>
      </w:r>
      <w:r w:rsidR="00323EB9" w:rsidRPr="004704BD">
        <w:rPr>
          <w:lang w:val="en-GB"/>
        </w:rPr>
        <w:t xml:space="preserve"> particles which are characterised by </w:t>
      </w:r>
      <w:r w:rsidR="002D184F" w:rsidRPr="004704BD">
        <w:rPr>
          <w:lang w:val="en-GB"/>
        </w:rPr>
        <w:t>more homogenous size.</w:t>
      </w:r>
      <w:r w:rsidR="00414BFD" w:rsidRPr="004704BD">
        <w:rPr>
          <w:lang w:val="en-GB"/>
        </w:rPr>
        <w:t xml:space="preserve"> On the other hand,</w:t>
      </w:r>
      <w:r w:rsidR="005E5269" w:rsidRPr="004704BD">
        <w:rPr>
          <w:lang w:val="en-GB"/>
        </w:rPr>
        <w:t xml:space="preserve"> </w:t>
      </w:r>
      <w:r w:rsidR="00414BFD" w:rsidRPr="004704BD">
        <w:rPr>
          <w:lang w:val="en-GB"/>
        </w:rPr>
        <w:t>t</w:t>
      </w:r>
      <w:r w:rsidR="00CC4160" w:rsidRPr="004704BD">
        <w:rPr>
          <w:lang w:val="en-GB"/>
        </w:rPr>
        <w:t xml:space="preserve">he mean particle size is </w:t>
      </w:r>
      <w:r w:rsidR="007E2E1B" w:rsidRPr="004704BD">
        <w:rPr>
          <w:lang w:val="en-GB"/>
        </w:rPr>
        <w:t>dependent</w:t>
      </w:r>
      <w:r w:rsidR="00CC4160" w:rsidRPr="004704BD">
        <w:rPr>
          <w:lang w:val="en-GB"/>
        </w:rPr>
        <w:t xml:space="preserve"> </w:t>
      </w:r>
      <w:r w:rsidR="007E2E1B" w:rsidRPr="004704BD">
        <w:rPr>
          <w:lang w:val="en-GB"/>
        </w:rPr>
        <w:t>mostly on</w:t>
      </w:r>
      <w:r w:rsidR="00701B9D" w:rsidRPr="004704BD">
        <w:rPr>
          <w:lang w:val="en-GB"/>
        </w:rPr>
        <w:t xml:space="preserve"> the dehydration time.</w:t>
      </w:r>
      <w:r w:rsidR="00CC4160" w:rsidRPr="004704BD">
        <w:rPr>
          <w:lang w:val="en-GB"/>
        </w:rPr>
        <w:t xml:space="preserve"> </w:t>
      </w:r>
      <w:r w:rsidR="00970A1E" w:rsidRPr="004704BD">
        <w:rPr>
          <w:lang w:val="en-GB"/>
        </w:rPr>
        <w:t xml:space="preserve">Larger particles are obtained when the reaction time is elongated. It may be caused by progressive agglomeration which occurs as time progresses. </w:t>
      </w:r>
      <w:r w:rsidRPr="004704BD">
        <w:rPr>
          <w:lang w:val="en-US"/>
        </w:rPr>
        <w:t xml:space="preserve"> </w:t>
      </w:r>
    </w:p>
    <w:p w:rsidR="00E82989" w:rsidRPr="004704BD" w:rsidRDefault="00E82989" w:rsidP="00EC44D2">
      <w:pPr>
        <w:spacing w:after="0" w:line="360" w:lineRule="auto"/>
        <w:jc w:val="both"/>
        <w:rPr>
          <w:shd w:val="clear" w:color="auto" w:fill="FFFF00"/>
          <w:lang w:val="en-US"/>
        </w:rPr>
      </w:pPr>
    </w:p>
    <w:p w:rsidR="00E82989" w:rsidRPr="004704BD" w:rsidRDefault="00396FEA" w:rsidP="00EC44D2">
      <w:pPr>
        <w:spacing w:after="0" w:line="360" w:lineRule="auto"/>
        <w:jc w:val="both"/>
        <w:rPr>
          <w:lang w:val="en-US"/>
        </w:rPr>
      </w:pPr>
      <w:r w:rsidRPr="004704BD">
        <w:rPr>
          <w:i/>
          <w:lang w:val="en-GB"/>
        </w:rPr>
        <w:t>X-ray analysis</w:t>
      </w:r>
    </w:p>
    <w:p w:rsidR="00E82989" w:rsidRDefault="00396FEA" w:rsidP="00EC44D2">
      <w:pPr>
        <w:spacing w:after="0" w:line="360" w:lineRule="auto"/>
        <w:jc w:val="both"/>
        <w:rPr>
          <w:lang w:val="en-GB"/>
        </w:rPr>
      </w:pPr>
      <w:r w:rsidRPr="004704BD">
        <w:rPr>
          <w:lang w:val="en-GB"/>
        </w:rPr>
        <w:t xml:space="preserve">Results of X-ray analysis are presented in Figure 2. </w:t>
      </w:r>
    </w:p>
    <w:p w:rsidR="00D02A1A" w:rsidRDefault="00D02A1A" w:rsidP="006D1D8B">
      <w:pPr>
        <w:spacing w:after="0" w:line="360" w:lineRule="auto"/>
        <w:rPr>
          <w:lang w:val="en-US"/>
        </w:rPr>
      </w:pPr>
      <w:r w:rsidRPr="004704BD">
        <w:rPr>
          <w:noProof/>
          <w:lang w:eastAsia="pl-PL"/>
        </w:rPr>
        <w:drawing>
          <wp:inline distT="0" distB="0" distL="0" distR="0" wp14:anchorId="78FA4DB2" wp14:editId="3583ACE9">
            <wp:extent cx="2880000" cy="1740186"/>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3"/>
                    <a:stretch>
                      <a:fillRect/>
                    </a:stretch>
                  </pic:blipFill>
                  <pic:spPr bwMode="auto">
                    <a:xfrm>
                      <a:off x="0" y="0"/>
                      <a:ext cx="2880000" cy="1740186"/>
                    </a:xfrm>
                    <a:prstGeom prst="rect">
                      <a:avLst/>
                    </a:prstGeom>
                    <a:noFill/>
                    <a:ln w="9525">
                      <a:noFill/>
                      <a:miter lim="800000"/>
                      <a:headEnd/>
                      <a:tailEnd/>
                    </a:ln>
                  </pic:spPr>
                </pic:pic>
              </a:graphicData>
            </a:graphic>
          </wp:inline>
        </w:drawing>
      </w:r>
    </w:p>
    <w:p w:rsidR="00D02A1A" w:rsidRPr="004704BD" w:rsidRDefault="00D02A1A" w:rsidP="00EC44D2">
      <w:pPr>
        <w:spacing w:after="0" w:line="360" w:lineRule="auto"/>
        <w:jc w:val="both"/>
        <w:rPr>
          <w:lang w:val="en-US"/>
        </w:rPr>
      </w:pPr>
      <w:r w:rsidRPr="004704BD">
        <w:rPr>
          <w:lang w:val="en-US"/>
        </w:rPr>
        <w:t>Fig. 2. XRD diffractogram of all samples</w:t>
      </w:r>
    </w:p>
    <w:p w:rsidR="00D02A1A" w:rsidRPr="004704BD" w:rsidRDefault="00D02A1A" w:rsidP="00EC44D2">
      <w:pPr>
        <w:spacing w:after="0" w:line="360" w:lineRule="auto"/>
        <w:jc w:val="both"/>
        <w:rPr>
          <w:lang w:val="en-US"/>
        </w:rPr>
      </w:pPr>
    </w:p>
    <w:p w:rsidR="00E82989" w:rsidRPr="004704BD" w:rsidRDefault="00396FEA" w:rsidP="00EC44D2">
      <w:pPr>
        <w:spacing w:after="0" w:line="360" w:lineRule="auto"/>
        <w:jc w:val="both"/>
        <w:rPr>
          <w:lang w:val="en-US"/>
        </w:rPr>
      </w:pPr>
      <w:r w:rsidRPr="004704BD">
        <w:rPr>
          <w:lang w:val="en-US"/>
        </w:rPr>
        <w:t>The resulting diffractogram indicates the receipt of zinc oxide. Peaks occurring in the area of 32</w:t>
      </w:r>
      <w:r w:rsidRPr="004704BD">
        <w:rPr>
          <w:rFonts w:cs="Times New Roman"/>
          <w:lang w:val="en-US"/>
        </w:rPr>
        <w:t>°</w:t>
      </w:r>
      <w:r w:rsidRPr="004704BD">
        <w:rPr>
          <w:lang w:val="en-US"/>
        </w:rPr>
        <w:t>, 34</w:t>
      </w:r>
      <w:r w:rsidRPr="004704BD">
        <w:rPr>
          <w:rFonts w:cs="Times New Roman"/>
          <w:lang w:val="en-US"/>
        </w:rPr>
        <w:t>°</w:t>
      </w:r>
      <w:r w:rsidRPr="004704BD">
        <w:rPr>
          <w:lang w:val="en-US"/>
        </w:rPr>
        <w:t xml:space="preserve"> and 36</w:t>
      </w:r>
      <w:r w:rsidRPr="004704BD">
        <w:rPr>
          <w:rFonts w:cs="Times New Roman"/>
          <w:lang w:val="en-US"/>
        </w:rPr>
        <w:t xml:space="preserve">° of </w:t>
      </w:r>
      <w:r w:rsidRPr="004704BD">
        <w:rPr>
          <w:lang w:val="en-US"/>
        </w:rPr>
        <w:t>2θ diffraction angle correspond to strong Bragg reflection. The incidence of these peaks is characteristic for zinc oxide. Other reflections were not detected, which indicates high purity of samples. Peak intensity provides high crystallinity of products and their width reflects small size of crystallites. The size of crystallites was also calculated based on Scherrer equation:</w:t>
      </w:r>
    </w:p>
    <w:p w:rsidR="00303BC6" w:rsidRPr="004704BD" w:rsidRDefault="00303BC6" w:rsidP="00EC44D2">
      <w:pPr>
        <w:spacing w:after="0" w:line="360" w:lineRule="auto"/>
        <w:jc w:val="both"/>
        <w:rPr>
          <w:lang w:val="en-US"/>
        </w:rPr>
      </w:pPr>
    </w:p>
    <w:p w:rsidR="009246E8" w:rsidRPr="004704BD" w:rsidRDefault="00396FEA" w:rsidP="00EC44D2">
      <w:pPr>
        <w:spacing w:after="0" w:line="360" w:lineRule="auto"/>
        <w:jc w:val="both"/>
        <w:rPr>
          <w:lang w:val="en-US"/>
        </w:rPr>
      </w:pPr>
      <w:r w:rsidRPr="004704BD">
        <w:rPr>
          <w:position w:val="-28"/>
          <w:lang w:val="en-US"/>
        </w:rPr>
        <w:object w:dxaOrig="1219" w:dyaOrig="660">
          <v:shape id="_x0000_i1026" type="#_x0000_t75" style="width:60.75pt;height:32.55pt" o:ole="">
            <v:imagedata r:id="rId14" o:title=""/>
          </v:shape>
          <o:OLEObject Type="Embed" ProgID="Equation.3" ShapeID="_x0000_i1026" DrawAspect="Content" ObjectID="_1514180520" r:id="rId15"/>
        </w:object>
      </w:r>
      <w:r w:rsidR="009246E8" w:rsidRPr="004704BD">
        <w:rPr>
          <w:lang w:val="en-US"/>
        </w:rPr>
        <w:t>,</w:t>
      </w:r>
    </w:p>
    <w:p w:rsidR="00E82989" w:rsidRPr="004704BD" w:rsidRDefault="00396FEA" w:rsidP="00EC44D2">
      <w:pPr>
        <w:spacing w:after="0" w:line="360" w:lineRule="auto"/>
        <w:jc w:val="both"/>
        <w:rPr>
          <w:lang w:val="en-US"/>
        </w:rPr>
      </w:pPr>
      <w:r w:rsidRPr="004704BD">
        <w:rPr>
          <w:lang w:val="en-US"/>
        </w:rPr>
        <w:t>where</w:t>
      </w:r>
    </w:p>
    <w:p w:rsidR="00E82989" w:rsidRPr="004704BD" w:rsidRDefault="00396FEA" w:rsidP="00EC44D2">
      <w:pPr>
        <w:spacing w:after="0" w:line="360" w:lineRule="auto"/>
        <w:jc w:val="both"/>
        <w:rPr>
          <w:lang w:val="en-US"/>
        </w:rPr>
      </w:pPr>
      <w:r w:rsidRPr="004704BD">
        <w:rPr>
          <w:lang w:val="en-US"/>
        </w:rPr>
        <w:t>K - dimensionless shape factor (K=0,9)</w:t>
      </w:r>
    </w:p>
    <w:p w:rsidR="00E82989" w:rsidRPr="004704BD" w:rsidRDefault="00396FEA" w:rsidP="00EC44D2">
      <w:pPr>
        <w:spacing w:after="0" w:line="360" w:lineRule="auto"/>
        <w:jc w:val="both"/>
        <w:rPr>
          <w:lang w:val="en-US"/>
        </w:rPr>
      </w:pPr>
      <w:r w:rsidRPr="004704BD">
        <w:rPr>
          <w:rFonts w:cs="Times New Roman"/>
          <w:lang w:val="en-US"/>
        </w:rPr>
        <w:t>λ</w:t>
      </w:r>
      <w:r w:rsidRPr="004704BD">
        <w:rPr>
          <w:lang w:val="en-US"/>
        </w:rPr>
        <w:t xml:space="preserve"> - X-ray wavelength [nm]</w:t>
      </w:r>
    </w:p>
    <w:p w:rsidR="00E82989" w:rsidRPr="004704BD" w:rsidRDefault="00396FEA" w:rsidP="00EC44D2">
      <w:pPr>
        <w:spacing w:after="0" w:line="360" w:lineRule="auto"/>
        <w:jc w:val="both"/>
        <w:rPr>
          <w:lang w:val="en-US"/>
        </w:rPr>
      </w:pPr>
      <w:r w:rsidRPr="004704BD">
        <w:rPr>
          <w:rFonts w:cs="Times New Roman"/>
          <w:lang w:val="en-US"/>
        </w:rPr>
        <w:t>β</w:t>
      </w:r>
      <w:r w:rsidRPr="004704BD">
        <w:rPr>
          <w:lang w:val="en-US"/>
        </w:rPr>
        <w:t xml:space="preserve"> - full width of peak at half maximum</w:t>
      </w:r>
    </w:p>
    <w:p w:rsidR="00E82989" w:rsidRPr="004704BD" w:rsidRDefault="00396FEA" w:rsidP="00EC44D2">
      <w:pPr>
        <w:spacing w:after="0" w:line="360" w:lineRule="auto"/>
        <w:jc w:val="both"/>
        <w:rPr>
          <w:lang w:val="en-US"/>
        </w:rPr>
      </w:pPr>
      <w:r w:rsidRPr="004704BD">
        <w:rPr>
          <w:rFonts w:cs="Times New Roman"/>
          <w:lang w:val="en-US"/>
        </w:rPr>
        <w:lastRenderedPageBreak/>
        <w:t>Θ</w:t>
      </w:r>
      <w:r w:rsidRPr="004704BD">
        <w:rPr>
          <w:lang w:val="en-US"/>
        </w:rPr>
        <w:t xml:space="preserve"> - Bragg angle </w:t>
      </w:r>
    </w:p>
    <w:p w:rsidR="00E82989" w:rsidRPr="004704BD" w:rsidRDefault="00E82989" w:rsidP="00EC44D2">
      <w:pPr>
        <w:spacing w:after="0" w:line="360" w:lineRule="auto"/>
        <w:jc w:val="both"/>
        <w:rPr>
          <w:lang w:val="en-US"/>
        </w:rPr>
      </w:pPr>
    </w:p>
    <w:p w:rsidR="00E82989" w:rsidRPr="004704BD" w:rsidRDefault="00396FEA" w:rsidP="00EC44D2">
      <w:pPr>
        <w:spacing w:after="0" w:line="360" w:lineRule="auto"/>
        <w:jc w:val="both"/>
        <w:rPr>
          <w:lang w:val="en-US"/>
        </w:rPr>
      </w:pPr>
      <w:r w:rsidRPr="004704BD">
        <w:rPr>
          <w:lang w:val="en-US"/>
        </w:rPr>
        <w:t>Values of calculated crystallites size are given in Tables 2 and 3. It should be noted that these size values concern the size of individual crystallites, which may consist the structure of nano</w:t>
      </w:r>
      <w:r w:rsidR="004B1CA9" w:rsidRPr="004704BD">
        <w:rPr>
          <w:lang w:val="en-US"/>
        </w:rPr>
        <w:t>- and micro</w:t>
      </w:r>
      <w:r w:rsidRPr="004704BD">
        <w:rPr>
          <w:lang w:val="en-US"/>
        </w:rPr>
        <w:t xml:space="preserve">particles that are characterized by larger sizes. </w:t>
      </w:r>
    </w:p>
    <w:p w:rsidR="00E82989" w:rsidRPr="004704BD" w:rsidRDefault="00E82989" w:rsidP="00EC44D2">
      <w:pPr>
        <w:spacing w:after="0" w:line="360" w:lineRule="auto"/>
        <w:jc w:val="both"/>
        <w:rPr>
          <w:lang w:val="en-GB"/>
        </w:rPr>
      </w:pPr>
    </w:p>
    <w:p w:rsidR="00E82989" w:rsidRPr="004704BD" w:rsidRDefault="00396FEA" w:rsidP="00EC44D2">
      <w:pPr>
        <w:spacing w:after="0" w:line="360" w:lineRule="auto"/>
        <w:jc w:val="both"/>
        <w:rPr>
          <w:lang w:val="en-US"/>
        </w:rPr>
      </w:pPr>
      <w:r w:rsidRPr="004704BD">
        <w:rPr>
          <w:rFonts w:eastAsia="Times New Roman" w:cs="Times New Roman"/>
          <w:i/>
          <w:szCs w:val="24"/>
          <w:lang w:val="en-GB" w:eastAsia="pl-PL"/>
        </w:rPr>
        <w:t>Fourier transform infrared spectroscopy</w:t>
      </w:r>
    </w:p>
    <w:p w:rsidR="00E82989" w:rsidRDefault="00396FEA" w:rsidP="00EC44D2">
      <w:pPr>
        <w:spacing w:after="0" w:line="360" w:lineRule="auto"/>
        <w:jc w:val="both"/>
        <w:rPr>
          <w:lang w:val="en-GB"/>
        </w:rPr>
      </w:pPr>
      <w:r w:rsidRPr="004704BD">
        <w:rPr>
          <w:lang w:val="en-GB"/>
        </w:rPr>
        <w:t xml:space="preserve">Figure 3 presents </w:t>
      </w:r>
      <w:r w:rsidR="00C84914" w:rsidRPr="004704BD">
        <w:rPr>
          <w:lang w:val="en-GB"/>
        </w:rPr>
        <w:t>typical FT-IR spectra</w:t>
      </w:r>
      <w:r w:rsidRPr="004704BD">
        <w:rPr>
          <w:lang w:val="en-GB"/>
        </w:rPr>
        <w:t xml:space="preserve"> of zinc oxide. During the FT-IR analysis a distinct characteristic absorption band at 440 cm</w:t>
      </w:r>
      <w:r w:rsidRPr="004704BD">
        <w:rPr>
          <w:vertAlign w:val="superscript"/>
          <w:lang w:val="en-GB"/>
        </w:rPr>
        <w:t>-1</w:t>
      </w:r>
      <w:r w:rsidRPr="004704BD">
        <w:rPr>
          <w:lang w:val="en-GB"/>
        </w:rPr>
        <w:t xml:space="preserve"> has been revealed. This band may be assigned to stretching vibrations of Zn</w:t>
      </w:r>
      <w:r w:rsidRPr="004704BD">
        <w:rPr>
          <w:rFonts w:cs="Times New Roman"/>
          <w:lang w:val="en-GB"/>
        </w:rPr>
        <w:t>‒</w:t>
      </w:r>
      <w:r w:rsidRPr="004704BD">
        <w:rPr>
          <w:lang w:val="en-GB"/>
        </w:rPr>
        <w:t>O. Other bands are derived from water present in products (stretching vibrations of O</w:t>
      </w:r>
      <w:r w:rsidRPr="004704BD">
        <w:rPr>
          <w:rFonts w:cs="Times New Roman"/>
          <w:lang w:val="en-GB"/>
        </w:rPr>
        <w:t>‒</w:t>
      </w:r>
      <w:r w:rsidRPr="004704BD">
        <w:rPr>
          <w:lang w:val="en-GB"/>
        </w:rPr>
        <w:t>H at 3400 cm</w:t>
      </w:r>
      <w:r w:rsidRPr="004704BD">
        <w:rPr>
          <w:vertAlign w:val="superscript"/>
          <w:lang w:val="en-GB"/>
        </w:rPr>
        <w:t>-1</w:t>
      </w:r>
      <w:r w:rsidRPr="004704BD">
        <w:rPr>
          <w:lang w:val="en-GB"/>
        </w:rPr>
        <w:t>) and Zn</w:t>
      </w:r>
      <w:r w:rsidRPr="004704BD">
        <w:rPr>
          <w:rFonts w:cs="Times New Roman"/>
          <w:lang w:val="en-GB"/>
        </w:rPr>
        <w:t>‒</w:t>
      </w:r>
      <w:r w:rsidRPr="004704BD">
        <w:rPr>
          <w:lang w:val="en-GB"/>
        </w:rPr>
        <w:t>OH at 880 cm</w:t>
      </w:r>
      <w:r w:rsidRPr="004704BD">
        <w:rPr>
          <w:vertAlign w:val="superscript"/>
          <w:lang w:val="en-GB"/>
        </w:rPr>
        <w:t>-1</w:t>
      </w:r>
      <w:r w:rsidRPr="004704BD">
        <w:rPr>
          <w:lang w:val="en-GB"/>
        </w:rPr>
        <w:t xml:space="preserve">. </w:t>
      </w:r>
    </w:p>
    <w:p w:rsidR="004E0547" w:rsidRDefault="007A2696" w:rsidP="006D1D8B">
      <w:pPr>
        <w:spacing w:after="0" w:line="360" w:lineRule="auto"/>
        <w:rPr>
          <w:lang w:val="en-US"/>
        </w:rPr>
      </w:pPr>
      <w:r>
        <w:rPr>
          <w:noProof/>
          <w:lang w:eastAsia="pl-PL"/>
        </w:rPr>
        <w:drawing>
          <wp:inline distT="0" distB="0" distL="0" distR="0">
            <wp:extent cx="2880000" cy="1726221"/>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0000" cy="1726221"/>
                    </a:xfrm>
                    <a:prstGeom prst="rect">
                      <a:avLst/>
                    </a:prstGeom>
                    <a:noFill/>
                    <a:ln>
                      <a:noFill/>
                    </a:ln>
                  </pic:spPr>
                </pic:pic>
              </a:graphicData>
            </a:graphic>
          </wp:inline>
        </w:drawing>
      </w:r>
    </w:p>
    <w:p w:rsidR="004E0547" w:rsidRPr="004704BD" w:rsidRDefault="004E0547" w:rsidP="00EC44D2">
      <w:pPr>
        <w:spacing w:after="0" w:line="360" w:lineRule="auto"/>
        <w:jc w:val="both"/>
        <w:rPr>
          <w:lang w:val="en-GB"/>
        </w:rPr>
      </w:pPr>
      <w:r w:rsidRPr="004704BD">
        <w:rPr>
          <w:lang w:val="en-GB"/>
        </w:rPr>
        <w:t>Fig. 3. FT-IR spectrum of obtained samples</w:t>
      </w:r>
    </w:p>
    <w:p w:rsidR="00E82989" w:rsidRPr="004704BD" w:rsidRDefault="00E82989" w:rsidP="00EC44D2">
      <w:pPr>
        <w:spacing w:after="0" w:line="360" w:lineRule="auto"/>
        <w:jc w:val="both"/>
        <w:rPr>
          <w:shd w:val="clear" w:color="auto" w:fill="008080"/>
          <w:lang w:val="en-GB"/>
        </w:rPr>
      </w:pPr>
    </w:p>
    <w:p w:rsidR="00E82989" w:rsidRPr="004704BD" w:rsidRDefault="00396FEA" w:rsidP="00EC44D2">
      <w:pPr>
        <w:spacing w:after="0" w:line="360" w:lineRule="auto"/>
        <w:jc w:val="both"/>
        <w:rPr>
          <w:lang w:val="en-US"/>
        </w:rPr>
      </w:pPr>
      <w:r w:rsidRPr="004704BD">
        <w:rPr>
          <w:b/>
          <w:lang w:val="en-GB"/>
        </w:rPr>
        <w:t>Conclusion</w:t>
      </w:r>
      <w:r w:rsidR="000A2F5C">
        <w:rPr>
          <w:b/>
          <w:lang w:val="en-GB"/>
        </w:rPr>
        <w:t>s</w:t>
      </w:r>
    </w:p>
    <w:p w:rsidR="00E82989" w:rsidRPr="004704BD" w:rsidRDefault="00396FEA" w:rsidP="00EC44D2">
      <w:pPr>
        <w:spacing w:after="0" w:line="360" w:lineRule="auto"/>
        <w:jc w:val="both"/>
        <w:rPr>
          <w:lang w:val="en-US"/>
        </w:rPr>
      </w:pPr>
      <w:r w:rsidRPr="004704BD">
        <w:rPr>
          <w:lang w:val="en-GB"/>
        </w:rPr>
        <w:t xml:space="preserve">The results indicate the qualitative uniformity of products which were obtained both under microwave irradiation and in the laboratory pressure reactor. However, particles are distinguished by their varied shape and size. </w:t>
      </w:r>
      <w:r w:rsidR="00CA4FAF" w:rsidRPr="004704BD">
        <w:rPr>
          <w:lang w:val="en-GB"/>
        </w:rPr>
        <w:t>In general, t</w:t>
      </w:r>
      <w:r w:rsidRPr="004704BD">
        <w:rPr>
          <w:lang w:val="en-GB"/>
        </w:rPr>
        <w:t>hey have lower average size in the case of obtaining them under microwave radiation. In addition, processes occur more efficiently when using microwave radiation. Products obtained in the course of hydrothermal synthesis within 5 min are characterized by physicochemical properties which are similar to properties of products obtained in a laboratory pressure reactor within 30 min.</w:t>
      </w:r>
      <w:r w:rsidR="00CA4FAF" w:rsidRPr="004704BD">
        <w:rPr>
          <w:lang w:val="en-GB"/>
        </w:rPr>
        <w:t xml:space="preserve"> </w:t>
      </w:r>
    </w:p>
    <w:p w:rsidR="00E82989" w:rsidRPr="004704BD" w:rsidRDefault="00E82989" w:rsidP="00EC44D2">
      <w:pPr>
        <w:spacing w:after="0" w:line="360" w:lineRule="auto"/>
        <w:jc w:val="both"/>
        <w:rPr>
          <w:lang w:val="en-GB"/>
        </w:rPr>
      </w:pPr>
    </w:p>
    <w:p w:rsidR="00E82989" w:rsidRPr="004704BD" w:rsidRDefault="00396FEA" w:rsidP="00EC44D2">
      <w:pPr>
        <w:spacing w:after="0" w:line="360" w:lineRule="auto"/>
        <w:jc w:val="both"/>
        <w:rPr>
          <w:lang w:val="en-US"/>
        </w:rPr>
      </w:pPr>
      <w:r w:rsidRPr="004704BD">
        <w:rPr>
          <w:b/>
          <w:lang w:val="en-GB"/>
        </w:rPr>
        <w:t xml:space="preserve">Acknowledgements </w:t>
      </w:r>
    </w:p>
    <w:p w:rsidR="00E82989" w:rsidRPr="004704BD" w:rsidRDefault="00396FEA" w:rsidP="00EC44D2">
      <w:pPr>
        <w:spacing w:after="0" w:line="360" w:lineRule="auto"/>
        <w:jc w:val="both"/>
        <w:rPr>
          <w:lang w:val="en-US"/>
        </w:rPr>
      </w:pPr>
      <w:r w:rsidRPr="004704BD">
        <w:rPr>
          <w:lang w:val="en-GB"/>
        </w:rPr>
        <w:t>This work is a part of the project Synthesis and Application of Innovative Nanomaterials with Antimicrobial Properties supported by National Centre for Research and Development under the Project LIDER/03/146/L-3/11/NCBR/2012 for the period of 2012–2015.</w:t>
      </w:r>
    </w:p>
    <w:p w:rsidR="00E82989" w:rsidRPr="004704BD" w:rsidRDefault="00E82989" w:rsidP="00EC44D2">
      <w:pPr>
        <w:spacing w:after="0" w:line="360" w:lineRule="auto"/>
        <w:jc w:val="both"/>
        <w:rPr>
          <w:lang w:val="en-GB"/>
        </w:rPr>
      </w:pPr>
    </w:p>
    <w:p w:rsidR="00E82989" w:rsidRPr="004704BD" w:rsidRDefault="00396FEA" w:rsidP="00EC44D2">
      <w:pPr>
        <w:spacing w:after="0" w:line="360" w:lineRule="auto"/>
        <w:jc w:val="both"/>
      </w:pPr>
      <w:r w:rsidRPr="004704BD">
        <w:rPr>
          <w:b/>
          <w:lang w:val="en-GB"/>
        </w:rPr>
        <w:lastRenderedPageBreak/>
        <w:t>References</w:t>
      </w:r>
    </w:p>
    <w:p w:rsidR="00E82989" w:rsidRPr="004704BD" w:rsidRDefault="00C4637B" w:rsidP="00EC44D2">
      <w:pPr>
        <w:numPr>
          <w:ilvl w:val="0"/>
          <w:numId w:val="1"/>
        </w:numPr>
        <w:spacing w:after="0" w:line="360" w:lineRule="auto"/>
        <w:ind w:left="426" w:hanging="426"/>
        <w:contextualSpacing/>
        <w:jc w:val="both"/>
        <w:rPr>
          <w:lang w:val="en-US"/>
        </w:rPr>
      </w:pPr>
      <w:r>
        <w:rPr>
          <w:rFonts w:cs="Times New Roman"/>
          <w:color w:val="000000"/>
          <w:szCs w:val="24"/>
          <w:lang w:val="en-GB"/>
        </w:rPr>
        <w:t xml:space="preserve">C. </w:t>
      </w:r>
      <w:r w:rsidR="008D76D8" w:rsidRPr="004704BD">
        <w:rPr>
          <w:rFonts w:cs="Times New Roman"/>
          <w:color w:val="000000"/>
          <w:szCs w:val="24"/>
          <w:lang w:val="en-GB"/>
        </w:rPr>
        <w:t>Rao</w:t>
      </w:r>
      <w:r>
        <w:rPr>
          <w:rFonts w:cs="Times New Roman"/>
          <w:color w:val="000000"/>
          <w:szCs w:val="24"/>
          <w:lang w:val="en-GB"/>
        </w:rPr>
        <w:t>,</w:t>
      </w:r>
      <w:r w:rsidR="00396FEA" w:rsidRPr="004704BD">
        <w:rPr>
          <w:rFonts w:cs="Times New Roman"/>
          <w:color w:val="000000"/>
          <w:szCs w:val="24"/>
          <w:lang w:val="en-GB"/>
        </w:rPr>
        <w:t xml:space="preserve"> </w:t>
      </w:r>
      <w:r>
        <w:rPr>
          <w:rFonts w:cs="Times New Roman"/>
          <w:color w:val="000000"/>
          <w:szCs w:val="24"/>
          <w:lang w:val="en-GB"/>
        </w:rPr>
        <w:t xml:space="preserve">G. </w:t>
      </w:r>
      <w:proofErr w:type="spellStart"/>
      <w:r w:rsidR="00396FEA" w:rsidRPr="004704BD">
        <w:rPr>
          <w:rFonts w:cs="Times New Roman"/>
          <w:color w:val="000000"/>
          <w:szCs w:val="24"/>
          <w:lang w:val="en-GB"/>
        </w:rPr>
        <w:t>Lulkarni</w:t>
      </w:r>
      <w:proofErr w:type="spellEnd"/>
      <w:r>
        <w:rPr>
          <w:rFonts w:cs="Times New Roman"/>
          <w:color w:val="000000"/>
          <w:szCs w:val="24"/>
          <w:lang w:val="en-GB"/>
        </w:rPr>
        <w:t>,</w:t>
      </w:r>
      <w:r w:rsidR="00396FEA" w:rsidRPr="004704BD">
        <w:rPr>
          <w:rFonts w:cs="Times New Roman"/>
          <w:color w:val="000000"/>
          <w:szCs w:val="24"/>
          <w:lang w:val="en-GB"/>
        </w:rPr>
        <w:t xml:space="preserve"> </w:t>
      </w:r>
      <w:r>
        <w:rPr>
          <w:rFonts w:cs="Times New Roman"/>
          <w:color w:val="000000"/>
          <w:szCs w:val="24"/>
          <w:lang w:val="en-GB"/>
        </w:rPr>
        <w:t>P. Thomas, P.</w:t>
      </w:r>
      <w:r w:rsidR="00396FEA" w:rsidRPr="004704BD">
        <w:rPr>
          <w:rFonts w:cs="Times New Roman"/>
          <w:color w:val="000000"/>
          <w:szCs w:val="24"/>
          <w:lang w:val="en-GB"/>
        </w:rPr>
        <w:t xml:space="preserve"> Edwards</w:t>
      </w:r>
      <w:r>
        <w:rPr>
          <w:rFonts w:cs="Times New Roman"/>
          <w:color w:val="000000"/>
          <w:szCs w:val="24"/>
          <w:lang w:val="en-GB"/>
        </w:rPr>
        <w:t>,</w:t>
      </w:r>
      <w:r w:rsidR="00396FEA" w:rsidRPr="004704BD">
        <w:rPr>
          <w:rFonts w:cs="Times New Roman"/>
          <w:color w:val="000000"/>
          <w:szCs w:val="24"/>
          <w:lang w:val="en-GB"/>
        </w:rPr>
        <w:t xml:space="preserve"> </w:t>
      </w:r>
      <w:r w:rsidR="00947E42" w:rsidRPr="00D34DBF">
        <w:rPr>
          <w:rFonts w:cs="Times New Roman"/>
          <w:i/>
          <w:iCs/>
          <w:color w:val="000000"/>
          <w:szCs w:val="24"/>
          <w:lang w:val="en-GB"/>
        </w:rPr>
        <w:t>Chem</w:t>
      </w:r>
      <w:r w:rsidR="00123087" w:rsidRPr="00D34DBF">
        <w:rPr>
          <w:rFonts w:cs="Times New Roman"/>
          <w:i/>
          <w:iCs/>
          <w:color w:val="000000"/>
          <w:szCs w:val="24"/>
          <w:lang w:val="en-GB"/>
        </w:rPr>
        <w:t>.</w:t>
      </w:r>
      <w:r w:rsidR="008D76D8" w:rsidRPr="00D34DBF">
        <w:rPr>
          <w:rFonts w:cs="Times New Roman"/>
          <w:i/>
          <w:iCs/>
          <w:color w:val="000000"/>
          <w:szCs w:val="24"/>
          <w:lang w:val="en-GB"/>
        </w:rPr>
        <w:t xml:space="preserve"> Eur</w:t>
      </w:r>
      <w:r w:rsidR="00123087" w:rsidRPr="00D34DBF">
        <w:rPr>
          <w:rFonts w:cs="Times New Roman"/>
          <w:i/>
          <w:iCs/>
          <w:color w:val="000000"/>
          <w:szCs w:val="24"/>
          <w:lang w:val="en-GB"/>
        </w:rPr>
        <w:t>.</w:t>
      </w:r>
      <w:r w:rsidR="008D76D8" w:rsidRPr="00D34DBF">
        <w:rPr>
          <w:rFonts w:cs="Times New Roman"/>
          <w:i/>
          <w:iCs/>
          <w:color w:val="000000"/>
          <w:szCs w:val="24"/>
          <w:lang w:val="en-GB"/>
        </w:rPr>
        <w:t xml:space="preserve"> J</w:t>
      </w:r>
      <w:r w:rsidR="00DB07A7">
        <w:rPr>
          <w:rFonts w:cs="Times New Roman"/>
          <w:iCs/>
          <w:color w:val="000000"/>
          <w:szCs w:val="24"/>
          <w:lang w:val="en-GB"/>
        </w:rPr>
        <w:t xml:space="preserve">. </w:t>
      </w:r>
      <w:r w:rsidR="00DB07A7" w:rsidRPr="00D34DBF">
        <w:rPr>
          <w:rFonts w:cs="Times New Roman"/>
          <w:b/>
          <w:color w:val="000000"/>
          <w:szCs w:val="24"/>
          <w:lang w:val="en-GB"/>
        </w:rPr>
        <w:t>2002</w:t>
      </w:r>
      <w:r w:rsidR="00DB07A7">
        <w:rPr>
          <w:rFonts w:cs="Times New Roman"/>
          <w:color w:val="000000"/>
          <w:szCs w:val="24"/>
          <w:lang w:val="en-GB"/>
        </w:rPr>
        <w:t>,</w:t>
      </w:r>
      <w:r w:rsidR="00396FEA" w:rsidRPr="004704BD">
        <w:rPr>
          <w:rFonts w:cs="Times New Roman"/>
          <w:color w:val="000000"/>
          <w:szCs w:val="24"/>
          <w:lang w:val="en-GB"/>
        </w:rPr>
        <w:t xml:space="preserve"> </w:t>
      </w:r>
      <w:r w:rsidR="00396FEA" w:rsidRPr="008A72DB">
        <w:rPr>
          <w:rFonts w:cs="Times New Roman"/>
          <w:i/>
          <w:color w:val="000000"/>
          <w:szCs w:val="24"/>
          <w:lang w:val="en-GB"/>
        </w:rPr>
        <w:t>8</w:t>
      </w:r>
      <w:r w:rsidR="00914AAB">
        <w:rPr>
          <w:rFonts w:cs="Times New Roman"/>
          <w:color w:val="000000"/>
          <w:szCs w:val="24"/>
          <w:lang w:val="en-GB"/>
        </w:rPr>
        <w:t>,</w:t>
      </w:r>
      <w:r w:rsidR="00396FEA" w:rsidRPr="004704BD">
        <w:rPr>
          <w:rFonts w:cs="Times New Roman"/>
          <w:color w:val="000000"/>
          <w:szCs w:val="24"/>
          <w:lang w:val="en-GB"/>
        </w:rPr>
        <w:t xml:space="preserve"> 29-35</w:t>
      </w:r>
      <w:r w:rsidR="00603A7B">
        <w:rPr>
          <w:rFonts w:cs="Times New Roman"/>
          <w:color w:val="000000"/>
          <w:szCs w:val="24"/>
          <w:lang w:val="en-GB"/>
        </w:rPr>
        <w:t>.</w:t>
      </w:r>
    </w:p>
    <w:p w:rsidR="00BB70B8" w:rsidRPr="004704BD" w:rsidRDefault="00C4637B" w:rsidP="00EC44D2">
      <w:pPr>
        <w:numPr>
          <w:ilvl w:val="0"/>
          <w:numId w:val="1"/>
        </w:numPr>
        <w:spacing w:after="0" w:line="360" w:lineRule="auto"/>
        <w:ind w:left="426" w:hanging="426"/>
        <w:contextualSpacing/>
        <w:jc w:val="both"/>
        <w:rPr>
          <w:lang w:val="en-US"/>
        </w:rPr>
      </w:pPr>
      <w:r>
        <w:rPr>
          <w:color w:val="000000"/>
          <w:szCs w:val="24"/>
          <w:lang w:val="en-US"/>
        </w:rPr>
        <w:t xml:space="preserve">M. M. </w:t>
      </w:r>
      <w:proofErr w:type="spellStart"/>
      <w:r w:rsidR="00396FEA" w:rsidRPr="004704BD">
        <w:rPr>
          <w:color w:val="000000"/>
          <w:szCs w:val="24"/>
          <w:lang w:val="en-US"/>
        </w:rPr>
        <w:t>Mikhailov</w:t>
      </w:r>
      <w:proofErr w:type="spellEnd"/>
      <w:r w:rsidR="007E4D00" w:rsidRPr="004704BD">
        <w:rPr>
          <w:color w:val="000000"/>
          <w:szCs w:val="24"/>
          <w:lang w:val="en-US"/>
        </w:rPr>
        <w:t>,</w:t>
      </w:r>
      <w:r w:rsidR="00396FEA" w:rsidRPr="004704BD">
        <w:rPr>
          <w:color w:val="000000"/>
          <w:szCs w:val="24"/>
          <w:lang w:val="en-US"/>
        </w:rPr>
        <w:t> </w:t>
      </w:r>
      <w:r>
        <w:rPr>
          <w:color w:val="000000"/>
          <w:szCs w:val="24"/>
          <w:lang w:val="en-US"/>
        </w:rPr>
        <w:t xml:space="preserve">V. V. </w:t>
      </w:r>
      <w:proofErr w:type="spellStart"/>
      <w:r w:rsidR="00396FEA" w:rsidRPr="004704BD">
        <w:rPr>
          <w:color w:val="000000"/>
          <w:szCs w:val="24"/>
          <w:lang w:val="en-US"/>
        </w:rPr>
        <w:t>Neshchimenko</w:t>
      </w:r>
      <w:proofErr w:type="spellEnd"/>
      <w:r>
        <w:rPr>
          <w:color w:val="000000"/>
          <w:szCs w:val="24"/>
          <w:lang w:val="en-US"/>
        </w:rPr>
        <w:t>,</w:t>
      </w:r>
      <w:r w:rsidR="00396FEA" w:rsidRPr="004704BD">
        <w:rPr>
          <w:color w:val="000000"/>
          <w:szCs w:val="24"/>
          <w:lang w:val="en-US"/>
        </w:rPr>
        <w:t> </w:t>
      </w:r>
      <w:r>
        <w:rPr>
          <w:color w:val="000000"/>
          <w:szCs w:val="24"/>
          <w:lang w:val="en-US"/>
        </w:rPr>
        <w:t xml:space="preserve">S. </w:t>
      </w:r>
      <w:r w:rsidR="00396FEA" w:rsidRPr="004704BD">
        <w:rPr>
          <w:color w:val="000000"/>
          <w:szCs w:val="24"/>
          <w:lang w:val="en-US"/>
        </w:rPr>
        <w:t>He</w:t>
      </w:r>
      <w:r w:rsidR="007E4D00" w:rsidRPr="004704BD">
        <w:rPr>
          <w:color w:val="000000"/>
          <w:szCs w:val="24"/>
          <w:lang w:val="en-US"/>
        </w:rPr>
        <w:t>,</w:t>
      </w:r>
      <w:r w:rsidR="00396FEA" w:rsidRPr="004704BD">
        <w:rPr>
          <w:color w:val="000000"/>
          <w:szCs w:val="24"/>
          <w:lang w:val="en-US"/>
        </w:rPr>
        <w:t> </w:t>
      </w:r>
      <w:r>
        <w:rPr>
          <w:color w:val="000000"/>
          <w:szCs w:val="24"/>
          <w:lang w:val="en-US"/>
        </w:rPr>
        <w:t xml:space="preserve">C. </w:t>
      </w:r>
      <w:r w:rsidR="00396FEA" w:rsidRPr="004704BD">
        <w:rPr>
          <w:color w:val="000000"/>
          <w:szCs w:val="24"/>
          <w:lang w:val="en-US"/>
        </w:rPr>
        <w:t>Li</w:t>
      </w:r>
      <w:r>
        <w:rPr>
          <w:color w:val="000000"/>
          <w:szCs w:val="24"/>
          <w:lang w:val="en-US"/>
        </w:rPr>
        <w:t xml:space="preserve">, </w:t>
      </w:r>
      <w:r w:rsidR="00396FEA" w:rsidRPr="00D34DBF">
        <w:rPr>
          <w:i/>
          <w:color w:val="000000"/>
          <w:szCs w:val="24"/>
          <w:lang w:val="en-US"/>
        </w:rPr>
        <w:t>J</w:t>
      </w:r>
      <w:r w:rsidR="00123087" w:rsidRPr="00D34DBF">
        <w:rPr>
          <w:i/>
          <w:color w:val="000000"/>
          <w:szCs w:val="24"/>
          <w:lang w:val="en-US"/>
        </w:rPr>
        <w:t>.</w:t>
      </w:r>
      <w:r w:rsidR="007E4D00" w:rsidRPr="00D34DBF">
        <w:rPr>
          <w:i/>
          <w:color w:val="000000"/>
          <w:szCs w:val="24"/>
          <w:lang w:val="en-US"/>
        </w:rPr>
        <w:t xml:space="preserve"> </w:t>
      </w:r>
      <w:r w:rsidR="00396FEA" w:rsidRPr="00D34DBF">
        <w:rPr>
          <w:i/>
          <w:color w:val="000000"/>
          <w:szCs w:val="24"/>
          <w:lang w:val="en-US"/>
        </w:rPr>
        <w:t>Spacecraft</w:t>
      </w:r>
      <w:r w:rsidR="00123087" w:rsidRPr="00D34DBF">
        <w:rPr>
          <w:i/>
          <w:color w:val="000000"/>
          <w:szCs w:val="24"/>
          <w:lang w:val="en-US"/>
        </w:rPr>
        <w:t>.</w:t>
      </w:r>
      <w:r w:rsidR="00396FEA" w:rsidRPr="00D34DBF">
        <w:rPr>
          <w:i/>
          <w:color w:val="000000"/>
          <w:szCs w:val="24"/>
          <w:lang w:val="en-US"/>
        </w:rPr>
        <w:t xml:space="preserve"> Rockets</w:t>
      </w:r>
      <w:r w:rsidR="00DB07A7">
        <w:rPr>
          <w:color w:val="000000"/>
          <w:szCs w:val="24"/>
          <w:lang w:val="en-US"/>
        </w:rPr>
        <w:t xml:space="preserve">. </w:t>
      </w:r>
      <w:r w:rsidR="00DB07A7" w:rsidRPr="00D34DBF">
        <w:rPr>
          <w:b/>
          <w:color w:val="000000"/>
          <w:szCs w:val="24"/>
          <w:lang w:val="en-US"/>
        </w:rPr>
        <w:t>2011</w:t>
      </w:r>
      <w:r w:rsidR="00DB07A7">
        <w:rPr>
          <w:color w:val="000000"/>
          <w:szCs w:val="24"/>
          <w:lang w:val="en-US"/>
        </w:rPr>
        <w:t>,</w:t>
      </w:r>
      <w:r w:rsidR="007E4D00" w:rsidRPr="004704BD">
        <w:rPr>
          <w:color w:val="000000"/>
          <w:szCs w:val="24"/>
          <w:lang w:val="en-US"/>
        </w:rPr>
        <w:t xml:space="preserve"> </w:t>
      </w:r>
      <w:r w:rsidR="00396FEA" w:rsidRPr="008A72DB">
        <w:rPr>
          <w:i/>
          <w:color w:val="000000"/>
          <w:szCs w:val="24"/>
          <w:lang w:val="en-US"/>
        </w:rPr>
        <w:t>48</w:t>
      </w:r>
      <w:r w:rsidR="00914AAB">
        <w:rPr>
          <w:color w:val="000000"/>
          <w:szCs w:val="24"/>
          <w:lang w:val="en-US"/>
        </w:rPr>
        <w:t>,</w:t>
      </w:r>
      <w:r w:rsidR="00396FEA" w:rsidRPr="004704BD">
        <w:rPr>
          <w:color w:val="000000"/>
          <w:szCs w:val="24"/>
          <w:lang w:val="en-US"/>
        </w:rPr>
        <w:t xml:space="preserve"> </w:t>
      </w:r>
      <w:r w:rsidR="00947E42">
        <w:rPr>
          <w:color w:val="000000"/>
          <w:szCs w:val="24"/>
          <w:lang w:val="en-US"/>
        </w:rPr>
        <w:t>891-896</w:t>
      </w:r>
      <w:r w:rsidR="00603A7B">
        <w:rPr>
          <w:color w:val="000000"/>
          <w:szCs w:val="24"/>
          <w:lang w:val="en-US"/>
        </w:rPr>
        <w:t>.</w:t>
      </w:r>
    </w:p>
    <w:p w:rsidR="00E82989" w:rsidRPr="004704BD" w:rsidRDefault="00C4637B" w:rsidP="00EC44D2">
      <w:pPr>
        <w:numPr>
          <w:ilvl w:val="0"/>
          <w:numId w:val="1"/>
        </w:numPr>
        <w:spacing w:after="0" w:line="360" w:lineRule="auto"/>
        <w:ind w:left="426" w:hanging="426"/>
        <w:contextualSpacing/>
        <w:jc w:val="both"/>
        <w:rPr>
          <w:lang w:val="en-US"/>
        </w:rPr>
      </w:pPr>
      <w:r>
        <w:rPr>
          <w:color w:val="000000"/>
          <w:szCs w:val="24"/>
          <w:lang w:val="en-US"/>
        </w:rPr>
        <w:t xml:space="preserve">C. </w:t>
      </w:r>
      <w:r w:rsidR="00396FEA" w:rsidRPr="004704BD">
        <w:rPr>
          <w:color w:val="000000"/>
          <w:szCs w:val="24"/>
          <w:lang w:val="en-US"/>
        </w:rPr>
        <w:t xml:space="preserve">Li, </w:t>
      </w:r>
      <w:r>
        <w:rPr>
          <w:color w:val="000000"/>
          <w:szCs w:val="24"/>
          <w:lang w:val="en-US"/>
        </w:rPr>
        <w:t xml:space="preserve">V. V. </w:t>
      </w:r>
      <w:proofErr w:type="spellStart"/>
      <w:r w:rsidR="00396FEA" w:rsidRPr="004704BD">
        <w:rPr>
          <w:color w:val="000000"/>
          <w:szCs w:val="24"/>
          <w:lang w:val="en-US"/>
        </w:rPr>
        <w:t>Neshchimenko</w:t>
      </w:r>
      <w:proofErr w:type="spellEnd"/>
      <w:r w:rsidR="00396FEA" w:rsidRPr="004704BD">
        <w:rPr>
          <w:color w:val="000000"/>
          <w:szCs w:val="24"/>
          <w:lang w:val="en-US"/>
        </w:rPr>
        <w:t xml:space="preserve">, </w:t>
      </w:r>
      <w:r>
        <w:rPr>
          <w:color w:val="000000"/>
          <w:szCs w:val="24"/>
          <w:lang w:val="en-US"/>
        </w:rPr>
        <w:t xml:space="preserve">M. M. </w:t>
      </w:r>
      <w:proofErr w:type="spellStart"/>
      <w:r w:rsidR="00396FEA" w:rsidRPr="004704BD">
        <w:rPr>
          <w:color w:val="000000"/>
          <w:szCs w:val="24"/>
          <w:lang w:val="en-US"/>
        </w:rPr>
        <w:t>Mikhailov</w:t>
      </w:r>
      <w:proofErr w:type="spellEnd"/>
      <w:r>
        <w:rPr>
          <w:color w:val="000000"/>
          <w:szCs w:val="24"/>
          <w:lang w:val="en-US"/>
        </w:rPr>
        <w:t>,</w:t>
      </w:r>
      <w:r w:rsidR="00396FEA" w:rsidRPr="004704BD">
        <w:rPr>
          <w:color w:val="000000"/>
          <w:szCs w:val="24"/>
          <w:lang w:val="en-US"/>
        </w:rPr>
        <w:t xml:space="preserve"> </w:t>
      </w:r>
      <w:r w:rsidR="00396FEA" w:rsidRPr="00D34DBF">
        <w:rPr>
          <w:i/>
          <w:color w:val="000000"/>
          <w:szCs w:val="24"/>
          <w:lang w:val="en-US"/>
        </w:rPr>
        <w:t>International Journal of Chemical, Nuclear, Metallurgical and Materials Engineering</w:t>
      </w:r>
      <w:r w:rsidR="00F148C0" w:rsidRPr="004704BD">
        <w:rPr>
          <w:color w:val="000000"/>
          <w:szCs w:val="24"/>
          <w:lang w:val="en-US"/>
        </w:rPr>
        <w:t>,</w:t>
      </w:r>
      <w:r w:rsidR="00DB07A7">
        <w:rPr>
          <w:color w:val="000000"/>
          <w:szCs w:val="24"/>
          <w:lang w:val="en-US"/>
        </w:rPr>
        <w:t xml:space="preserve"> </w:t>
      </w:r>
      <w:r w:rsidR="00DB07A7" w:rsidRPr="00D34DBF">
        <w:rPr>
          <w:b/>
          <w:color w:val="000000"/>
          <w:szCs w:val="24"/>
          <w:lang w:val="en-US"/>
        </w:rPr>
        <w:t>2014</w:t>
      </w:r>
      <w:r w:rsidR="00DB07A7">
        <w:rPr>
          <w:color w:val="000000"/>
          <w:szCs w:val="24"/>
          <w:lang w:val="en-US"/>
        </w:rPr>
        <w:t>,</w:t>
      </w:r>
      <w:r w:rsidR="00F148C0" w:rsidRPr="004704BD">
        <w:rPr>
          <w:color w:val="000000"/>
          <w:szCs w:val="24"/>
          <w:lang w:val="en-US"/>
        </w:rPr>
        <w:t xml:space="preserve"> </w:t>
      </w:r>
      <w:r w:rsidR="00396FEA" w:rsidRPr="008A72DB">
        <w:rPr>
          <w:i/>
          <w:color w:val="000000"/>
          <w:szCs w:val="24"/>
          <w:lang w:val="en-US"/>
        </w:rPr>
        <w:t>8</w:t>
      </w:r>
      <w:r w:rsidR="00914AAB">
        <w:rPr>
          <w:color w:val="000000"/>
          <w:szCs w:val="24"/>
          <w:lang w:val="en-US"/>
        </w:rPr>
        <w:t>,</w:t>
      </w:r>
      <w:r w:rsidR="00396FEA" w:rsidRPr="004704BD">
        <w:rPr>
          <w:color w:val="000000"/>
          <w:szCs w:val="24"/>
          <w:lang w:val="en-US"/>
        </w:rPr>
        <w:t xml:space="preserve"> 388-392</w:t>
      </w:r>
      <w:r w:rsidR="00603A7B">
        <w:rPr>
          <w:color w:val="000000"/>
          <w:szCs w:val="24"/>
          <w:lang w:val="en-US"/>
        </w:rPr>
        <w:t>.</w:t>
      </w:r>
    </w:p>
    <w:p w:rsidR="00E82989" w:rsidRPr="004704BD" w:rsidRDefault="00D03DCE" w:rsidP="00EC44D2">
      <w:pPr>
        <w:numPr>
          <w:ilvl w:val="0"/>
          <w:numId w:val="1"/>
        </w:numPr>
        <w:spacing w:after="0" w:line="360" w:lineRule="auto"/>
        <w:ind w:left="426" w:hanging="426"/>
        <w:contextualSpacing/>
        <w:jc w:val="both"/>
        <w:rPr>
          <w:lang w:val="en-US"/>
        </w:rPr>
      </w:pPr>
      <w:r>
        <w:rPr>
          <w:lang w:val="en-US"/>
        </w:rPr>
        <w:t xml:space="preserve">M. S. </w:t>
      </w:r>
      <w:hyperlink r:id="rId17">
        <w:r w:rsidR="00396FEA" w:rsidRPr="004704BD">
          <w:rPr>
            <w:rStyle w:val="czeinternetowe"/>
            <w:color w:val="000000"/>
            <w:szCs w:val="24"/>
            <w:u w:val="none"/>
            <w:lang w:val="en-US"/>
          </w:rPr>
          <w:t>Spencer</w:t>
        </w:r>
      </w:hyperlink>
      <w:r>
        <w:rPr>
          <w:rStyle w:val="czeinternetowe"/>
          <w:color w:val="000000"/>
          <w:szCs w:val="24"/>
          <w:u w:val="none"/>
          <w:lang w:val="en-US"/>
        </w:rPr>
        <w:t>,</w:t>
      </w:r>
      <w:r w:rsidR="00396FEA" w:rsidRPr="004704BD">
        <w:rPr>
          <w:color w:val="000000"/>
          <w:szCs w:val="24"/>
          <w:lang w:val="en-US"/>
        </w:rPr>
        <w:t xml:space="preserve"> </w:t>
      </w:r>
      <w:hyperlink r:id="rId18">
        <w:r w:rsidR="00396FEA" w:rsidRPr="00D34DBF">
          <w:rPr>
            <w:rStyle w:val="czeinternetowe"/>
            <w:i/>
            <w:color w:val="000000"/>
            <w:szCs w:val="24"/>
            <w:u w:val="none"/>
            <w:lang w:val="en-US"/>
          </w:rPr>
          <w:t>Top</w:t>
        </w:r>
        <w:r w:rsidR="00123087" w:rsidRPr="00D34DBF">
          <w:rPr>
            <w:rStyle w:val="czeinternetowe"/>
            <w:i/>
            <w:color w:val="000000"/>
            <w:szCs w:val="24"/>
            <w:u w:val="none"/>
            <w:lang w:val="en-US"/>
          </w:rPr>
          <w:t>.</w:t>
        </w:r>
        <w:r w:rsidR="00396FEA" w:rsidRPr="00D34DBF">
          <w:rPr>
            <w:rStyle w:val="czeinternetowe"/>
            <w:i/>
            <w:color w:val="000000"/>
            <w:szCs w:val="24"/>
            <w:u w:val="none"/>
            <w:lang w:val="en-US"/>
          </w:rPr>
          <w:t xml:space="preserve"> </w:t>
        </w:r>
        <w:proofErr w:type="spellStart"/>
        <w:r w:rsidR="00396FEA" w:rsidRPr="00D34DBF">
          <w:rPr>
            <w:rStyle w:val="czeinternetowe"/>
            <w:i/>
            <w:color w:val="000000"/>
            <w:szCs w:val="24"/>
            <w:u w:val="none"/>
            <w:lang w:val="en-US"/>
          </w:rPr>
          <w:t>Catal</w:t>
        </w:r>
        <w:proofErr w:type="spellEnd"/>
      </w:hyperlink>
      <w:bookmarkStart w:id="0" w:name="date"/>
      <w:bookmarkEnd w:id="0"/>
      <w:r w:rsidR="00C07E36">
        <w:rPr>
          <w:rStyle w:val="czeinternetowe"/>
          <w:color w:val="000000"/>
          <w:szCs w:val="24"/>
          <w:u w:val="none"/>
          <w:lang w:val="en-US"/>
        </w:rPr>
        <w:t xml:space="preserve">. </w:t>
      </w:r>
      <w:r w:rsidR="00C07E36" w:rsidRPr="00F81B8D">
        <w:rPr>
          <w:rStyle w:val="czeinternetowe"/>
          <w:b/>
          <w:color w:val="000000"/>
          <w:szCs w:val="24"/>
          <w:u w:val="none"/>
          <w:lang w:val="en-US"/>
        </w:rPr>
        <w:t>1999</w:t>
      </w:r>
      <w:r w:rsidR="00C07E36">
        <w:rPr>
          <w:rStyle w:val="czeinternetowe"/>
          <w:color w:val="000000"/>
          <w:szCs w:val="24"/>
          <w:u w:val="none"/>
          <w:lang w:val="en-US"/>
        </w:rPr>
        <w:t>,</w:t>
      </w:r>
      <w:r w:rsidR="00C75343" w:rsidRPr="004704BD">
        <w:rPr>
          <w:rStyle w:val="czeinternetowe"/>
          <w:color w:val="000000"/>
          <w:szCs w:val="24"/>
          <w:u w:val="none"/>
          <w:lang w:val="en-US"/>
        </w:rPr>
        <w:t xml:space="preserve"> </w:t>
      </w:r>
      <w:bookmarkStart w:id="1" w:name="volume-range"/>
      <w:bookmarkEnd w:id="1"/>
      <w:r w:rsidR="00947E42" w:rsidRPr="008A72DB">
        <w:rPr>
          <w:i/>
          <w:color w:val="000000"/>
          <w:szCs w:val="24"/>
          <w:lang w:val="en-US"/>
        </w:rPr>
        <w:t>8</w:t>
      </w:r>
      <w:r w:rsidR="00914AAB">
        <w:rPr>
          <w:color w:val="000000"/>
          <w:szCs w:val="24"/>
          <w:lang w:val="en-US"/>
        </w:rPr>
        <w:t>,</w:t>
      </w:r>
      <w:r w:rsidR="00396FEA" w:rsidRPr="004704BD">
        <w:rPr>
          <w:color w:val="000000"/>
          <w:szCs w:val="24"/>
          <w:lang w:val="en-US"/>
        </w:rPr>
        <w:t> </w:t>
      </w:r>
      <w:bookmarkStart w:id="2" w:name="page-range"/>
      <w:bookmarkEnd w:id="2"/>
      <w:r w:rsidR="00396FEA" w:rsidRPr="004704BD">
        <w:rPr>
          <w:color w:val="000000"/>
          <w:szCs w:val="24"/>
          <w:lang w:val="en-US"/>
        </w:rPr>
        <w:t>259-266</w:t>
      </w:r>
      <w:r w:rsidR="00603A7B">
        <w:rPr>
          <w:color w:val="000000"/>
          <w:szCs w:val="24"/>
          <w:lang w:val="en-US"/>
        </w:rPr>
        <w:t>.</w:t>
      </w:r>
    </w:p>
    <w:p w:rsidR="00E82989" w:rsidRPr="004704BD" w:rsidRDefault="00966F75" w:rsidP="00EC44D2">
      <w:pPr>
        <w:numPr>
          <w:ilvl w:val="0"/>
          <w:numId w:val="1"/>
        </w:numPr>
        <w:spacing w:after="0" w:line="360" w:lineRule="auto"/>
        <w:ind w:left="426" w:hanging="426"/>
        <w:contextualSpacing/>
        <w:jc w:val="both"/>
        <w:rPr>
          <w:lang w:val="en-US"/>
        </w:rPr>
      </w:pPr>
      <w:r>
        <w:rPr>
          <w:lang w:val="en-US"/>
        </w:rPr>
        <w:t xml:space="preserve">W. A. </w:t>
      </w:r>
      <w:r w:rsidR="00584D72" w:rsidRPr="004704BD">
        <w:rPr>
          <w:lang w:val="en-US"/>
        </w:rPr>
        <w:t>Lazier</w:t>
      </w:r>
      <w:r>
        <w:rPr>
          <w:lang w:val="en-US"/>
        </w:rPr>
        <w:t>, H.</w:t>
      </w:r>
      <w:r w:rsidR="00584D72" w:rsidRPr="004704BD">
        <w:rPr>
          <w:lang w:val="en-US"/>
        </w:rPr>
        <w:t xml:space="preserve"> </w:t>
      </w:r>
      <w:hyperlink r:id="rId19">
        <w:bookmarkStart w:id="3" w:name="authors"/>
        <w:bookmarkEnd w:id="3"/>
        <w:r w:rsidR="00396FEA" w:rsidRPr="004704BD">
          <w:rPr>
            <w:rStyle w:val="czeinternetowe"/>
            <w:color w:val="000000"/>
            <w:szCs w:val="24"/>
            <w:u w:val="none"/>
            <w:lang w:val="en-US"/>
          </w:rPr>
          <w:t>Adkin</w:t>
        </w:r>
      </w:hyperlink>
      <w:r w:rsidR="00396FEA" w:rsidRPr="004704BD">
        <w:rPr>
          <w:color w:val="000000"/>
          <w:szCs w:val="24"/>
          <w:lang w:val="en-US"/>
        </w:rPr>
        <w:t>s</w:t>
      </w:r>
      <w:r>
        <w:rPr>
          <w:color w:val="000000"/>
          <w:szCs w:val="24"/>
          <w:lang w:val="en-US"/>
        </w:rPr>
        <w:t>,</w:t>
      </w:r>
      <w:r w:rsidR="00396FEA" w:rsidRPr="004704BD">
        <w:rPr>
          <w:color w:val="000000"/>
          <w:szCs w:val="24"/>
          <w:lang w:val="en-US"/>
        </w:rPr>
        <w:t xml:space="preserve"> </w:t>
      </w:r>
      <w:r w:rsidR="00396FEA" w:rsidRPr="00D34DBF">
        <w:rPr>
          <w:rStyle w:val="Cytat1"/>
          <w:color w:val="000000"/>
          <w:szCs w:val="24"/>
          <w:lang w:val="en-US"/>
        </w:rPr>
        <w:t>J</w:t>
      </w:r>
      <w:r w:rsidR="00123087" w:rsidRPr="00D34DBF">
        <w:rPr>
          <w:rStyle w:val="Cytat1"/>
          <w:color w:val="000000"/>
          <w:szCs w:val="24"/>
          <w:lang w:val="en-US"/>
        </w:rPr>
        <w:t>.</w:t>
      </w:r>
      <w:r w:rsidR="00396FEA" w:rsidRPr="00D34DBF">
        <w:rPr>
          <w:rStyle w:val="Cytat1"/>
          <w:color w:val="000000"/>
          <w:szCs w:val="24"/>
          <w:lang w:val="en-US"/>
        </w:rPr>
        <w:t xml:space="preserve"> Am</w:t>
      </w:r>
      <w:r w:rsidR="00123087" w:rsidRPr="00D34DBF">
        <w:rPr>
          <w:rStyle w:val="Cytat1"/>
          <w:color w:val="000000"/>
          <w:szCs w:val="24"/>
          <w:lang w:val="en-US"/>
        </w:rPr>
        <w:t>.</w:t>
      </w:r>
      <w:r w:rsidR="00396FEA" w:rsidRPr="00D34DBF">
        <w:rPr>
          <w:rStyle w:val="Cytat1"/>
          <w:color w:val="000000"/>
          <w:szCs w:val="24"/>
          <w:lang w:val="en-US"/>
        </w:rPr>
        <w:t xml:space="preserve"> </w:t>
      </w:r>
      <w:r w:rsidR="00BC5ABA" w:rsidRPr="00D34DBF">
        <w:rPr>
          <w:rStyle w:val="Cytat1"/>
          <w:color w:val="000000"/>
          <w:szCs w:val="24"/>
          <w:lang w:val="en-US"/>
        </w:rPr>
        <w:t>Chem</w:t>
      </w:r>
      <w:r w:rsidR="00123087" w:rsidRPr="00D34DBF">
        <w:rPr>
          <w:rStyle w:val="Cytat1"/>
          <w:color w:val="000000"/>
          <w:szCs w:val="24"/>
          <w:lang w:val="en-US"/>
        </w:rPr>
        <w:t>.</w:t>
      </w:r>
      <w:r w:rsidR="00BC5ABA" w:rsidRPr="00D34DBF">
        <w:rPr>
          <w:rStyle w:val="Cytat1"/>
          <w:color w:val="000000"/>
          <w:szCs w:val="24"/>
          <w:lang w:val="en-US"/>
        </w:rPr>
        <w:t xml:space="preserve"> </w:t>
      </w:r>
      <w:r w:rsidR="00BC5ABA" w:rsidRPr="006264BE">
        <w:rPr>
          <w:rStyle w:val="Cytat1"/>
          <w:color w:val="000000"/>
          <w:szCs w:val="24"/>
          <w:lang w:val="en-US"/>
        </w:rPr>
        <w:t>Soc</w:t>
      </w:r>
      <w:r w:rsidR="00C07E36" w:rsidRPr="006264BE">
        <w:rPr>
          <w:rStyle w:val="Cytat1"/>
          <w:i w:val="0"/>
          <w:color w:val="000000"/>
          <w:szCs w:val="24"/>
          <w:lang w:val="en-US"/>
        </w:rPr>
        <w:t xml:space="preserve">. </w:t>
      </w:r>
      <w:r w:rsidR="00C07E36" w:rsidRPr="006264BE">
        <w:rPr>
          <w:b/>
          <w:color w:val="000000"/>
          <w:szCs w:val="24"/>
          <w:lang w:val="en-US"/>
        </w:rPr>
        <w:t>1925</w:t>
      </w:r>
      <w:r w:rsidR="00C07E36" w:rsidRPr="006264BE">
        <w:rPr>
          <w:color w:val="000000"/>
          <w:szCs w:val="24"/>
          <w:lang w:val="en-US"/>
        </w:rPr>
        <w:t>,</w:t>
      </w:r>
      <w:r w:rsidR="00396FEA" w:rsidRPr="004704BD">
        <w:rPr>
          <w:color w:val="000000"/>
          <w:szCs w:val="24"/>
          <w:lang w:val="en-US"/>
        </w:rPr>
        <w:t> </w:t>
      </w:r>
      <w:r w:rsidR="00BC5ABA" w:rsidRPr="008A72DB">
        <w:rPr>
          <w:i/>
          <w:color w:val="000000"/>
          <w:szCs w:val="24"/>
          <w:lang w:val="en-US"/>
        </w:rPr>
        <w:t>47</w:t>
      </w:r>
      <w:r w:rsidR="00914AAB">
        <w:rPr>
          <w:color w:val="000000"/>
          <w:szCs w:val="24"/>
          <w:lang w:val="en-US"/>
        </w:rPr>
        <w:t>,</w:t>
      </w:r>
      <w:r w:rsidR="000E46C5">
        <w:rPr>
          <w:color w:val="000000"/>
          <w:szCs w:val="24"/>
          <w:lang w:val="en-US"/>
        </w:rPr>
        <w:t> 1719-</w:t>
      </w:r>
      <w:r w:rsidR="00396FEA" w:rsidRPr="004704BD">
        <w:rPr>
          <w:color w:val="000000"/>
          <w:szCs w:val="24"/>
          <w:lang w:val="en-US"/>
        </w:rPr>
        <w:t>1722</w:t>
      </w:r>
      <w:r w:rsidR="00603A7B">
        <w:rPr>
          <w:color w:val="000000"/>
          <w:szCs w:val="24"/>
          <w:lang w:val="en-US"/>
        </w:rPr>
        <w:t>.</w:t>
      </w:r>
    </w:p>
    <w:p w:rsidR="00E82989" w:rsidRPr="00C63075" w:rsidRDefault="00B927F6" w:rsidP="00EC44D2">
      <w:pPr>
        <w:numPr>
          <w:ilvl w:val="0"/>
          <w:numId w:val="1"/>
        </w:numPr>
        <w:spacing w:after="0" w:line="360" w:lineRule="auto"/>
        <w:ind w:left="426" w:hanging="426"/>
        <w:contextualSpacing/>
        <w:jc w:val="both"/>
        <w:rPr>
          <w:lang w:val="en-US"/>
        </w:rPr>
      </w:pPr>
      <w:r>
        <w:rPr>
          <w:color w:val="000000"/>
          <w:szCs w:val="24"/>
          <w:lang w:val="en-US"/>
        </w:rPr>
        <w:t xml:space="preserve">L. O. </w:t>
      </w:r>
      <w:r w:rsidR="00CE5804" w:rsidRPr="004704BD">
        <w:rPr>
          <w:color w:val="000000"/>
          <w:szCs w:val="24"/>
          <w:lang w:val="en-US"/>
        </w:rPr>
        <w:t xml:space="preserve">Upton, </w:t>
      </w:r>
      <w:r>
        <w:rPr>
          <w:color w:val="000000"/>
          <w:szCs w:val="24"/>
          <w:lang w:val="en-US"/>
        </w:rPr>
        <w:t>R. W</w:t>
      </w:r>
      <w:r w:rsidRPr="00D87F7F">
        <w:rPr>
          <w:color w:val="000000"/>
          <w:szCs w:val="24"/>
          <w:lang w:val="en-US"/>
        </w:rPr>
        <w:t xml:space="preserve">. </w:t>
      </w:r>
      <w:r w:rsidR="00CE5804" w:rsidRPr="00D87F7F">
        <w:rPr>
          <w:color w:val="000000"/>
          <w:szCs w:val="24"/>
          <w:lang w:val="en-US"/>
        </w:rPr>
        <w:t xml:space="preserve">Young, </w:t>
      </w:r>
      <w:r w:rsidR="00396FEA" w:rsidRPr="00D87F7F">
        <w:rPr>
          <w:color w:val="000000"/>
          <w:szCs w:val="24"/>
          <w:lang w:val="en-US"/>
        </w:rPr>
        <w:t>Neutral glasses and method of making</w:t>
      </w:r>
      <w:r w:rsidR="00396FEA" w:rsidRPr="004704BD">
        <w:rPr>
          <w:color w:val="000000"/>
          <w:szCs w:val="24"/>
          <w:lang w:val="en-US"/>
        </w:rPr>
        <w:t xml:space="preserve"> the same</w:t>
      </w:r>
      <w:r w:rsidR="00625FF6">
        <w:rPr>
          <w:color w:val="000000"/>
          <w:szCs w:val="24"/>
          <w:lang w:val="en-US"/>
        </w:rPr>
        <w:t>,</w:t>
      </w:r>
      <w:r w:rsidR="00396FEA" w:rsidRPr="004704BD">
        <w:rPr>
          <w:color w:val="000000"/>
          <w:szCs w:val="24"/>
          <w:lang w:val="en-US"/>
        </w:rPr>
        <w:br/>
        <w:t xml:space="preserve">US </w:t>
      </w:r>
      <w:r w:rsidR="00625FF6">
        <w:rPr>
          <w:color w:val="000000"/>
          <w:szCs w:val="24"/>
          <w:lang w:val="en-US"/>
        </w:rPr>
        <w:t>P</w:t>
      </w:r>
      <w:r w:rsidR="00CE5804" w:rsidRPr="003D5534">
        <w:rPr>
          <w:color w:val="000000"/>
          <w:szCs w:val="24"/>
          <w:lang w:val="en-US"/>
        </w:rPr>
        <w:t xml:space="preserve">atent </w:t>
      </w:r>
      <w:r w:rsidR="00625FF6">
        <w:rPr>
          <w:color w:val="000000"/>
          <w:szCs w:val="24"/>
          <w:lang w:val="en-US"/>
        </w:rPr>
        <w:t xml:space="preserve">Number </w:t>
      </w:r>
      <w:r w:rsidR="000E46C5" w:rsidRPr="003D5534">
        <w:rPr>
          <w:color w:val="000000"/>
          <w:szCs w:val="24"/>
          <w:lang w:val="en-US"/>
        </w:rPr>
        <w:t>3</w:t>
      </w:r>
      <w:r w:rsidR="00625FF6">
        <w:rPr>
          <w:color w:val="000000"/>
          <w:szCs w:val="24"/>
          <w:lang w:val="en-US"/>
        </w:rPr>
        <w:t>,</w:t>
      </w:r>
      <w:r w:rsidR="000E46C5" w:rsidRPr="003D5534">
        <w:rPr>
          <w:color w:val="000000"/>
          <w:szCs w:val="24"/>
          <w:lang w:val="en-US"/>
        </w:rPr>
        <w:t>010</w:t>
      </w:r>
      <w:r w:rsidR="00625FF6">
        <w:rPr>
          <w:color w:val="000000"/>
          <w:szCs w:val="24"/>
          <w:lang w:val="en-US"/>
        </w:rPr>
        <w:t>,</w:t>
      </w:r>
      <w:r w:rsidR="000E46C5" w:rsidRPr="00C63075">
        <w:rPr>
          <w:color w:val="000000"/>
          <w:szCs w:val="24"/>
          <w:lang w:val="en-US"/>
        </w:rPr>
        <w:t>836 A</w:t>
      </w:r>
      <w:r w:rsidR="00625FF6" w:rsidRPr="00C63075">
        <w:rPr>
          <w:color w:val="000000"/>
          <w:szCs w:val="24"/>
          <w:lang w:val="en-US"/>
        </w:rPr>
        <w:t xml:space="preserve">, date of patent </w:t>
      </w:r>
      <w:r w:rsidR="00D87F7F" w:rsidRPr="00C63075">
        <w:rPr>
          <w:color w:val="000000"/>
          <w:szCs w:val="24"/>
          <w:lang w:val="en-US"/>
        </w:rPr>
        <w:t xml:space="preserve">November 28, </w:t>
      </w:r>
      <w:r w:rsidR="00D87F7F" w:rsidRPr="00C63075">
        <w:rPr>
          <w:b/>
          <w:color w:val="000000"/>
          <w:szCs w:val="24"/>
          <w:lang w:val="en-US"/>
        </w:rPr>
        <w:t>1961</w:t>
      </w:r>
      <w:r w:rsidR="00D87F7F" w:rsidRPr="00C63075">
        <w:rPr>
          <w:color w:val="000000"/>
          <w:szCs w:val="24"/>
          <w:lang w:val="en-US"/>
        </w:rPr>
        <w:t>.</w:t>
      </w:r>
    </w:p>
    <w:p w:rsidR="00F40AF8" w:rsidRPr="003D5534" w:rsidRDefault="00B927F6" w:rsidP="00EC44D2">
      <w:pPr>
        <w:numPr>
          <w:ilvl w:val="0"/>
          <w:numId w:val="1"/>
        </w:numPr>
        <w:spacing w:after="0" w:line="360" w:lineRule="auto"/>
        <w:ind w:left="426" w:hanging="426"/>
        <w:contextualSpacing/>
        <w:jc w:val="both"/>
        <w:rPr>
          <w:lang w:val="en-US"/>
        </w:rPr>
      </w:pPr>
      <w:r w:rsidRPr="00C63075">
        <w:rPr>
          <w:color w:val="000000"/>
          <w:szCs w:val="24"/>
          <w:lang w:val="en-US"/>
        </w:rPr>
        <w:t xml:space="preserve">V. H. </w:t>
      </w:r>
      <w:proofErr w:type="spellStart"/>
      <w:r w:rsidR="00F40AF8" w:rsidRPr="00C63075">
        <w:rPr>
          <w:color w:val="000000"/>
          <w:szCs w:val="24"/>
          <w:lang w:val="en-US"/>
        </w:rPr>
        <w:t>Batdorf</w:t>
      </w:r>
      <w:proofErr w:type="spellEnd"/>
      <w:r w:rsidR="00F40AF8" w:rsidRPr="00C63075">
        <w:rPr>
          <w:color w:val="000000"/>
          <w:szCs w:val="24"/>
          <w:lang w:val="en-US"/>
        </w:rPr>
        <w:t xml:space="preserve">, </w:t>
      </w:r>
      <w:r w:rsidRPr="00C63075">
        <w:rPr>
          <w:color w:val="000000"/>
          <w:szCs w:val="24"/>
          <w:lang w:val="en-US"/>
        </w:rPr>
        <w:t xml:space="preserve">T. R. </w:t>
      </w:r>
      <w:r w:rsidR="00F40AF8" w:rsidRPr="00C63075">
        <w:rPr>
          <w:color w:val="000000"/>
          <w:szCs w:val="24"/>
          <w:lang w:val="en-US"/>
        </w:rPr>
        <w:t xml:space="preserve">Anderson, </w:t>
      </w:r>
      <w:r w:rsidR="00396FEA" w:rsidRPr="00C63075">
        <w:rPr>
          <w:color w:val="000000"/>
          <w:szCs w:val="24"/>
          <w:lang w:val="en-US"/>
        </w:rPr>
        <w:t>Ultra violet light protectiv</w:t>
      </w:r>
      <w:r w:rsidR="00396FEA" w:rsidRPr="00C63075">
        <w:rPr>
          <w:color w:val="000000"/>
          <w:szCs w:val="24"/>
          <w:shd w:val="clear" w:color="auto" w:fill="FFFFFF"/>
          <w:lang w:val="en-US"/>
        </w:rPr>
        <w:t>e coating</w:t>
      </w:r>
      <w:r w:rsidR="00B86715">
        <w:rPr>
          <w:color w:val="000000"/>
          <w:szCs w:val="24"/>
          <w:shd w:val="clear" w:color="auto" w:fill="FFFFFF"/>
          <w:lang w:val="en-US"/>
        </w:rPr>
        <w:t>,</w:t>
      </w:r>
      <w:r w:rsidR="00396FEA" w:rsidRPr="003D5534">
        <w:rPr>
          <w:color w:val="000000"/>
          <w:szCs w:val="24"/>
          <w:shd w:val="clear" w:color="auto" w:fill="FFFFFF"/>
          <w:lang w:val="en-US"/>
        </w:rPr>
        <w:t xml:space="preserve"> CA</w:t>
      </w:r>
      <w:r w:rsidR="00B86715">
        <w:rPr>
          <w:color w:val="000000"/>
          <w:szCs w:val="24"/>
          <w:shd w:val="clear" w:color="auto" w:fill="FFFFFF"/>
          <w:lang w:val="en-US"/>
        </w:rPr>
        <w:t xml:space="preserve"> P</w:t>
      </w:r>
      <w:r w:rsidR="000E46C5" w:rsidRPr="003D5534">
        <w:rPr>
          <w:color w:val="000000"/>
          <w:szCs w:val="24"/>
          <w:shd w:val="clear" w:color="auto" w:fill="FFFFFF"/>
          <w:lang w:val="en-US"/>
        </w:rPr>
        <w:t>atent</w:t>
      </w:r>
      <w:r w:rsidR="00B86715">
        <w:rPr>
          <w:color w:val="000000"/>
          <w:szCs w:val="24"/>
          <w:shd w:val="clear" w:color="auto" w:fill="FFFFFF"/>
          <w:lang w:val="en-US"/>
        </w:rPr>
        <w:t xml:space="preserve"> Number</w:t>
      </w:r>
      <w:r w:rsidR="000E46C5" w:rsidRPr="003D5534">
        <w:rPr>
          <w:color w:val="000000"/>
          <w:szCs w:val="24"/>
          <w:shd w:val="clear" w:color="auto" w:fill="FFFFFF"/>
          <w:lang w:val="en-US"/>
        </w:rPr>
        <w:t xml:space="preserve"> 2</w:t>
      </w:r>
      <w:r w:rsidR="00B86715">
        <w:rPr>
          <w:color w:val="000000"/>
          <w:szCs w:val="24"/>
          <w:shd w:val="clear" w:color="auto" w:fill="FFFFFF"/>
          <w:lang w:val="en-US"/>
        </w:rPr>
        <w:t>,</w:t>
      </w:r>
      <w:r w:rsidR="000E46C5" w:rsidRPr="003D5534">
        <w:rPr>
          <w:color w:val="000000"/>
          <w:szCs w:val="24"/>
          <w:shd w:val="clear" w:color="auto" w:fill="FFFFFF"/>
          <w:lang w:val="en-US"/>
        </w:rPr>
        <w:t>202</w:t>
      </w:r>
      <w:r w:rsidR="00B86715">
        <w:rPr>
          <w:color w:val="000000"/>
          <w:szCs w:val="24"/>
          <w:shd w:val="clear" w:color="auto" w:fill="FFFFFF"/>
          <w:lang w:val="en-US"/>
        </w:rPr>
        <w:t>,</w:t>
      </w:r>
      <w:r w:rsidR="000E46C5" w:rsidRPr="003D5534">
        <w:rPr>
          <w:color w:val="000000"/>
          <w:szCs w:val="24"/>
          <w:shd w:val="clear" w:color="auto" w:fill="FFFFFF"/>
          <w:lang w:val="en-US"/>
        </w:rPr>
        <w:t>587 C</w:t>
      </w:r>
      <w:r w:rsidR="00C63075">
        <w:rPr>
          <w:color w:val="000000"/>
          <w:szCs w:val="24"/>
          <w:shd w:val="clear" w:color="auto" w:fill="FFFFFF"/>
          <w:lang w:val="en-US"/>
        </w:rPr>
        <w:t xml:space="preserve">, date of patent October 30, </w:t>
      </w:r>
      <w:r w:rsidR="00C63075" w:rsidRPr="00C63075">
        <w:rPr>
          <w:b/>
          <w:color w:val="000000"/>
          <w:szCs w:val="24"/>
          <w:shd w:val="clear" w:color="auto" w:fill="FFFFFF"/>
          <w:lang w:val="en-US"/>
        </w:rPr>
        <w:t>2012</w:t>
      </w:r>
      <w:r w:rsidR="00C63075">
        <w:rPr>
          <w:color w:val="000000"/>
          <w:szCs w:val="24"/>
          <w:shd w:val="clear" w:color="auto" w:fill="FFFFFF"/>
          <w:lang w:val="en-US"/>
        </w:rPr>
        <w:t>.</w:t>
      </w:r>
    </w:p>
    <w:p w:rsidR="00303383" w:rsidRPr="004704BD" w:rsidRDefault="00B927F6" w:rsidP="00EC44D2">
      <w:pPr>
        <w:numPr>
          <w:ilvl w:val="0"/>
          <w:numId w:val="1"/>
        </w:numPr>
        <w:spacing w:after="0" w:line="360" w:lineRule="auto"/>
        <w:ind w:left="426" w:hanging="426"/>
        <w:contextualSpacing/>
        <w:jc w:val="both"/>
        <w:rPr>
          <w:lang w:val="en-GB"/>
        </w:rPr>
      </w:pPr>
      <w:r w:rsidRPr="003D5534">
        <w:rPr>
          <w:color w:val="000000"/>
          <w:szCs w:val="24"/>
          <w:lang w:val="en-US"/>
        </w:rPr>
        <w:t xml:space="preserve">A. A. </w:t>
      </w:r>
      <w:proofErr w:type="spellStart"/>
      <w:r w:rsidR="0035055C" w:rsidRPr="003D5534">
        <w:rPr>
          <w:color w:val="000000"/>
          <w:szCs w:val="24"/>
          <w:lang w:val="en-US"/>
        </w:rPr>
        <w:t>Tayel</w:t>
      </w:r>
      <w:proofErr w:type="spellEnd"/>
      <w:r w:rsidR="00B451D1" w:rsidRPr="003D5534">
        <w:rPr>
          <w:color w:val="000000"/>
          <w:szCs w:val="24"/>
          <w:lang w:val="en-US"/>
        </w:rPr>
        <w:t xml:space="preserve">, </w:t>
      </w:r>
      <w:r w:rsidRPr="003D5534">
        <w:rPr>
          <w:color w:val="000000"/>
          <w:szCs w:val="24"/>
          <w:lang w:val="en-US"/>
        </w:rPr>
        <w:t xml:space="preserve">W. F. </w:t>
      </w:r>
      <w:r w:rsidR="00B451D1" w:rsidRPr="003D5534">
        <w:rPr>
          <w:color w:val="000000"/>
          <w:szCs w:val="24"/>
          <w:lang w:val="en-US"/>
        </w:rPr>
        <w:t>El-</w:t>
      </w:r>
      <w:proofErr w:type="spellStart"/>
      <w:r w:rsidR="00B451D1" w:rsidRPr="003D5534">
        <w:rPr>
          <w:color w:val="000000"/>
          <w:szCs w:val="24"/>
          <w:lang w:val="en-US"/>
        </w:rPr>
        <w:t>Tras</w:t>
      </w:r>
      <w:proofErr w:type="spellEnd"/>
      <w:r w:rsidR="0035055C" w:rsidRPr="003D5534">
        <w:rPr>
          <w:color w:val="000000"/>
          <w:szCs w:val="24"/>
          <w:lang w:val="en-US"/>
        </w:rPr>
        <w:t xml:space="preserve">, </w:t>
      </w:r>
      <w:r w:rsidRPr="003D5534">
        <w:rPr>
          <w:color w:val="000000"/>
          <w:szCs w:val="24"/>
          <w:lang w:val="en-US"/>
        </w:rPr>
        <w:t xml:space="preserve">S. </w:t>
      </w:r>
      <w:r w:rsidR="0035055C" w:rsidRPr="003D5534">
        <w:rPr>
          <w:color w:val="000000"/>
          <w:szCs w:val="24"/>
          <w:lang w:val="en-US"/>
        </w:rPr>
        <w:t xml:space="preserve">Moussa, </w:t>
      </w:r>
      <w:r w:rsidRPr="003D5534">
        <w:rPr>
          <w:color w:val="000000"/>
          <w:szCs w:val="24"/>
          <w:lang w:val="en-US"/>
        </w:rPr>
        <w:t xml:space="preserve">A. F. </w:t>
      </w:r>
      <w:r w:rsidR="0035055C" w:rsidRPr="003D5534">
        <w:rPr>
          <w:color w:val="000000"/>
          <w:szCs w:val="24"/>
          <w:lang w:val="en-US"/>
        </w:rPr>
        <w:t xml:space="preserve">El-Baz, </w:t>
      </w:r>
      <w:r w:rsidRPr="003D5534">
        <w:rPr>
          <w:color w:val="000000"/>
          <w:szCs w:val="24"/>
          <w:lang w:val="en-US"/>
        </w:rPr>
        <w:t xml:space="preserve">H. </w:t>
      </w:r>
      <w:proofErr w:type="spellStart"/>
      <w:r w:rsidR="0035055C" w:rsidRPr="003D5534">
        <w:rPr>
          <w:color w:val="000000"/>
          <w:szCs w:val="24"/>
          <w:lang w:val="en-US"/>
        </w:rPr>
        <w:t>Mahrous</w:t>
      </w:r>
      <w:proofErr w:type="spellEnd"/>
      <w:r w:rsidR="00B451D1" w:rsidRPr="003D5534">
        <w:rPr>
          <w:color w:val="000000"/>
          <w:szCs w:val="24"/>
          <w:lang w:val="en-US"/>
        </w:rPr>
        <w:t xml:space="preserve">, </w:t>
      </w:r>
      <w:r w:rsidRPr="003D5534">
        <w:rPr>
          <w:color w:val="000000"/>
          <w:szCs w:val="24"/>
          <w:lang w:val="en-US"/>
        </w:rPr>
        <w:t xml:space="preserve">M. F. </w:t>
      </w:r>
      <w:r w:rsidR="00B451D1" w:rsidRPr="003D5534">
        <w:rPr>
          <w:color w:val="000000"/>
          <w:szCs w:val="24"/>
          <w:lang w:val="en-US"/>
        </w:rPr>
        <w:t>Salem</w:t>
      </w:r>
      <w:r w:rsidR="0035055C" w:rsidRPr="003D5534">
        <w:rPr>
          <w:color w:val="000000"/>
          <w:szCs w:val="24"/>
          <w:lang w:val="en-US"/>
        </w:rPr>
        <w:t xml:space="preserve">, </w:t>
      </w:r>
      <w:r w:rsidR="003D5534" w:rsidRPr="003D5534">
        <w:rPr>
          <w:color w:val="000000"/>
          <w:szCs w:val="24"/>
          <w:lang w:val="en-US"/>
        </w:rPr>
        <w:t xml:space="preserve">L. </w:t>
      </w:r>
      <w:proofErr w:type="spellStart"/>
      <w:r w:rsidR="003D5534" w:rsidRPr="003D5534">
        <w:rPr>
          <w:color w:val="000000"/>
          <w:szCs w:val="24"/>
          <w:lang w:val="en-US"/>
        </w:rPr>
        <w:t>Brimer</w:t>
      </w:r>
      <w:proofErr w:type="spellEnd"/>
      <w:r w:rsidR="003D5534" w:rsidRPr="003D5534">
        <w:rPr>
          <w:color w:val="000000"/>
          <w:szCs w:val="24"/>
          <w:lang w:val="en-US"/>
        </w:rPr>
        <w:t>,</w:t>
      </w:r>
      <w:r w:rsidR="0035055C" w:rsidRPr="004704BD">
        <w:rPr>
          <w:color w:val="000000"/>
          <w:szCs w:val="24"/>
          <w:lang w:val="en-US"/>
        </w:rPr>
        <w:t xml:space="preserve"> </w:t>
      </w:r>
      <w:r w:rsidR="00396FEA" w:rsidRPr="00D34DBF">
        <w:rPr>
          <w:i/>
          <w:color w:val="000000"/>
          <w:szCs w:val="24"/>
          <w:lang w:val="en-US"/>
        </w:rPr>
        <w:t>J</w:t>
      </w:r>
      <w:r w:rsidR="00D34DBF">
        <w:rPr>
          <w:i/>
          <w:color w:val="000000"/>
          <w:szCs w:val="24"/>
          <w:lang w:val="en-US"/>
        </w:rPr>
        <w:t>.</w:t>
      </w:r>
      <w:r w:rsidR="00CB6105" w:rsidRPr="00D34DBF">
        <w:rPr>
          <w:i/>
          <w:color w:val="000000"/>
          <w:szCs w:val="24"/>
          <w:lang w:val="en-US"/>
        </w:rPr>
        <w:t xml:space="preserve"> Food Safety</w:t>
      </w:r>
      <w:r w:rsidR="00D943B1">
        <w:rPr>
          <w:color w:val="000000"/>
          <w:szCs w:val="24"/>
          <w:lang w:val="en-US"/>
        </w:rPr>
        <w:t xml:space="preserve">. </w:t>
      </w:r>
      <w:r w:rsidR="00D943B1" w:rsidRPr="00F81B8D">
        <w:rPr>
          <w:b/>
          <w:color w:val="000000"/>
          <w:szCs w:val="24"/>
          <w:lang w:val="en-US"/>
        </w:rPr>
        <w:t>2011</w:t>
      </w:r>
      <w:r w:rsidR="00D943B1">
        <w:rPr>
          <w:color w:val="000000"/>
          <w:szCs w:val="24"/>
          <w:lang w:val="en-US"/>
        </w:rPr>
        <w:t>,</w:t>
      </w:r>
      <w:r w:rsidR="00396FEA" w:rsidRPr="004704BD">
        <w:rPr>
          <w:color w:val="000000"/>
          <w:szCs w:val="24"/>
          <w:lang w:val="en-US"/>
        </w:rPr>
        <w:t xml:space="preserve"> </w:t>
      </w:r>
      <w:r w:rsidR="00396FEA" w:rsidRPr="008A72DB">
        <w:rPr>
          <w:i/>
          <w:color w:val="000000"/>
          <w:szCs w:val="24"/>
          <w:lang w:val="en-US"/>
        </w:rPr>
        <w:t>31</w:t>
      </w:r>
      <w:r w:rsidR="00914AAB">
        <w:rPr>
          <w:color w:val="000000"/>
          <w:szCs w:val="24"/>
          <w:lang w:val="en-US"/>
        </w:rPr>
        <w:t>,</w:t>
      </w:r>
      <w:r w:rsidR="00303383" w:rsidRPr="004704BD">
        <w:rPr>
          <w:color w:val="000000"/>
          <w:szCs w:val="24"/>
          <w:lang w:val="en-US"/>
        </w:rPr>
        <w:t xml:space="preserve"> </w:t>
      </w:r>
      <w:r w:rsidR="002018DC">
        <w:rPr>
          <w:color w:val="000000"/>
          <w:szCs w:val="24"/>
          <w:lang w:val="en-US"/>
        </w:rPr>
        <w:t>211-</w:t>
      </w:r>
      <w:r w:rsidR="000E46C5">
        <w:rPr>
          <w:color w:val="000000"/>
          <w:szCs w:val="24"/>
          <w:lang w:val="en-US"/>
        </w:rPr>
        <w:t>218</w:t>
      </w:r>
      <w:r w:rsidR="00603A7B">
        <w:rPr>
          <w:color w:val="000000"/>
          <w:szCs w:val="24"/>
          <w:lang w:val="en-US"/>
        </w:rPr>
        <w:t>.</w:t>
      </w:r>
    </w:p>
    <w:p w:rsidR="00E82989" w:rsidRPr="004704BD" w:rsidRDefault="00B927F6" w:rsidP="00EC44D2">
      <w:pPr>
        <w:numPr>
          <w:ilvl w:val="0"/>
          <w:numId w:val="1"/>
        </w:numPr>
        <w:spacing w:after="0" w:line="360" w:lineRule="auto"/>
        <w:ind w:left="426" w:hanging="426"/>
        <w:contextualSpacing/>
        <w:jc w:val="both"/>
        <w:rPr>
          <w:lang w:val="en-US"/>
        </w:rPr>
      </w:pPr>
      <w:r w:rsidRPr="00B927F6">
        <w:rPr>
          <w:lang w:val="en-GB"/>
        </w:rPr>
        <w:t>J.</w:t>
      </w:r>
      <w:r>
        <w:rPr>
          <w:lang w:val="en-GB"/>
        </w:rPr>
        <w:t xml:space="preserve"> W. </w:t>
      </w:r>
      <w:hyperlink r:id="rId20">
        <w:bookmarkStart w:id="4" w:name="authors8"/>
        <w:bookmarkEnd w:id="4"/>
        <w:r w:rsidR="00396FEA" w:rsidRPr="004704BD">
          <w:rPr>
            <w:rStyle w:val="czeinternetowe"/>
            <w:color w:val="000000"/>
            <w:szCs w:val="24"/>
            <w:u w:val="none"/>
            <w:lang w:val="en-US"/>
          </w:rPr>
          <w:t>Wan</w:t>
        </w:r>
      </w:hyperlink>
      <w:r w:rsidR="00396FEA" w:rsidRPr="004704BD">
        <w:rPr>
          <w:color w:val="000000"/>
          <w:szCs w:val="24"/>
          <w:lang w:val="en-US"/>
        </w:rPr>
        <w:t>g</w:t>
      </w:r>
      <w:r w:rsidR="004309AE" w:rsidRPr="004704BD">
        <w:rPr>
          <w:color w:val="000000"/>
          <w:szCs w:val="24"/>
          <w:lang w:val="en-US"/>
        </w:rPr>
        <w:t>,</w:t>
      </w:r>
      <w:r w:rsidR="00396FEA" w:rsidRPr="004704BD">
        <w:rPr>
          <w:color w:val="000000"/>
          <w:szCs w:val="24"/>
          <w:lang w:val="en-US"/>
        </w:rPr>
        <w:t> </w:t>
      </w:r>
      <w:r>
        <w:rPr>
          <w:color w:val="000000"/>
          <w:szCs w:val="24"/>
          <w:lang w:val="en-US"/>
        </w:rPr>
        <w:t xml:space="preserve">A. </w:t>
      </w:r>
      <w:hyperlink r:id="rId21">
        <w:bookmarkStart w:id="5" w:name="authors7"/>
        <w:bookmarkEnd w:id="5"/>
        <w:r w:rsidR="00396FEA" w:rsidRPr="00B927F6">
          <w:rPr>
            <w:rStyle w:val="czeinternetowe"/>
            <w:color w:val="000000"/>
            <w:szCs w:val="24"/>
            <w:u w:val="none"/>
            <w:lang w:val="en-GB"/>
          </w:rPr>
          <w:t>Cao</w:t>
        </w:r>
      </w:hyperlink>
      <w:r w:rsidR="00396FEA" w:rsidRPr="00B927F6">
        <w:rPr>
          <w:color w:val="000000"/>
          <w:szCs w:val="24"/>
          <w:lang w:val="en-GB"/>
        </w:rPr>
        <w:t>,</w:t>
      </w:r>
      <w:hyperlink r:id="rId22">
        <w:bookmarkStart w:id="6" w:name="authors6"/>
        <w:bookmarkEnd w:id="6"/>
        <w:r w:rsidR="00396FEA" w:rsidRPr="00B927F6">
          <w:rPr>
            <w:rStyle w:val="czeinternetowe"/>
            <w:color w:val="000000"/>
            <w:szCs w:val="24"/>
            <w:u w:val="none"/>
            <w:lang w:val="en-GB"/>
          </w:rPr>
          <w:t xml:space="preserve"> </w:t>
        </w:r>
        <w:r w:rsidRPr="00B927F6">
          <w:rPr>
            <w:rStyle w:val="czeinternetowe"/>
            <w:color w:val="000000"/>
            <w:szCs w:val="24"/>
            <w:u w:val="none"/>
            <w:lang w:val="en-GB"/>
          </w:rPr>
          <w:t xml:space="preserve">Y. </w:t>
        </w:r>
        <w:r w:rsidR="00396FEA" w:rsidRPr="00B927F6">
          <w:rPr>
            <w:rStyle w:val="czeinternetowe"/>
            <w:color w:val="000000"/>
            <w:szCs w:val="24"/>
            <w:u w:val="none"/>
            <w:lang w:val="en-GB"/>
          </w:rPr>
          <w:t>Jiang</w:t>
        </w:r>
      </w:hyperlink>
      <w:r w:rsidR="004309AE" w:rsidRPr="00B927F6">
        <w:rPr>
          <w:rStyle w:val="czeinternetowe"/>
          <w:color w:val="000000"/>
          <w:szCs w:val="24"/>
          <w:u w:val="none"/>
          <w:lang w:val="en-GB"/>
        </w:rPr>
        <w:t>,</w:t>
      </w:r>
      <w:hyperlink r:id="rId23">
        <w:bookmarkStart w:id="7" w:name="authors5"/>
        <w:bookmarkEnd w:id="7"/>
        <w:r w:rsidR="00396FEA" w:rsidRPr="003D5534">
          <w:rPr>
            <w:rStyle w:val="czeinternetowe"/>
            <w:color w:val="000000"/>
            <w:szCs w:val="24"/>
            <w:u w:val="none"/>
            <w:lang w:val="en-GB"/>
          </w:rPr>
          <w:t xml:space="preserve"> </w:t>
        </w:r>
        <w:r w:rsidRPr="003D5534">
          <w:rPr>
            <w:rStyle w:val="czeinternetowe"/>
            <w:color w:val="000000"/>
            <w:szCs w:val="24"/>
            <w:u w:val="none"/>
            <w:lang w:val="en-GB"/>
          </w:rPr>
          <w:t xml:space="preserve">X. </w:t>
        </w:r>
        <w:r w:rsidR="00396FEA" w:rsidRPr="003D5534">
          <w:rPr>
            <w:rStyle w:val="czeinternetowe"/>
            <w:color w:val="000000"/>
            <w:szCs w:val="24"/>
            <w:u w:val="none"/>
            <w:lang w:val="en-GB"/>
          </w:rPr>
          <w:t>Zhang</w:t>
        </w:r>
      </w:hyperlink>
      <w:r w:rsidR="00396FEA" w:rsidRPr="003D5534">
        <w:rPr>
          <w:color w:val="000000"/>
          <w:szCs w:val="24"/>
          <w:lang w:val="en-GB"/>
        </w:rPr>
        <w:t>, </w:t>
      </w:r>
      <w:r w:rsidRPr="003D5534">
        <w:rPr>
          <w:color w:val="000000"/>
          <w:szCs w:val="24"/>
          <w:lang w:val="en-GB"/>
        </w:rPr>
        <w:t xml:space="preserve">J. H. </w:t>
      </w:r>
      <w:hyperlink r:id="rId24">
        <w:bookmarkStart w:id="8" w:name="authors4"/>
        <w:bookmarkEnd w:id="8"/>
        <w:r w:rsidR="00396FEA" w:rsidRPr="003D5534">
          <w:rPr>
            <w:rStyle w:val="czeinternetowe"/>
            <w:color w:val="000000"/>
            <w:szCs w:val="24"/>
            <w:u w:val="none"/>
            <w:lang w:val="en-GB"/>
          </w:rPr>
          <w:t>Liu</w:t>
        </w:r>
      </w:hyperlink>
      <w:r w:rsidR="00396FEA" w:rsidRPr="003D5534">
        <w:rPr>
          <w:color w:val="000000"/>
          <w:szCs w:val="24"/>
          <w:lang w:val="en-GB"/>
        </w:rPr>
        <w:t>, </w:t>
      </w:r>
      <w:r w:rsidRPr="003D5534">
        <w:rPr>
          <w:color w:val="000000"/>
          <w:szCs w:val="24"/>
          <w:lang w:val="en-GB"/>
        </w:rPr>
        <w:t xml:space="preserve">Y. </w:t>
      </w:r>
      <w:hyperlink r:id="rId25">
        <w:bookmarkStart w:id="9" w:name="authors3"/>
        <w:bookmarkEnd w:id="9"/>
        <w:r w:rsidR="00396FEA" w:rsidRPr="003D5534">
          <w:rPr>
            <w:rStyle w:val="czeinternetowe"/>
            <w:color w:val="000000"/>
            <w:szCs w:val="24"/>
            <w:u w:val="none"/>
            <w:lang w:val="en-GB"/>
          </w:rPr>
          <w:t>Liu</w:t>
        </w:r>
      </w:hyperlink>
      <w:r w:rsidR="00396FEA" w:rsidRPr="003D5534">
        <w:rPr>
          <w:color w:val="000000"/>
          <w:szCs w:val="24"/>
          <w:lang w:val="en-GB"/>
        </w:rPr>
        <w:t>,</w:t>
      </w:r>
      <w:r w:rsidR="003D5534" w:rsidRPr="003D5534">
        <w:rPr>
          <w:color w:val="000000"/>
          <w:szCs w:val="24"/>
          <w:lang w:val="en-GB"/>
        </w:rPr>
        <w:t xml:space="preserve"> W. Hang,</w:t>
      </w:r>
      <w:r w:rsidR="00396FEA" w:rsidRPr="004704BD">
        <w:rPr>
          <w:color w:val="000000"/>
          <w:szCs w:val="24"/>
          <w:lang w:val="en-US"/>
        </w:rPr>
        <w:t xml:space="preserve"> </w:t>
      </w:r>
      <w:r w:rsidR="000B3000" w:rsidRPr="00D34DBF">
        <w:rPr>
          <w:rStyle w:val="Cytat1"/>
          <w:color w:val="000000"/>
          <w:szCs w:val="24"/>
          <w:lang w:val="en-US"/>
        </w:rPr>
        <w:t>ACS Appl</w:t>
      </w:r>
      <w:r w:rsidR="00123087" w:rsidRPr="00D34DBF">
        <w:rPr>
          <w:rStyle w:val="Cytat1"/>
          <w:color w:val="000000"/>
          <w:szCs w:val="24"/>
          <w:lang w:val="en-US"/>
        </w:rPr>
        <w:t>.</w:t>
      </w:r>
      <w:r w:rsidR="00396FEA" w:rsidRPr="00D34DBF">
        <w:rPr>
          <w:rStyle w:val="Cytat1"/>
          <w:color w:val="000000"/>
          <w:szCs w:val="24"/>
          <w:lang w:val="en-US"/>
        </w:rPr>
        <w:t xml:space="preserve"> Mater</w:t>
      </w:r>
      <w:r w:rsidR="00123087" w:rsidRPr="00D34DBF">
        <w:rPr>
          <w:rStyle w:val="Cytat1"/>
          <w:color w:val="000000"/>
          <w:szCs w:val="24"/>
          <w:lang w:val="en-US"/>
        </w:rPr>
        <w:t>.</w:t>
      </w:r>
      <w:r w:rsidR="00396FEA" w:rsidRPr="00D34DBF">
        <w:rPr>
          <w:rStyle w:val="Cytat1"/>
          <w:color w:val="000000"/>
          <w:szCs w:val="24"/>
          <w:lang w:val="en-US"/>
        </w:rPr>
        <w:t xml:space="preserve"> Interfaces</w:t>
      </w:r>
      <w:r w:rsidR="008E5191">
        <w:rPr>
          <w:rStyle w:val="Cytat1"/>
          <w:i w:val="0"/>
          <w:color w:val="000000"/>
          <w:szCs w:val="24"/>
          <w:lang w:val="en-US"/>
        </w:rPr>
        <w:t xml:space="preserve">. </w:t>
      </w:r>
      <w:r w:rsidR="008E5191" w:rsidRPr="00F81B8D">
        <w:rPr>
          <w:rStyle w:val="Cytat1"/>
          <w:b/>
          <w:i w:val="0"/>
          <w:color w:val="000000"/>
          <w:szCs w:val="24"/>
          <w:lang w:val="en-US"/>
        </w:rPr>
        <w:t>2014</w:t>
      </w:r>
      <w:r w:rsidR="008E5191">
        <w:rPr>
          <w:rStyle w:val="Cytat1"/>
          <w:i w:val="0"/>
          <w:color w:val="000000"/>
          <w:szCs w:val="24"/>
          <w:lang w:val="en-US"/>
        </w:rPr>
        <w:t>,</w:t>
      </w:r>
      <w:r w:rsidR="003D6FD1" w:rsidRPr="004704BD">
        <w:rPr>
          <w:rStyle w:val="Cytat1"/>
          <w:i w:val="0"/>
          <w:color w:val="000000"/>
          <w:szCs w:val="24"/>
          <w:lang w:val="en-US"/>
        </w:rPr>
        <w:t xml:space="preserve"> </w:t>
      </w:r>
      <w:r w:rsidR="003D6FD1" w:rsidRPr="008A72DB">
        <w:rPr>
          <w:rStyle w:val="Cytat1"/>
          <w:color w:val="000000"/>
          <w:szCs w:val="24"/>
          <w:lang w:val="en-US"/>
        </w:rPr>
        <w:t>6</w:t>
      </w:r>
      <w:r w:rsidR="00914AAB">
        <w:rPr>
          <w:rStyle w:val="Cytat1"/>
          <w:i w:val="0"/>
          <w:color w:val="000000"/>
          <w:szCs w:val="24"/>
          <w:lang w:val="en-US"/>
        </w:rPr>
        <w:t>,</w:t>
      </w:r>
      <w:r w:rsidR="003D6FD1" w:rsidRPr="004704BD">
        <w:rPr>
          <w:rStyle w:val="Cytat1"/>
          <w:i w:val="0"/>
          <w:color w:val="000000"/>
          <w:szCs w:val="24"/>
          <w:lang w:val="en-US"/>
        </w:rPr>
        <w:t xml:space="preserve"> </w:t>
      </w:r>
      <w:r w:rsidR="000E46C5">
        <w:rPr>
          <w:color w:val="000000"/>
          <w:szCs w:val="24"/>
          <w:lang w:val="en-US"/>
        </w:rPr>
        <w:t>2791-2798</w:t>
      </w:r>
      <w:r w:rsidR="00603A7B">
        <w:rPr>
          <w:color w:val="000000"/>
          <w:szCs w:val="24"/>
          <w:lang w:val="en-US"/>
        </w:rPr>
        <w:t>.</w:t>
      </w:r>
    </w:p>
    <w:p w:rsidR="00E82989" w:rsidRPr="004704BD" w:rsidRDefault="00B927F6" w:rsidP="00EC44D2">
      <w:pPr>
        <w:numPr>
          <w:ilvl w:val="0"/>
          <w:numId w:val="1"/>
        </w:numPr>
        <w:spacing w:after="0" w:line="360" w:lineRule="auto"/>
        <w:ind w:left="426" w:hanging="426"/>
        <w:contextualSpacing/>
        <w:jc w:val="both"/>
        <w:rPr>
          <w:lang w:val="en-US"/>
        </w:rPr>
      </w:pPr>
      <w:r>
        <w:rPr>
          <w:lang w:val="en-US"/>
        </w:rPr>
        <w:t xml:space="preserve">R. </w:t>
      </w:r>
      <w:proofErr w:type="spellStart"/>
      <w:r w:rsidR="00396FEA" w:rsidRPr="004704BD">
        <w:rPr>
          <w:lang w:val="en-US"/>
        </w:rPr>
        <w:t>Rajendran</w:t>
      </w:r>
      <w:proofErr w:type="spellEnd"/>
      <w:r w:rsidR="00396FEA" w:rsidRPr="004704BD">
        <w:rPr>
          <w:lang w:val="en-US"/>
        </w:rPr>
        <w:t xml:space="preserve">, </w:t>
      </w:r>
      <w:r>
        <w:rPr>
          <w:lang w:val="en-US"/>
        </w:rPr>
        <w:t xml:space="preserve">C. </w:t>
      </w:r>
      <w:proofErr w:type="spellStart"/>
      <w:r w:rsidR="00396FEA" w:rsidRPr="004704BD">
        <w:rPr>
          <w:lang w:val="en-US"/>
        </w:rPr>
        <w:t>Balakumar</w:t>
      </w:r>
      <w:proofErr w:type="spellEnd"/>
      <w:r w:rsidR="00396FEA" w:rsidRPr="004704BD">
        <w:rPr>
          <w:lang w:val="en-US"/>
        </w:rPr>
        <w:t xml:space="preserve">, </w:t>
      </w:r>
      <w:r>
        <w:rPr>
          <w:lang w:val="en-US"/>
        </w:rPr>
        <w:t xml:space="preserve">H. A. M. </w:t>
      </w:r>
      <w:proofErr w:type="spellStart"/>
      <w:r w:rsidR="00396FEA" w:rsidRPr="004704BD">
        <w:rPr>
          <w:lang w:val="en-US"/>
        </w:rPr>
        <w:t>Ahammed</w:t>
      </w:r>
      <w:proofErr w:type="spellEnd"/>
      <w:r>
        <w:rPr>
          <w:lang w:val="en-US"/>
        </w:rPr>
        <w:t>,</w:t>
      </w:r>
      <w:r w:rsidR="00396FEA" w:rsidRPr="004704BD">
        <w:rPr>
          <w:lang w:val="en-US"/>
        </w:rPr>
        <w:t xml:space="preserve"> </w:t>
      </w:r>
      <w:r>
        <w:rPr>
          <w:lang w:val="en-US"/>
        </w:rPr>
        <w:t xml:space="preserve">S. </w:t>
      </w:r>
      <w:r w:rsidR="00396FEA" w:rsidRPr="004704BD">
        <w:rPr>
          <w:lang w:val="en-US"/>
        </w:rPr>
        <w:t>Jayakumar</w:t>
      </w:r>
      <w:r w:rsidR="0055076E" w:rsidRPr="004704BD">
        <w:rPr>
          <w:lang w:val="en-US"/>
        </w:rPr>
        <w:t>,</w:t>
      </w:r>
      <w:r w:rsidR="00396FEA" w:rsidRPr="004704BD">
        <w:rPr>
          <w:lang w:val="en-US"/>
        </w:rPr>
        <w:t xml:space="preserve"> </w:t>
      </w:r>
      <w:r>
        <w:rPr>
          <w:lang w:val="en-US"/>
        </w:rPr>
        <w:t xml:space="preserve">K. </w:t>
      </w:r>
      <w:proofErr w:type="spellStart"/>
      <w:r w:rsidR="00396FEA" w:rsidRPr="004704BD">
        <w:rPr>
          <w:lang w:val="en-US"/>
        </w:rPr>
        <w:t>Vaideki</w:t>
      </w:r>
      <w:proofErr w:type="spellEnd"/>
      <w:r w:rsidR="00396FEA" w:rsidRPr="004704BD">
        <w:rPr>
          <w:lang w:val="en-US"/>
        </w:rPr>
        <w:t xml:space="preserve">, </w:t>
      </w:r>
      <w:r>
        <w:rPr>
          <w:lang w:val="en-US"/>
        </w:rPr>
        <w:t xml:space="preserve">E. M. </w:t>
      </w:r>
      <w:r w:rsidR="00396FEA" w:rsidRPr="004704BD">
        <w:rPr>
          <w:lang w:val="en-US"/>
        </w:rPr>
        <w:t>Rajesh</w:t>
      </w:r>
      <w:r>
        <w:rPr>
          <w:lang w:val="en-US"/>
        </w:rPr>
        <w:t>,</w:t>
      </w:r>
      <w:r w:rsidR="00396FEA" w:rsidRPr="004704BD">
        <w:rPr>
          <w:lang w:val="en-US"/>
        </w:rPr>
        <w:t xml:space="preserve"> </w:t>
      </w:r>
      <w:r w:rsidR="00396FEA" w:rsidRPr="00D34DBF">
        <w:rPr>
          <w:i/>
          <w:lang w:val="en-US"/>
        </w:rPr>
        <w:t>Int</w:t>
      </w:r>
      <w:r w:rsidR="00123087" w:rsidRPr="00D34DBF">
        <w:rPr>
          <w:i/>
          <w:lang w:val="en-US"/>
        </w:rPr>
        <w:t>.</w:t>
      </w:r>
      <w:r w:rsidR="00396FEA" w:rsidRPr="00D34DBF">
        <w:rPr>
          <w:i/>
          <w:lang w:val="en-US"/>
        </w:rPr>
        <w:t xml:space="preserve"> J</w:t>
      </w:r>
      <w:r w:rsidR="00123087" w:rsidRPr="00D34DBF">
        <w:rPr>
          <w:i/>
          <w:lang w:val="en-US"/>
        </w:rPr>
        <w:t>.</w:t>
      </w:r>
      <w:r w:rsidR="00750E89" w:rsidRPr="00D34DBF">
        <w:rPr>
          <w:i/>
          <w:lang w:val="en-US"/>
        </w:rPr>
        <w:t xml:space="preserve"> </w:t>
      </w:r>
      <w:r w:rsidR="00396FEA" w:rsidRPr="00D34DBF">
        <w:rPr>
          <w:i/>
          <w:lang w:val="en-US"/>
        </w:rPr>
        <w:t>Eng</w:t>
      </w:r>
      <w:r w:rsidR="00123087" w:rsidRPr="00D34DBF">
        <w:rPr>
          <w:i/>
          <w:lang w:val="en-US"/>
        </w:rPr>
        <w:t>.</w:t>
      </w:r>
      <w:r w:rsidR="00750E89" w:rsidRPr="00D34DBF">
        <w:rPr>
          <w:i/>
          <w:lang w:val="en-US"/>
        </w:rPr>
        <w:t xml:space="preserve"> </w:t>
      </w:r>
      <w:r w:rsidR="00396FEA" w:rsidRPr="00D34DBF">
        <w:rPr>
          <w:i/>
          <w:lang w:val="en-US"/>
        </w:rPr>
        <w:t>Sci</w:t>
      </w:r>
      <w:r w:rsidR="00123087" w:rsidRPr="00D34DBF">
        <w:rPr>
          <w:i/>
          <w:lang w:val="en-US"/>
        </w:rPr>
        <w:t>.</w:t>
      </w:r>
      <w:r w:rsidR="00750E89" w:rsidRPr="00D34DBF">
        <w:rPr>
          <w:i/>
          <w:lang w:val="en-US"/>
        </w:rPr>
        <w:t xml:space="preserve"> </w:t>
      </w:r>
      <w:r w:rsidR="00396FEA" w:rsidRPr="00D34DBF">
        <w:rPr>
          <w:i/>
          <w:lang w:val="en-US"/>
        </w:rPr>
        <w:t>Technol</w:t>
      </w:r>
      <w:r w:rsidR="008E5191">
        <w:rPr>
          <w:lang w:val="en-US"/>
        </w:rPr>
        <w:t xml:space="preserve">. </w:t>
      </w:r>
      <w:r w:rsidR="008E5191" w:rsidRPr="00F81B8D">
        <w:rPr>
          <w:b/>
          <w:lang w:val="en-US"/>
        </w:rPr>
        <w:t>2010</w:t>
      </w:r>
      <w:r w:rsidR="008E5191">
        <w:rPr>
          <w:lang w:val="en-US"/>
        </w:rPr>
        <w:t>,</w:t>
      </w:r>
      <w:r w:rsidR="00750E89" w:rsidRPr="004704BD">
        <w:rPr>
          <w:lang w:val="en-US"/>
        </w:rPr>
        <w:t xml:space="preserve"> </w:t>
      </w:r>
      <w:r w:rsidR="00396FEA" w:rsidRPr="008A72DB">
        <w:rPr>
          <w:i/>
          <w:lang w:val="en-US"/>
        </w:rPr>
        <w:t>2</w:t>
      </w:r>
      <w:r w:rsidR="00914AAB">
        <w:rPr>
          <w:lang w:val="en-US"/>
        </w:rPr>
        <w:t>,</w:t>
      </w:r>
      <w:r w:rsidR="00396FEA" w:rsidRPr="004704BD">
        <w:rPr>
          <w:lang w:val="en-US"/>
        </w:rPr>
        <w:t xml:space="preserve"> 202-208</w:t>
      </w:r>
      <w:r w:rsidR="00603A7B">
        <w:rPr>
          <w:lang w:val="en-US"/>
        </w:rPr>
        <w:t>.</w:t>
      </w:r>
    </w:p>
    <w:p w:rsidR="0085277E" w:rsidRPr="004704BD" w:rsidRDefault="00D64221" w:rsidP="00EC44D2">
      <w:pPr>
        <w:numPr>
          <w:ilvl w:val="0"/>
          <w:numId w:val="1"/>
        </w:numPr>
        <w:spacing w:after="0" w:line="360" w:lineRule="auto"/>
        <w:ind w:left="426" w:hanging="426"/>
        <w:contextualSpacing/>
        <w:jc w:val="both"/>
        <w:rPr>
          <w:color w:val="auto"/>
          <w:szCs w:val="24"/>
          <w:lang w:val="en-US"/>
        </w:rPr>
      </w:pPr>
      <w:r w:rsidRPr="00C84914">
        <w:rPr>
          <w:rStyle w:val="Mocnowyrniony"/>
          <w:b w:val="0"/>
          <w:bCs w:val="0"/>
          <w:color w:val="000000"/>
          <w:szCs w:val="24"/>
        </w:rPr>
        <w:t xml:space="preserve">S. </w:t>
      </w:r>
      <w:r w:rsidR="00396FEA" w:rsidRPr="00C84914">
        <w:rPr>
          <w:rStyle w:val="Mocnowyrniony"/>
          <w:b w:val="0"/>
          <w:bCs w:val="0"/>
          <w:color w:val="000000"/>
          <w:szCs w:val="24"/>
        </w:rPr>
        <w:t>Kumar</w:t>
      </w:r>
      <w:r w:rsidR="00396FEA" w:rsidRPr="00C84914">
        <w:rPr>
          <w:color w:val="000000"/>
          <w:szCs w:val="24"/>
        </w:rPr>
        <w:t>, </w:t>
      </w:r>
      <w:r w:rsidRPr="00C84914">
        <w:rPr>
          <w:color w:val="000000"/>
          <w:szCs w:val="24"/>
        </w:rPr>
        <w:t xml:space="preserve">P. </w:t>
      </w:r>
      <w:proofErr w:type="spellStart"/>
      <w:r w:rsidR="00396FEA" w:rsidRPr="00C84914">
        <w:rPr>
          <w:rStyle w:val="Mocnowyrniony"/>
          <w:b w:val="0"/>
          <w:bCs w:val="0"/>
          <w:color w:val="000000"/>
          <w:szCs w:val="24"/>
        </w:rPr>
        <w:t>Venkateswarlu</w:t>
      </w:r>
      <w:proofErr w:type="spellEnd"/>
      <w:r w:rsidR="00396FEA" w:rsidRPr="00C84914">
        <w:rPr>
          <w:color w:val="000000"/>
          <w:szCs w:val="24"/>
        </w:rPr>
        <w:t>,</w:t>
      </w:r>
      <w:r w:rsidRPr="00C84914">
        <w:rPr>
          <w:color w:val="000000"/>
          <w:szCs w:val="24"/>
        </w:rPr>
        <w:t xml:space="preserve"> V. R.</w:t>
      </w:r>
      <w:r w:rsidR="00396FEA" w:rsidRPr="00C84914">
        <w:rPr>
          <w:color w:val="000000"/>
          <w:szCs w:val="24"/>
        </w:rPr>
        <w:t> </w:t>
      </w:r>
      <w:proofErr w:type="spellStart"/>
      <w:r w:rsidR="00396FEA" w:rsidRPr="00C84914">
        <w:rPr>
          <w:rStyle w:val="Mocnowyrniony"/>
          <w:b w:val="0"/>
          <w:bCs w:val="0"/>
          <w:color w:val="000000"/>
          <w:szCs w:val="24"/>
        </w:rPr>
        <w:t>Rao</w:t>
      </w:r>
      <w:proofErr w:type="spellEnd"/>
      <w:r w:rsidRPr="00C84914">
        <w:rPr>
          <w:rStyle w:val="Mocnowyrniony"/>
          <w:b w:val="0"/>
          <w:bCs w:val="0"/>
          <w:color w:val="000000"/>
          <w:szCs w:val="24"/>
        </w:rPr>
        <w:t>,</w:t>
      </w:r>
      <w:r w:rsidR="00396FEA" w:rsidRPr="00C84914">
        <w:rPr>
          <w:color w:val="000000"/>
          <w:szCs w:val="24"/>
        </w:rPr>
        <w:t> </w:t>
      </w:r>
      <w:r w:rsidRPr="00C84914">
        <w:rPr>
          <w:color w:val="000000"/>
          <w:szCs w:val="24"/>
        </w:rPr>
        <w:t xml:space="preserve">G. N. </w:t>
      </w:r>
      <w:proofErr w:type="spellStart"/>
      <w:r w:rsidR="00396FEA" w:rsidRPr="00C84914">
        <w:rPr>
          <w:rStyle w:val="Mocnowyrniony"/>
          <w:b w:val="0"/>
          <w:bCs w:val="0"/>
          <w:color w:val="000000"/>
          <w:szCs w:val="24"/>
        </w:rPr>
        <w:t>Rao</w:t>
      </w:r>
      <w:proofErr w:type="spellEnd"/>
      <w:r w:rsidRPr="00C84914">
        <w:rPr>
          <w:rStyle w:val="Mocnowyrniony"/>
          <w:b w:val="0"/>
          <w:bCs w:val="0"/>
          <w:color w:val="000000"/>
          <w:szCs w:val="24"/>
        </w:rPr>
        <w:t>,</w:t>
      </w:r>
      <w:r w:rsidR="00396FEA" w:rsidRPr="00C84914">
        <w:rPr>
          <w:rStyle w:val="Mocnowyrniony"/>
          <w:b w:val="0"/>
          <w:bCs w:val="0"/>
          <w:color w:val="000000"/>
          <w:szCs w:val="24"/>
        </w:rPr>
        <w:t xml:space="preserve"> </w:t>
      </w:r>
      <w:proofErr w:type="spellStart"/>
      <w:r w:rsidR="0085277E" w:rsidRPr="00C84914">
        <w:rPr>
          <w:i/>
          <w:color w:val="000000"/>
          <w:szCs w:val="24"/>
        </w:rPr>
        <w:t>Int</w:t>
      </w:r>
      <w:proofErr w:type="spellEnd"/>
      <w:r w:rsidR="00123087" w:rsidRPr="00C84914">
        <w:rPr>
          <w:i/>
          <w:color w:val="000000"/>
          <w:szCs w:val="24"/>
        </w:rPr>
        <w:t>.</w:t>
      </w:r>
      <w:r w:rsidR="0085277E" w:rsidRPr="00C84914">
        <w:rPr>
          <w:i/>
          <w:color w:val="000000"/>
          <w:szCs w:val="24"/>
        </w:rPr>
        <w:t xml:space="preserve"> Nano</w:t>
      </w:r>
      <w:r w:rsidR="00123087" w:rsidRPr="00C84914">
        <w:rPr>
          <w:i/>
          <w:color w:val="000000"/>
          <w:szCs w:val="24"/>
        </w:rPr>
        <w:t>.</w:t>
      </w:r>
      <w:r w:rsidR="0085277E" w:rsidRPr="00C84914">
        <w:rPr>
          <w:i/>
          <w:color w:val="000000"/>
          <w:szCs w:val="24"/>
        </w:rPr>
        <w:t xml:space="preserve"> </w:t>
      </w:r>
      <w:r w:rsidR="0085277E" w:rsidRPr="00D34DBF">
        <w:rPr>
          <w:i/>
          <w:color w:val="000000"/>
          <w:szCs w:val="24"/>
          <w:lang w:val="en-US"/>
        </w:rPr>
        <w:t>Lett</w:t>
      </w:r>
      <w:r w:rsidR="00890B79">
        <w:rPr>
          <w:color w:val="000000"/>
          <w:szCs w:val="24"/>
          <w:lang w:val="en-US"/>
        </w:rPr>
        <w:t xml:space="preserve">. </w:t>
      </w:r>
      <w:r w:rsidR="00890B79" w:rsidRPr="00F81B8D">
        <w:rPr>
          <w:b/>
          <w:color w:val="000000"/>
          <w:szCs w:val="24"/>
          <w:lang w:val="en-US"/>
        </w:rPr>
        <w:t>2013</w:t>
      </w:r>
      <w:r w:rsidR="00890B79">
        <w:rPr>
          <w:color w:val="000000"/>
          <w:szCs w:val="24"/>
          <w:lang w:val="en-US"/>
        </w:rPr>
        <w:t>,</w:t>
      </w:r>
      <w:r w:rsidR="0085277E" w:rsidRPr="004704BD">
        <w:rPr>
          <w:color w:val="000000"/>
          <w:szCs w:val="24"/>
          <w:lang w:val="en-US"/>
        </w:rPr>
        <w:t xml:space="preserve"> </w:t>
      </w:r>
      <w:r w:rsidR="000E46C5" w:rsidRPr="008A72DB">
        <w:rPr>
          <w:i/>
          <w:color w:val="000000"/>
          <w:szCs w:val="24"/>
          <w:lang w:val="en-US"/>
        </w:rPr>
        <w:t>3</w:t>
      </w:r>
      <w:r w:rsidR="00914AAB">
        <w:rPr>
          <w:color w:val="000000"/>
          <w:szCs w:val="24"/>
          <w:lang w:val="en-US"/>
        </w:rPr>
        <w:t>,</w:t>
      </w:r>
      <w:r w:rsidR="000E46C5">
        <w:rPr>
          <w:color w:val="000000"/>
          <w:szCs w:val="24"/>
          <w:lang w:val="en-US"/>
        </w:rPr>
        <w:t xml:space="preserve"> 30-35</w:t>
      </w:r>
      <w:r w:rsidR="00603A7B">
        <w:rPr>
          <w:color w:val="000000"/>
          <w:szCs w:val="24"/>
          <w:lang w:val="en-US"/>
        </w:rPr>
        <w:t>.</w:t>
      </w:r>
    </w:p>
    <w:p w:rsidR="00E82989" w:rsidRPr="00123087" w:rsidRDefault="00E319E9" w:rsidP="00EC44D2">
      <w:pPr>
        <w:numPr>
          <w:ilvl w:val="0"/>
          <w:numId w:val="1"/>
        </w:numPr>
        <w:spacing w:after="0" w:line="360" w:lineRule="auto"/>
        <w:ind w:left="426" w:hanging="426"/>
        <w:contextualSpacing/>
        <w:jc w:val="both"/>
        <w:rPr>
          <w:color w:val="auto"/>
          <w:szCs w:val="24"/>
          <w:lang w:val="en-GB"/>
        </w:rPr>
      </w:pPr>
      <w:r w:rsidRPr="00123087">
        <w:rPr>
          <w:color w:val="000000"/>
          <w:szCs w:val="24"/>
          <w:lang w:val="en-GB"/>
        </w:rPr>
        <w:t xml:space="preserve">H. R. </w:t>
      </w:r>
      <w:r w:rsidR="00396FEA" w:rsidRPr="00123087">
        <w:rPr>
          <w:color w:val="000000"/>
          <w:szCs w:val="24"/>
          <w:lang w:val="en-GB"/>
        </w:rPr>
        <w:t xml:space="preserve">Nawaz, </w:t>
      </w:r>
      <w:r w:rsidRPr="00123087">
        <w:rPr>
          <w:color w:val="000000"/>
          <w:szCs w:val="24"/>
          <w:lang w:val="en-GB"/>
        </w:rPr>
        <w:t xml:space="preserve">B. A. </w:t>
      </w:r>
      <w:proofErr w:type="spellStart"/>
      <w:r w:rsidR="00396FEA" w:rsidRPr="00123087">
        <w:rPr>
          <w:color w:val="000000"/>
          <w:szCs w:val="24"/>
          <w:lang w:val="en-GB"/>
        </w:rPr>
        <w:t>Solangi</w:t>
      </w:r>
      <w:proofErr w:type="spellEnd"/>
      <w:r w:rsidR="00396FEA" w:rsidRPr="00123087">
        <w:rPr>
          <w:color w:val="000000"/>
          <w:szCs w:val="24"/>
          <w:lang w:val="en-GB"/>
        </w:rPr>
        <w:t xml:space="preserve">, </w:t>
      </w:r>
      <w:r w:rsidRPr="00123087">
        <w:rPr>
          <w:color w:val="000000"/>
          <w:szCs w:val="24"/>
          <w:lang w:val="en-GB"/>
        </w:rPr>
        <w:t xml:space="preserve">B. </w:t>
      </w:r>
      <w:proofErr w:type="spellStart"/>
      <w:r w:rsidR="00396FEA" w:rsidRPr="00123087">
        <w:rPr>
          <w:color w:val="000000"/>
          <w:szCs w:val="24"/>
          <w:lang w:val="en-GB"/>
        </w:rPr>
        <w:t>Zehra</w:t>
      </w:r>
      <w:proofErr w:type="spellEnd"/>
      <w:r w:rsidRPr="00123087">
        <w:rPr>
          <w:color w:val="000000"/>
          <w:szCs w:val="24"/>
          <w:lang w:val="en-GB"/>
        </w:rPr>
        <w:t>, U.</w:t>
      </w:r>
      <w:r w:rsidR="00396FEA" w:rsidRPr="00123087">
        <w:rPr>
          <w:color w:val="000000"/>
          <w:szCs w:val="24"/>
          <w:lang w:val="en-GB"/>
        </w:rPr>
        <w:t xml:space="preserve"> Nadeem</w:t>
      </w:r>
      <w:r w:rsidRPr="00123087">
        <w:rPr>
          <w:color w:val="000000"/>
          <w:szCs w:val="24"/>
          <w:lang w:val="en-GB"/>
        </w:rPr>
        <w:t>,</w:t>
      </w:r>
      <w:r w:rsidR="00396FEA" w:rsidRPr="00123087">
        <w:rPr>
          <w:color w:val="auto"/>
          <w:szCs w:val="24"/>
          <w:lang w:val="en-GB"/>
        </w:rPr>
        <w:t xml:space="preserve"> </w:t>
      </w:r>
      <w:r w:rsidR="00396FEA" w:rsidRPr="00D34DBF">
        <w:rPr>
          <w:i/>
          <w:color w:val="auto"/>
          <w:szCs w:val="24"/>
          <w:lang w:val="en-GB"/>
        </w:rPr>
        <w:t>Can</w:t>
      </w:r>
      <w:r w:rsidR="00123087" w:rsidRPr="00D34DBF">
        <w:rPr>
          <w:i/>
          <w:color w:val="auto"/>
          <w:szCs w:val="24"/>
          <w:lang w:val="en-GB"/>
        </w:rPr>
        <w:t>.</w:t>
      </w:r>
      <w:r w:rsidR="003D4288" w:rsidRPr="00D34DBF">
        <w:rPr>
          <w:i/>
          <w:color w:val="auto"/>
          <w:szCs w:val="24"/>
          <w:lang w:val="en-GB"/>
        </w:rPr>
        <w:t xml:space="preserve"> </w:t>
      </w:r>
      <w:r w:rsidR="00396FEA" w:rsidRPr="00D34DBF">
        <w:rPr>
          <w:i/>
          <w:color w:val="auto"/>
          <w:szCs w:val="24"/>
          <w:lang w:val="en-GB"/>
        </w:rPr>
        <w:t>J</w:t>
      </w:r>
      <w:r w:rsidR="00123087" w:rsidRPr="00D34DBF">
        <w:rPr>
          <w:i/>
          <w:color w:val="auto"/>
          <w:szCs w:val="24"/>
          <w:lang w:val="en-GB"/>
        </w:rPr>
        <w:t>.</w:t>
      </w:r>
      <w:r w:rsidR="00396FEA" w:rsidRPr="00D34DBF">
        <w:rPr>
          <w:i/>
          <w:color w:val="auto"/>
          <w:szCs w:val="24"/>
          <w:lang w:val="en-GB"/>
        </w:rPr>
        <w:t xml:space="preserve"> Sci</w:t>
      </w:r>
      <w:r w:rsidR="00123087" w:rsidRPr="00D34DBF">
        <w:rPr>
          <w:i/>
          <w:color w:val="auto"/>
          <w:szCs w:val="24"/>
          <w:lang w:val="en-GB"/>
        </w:rPr>
        <w:t>.</w:t>
      </w:r>
      <w:r w:rsidR="00396FEA" w:rsidRPr="00D34DBF">
        <w:rPr>
          <w:i/>
          <w:color w:val="auto"/>
          <w:szCs w:val="24"/>
          <w:lang w:val="en-GB"/>
        </w:rPr>
        <w:t xml:space="preserve"> Ind</w:t>
      </w:r>
      <w:r w:rsidR="00123087" w:rsidRPr="00D34DBF">
        <w:rPr>
          <w:i/>
          <w:color w:val="auto"/>
          <w:szCs w:val="24"/>
          <w:lang w:val="en-GB"/>
        </w:rPr>
        <w:t>.</w:t>
      </w:r>
      <w:r w:rsidR="00396FEA" w:rsidRPr="00D34DBF">
        <w:rPr>
          <w:i/>
          <w:color w:val="auto"/>
          <w:szCs w:val="24"/>
          <w:lang w:val="en-GB"/>
        </w:rPr>
        <w:t xml:space="preserve"> Res</w:t>
      </w:r>
      <w:r w:rsidR="00890B79" w:rsidRPr="00123087">
        <w:rPr>
          <w:color w:val="auto"/>
          <w:szCs w:val="24"/>
          <w:lang w:val="en-GB"/>
        </w:rPr>
        <w:t xml:space="preserve">. </w:t>
      </w:r>
      <w:r w:rsidR="00890B79" w:rsidRPr="00F81B8D">
        <w:rPr>
          <w:b/>
          <w:color w:val="auto"/>
          <w:szCs w:val="24"/>
          <w:lang w:val="en-GB"/>
        </w:rPr>
        <w:t>2011</w:t>
      </w:r>
      <w:r w:rsidR="00890B79" w:rsidRPr="00123087">
        <w:rPr>
          <w:color w:val="auto"/>
          <w:szCs w:val="24"/>
          <w:lang w:val="en-GB"/>
        </w:rPr>
        <w:t>,</w:t>
      </w:r>
      <w:r w:rsidR="00530226" w:rsidRPr="00123087">
        <w:rPr>
          <w:color w:val="auto"/>
          <w:szCs w:val="24"/>
          <w:lang w:val="en-GB"/>
        </w:rPr>
        <w:t xml:space="preserve"> </w:t>
      </w:r>
      <w:r w:rsidR="000E46C5" w:rsidRPr="008A72DB">
        <w:rPr>
          <w:i/>
          <w:color w:val="auto"/>
          <w:szCs w:val="24"/>
          <w:lang w:val="en-GB"/>
        </w:rPr>
        <w:t>2</w:t>
      </w:r>
      <w:r w:rsidR="00914AAB">
        <w:rPr>
          <w:color w:val="auto"/>
          <w:szCs w:val="24"/>
          <w:lang w:val="en-GB"/>
        </w:rPr>
        <w:t>,</w:t>
      </w:r>
      <w:r w:rsidR="000E46C5" w:rsidRPr="00123087">
        <w:rPr>
          <w:color w:val="auto"/>
          <w:szCs w:val="24"/>
          <w:lang w:val="en-GB"/>
        </w:rPr>
        <w:t xml:space="preserve"> 164-170</w:t>
      </w:r>
      <w:r w:rsidR="00603A7B">
        <w:rPr>
          <w:color w:val="auto"/>
          <w:szCs w:val="24"/>
          <w:lang w:val="en-GB"/>
        </w:rPr>
        <w:t>.</w:t>
      </w:r>
    </w:p>
    <w:p w:rsidR="00E82989" w:rsidRPr="004704BD" w:rsidRDefault="00E319E9" w:rsidP="00EC44D2">
      <w:pPr>
        <w:numPr>
          <w:ilvl w:val="0"/>
          <w:numId w:val="1"/>
        </w:numPr>
        <w:spacing w:after="0" w:line="360" w:lineRule="auto"/>
        <w:ind w:left="454" w:hanging="454"/>
        <w:contextualSpacing/>
        <w:jc w:val="both"/>
        <w:rPr>
          <w:color w:val="auto"/>
          <w:lang w:val="en-US"/>
        </w:rPr>
      </w:pPr>
      <w:r w:rsidRPr="00690F17">
        <w:rPr>
          <w:color w:val="auto"/>
          <w:szCs w:val="24"/>
          <w:lang w:val="en-US"/>
        </w:rPr>
        <w:t xml:space="preserve">S. </w:t>
      </w:r>
      <w:proofErr w:type="spellStart"/>
      <w:r w:rsidR="00D6579B" w:rsidRPr="00690F17">
        <w:rPr>
          <w:color w:val="auto"/>
          <w:szCs w:val="24"/>
          <w:lang w:val="en-US"/>
        </w:rPr>
        <w:t>Parashar</w:t>
      </w:r>
      <w:proofErr w:type="spellEnd"/>
      <w:r w:rsidRPr="00690F17">
        <w:rPr>
          <w:color w:val="auto"/>
          <w:szCs w:val="24"/>
          <w:lang w:val="en-US"/>
        </w:rPr>
        <w:t>,</w:t>
      </w:r>
      <w:r w:rsidR="00D6579B" w:rsidRPr="00690F17">
        <w:rPr>
          <w:color w:val="auto"/>
          <w:szCs w:val="24"/>
          <w:lang w:val="en-US"/>
        </w:rPr>
        <w:t xml:space="preserve"> </w:t>
      </w:r>
      <w:r w:rsidR="00396FEA" w:rsidRPr="00690F17">
        <w:rPr>
          <w:color w:val="auto"/>
          <w:szCs w:val="24"/>
          <w:lang w:val="en-US"/>
        </w:rPr>
        <w:t xml:space="preserve">Process for the preparation of </w:t>
      </w:r>
      <w:proofErr w:type="spellStart"/>
      <w:r w:rsidR="00396FEA" w:rsidRPr="00690F17">
        <w:rPr>
          <w:color w:val="auto"/>
          <w:szCs w:val="24"/>
          <w:lang w:val="en-US"/>
        </w:rPr>
        <w:t>nano</w:t>
      </w:r>
      <w:proofErr w:type="spellEnd"/>
      <w:r w:rsidR="00396FEA" w:rsidRPr="00690F17">
        <w:rPr>
          <w:color w:val="auto"/>
          <w:szCs w:val="24"/>
          <w:lang w:val="en-US"/>
        </w:rPr>
        <w:t xml:space="preserve"> zinc oxide particles</w:t>
      </w:r>
      <w:r w:rsidR="009A62E9" w:rsidRPr="00690F17">
        <w:rPr>
          <w:color w:val="auto"/>
          <w:szCs w:val="24"/>
          <w:lang w:val="en-US"/>
        </w:rPr>
        <w:t>,</w:t>
      </w:r>
      <w:r w:rsidR="00396FEA" w:rsidRPr="00690F17">
        <w:rPr>
          <w:color w:val="auto"/>
          <w:szCs w:val="24"/>
          <w:lang w:val="en-US"/>
        </w:rPr>
        <w:br/>
        <w:t xml:space="preserve">US </w:t>
      </w:r>
      <w:r w:rsidR="009A62E9" w:rsidRPr="00690F17">
        <w:rPr>
          <w:color w:val="auto"/>
          <w:szCs w:val="24"/>
          <w:lang w:val="en-US"/>
        </w:rPr>
        <w:t>P</w:t>
      </w:r>
      <w:r w:rsidR="00D6579B" w:rsidRPr="00690F17">
        <w:rPr>
          <w:color w:val="auto"/>
          <w:szCs w:val="24"/>
          <w:lang w:val="en-US"/>
        </w:rPr>
        <w:t>atent</w:t>
      </w:r>
      <w:r w:rsidR="009A62E9" w:rsidRPr="00690F17">
        <w:rPr>
          <w:color w:val="auto"/>
          <w:szCs w:val="24"/>
          <w:lang w:val="en-US"/>
        </w:rPr>
        <w:t xml:space="preserve"> Number</w:t>
      </w:r>
      <w:r w:rsidR="00D6579B" w:rsidRPr="00690F17">
        <w:rPr>
          <w:color w:val="auto"/>
          <w:szCs w:val="24"/>
          <w:lang w:val="en-US"/>
        </w:rPr>
        <w:t xml:space="preserve"> 20</w:t>
      </w:r>
      <w:r w:rsidR="009A62E9" w:rsidRPr="00690F17">
        <w:rPr>
          <w:color w:val="auto"/>
          <w:szCs w:val="24"/>
          <w:lang w:val="en-US"/>
        </w:rPr>
        <w:t>,</w:t>
      </w:r>
      <w:r w:rsidR="00D6579B" w:rsidRPr="00690F17">
        <w:rPr>
          <w:color w:val="auto"/>
          <w:szCs w:val="24"/>
          <w:lang w:val="en-US"/>
        </w:rPr>
        <w:t>110</w:t>
      </w:r>
      <w:r w:rsidR="009A62E9" w:rsidRPr="00690F17">
        <w:rPr>
          <w:color w:val="auto"/>
          <w:szCs w:val="24"/>
          <w:lang w:val="en-US"/>
        </w:rPr>
        <w:t>,</w:t>
      </w:r>
      <w:r w:rsidR="00D6579B" w:rsidRPr="00690F17">
        <w:rPr>
          <w:color w:val="auto"/>
          <w:szCs w:val="24"/>
          <w:lang w:val="en-US"/>
        </w:rPr>
        <w:t>002</w:t>
      </w:r>
      <w:r w:rsidR="009A62E9" w:rsidRPr="00690F17">
        <w:rPr>
          <w:color w:val="auto"/>
          <w:szCs w:val="24"/>
          <w:lang w:val="en-US"/>
        </w:rPr>
        <w:t>,</w:t>
      </w:r>
      <w:r w:rsidR="00D6579B" w:rsidRPr="00690F17">
        <w:rPr>
          <w:color w:val="auto"/>
          <w:szCs w:val="24"/>
          <w:lang w:val="en-US"/>
        </w:rPr>
        <w:t>970 A1</w:t>
      </w:r>
      <w:r w:rsidR="0094521C">
        <w:rPr>
          <w:color w:val="auto"/>
          <w:szCs w:val="24"/>
          <w:lang w:val="en-US"/>
        </w:rPr>
        <w:t>, date of patent</w:t>
      </w:r>
      <w:bookmarkStart w:id="10" w:name="_GoBack"/>
      <w:bookmarkEnd w:id="10"/>
      <w:r w:rsidR="00690F17">
        <w:rPr>
          <w:color w:val="auto"/>
          <w:szCs w:val="24"/>
          <w:lang w:val="en-US"/>
        </w:rPr>
        <w:t xml:space="preserve"> January 6, </w:t>
      </w:r>
      <w:r w:rsidR="00690F17" w:rsidRPr="00690F17">
        <w:rPr>
          <w:b/>
          <w:color w:val="auto"/>
          <w:szCs w:val="24"/>
          <w:lang w:val="en-US"/>
        </w:rPr>
        <w:t>2011</w:t>
      </w:r>
      <w:r w:rsidR="00690F17">
        <w:rPr>
          <w:color w:val="auto"/>
          <w:szCs w:val="24"/>
          <w:lang w:val="en-US"/>
        </w:rPr>
        <w:t xml:space="preserve">. </w:t>
      </w:r>
    </w:p>
    <w:p w:rsidR="00E82989" w:rsidRPr="00CC42DE" w:rsidRDefault="00F63AE7" w:rsidP="00EC44D2">
      <w:pPr>
        <w:numPr>
          <w:ilvl w:val="0"/>
          <w:numId w:val="1"/>
        </w:numPr>
        <w:spacing w:after="0" w:line="360" w:lineRule="auto"/>
        <w:ind w:left="426" w:hanging="426"/>
        <w:contextualSpacing/>
        <w:jc w:val="both"/>
        <w:rPr>
          <w:color w:val="auto"/>
          <w:szCs w:val="24"/>
          <w:lang w:val="en-GB"/>
        </w:rPr>
      </w:pPr>
      <w:r w:rsidRPr="00C84914">
        <w:rPr>
          <w:color w:val="auto"/>
          <w:szCs w:val="24"/>
        </w:rPr>
        <w:t xml:space="preserve">A. </w:t>
      </w:r>
      <w:r w:rsidR="00396FEA" w:rsidRPr="00C84914">
        <w:rPr>
          <w:color w:val="auto"/>
          <w:szCs w:val="24"/>
        </w:rPr>
        <w:t>Kołodziejczak-</w:t>
      </w:r>
      <w:proofErr w:type="spellStart"/>
      <w:r w:rsidR="00396FEA" w:rsidRPr="00C84914">
        <w:rPr>
          <w:color w:val="auto"/>
          <w:szCs w:val="24"/>
        </w:rPr>
        <w:t>Radzimska</w:t>
      </w:r>
      <w:proofErr w:type="spellEnd"/>
      <w:r w:rsidR="00396FEA" w:rsidRPr="00C84914">
        <w:rPr>
          <w:color w:val="auto"/>
          <w:szCs w:val="24"/>
        </w:rPr>
        <w:t xml:space="preserve">, </w:t>
      </w:r>
      <w:r w:rsidRPr="00C84914">
        <w:rPr>
          <w:color w:val="auto"/>
          <w:szCs w:val="24"/>
        </w:rPr>
        <w:t xml:space="preserve">T. </w:t>
      </w:r>
      <w:r w:rsidR="00396FEA" w:rsidRPr="00C84914">
        <w:rPr>
          <w:color w:val="auto"/>
          <w:szCs w:val="24"/>
        </w:rPr>
        <w:t>Jesionowski</w:t>
      </w:r>
      <w:r w:rsidRPr="00C84914">
        <w:rPr>
          <w:color w:val="auto"/>
          <w:szCs w:val="24"/>
        </w:rPr>
        <w:t>,</w:t>
      </w:r>
      <w:r w:rsidR="00396FEA" w:rsidRPr="00C84914">
        <w:rPr>
          <w:color w:val="auto"/>
          <w:szCs w:val="24"/>
        </w:rPr>
        <w:t xml:space="preserve"> </w:t>
      </w:r>
      <w:r w:rsidR="00396FEA" w:rsidRPr="00C84914">
        <w:rPr>
          <w:i/>
          <w:color w:val="auto"/>
          <w:szCs w:val="24"/>
        </w:rPr>
        <w:t>Materials</w:t>
      </w:r>
      <w:r w:rsidR="00890B79" w:rsidRPr="00C84914">
        <w:rPr>
          <w:color w:val="auto"/>
          <w:szCs w:val="24"/>
        </w:rPr>
        <w:t xml:space="preserve">. </w:t>
      </w:r>
      <w:r w:rsidR="00890B79" w:rsidRPr="00CC42DE">
        <w:rPr>
          <w:b/>
          <w:color w:val="auto"/>
          <w:szCs w:val="24"/>
          <w:lang w:val="en-GB"/>
        </w:rPr>
        <w:t>2014</w:t>
      </w:r>
      <w:r w:rsidR="00890B79" w:rsidRPr="00CC42DE">
        <w:rPr>
          <w:color w:val="auto"/>
          <w:szCs w:val="24"/>
          <w:lang w:val="en-GB"/>
        </w:rPr>
        <w:t>,</w:t>
      </w:r>
      <w:r w:rsidR="00396FEA" w:rsidRPr="00CC42DE">
        <w:rPr>
          <w:color w:val="auto"/>
          <w:szCs w:val="24"/>
          <w:lang w:val="en-GB"/>
        </w:rPr>
        <w:t xml:space="preserve"> </w:t>
      </w:r>
      <w:r w:rsidR="000E46C5" w:rsidRPr="00CC42DE">
        <w:rPr>
          <w:i/>
          <w:color w:val="auto"/>
          <w:szCs w:val="24"/>
          <w:lang w:val="en-GB"/>
        </w:rPr>
        <w:t>7</w:t>
      </w:r>
      <w:r w:rsidR="00914AAB" w:rsidRPr="00CC42DE">
        <w:rPr>
          <w:color w:val="auto"/>
          <w:szCs w:val="24"/>
          <w:lang w:val="en-GB"/>
        </w:rPr>
        <w:t>,</w:t>
      </w:r>
      <w:r w:rsidR="000E46C5" w:rsidRPr="00CC42DE">
        <w:rPr>
          <w:color w:val="auto"/>
          <w:szCs w:val="24"/>
          <w:lang w:val="en-GB"/>
        </w:rPr>
        <w:t xml:space="preserve"> 2833-2881</w:t>
      </w:r>
      <w:r w:rsidR="00603A7B" w:rsidRPr="00CC42DE">
        <w:rPr>
          <w:color w:val="auto"/>
          <w:szCs w:val="24"/>
          <w:lang w:val="en-GB"/>
        </w:rPr>
        <w:t>.</w:t>
      </w:r>
    </w:p>
    <w:p w:rsidR="00E82989" w:rsidRPr="00CC42DE" w:rsidRDefault="00F63AE7" w:rsidP="00EC44D2">
      <w:pPr>
        <w:numPr>
          <w:ilvl w:val="0"/>
          <w:numId w:val="1"/>
        </w:numPr>
        <w:spacing w:after="0" w:line="360" w:lineRule="auto"/>
        <w:ind w:left="426" w:hanging="426"/>
        <w:contextualSpacing/>
        <w:jc w:val="both"/>
        <w:rPr>
          <w:lang w:val="en-US"/>
        </w:rPr>
      </w:pPr>
      <w:r w:rsidRPr="00CC42DE">
        <w:rPr>
          <w:color w:val="auto"/>
          <w:szCs w:val="24"/>
          <w:lang w:val="en-US"/>
        </w:rPr>
        <w:t xml:space="preserve">S. </w:t>
      </w:r>
      <w:proofErr w:type="spellStart"/>
      <w:r w:rsidR="00396FEA" w:rsidRPr="00CC42DE">
        <w:rPr>
          <w:color w:val="auto"/>
          <w:szCs w:val="24"/>
          <w:lang w:val="en-US"/>
        </w:rPr>
        <w:t>Ohara</w:t>
      </w:r>
      <w:proofErr w:type="spellEnd"/>
      <w:r w:rsidR="00396FEA" w:rsidRPr="00CC42DE">
        <w:rPr>
          <w:color w:val="auto"/>
          <w:szCs w:val="24"/>
          <w:lang w:val="en-US"/>
        </w:rPr>
        <w:t xml:space="preserve">, </w:t>
      </w:r>
      <w:r w:rsidRPr="00CC42DE">
        <w:rPr>
          <w:color w:val="auto"/>
          <w:szCs w:val="24"/>
          <w:lang w:val="en-US"/>
        </w:rPr>
        <w:t xml:space="preserve">T. </w:t>
      </w:r>
      <w:proofErr w:type="spellStart"/>
      <w:r w:rsidR="00396FEA" w:rsidRPr="00CC42DE">
        <w:rPr>
          <w:color w:val="auto"/>
          <w:szCs w:val="24"/>
          <w:lang w:val="en-US"/>
        </w:rPr>
        <w:t>Mousavand</w:t>
      </w:r>
      <w:proofErr w:type="spellEnd"/>
      <w:r w:rsidRPr="00CC42DE">
        <w:rPr>
          <w:color w:val="auto"/>
          <w:szCs w:val="24"/>
          <w:lang w:val="en-US"/>
        </w:rPr>
        <w:t>,</w:t>
      </w:r>
      <w:r w:rsidR="00396FEA" w:rsidRPr="00CC42DE">
        <w:rPr>
          <w:color w:val="auto"/>
          <w:szCs w:val="24"/>
          <w:lang w:val="en-US"/>
        </w:rPr>
        <w:t xml:space="preserve"> </w:t>
      </w:r>
      <w:r w:rsidRPr="00CC42DE">
        <w:rPr>
          <w:color w:val="auto"/>
          <w:szCs w:val="24"/>
          <w:lang w:val="en-US"/>
        </w:rPr>
        <w:t xml:space="preserve">M. </w:t>
      </w:r>
      <w:proofErr w:type="spellStart"/>
      <w:r w:rsidR="00396FEA" w:rsidRPr="00CC42DE">
        <w:rPr>
          <w:color w:val="auto"/>
          <w:szCs w:val="24"/>
          <w:lang w:val="en-US"/>
        </w:rPr>
        <w:t>Umetsu</w:t>
      </w:r>
      <w:proofErr w:type="spellEnd"/>
      <w:r w:rsidR="00396FEA" w:rsidRPr="00CC42DE">
        <w:rPr>
          <w:color w:val="auto"/>
          <w:szCs w:val="24"/>
          <w:lang w:val="en-US"/>
        </w:rPr>
        <w:t xml:space="preserve">, </w:t>
      </w:r>
      <w:r w:rsidRPr="00CC42DE">
        <w:rPr>
          <w:color w:val="auto"/>
          <w:szCs w:val="24"/>
          <w:lang w:val="en-US"/>
        </w:rPr>
        <w:t xml:space="preserve">S. </w:t>
      </w:r>
      <w:proofErr w:type="spellStart"/>
      <w:r w:rsidR="00396FEA" w:rsidRPr="00CC42DE">
        <w:rPr>
          <w:color w:val="auto"/>
          <w:szCs w:val="24"/>
          <w:lang w:val="en-US"/>
        </w:rPr>
        <w:t>Takami</w:t>
      </w:r>
      <w:proofErr w:type="spellEnd"/>
      <w:r w:rsidR="00396FEA" w:rsidRPr="00CC42DE">
        <w:rPr>
          <w:color w:val="auto"/>
          <w:szCs w:val="24"/>
          <w:lang w:val="en-US"/>
        </w:rPr>
        <w:t xml:space="preserve">, </w:t>
      </w:r>
      <w:r w:rsidRPr="00CC42DE">
        <w:rPr>
          <w:color w:val="auto"/>
          <w:szCs w:val="24"/>
          <w:lang w:val="en-US"/>
        </w:rPr>
        <w:t xml:space="preserve">T. </w:t>
      </w:r>
      <w:proofErr w:type="spellStart"/>
      <w:r w:rsidR="00396FEA" w:rsidRPr="00CC42DE">
        <w:rPr>
          <w:color w:val="auto"/>
          <w:szCs w:val="24"/>
          <w:lang w:val="en-US"/>
        </w:rPr>
        <w:t>Adschiri</w:t>
      </w:r>
      <w:proofErr w:type="spellEnd"/>
      <w:r w:rsidRPr="00CC42DE">
        <w:rPr>
          <w:color w:val="auto"/>
          <w:szCs w:val="24"/>
          <w:lang w:val="en-US"/>
        </w:rPr>
        <w:t>,</w:t>
      </w:r>
      <w:r w:rsidR="00F40CA3" w:rsidRPr="00CC42DE">
        <w:rPr>
          <w:color w:val="auto"/>
          <w:szCs w:val="24"/>
          <w:lang w:val="en-US"/>
        </w:rPr>
        <w:t xml:space="preserve"> in:</w:t>
      </w:r>
      <w:r w:rsidR="00396FEA" w:rsidRPr="00CC42DE">
        <w:rPr>
          <w:color w:val="auto"/>
          <w:szCs w:val="24"/>
          <w:lang w:val="en-US"/>
        </w:rPr>
        <w:t xml:space="preserve"> </w:t>
      </w:r>
      <w:r w:rsidR="00594743" w:rsidRPr="00CC42DE">
        <w:rPr>
          <w:szCs w:val="24"/>
          <w:lang w:val="en-US"/>
        </w:rPr>
        <w:t xml:space="preserve">M. Nakahara (Ed.), </w:t>
      </w:r>
      <w:r w:rsidR="00F40CA3" w:rsidRPr="00CC42DE">
        <w:rPr>
          <w:color w:val="auto"/>
          <w:szCs w:val="24"/>
          <w:lang w:val="en-US"/>
        </w:rPr>
        <w:t xml:space="preserve">Hydrothermal synthesis of fine zinc </w:t>
      </w:r>
      <w:r w:rsidR="00F40CA3" w:rsidRPr="00CC42DE">
        <w:rPr>
          <w:szCs w:val="24"/>
          <w:lang w:val="en-US"/>
        </w:rPr>
        <w:t xml:space="preserve">oxide </w:t>
      </w:r>
      <w:proofErr w:type="spellStart"/>
      <w:r w:rsidR="00F40CA3" w:rsidRPr="00CC42DE">
        <w:rPr>
          <w:szCs w:val="24"/>
          <w:lang w:val="en-US"/>
        </w:rPr>
        <w:t>nano</w:t>
      </w:r>
      <w:proofErr w:type="spellEnd"/>
      <w:r w:rsidR="00F40CA3" w:rsidRPr="00CC42DE">
        <w:rPr>
          <w:szCs w:val="24"/>
          <w:lang w:val="en-US"/>
        </w:rPr>
        <w:t xml:space="preserve">-particles under supercritical conditions: </w:t>
      </w:r>
      <w:r w:rsidR="00396FEA" w:rsidRPr="00CC42DE">
        <w:rPr>
          <w:szCs w:val="24"/>
          <w:lang w:val="en-US"/>
        </w:rPr>
        <w:t>14th International Conference on the Proper</w:t>
      </w:r>
      <w:r w:rsidR="002D60F3" w:rsidRPr="00CC42DE">
        <w:rPr>
          <w:szCs w:val="24"/>
          <w:lang w:val="en-US"/>
        </w:rPr>
        <w:t>ties of Water and Steam, 2004,</w:t>
      </w:r>
      <w:r w:rsidR="00594743" w:rsidRPr="00CC42DE">
        <w:rPr>
          <w:szCs w:val="24"/>
          <w:lang w:val="en-US"/>
        </w:rPr>
        <w:t xml:space="preserve"> Kyoto, Japan</w:t>
      </w:r>
      <w:r w:rsidR="00581CBA" w:rsidRPr="00CC42DE">
        <w:rPr>
          <w:szCs w:val="24"/>
          <w:lang w:val="en-US"/>
        </w:rPr>
        <w:t>, Maruzen Tokyo,</w:t>
      </w:r>
      <w:r w:rsidR="00157757" w:rsidRPr="00CC42DE">
        <w:rPr>
          <w:szCs w:val="24"/>
          <w:lang w:val="en-US"/>
        </w:rPr>
        <w:t xml:space="preserve"> </w:t>
      </w:r>
      <w:r w:rsidR="00157757" w:rsidRPr="00CC42DE">
        <w:rPr>
          <w:b/>
          <w:szCs w:val="24"/>
          <w:lang w:val="en-US"/>
        </w:rPr>
        <w:t>2004</w:t>
      </w:r>
      <w:r w:rsidR="00157757" w:rsidRPr="00CC42DE">
        <w:rPr>
          <w:szCs w:val="24"/>
          <w:lang w:val="en-US"/>
        </w:rPr>
        <w:t xml:space="preserve">, pp. </w:t>
      </w:r>
      <w:r w:rsidR="00396FEA" w:rsidRPr="00CC42DE">
        <w:rPr>
          <w:szCs w:val="24"/>
          <w:lang w:val="en-US"/>
        </w:rPr>
        <w:t>280-283</w:t>
      </w:r>
      <w:r w:rsidR="00603A7B" w:rsidRPr="00CC42DE">
        <w:rPr>
          <w:szCs w:val="24"/>
          <w:lang w:val="en-US"/>
        </w:rPr>
        <w:t>.</w:t>
      </w:r>
    </w:p>
    <w:sectPr w:rsidR="00E82989" w:rsidRPr="00CC42DE" w:rsidSect="00FC296D">
      <w:pgSz w:w="11906" w:h="16838"/>
      <w:pgMar w:top="1417" w:right="1417" w:bottom="1417" w:left="1417" w:header="0" w:footer="0" w:gutter="0"/>
      <w:lnNumType w:countBy="1" w:restart="continuous"/>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020" w:rsidRDefault="00EE2020" w:rsidP="0082306E">
      <w:pPr>
        <w:spacing w:after="0" w:line="240" w:lineRule="auto"/>
      </w:pPr>
      <w:r>
        <w:separator/>
      </w:r>
    </w:p>
  </w:endnote>
  <w:endnote w:type="continuationSeparator" w:id="0">
    <w:p w:rsidR="00EE2020" w:rsidRDefault="00EE2020" w:rsidP="0082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156552"/>
      <w:docPartObj>
        <w:docPartGallery w:val="Page Numbers (Bottom of Page)"/>
        <w:docPartUnique/>
      </w:docPartObj>
    </w:sdtPr>
    <w:sdtEndPr/>
    <w:sdtContent>
      <w:p w:rsidR="0082306E" w:rsidRDefault="0082306E">
        <w:pPr>
          <w:pStyle w:val="Stopka"/>
          <w:jc w:val="right"/>
        </w:pPr>
        <w:r>
          <w:fldChar w:fldCharType="begin"/>
        </w:r>
        <w:r>
          <w:instrText>PAGE   \* MERGEFORMAT</w:instrText>
        </w:r>
        <w:r>
          <w:fldChar w:fldCharType="separate"/>
        </w:r>
        <w:r w:rsidR="0091426D">
          <w:rPr>
            <w:noProof/>
          </w:rPr>
          <w:t>8</w:t>
        </w:r>
        <w:r>
          <w:fldChar w:fldCharType="end"/>
        </w:r>
      </w:p>
    </w:sdtContent>
  </w:sdt>
  <w:p w:rsidR="0082306E" w:rsidRDefault="0082306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020" w:rsidRDefault="00EE2020" w:rsidP="0082306E">
      <w:pPr>
        <w:spacing w:after="0" w:line="240" w:lineRule="auto"/>
      </w:pPr>
      <w:r>
        <w:separator/>
      </w:r>
    </w:p>
  </w:footnote>
  <w:footnote w:type="continuationSeparator" w:id="0">
    <w:p w:rsidR="00EE2020" w:rsidRDefault="00EE2020" w:rsidP="008230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20163"/>
    <w:multiLevelType w:val="multilevel"/>
    <w:tmpl w:val="BF0482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2CD0023"/>
    <w:multiLevelType w:val="multilevel"/>
    <w:tmpl w:val="B65A1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989"/>
    <w:rsid w:val="000947A8"/>
    <w:rsid w:val="0009516F"/>
    <w:rsid w:val="000A2F5C"/>
    <w:rsid w:val="000A779A"/>
    <w:rsid w:val="000B3000"/>
    <w:rsid w:val="000B71D2"/>
    <w:rsid w:val="000D064B"/>
    <w:rsid w:val="000E46C5"/>
    <w:rsid w:val="000E5C64"/>
    <w:rsid w:val="00123087"/>
    <w:rsid w:val="00130170"/>
    <w:rsid w:val="001317B6"/>
    <w:rsid w:val="00157757"/>
    <w:rsid w:val="00165791"/>
    <w:rsid w:val="00177417"/>
    <w:rsid w:val="001B7524"/>
    <w:rsid w:val="001D28E2"/>
    <w:rsid w:val="001E11BE"/>
    <w:rsid w:val="001F6CD0"/>
    <w:rsid w:val="002018DC"/>
    <w:rsid w:val="00222811"/>
    <w:rsid w:val="002310CF"/>
    <w:rsid w:val="00234908"/>
    <w:rsid w:val="00234918"/>
    <w:rsid w:val="002360B6"/>
    <w:rsid w:val="00266B4D"/>
    <w:rsid w:val="002703AF"/>
    <w:rsid w:val="002C2393"/>
    <w:rsid w:val="002C6999"/>
    <w:rsid w:val="002D184F"/>
    <w:rsid w:val="002D60F3"/>
    <w:rsid w:val="002F063C"/>
    <w:rsid w:val="00303383"/>
    <w:rsid w:val="00303BC6"/>
    <w:rsid w:val="00307A5C"/>
    <w:rsid w:val="0031682C"/>
    <w:rsid w:val="00321CF9"/>
    <w:rsid w:val="00323EB9"/>
    <w:rsid w:val="0033445A"/>
    <w:rsid w:val="0035055C"/>
    <w:rsid w:val="003636E3"/>
    <w:rsid w:val="00363DC8"/>
    <w:rsid w:val="0038614A"/>
    <w:rsid w:val="00390A30"/>
    <w:rsid w:val="00396FEA"/>
    <w:rsid w:val="003D4288"/>
    <w:rsid w:val="003D5534"/>
    <w:rsid w:val="003D6FD1"/>
    <w:rsid w:val="003D7AE9"/>
    <w:rsid w:val="003E3516"/>
    <w:rsid w:val="00413EC7"/>
    <w:rsid w:val="00414BFD"/>
    <w:rsid w:val="004309AE"/>
    <w:rsid w:val="00431AE1"/>
    <w:rsid w:val="004704BD"/>
    <w:rsid w:val="00471272"/>
    <w:rsid w:val="004843F3"/>
    <w:rsid w:val="00492E72"/>
    <w:rsid w:val="004B1CA9"/>
    <w:rsid w:val="004E0547"/>
    <w:rsid w:val="005047C0"/>
    <w:rsid w:val="00525AA6"/>
    <w:rsid w:val="00530226"/>
    <w:rsid w:val="0055076E"/>
    <w:rsid w:val="00565F8A"/>
    <w:rsid w:val="005731DB"/>
    <w:rsid w:val="00581CBA"/>
    <w:rsid w:val="00584D72"/>
    <w:rsid w:val="005853C6"/>
    <w:rsid w:val="00594743"/>
    <w:rsid w:val="005A1172"/>
    <w:rsid w:val="005D118F"/>
    <w:rsid w:val="005D7869"/>
    <w:rsid w:val="005E5269"/>
    <w:rsid w:val="00603A7B"/>
    <w:rsid w:val="00625FF6"/>
    <w:rsid w:val="006264BE"/>
    <w:rsid w:val="00635477"/>
    <w:rsid w:val="006445F8"/>
    <w:rsid w:val="0065147C"/>
    <w:rsid w:val="0067442B"/>
    <w:rsid w:val="006862AA"/>
    <w:rsid w:val="00690F17"/>
    <w:rsid w:val="006A1AFE"/>
    <w:rsid w:val="006A579F"/>
    <w:rsid w:val="006B4C0E"/>
    <w:rsid w:val="006B6BF1"/>
    <w:rsid w:val="006C1711"/>
    <w:rsid w:val="006D1D8B"/>
    <w:rsid w:val="006E73AC"/>
    <w:rsid w:val="006E75FF"/>
    <w:rsid w:val="00701B9D"/>
    <w:rsid w:val="00750E21"/>
    <w:rsid w:val="00750E89"/>
    <w:rsid w:val="00796831"/>
    <w:rsid w:val="007A2696"/>
    <w:rsid w:val="007C3193"/>
    <w:rsid w:val="007E2E1B"/>
    <w:rsid w:val="007E4D00"/>
    <w:rsid w:val="007F6AFD"/>
    <w:rsid w:val="00802D17"/>
    <w:rsid w:val="00812DC8"/>
    <w:rsid w:val="00814D13"/>
    <w:rsid w:val="008224DB"/>
    <w:rsid w:val="0082306E"/>
    <w:rsid w:val="0085277E"/>
    <w:rsid w:val="00890B79"/>
    <w:rsid w:val="00896779"/>
    <w:rsid w:val="008A1887"/>
    <w:rsid w:val="008A72DB"/>
    <w:rsid w:val="008B5DB6"/>
    <w:rsid w:val="008C279A"/>
    <w:rsid w:val="008C3FA9"/>
    <w:rsid w:val="008D76D8"/>
    <w:rsid w:val="008E5191"/>
    <w:rsid w:val="0091426D"/>
    <w:rsid w:val="00914AAB"/>
    <w:rsid w:val="009246E8"/>
    <w:rsid w:val="00931E51"/>
    <w:rsid w:val="0094521C"/>
    <w:rsid w:val="0094679C"/>
    <w:rsid w:val="00947E42"/>
    <w:rsid w:val="00966F75"/>
    <w:rsid w:val="009704B5"/>
    <w:rsid w:val="00970A1E"/>
    <w:rsid w:val="009A62E9"/>
    <w:rsid w:val="00A171A9"/>
    <w:rsid w:val="00A2112B"/>
    <w:rsid w:val="00A42FCA"/>
    <w:rsid w:val="00A47FFC"/>
    <w:rsid w:val="00AC286B"/>
    <w:rsid w:val="00AD69B3"/>
    <w:rsid w:val="00B21871"/>
    <w:rsid w:val="00B21F04"/>
    <w:rsid w:val="00B451D1"/>
    <w:rsid w:val="00B4695D"/>
    <w:rsid w:val="00B540FB"/>
    <w:rsid w:val="00B86715"/>
    <w:rsid w:val="00B927F6"/>
    <w:rsid w:val="00BA5255"/>
    <w:rsid w:val="00BB70B8"/>
    <w:rsid w:val="00BC5ABA"/>
    <w:rsid w:val="00BE30ED"/>
    <w:rsid w:val="00C07E36"/>
    <w:rsid w:val="00C4637B"/>
    <w:rsid w:val="00C55CC3"/>
    <w:rsid w:val="00C60DB6"/>
    <w:rsid w:val="00C63075"/>
    <w:rsid w:val="00C75343"/>
    <w:rsid w:val="00C84914"/>
    <w:rsid w:val="00CA4C42"/>
    <w:rsid w:val="00CA4FAF"/>
    <w:rsid w:val="00CB564A"/>
    <w:rsid w:val="00CB6105"/>
    <w:rsid w:val="00CC4160"/>
    <w:rsid w:val="00CC42DE"/>
    <w:rsid w:val="00CC7289"/>
    <w:rsid w:val="00CE5804"/>
    <w:rsid w:val="00D02A1A"/>
    <w:rsid w:val="00D03DCE"/>
    <w:rsid w:val="00D0505F"/>
    <w:rsid w:val="00D16FB9"/>
    <w:rsid w:val="00D34DBF"/>
    <w:rsid w:val="00D54C2F"/>
    <w:rsid w:val="00D64221"/>
    <w:rsid w:val="00D6579B"/>
    <w:rsid w:val="00D67019"/>
    <w:rsid w:val="00D87F7F"/>
    <w:rsid w:val="00D943B1"/>
    <w:rsid w:val="00D96D46"/>
    <w:rsid w:val="00DB07A7"/>
    <w:rsid w:val="00DE031E"/>
    <w:rsid w:val="00DF1583"/>
    <w:rsid w:val="00E052AF"/>
    <w:rsid w:val="00E056A0"/>
    <w:rsid w:val="00E319E9"/>
    <w:rsid w:val="00E375F0"/>
    <w:rsid w:val="00E82989"/>
    <w:rsid w:val="00E9155C"/>
    <w:rsid w:val="00E95A56"/>
    <w:rsid w:val="00EA0A9B"/>
    <w:rsid w:val="00EB5C3D"/>
    <w:rsid w:val="00EC44D2"/>
    <w:rsid w:val="00EC56FC"/>
    <w:rsid w:val="00ED0303"/>
    <w:rsid w:val="00ED5CC3"/>
    <w:rsid w:val="00EE2020"/>
    <w:rsid w:val="00EF2173"/>
    <w:rsid w:val="00F00086"/>
    <w:rsid w:val="00F01364"/>
    <w:rsid w:val="00F06CD6"/>
    <w:rsid w:val="00F148C0"/>
    <w:rsid w:val="00F17E4B"/>
    <w:rsid w:val="00F20C04"/>
    <w:rsid w:val="00F35555"/>
    <w:rsid w:val="00F4010F"/>
    <w:rsid w:val="00F40AF8"/>
    <w:rsid w:val="00F40CA3"/>
    <w:rsid w:val="00F63AE7"/>
    <w:rsid w:val="00F75242"/>
    <w:rsid w:val="00F81B8D"/>
    <w:rsid w:val="00F842BA"/>
    <w:rsid w:val="00FA61B5"/>
    <w:rsid w:val="00FC296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pPr>
    <w:rPr>
      <w:color w:val="00000A"/>
      <w:sz w:val="24"/>
    </w:rPr>
  </w:style>
  <w:style w:type="paragraph" w:styleId="Nagwek1">
    <w:name w:val="heading 1"/>
    <w:basedOn w:val="Nagwek"/>
    <w:pPr>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E41F4"/>
    <w:rPr>
      <w:sz w:val="16"/>
      <w:szCs w:val="16"/>
    </w:rPr>
  </w:style>
  <w:style w:type="character" w:customStyle="1" w:styleId="TekstkomentarzaZnak">
    <w:name w:val="Tekst komentarza Znak"/>
    <w:basedOn w:val="Domylnaczcionkaakapitu"/>
    <w:link w:val="Tekstkomentarza"/>
    <w:uiPriority w:val="99"/>
    <w:semiHidden/>
    <w:rsid w:val="00DE41F4"/>
    <w:rPr>
      <w:sz w:val="20"/>
      <w:szCs w:val="20"/>
    </w:rPr>
  </w:style>
  <w:style w:type="character" w:customStyle="1" w:styleId="TematkomentarzaZnak">
    <w:name w:val="Temat komentarza Znak"/>
    <w:basedOn w:val="TekstkomentarzaZnak"/>
    <w:link w:val="Tematkomentarza"/>
    <w:uiPriority w:val="99"/>
    <w:semiHidden/>
    <w:rsid w:val="00DE41F4"/>
    <w:rPr>
      <w:b/>
      <w:bCs/>
      <w:sz w:val="20"/>
      <w:szCs w:val="20"/>
    </w:rPr>
  </w:style>
  <w:style w:type="character" w:customStyle="1" w:styleId="TekstdymkaZnak">
    <w:name w:val="Tekst dymka Znak"/>
    <w:basedOn w:val="Domylnaczcionkaakapitu"/>
    <w:link w:val="Tekstdymka"/>
    <w:uiPriority w:val="99"/>
    <w:semiHidden/>
    <w:rsid w:val="00DE41F4"/>
    <w:rPr>
      <w:rFonts w:ascii="Tahoma" w:hAnsi="Tahoma" w:cs="Tahoma"/>
      <w:sz w:val="16"/>
      <w:szCs w:val="16"/>
    </w:rPr>
  </w:style>
  <w:style w:type="character" w:customStyle="1" w:styleId="czeinternetowe">
    <w:name w:val="Łącze internetowe"/>
    <w:basedOn w:val="Domylnaczcionkaakapitu"/>
    <w:uiPriority w:val="99"/>
    <w:unhideWhenUsed/>
    <w:rsid w:val="001221C1"/>
    <w:rPr>
      <w:color w:val="0000FF" w:themeColor="hyperlink"/>
      <w:u w:val="single"/>
    </w:rPr>
  </w:style>
  <w:style w:type="character" w:customStyle="1" w:styleId="Cytat1">
    <w:name w:val="Cytat1"/>
    <w:rPr>
      <w:i/>
      <w:iCs/>
    </w:rPr>
  </w:style>
  <w:style w:type="character" w:customStyle="1" w:styleId="Mocnowyrniony">
    <w:name w:val="Mocno wyróżniony"/>
    <w:rPr>
      <w:b/>
      <w:bCs/>
    </w:rPr>
  </w:style>
  <w:style w:type="character" w:customStyle="1" w:styleId="Wyrnienie">
    <w:name w:val="Wyróżnienie"/>
    <w:rPr>
      <w:i/>
      <w:iCs/>
    </w:rPr>
  </w:style>
  <w:style w:type="paragraph" w:styleId="Nagwek">
    <w:name w:val="header"/>
    <w:basedOn w:val="Normalny"/>
    <w:next w:val="Tretekstu"/>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Cs w:val="24"/>
    </w:rPr>
  </w:style>
  <w:style w:type="paragraph" w:customStyle="1" w:styleId="Indeks">
    <w:name w:val="Indeks"/>
    <w:basedOn w:val="Normalny"/>
    <w:pPr>
      <w:suppressLineNumbers/>
    </w:pPr>
    <w:rPr>
      <w:rFonts w:cs="Mangal"/>
    </w:rPr>
  </w:style>
  <w:style w:type="paragraph" w:styleId="Tekstkomentarza">
    <w:name w:val="annotation text"/>
    <w:basedOn w:val="Normalny"/>
    <w:link w:val="TekstkomentarzaZnak"/>
    <w:uiPriority w:val="99"/>
    <w:semiHidden/>
    <w:unhideWhenUsed/>
    <w:rsid w:val="00DE41F4"/>
    <w:pPr>
      <w:spacing w:line="240" w:lineRule="auto"/>
    </w:pPr>
    <w:rPr>
      <w:sz w:val="20"/>
      <w:szCs w:val="20"/>
    </w:rPr>
  </w:style>
  <w:style w:type="paragraph" w:styleId="Tematkomentarza">
    <w:name w:val="annotation subject"/>
    <w:basedOn w:val="Tekstkomentarza"/>
    <w:link w:val="TematkomentarzaZnak"/>
    <w:uiPriority w:val="99"/>
    <w:semiHidden/>
    <w:unhideWhenUsed/>
    <w:rsid w:val="00DE41F4"/>
    <w:rPr>
      <w:b/>
      <w:bCs/>
    </w:rPr>
  </w:style>
  <w:style w:type="paragraph" w:styleId="Tekstdymka">
    <w:name w:val="Balloon Text"/>
    <w:basedOn w:val="Normalny"/>
    <w:link w:val="TekstdymkaZnak"/>
    <w:uiPriority w:val="99"/>
    <w:semiHidden/>
    <w:unhideWhenUsed/>
    <w:rsid w:val="00DE41F4"/>
    <w:pPr>
      <w:spacing w:after="0" w:line="240" w:lineRule="auto"/>
    </w:pPr>
    <w:rPr>
      <w:rFonts w:ascii="Tahoma" w:hAnsi="Tahoma" w:cs="Tahoma"/>
      <w:sz w:val="16"/>
      <w:szCs w:val="16"/>
    </w:rPr>
  </w:style>
  <w:style w:type="paragraph" w:styleId="Bezodstpw">
    <w:name w:val="No Spacing"/>
    <w:uiPriority w:val="99"/>
    <w:qFormat/>
    <w:rsid w:val="001221C1"/>
    <w:pPr>
      <w:suppressAutoHyphens/>
      <w:spacing w:line="240" w:lineRule="auto"/>
    </w:pPr>
    <w:rPr>
      <w:rFonts w:ascii="Calibri" w:hAnsi="Calibri" w:cs="Times New Roman"/>
      <w:color w:val="00000A"/>
      <w:sz w:val="22"/>
      <w:lang w:val="sv-SE"/>
    </w:rPr>
  </w:style>
  <w:style w:type="table" w:styleId="Tabela-Siatka">
    <w:name w:val="Table Grid"/>
    <w:basedOn w:val="Standardowy"/>
    <w:uiPriority w:val="59"/>
    <w:rsid w:val="008003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8230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306E"/>
    <w:rPr>
      <w:color w:val="00000A"/>
      <w:sz w:val="24"/>
    </w:rPr>
  </w:style>
  <w:style w:type="character" w:styleId="Numerwiersza">
    <w:name w:val="line number"/>
    <w:basedOn w:val="Domylnaczcionkaakapitu"/>
    <w:uiPriority w:val="99"/>
    <w:semiHidden/>
    <w:unhideWhenUsed/>
    <w:rsid w:val="000A77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pPr>
    <w:rPr>
      <w:color w:val="00000A"/>
      <w:sz w:val="24"/>
    </w:rPr>
  </w:style>
  <w:style w:type="paragraph" w:styleId="Nagwek1">
    <w:name w:val="heading 1"/>
    <w:basedOn w:val="Nagwek"/>
    <w:pPr>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E41F4"/>
    <w:rPr>
      <w:sz w:val="16"/>
      <w:szCs w:val="16"/>
    </w:rPr>
  </w:style>
  <w:style w:type="character" w:customStyle="1" w:styleId="TekstkomentarzaZnak">
    <w:name w:val="Tekst komentarza Znak"/>
    <w:basedOn w:val="Domylnaczcionkaakapitu"/>
    <w:link w:val="Tekstkomentarza"/>
    <w:uiPriority w:val="99"/>
    <w:semiHidden/>
    <w:rsid w:val="00DE41F4"/>
    <w:rPr>
      <w:sz w:val="20"/>
      <w:szCs w:val="20"/>
    </w:rPr>
  </w:style>
  <w:style w:type="character" w:customStyle="1" w:styleId="TematkomentarzaZnak">
    <w:name w:val="Temat komentarza Znak"/>
    <w:basedOn w:val="TekstkomentarzaZnak"/>
    <w:link w:val="Tematkomentarza"/>
    <w:uiPriority w:val="99"/>
    <w:semiHidden/>
    <w:rsid w:val="00DE41F4"/>
    <w:rPr>
      <w:b/>
      <w:bCs/>
      <w:sz w:val="20"/>
      <w:szCs w:val="20"/>
    </w:rPr>
  </w:style>
  <w:style w:type="character" w:customStyle="1" w:styleId="TekstdymkaZnak">
    <w:name w:val="Tekst dymka Znak"/>
    <w:basedOn w:val="Domylnaczcionkaakapitu"/>
    <w:link w:val="Tekstdymka"/>
    <w:uiPriority w:val="99"/>
    <w:semiHidden/>
    <w:rsid w:val="00DE41F4"/>
    <w:rPr>
      <w:rFonts w:ascii="Tahoma" w:hAnsi="Tahoma" w:cs="Tahoma"/>
      <w:sz w:val="16"/>
      <w:szCs w:val="16"/>
    </w:rPr>
  </w:style>
  <w:style w:type="character" w:customStyle="1" w:styleId="czeinternetowe">
    <w:name w:val="Łącze internetowe"/>
    <w:basedOn w:val="Domylnaczcionkaakapitu"/>
    <w:uiPriority w:val="99"/>
    <w:unhideWhenUsed/>
    <w:rsid w:val="001221C1"/>
    <w:rPr>
      <w:color w:val="0000FF" w:themeColor="hyperlink"/>
      <w:u w:val="single"/>
    </w:rPr>
  </w:style>
  <w:style w:type="character" w:customStyle="1" w:styleId="Cytat1">
    <w:name w:val="Cytat1"/>
    <w:rPr>
      <w:i/>
      <w:iCs/>
    </w:rPr>
  </w:style>
  <w:style w:type="character" w:customStyle="1" w:styleId="Mocnowyrniony">
    <w:name w:val="Mocno wyróżniony"/>
    <w:rPr>
      <w:b/>
      <w:bCs/>
    </w:rPr>
  </w:style>
  <w:style w:type="character" w:customStyle="1" w:styleId="Wyrnienie">
    <w:name w:val="Wyróżnienie"/>
    <w:rPr>
      <w:i/>
      <w:iCs/>
    </w:rPr>
  </w:style>
  <w:style w:type="paragraph" w:styleId="Nagwek">
    <w:name w:val="header"/>
    <w:basedOn w:val="Normalny"/>
    <w:next w:val="Tretekstu"/>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Cs w:val="24"/>
    </w:rPr>
  </w:style>
  <w:style w:type="paragraph" w:customStyle="1" w:styleId="Indeks">
    <w:name w:val="Indeks"/>
    <w:basedOn w:val="Normalny"/>
    <w:pPr>
      <w:suppressLineNumbers/>
    </w:pPr>
    <w:rPr>
      <w:rFonts w:cs="Mangal"/>
    </w:rPr>
  </w:style>
  <w:style w:type="paragraph" w:styleId="Tekstkomentarza">
    <w:name w:val="annotation text"/>
    <w:basedOn w:val="Normalny"/>
    <w:link w:val="TekstkomentarzaZnak"/>
    <w:uiPriority w:val="99"/>
    <w:semiHidden/>
    <w:unhideWhenUsed/>
    <w:rsid w:val="00DE41F4"/>
    <w:pPr>
      <w:spacing w:line="240" w:lineRule="auto"/>
    </w:pPr>
    <w:rPr>
      <w:sz w:val="20"/>
      <w:szCs w:val="20"/>
    </w:rPr>
  </w:style>
  <w:style w:type="paragraph" w:styleId="Tematkomentarza">
    <w:name w:val="annotation subject"/>
    <w:basedOn w:val="Tekstkomentarza"/>
    <w:link w:val="TematkomentarzaZnak"/>
    <w:uiPriority w:val="99"/>
    <w:semiHidden/>
    <w:unhideWhenUsed/>
    <w:rsid w:val="00DE41F4"/>
    <w:rPr>
      <w:b/>
      <w:bCs/>
    </w:rPr>
  </w:style>
  <w:style w:type="paragraph" w:styleId="Tekstdymka">
    <w:name w:val="Balloon Text"/>
    <w:basedOn w:val="Normalny"/>
    <w:link w:val="TekstdymkaZnak"/>
    <w:uiPriority w:val="99"/>
    <w:semiHidden/>
    <w:unhideWhenUsed/>
    <w:rsid w:val="00DE41F4"/>
    <w:pPr>
      <w:spacing w:after="0" w:line="240" w:lineRule="auto"/>
    </w:pPr>
    <w:rPr>
      <w:rFonts w:ascii="Tahoma" w:hAnsi="Tahoma" w:cs="Tahoma"/>
      <w:sz w:val="16"/>
      <w:szCs w:val="16"/>
    </w:rPr>
  </w:style>
  <w:style w:type="paragraph" w:styleId="Bezodstpw">
    <w:name w:val="No Spacing"/>
    <w:uiPriority w:val="99"/>
    <w:qFormat/>
    <w:rsid w:val="001221C1"/>
    <w:pPr>
      <w:suppressAutoHyphens/>
      <w:spacing w:line="240" w:lineRule="auto"/>
    </w:pPr>
    <w:rPr>
      <w:rFonts w:ascii="Calibri" w:hAnsi="Calibri" w:cs="Times New Roman"/>
      <w:color w:val="00000A"/>
      <w:sz w:val="22"/>
      <w:lang w:val="sv-SE"/>
    </w:rPr>
  </w:style>
  <w:style w:type="table" w:styleId="Tabela-Siatka">
    <w:name w:val="Table Grid"/>
    <w:basedOn w:val="Standardowy"/>
    <w:uiPriority w:val="59"/>
    <w:rsid w:val="008003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8230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306E"/>
    <w:rPr>
      <w:color w:val="00000A"/>
      <w:sz w:val="24"/>
    </w:rPr>
  </w:style>
  <w:style w:type="character" w:styleId="Numerwiersza">
    <w:name w:val="line number"/>
    <w:basedOn w:val="Domylnaczcionkaakapitu"/>
    <w:uiPriority w:val="99"/>
    <w:semiHidden/>
    <w:unhideWhenUsed/>
    <w:rsid w:val="000A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link.springer.com/journal/1124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ubs.acs.org/action/doSearch?ContribStored=Cao%2C+A"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link.springer.com/search?facet-author=%22M.S.+Spencer%22" TargetMode="External"/><Relationship Id="rId25" Type="http://schemas.openxmlformats.org/officeDocument/2006/relationships/hyperlink" Target="http://pubs.acs.org/action/doSearch?ContribStored=Liu%2C+Y"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pubs.acs.org/action/doSearch?ContribStored=Wang%2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pubs.acs.org/action/doSearch?ContribStored=Liu%2C+J" TargetMode="Externa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yperlink" Target="http://pubs.acs.org/action/doSearch?ContribStored=Zhang%2C+X" TargetMode="External"/><Relationship Id="rId10" Type="http://schemas.openxmlformats.org/officeDocument/2006/relationships/image" Target="media/image1.wmf"/><Relationship Id="rId19" Type="http://schemas.openxmlformats.org/officeDocument/2006/relationships/hyperlink" Target="http://pubs.acs.org/action/doSearch?ContribStored=Adkins%2C+Home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hyperlink" Target="http://pubs.acs.org/action/doSearch?ContribStored=Jiang%2C+Y"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B55E44F-BEB9-4F06-9BD4-31804106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1962</Words>
  <Characters>11772</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Pulit</dc:creator>
  <cp:lastModifiedBy>Jolanta Pulit</cp:lastModifiedBy>
  <cp:revision>110</cp:revision>
  <cp:lastPrinted>2016-01-13T07:55:00Z</cp:lastPrinted>
  <dcterms:created xsi:type="dcterms:W3CDTF">2016-01-07T08:27:00Z</dcterms:created>
  <dcterms:modified xsi:type="dcterms:W3CDTF">2016-01-13T07:55:00Z</dcterms:modified>
  <dc:language>en-GB</dc:language>
</cp:coreProperties>
</file>