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0CD" w:rsidRPr="00692930" w:rsidRDefault="00625393" w:rsidP="00605637">
      <w:pPr>
        <w:ind w:firstLine="0"/>
        <w:jc w:val="center"/>
        <w:rPr>
          <w:rFonts w:ascii="Times New Roman" w:hAnsi="Times New Roman"/>
          <w:b/>
          <w:sz w:val="28"/>
          <w:szCs w:val="28"/>
        </w:rPr>
      </w:pPr>
      <w:r w:rsidRPr="00692930">
        <w:rPr>
          <w:rFonts w:ascii="Times New Roman" w:hAnsi="Times New Roman"/>
          <w:b/>
          <w:sz w:val="28"/>
          <w:szCs w:val="28"/>
        </w:rPr>
        <w:t>Basic</w:t>
      </w:r>
      <w:r w:rsidR="003A7256" w:rsidRPr="00692930">
        <w:rPr>
          <w:rFonts w:ascii="Times New Roman" w:hAnsi="Times New Roman"/>
          <w:b/>
          <w:sz w:val="28"/>
          <w:szCs w:val="28"/>
        </w:rPr>
        <w:t xml:space="preserve"> </w:t>
      </w:r>
      <w:r w:rsidR="00785909" w:rsidRPr="00692930">
        <w:rPr>
          <w:rFonts w:ascii="Times New Roman" w:hAnsi="Times New Roman"/>
          <w:b/>
          <w:sz w:val="28"/>
          <w:szCs w:val="28"/>
        </w:rPr>
        <w:t>electrochemical performance of pure LiMnPO</w:t>
      </w:r>
      <w:r w:rsidR="00785909" w:rsidRPr="00692930">
        <w:rPr>
          <w:rFonts w:ascii="Times New Roman" w:hAnsi="Times New Roman"/>
          <w:b/>
          <w:sz w:val="28"/>
          <w:szCs w:val="28"/>
          <w:vertAlign w:val="subscript"/>
        </w:rPr>
        <w:t>4</w:t>
      </w:r>
      <w:r w:rsidR="002E046D" w:rsidRPr="00692930">
        <w:rPr>
          <w:rFonts w:ascii="Times New Roman" w:hAnsi="Times New Roman"/>
          <w:b/>
          <w:sz w:val="28"/>
          <w:szCs w:val="28"/>
        </w:rPr>
        <w:t xml:space="preserve">: a comparison with </w:t>
      </w:r>
      <w:r w:rsidR="00785909" w:rsidRPr="00692930">
        <w:rPr>
          <w:rFonts w:ascii="Times New Roman" w:hAnsi="Times New Roman"/>
          <w:b/>
          <w:sz w:val="28"/>
          <w:szCs w:val="28"/>
        </w:rPr>
        <w:t>selected conventional insertion materials</w:t>
      </w:r>
    </w:p>
    <w:p w:rsidR="008160CD" w:rsidRPr="00692930" w:rsidRDefault="008160CD" w:rsidP="008A3866">
      <w:pPr>
        <w:rPr>
          <w:rFonts w:ascii="Times New Roman" w:hAnsi="Times New Roman"/>
          <w:sz w:val="24"/>
          <w:szCs w:val="24"/>
        </w:rPr>
      </w:pPr>
    </w:p>
    <w:p w:rsidR="00BA4A1F" w:rsidRPr="00692930" w:rsidRDefault="00EB6496" w:rsidP="00605637">
      <w:pPr>
        <w:ind w:firstLine="0"/>
        <w:jc w:val="center"/>
        <w:rPr>
          <w:rFonts w:ascii="Times New Roman" w:hAnsi="Times New Roman"/>
          <w:sz w:val="24"/>
          <w:szCs w:val="24"/>
          <w:lang w:eastAsia="sl-SI"/>
        </w:rPr>
      </w:pPr>
      <w:r w:rsidRPr="00692930">
        <w:rPr>
          <w:rFonts w:ascii="Times New Roman" w:hAnsi="Times New Roman"/>
          <w:sz w:val="24"/>
          <w:szCs w:val="24"/>
          <w:lang w:eastAsia="sl-SI"/>
        </w:rPr>
        <w:t>J. Moskon, M. Pivko, and M. Gaberscek</w:t>
      </w:r>
      <w:r w:rsidR="00605637" w:rsidRPr="00692930">
        <w:rPr>
          <w:rFonts w:ascii="Times New Roman" w:hAnsi="Times New Roman"/>
          <w:sz w:val="24"/>
          <w:szCs w:val="24"/>
          <w:lang w:eastAsia="sl-SI"/>
        </w:rPr>
        <w:t>*</w:t>
      </w:r>
    </w:p>
    <w:p w:rsidR="009D54B0" w:rsidRPr="00692930" w:rsidRDefault="009D54B0" w:rsidP="008A3866">
      <w:pPr>
        <w:ind w:firstLine="0"/>
        <w:rPr>
          <w:rFonts w:ascii="Times New Roman" w:hAnsi="Times New Roman"/>
          <w:i/>
          <w:sz w:val="24"/>
          <w:szCs w:val="24"/>
          <w:lang w:eastAsia="sl-SI"/>
        </w:rPr>
      </w:pPr>
      <w:r w:rsidRPr="00692930">
        <w:rPr>
          <w:rFonts w:ascii="Times New Roman" w:hAnsi="Times New Roman"/>
          <w:i/>
          <w:sz w:val="24"/>
          <w:szCs w:val="24"/>
          <w:lang w:eastAsia="sl-SI"/>
        </w:rPr>
        <w:t xml:space="preserve">National Institute of </w:t>
      </w:r>
      <w:r w:rsidR="002E046D" w:rsidRPr="00692930">
        <w:rPr>
          <w:rFonts w:ascii="Times New Roman" w:hAnsi="Times New Roman"/>
          <w:i/>
          <w:sz w:val="24"/>
          <w:szCs w:val="24"/>
          <w:lang w:eastAsia="sl-SI"/>
        </w:rPr>
        <w:t>Chemistry, Ljubljana, Slovenia, Hajdrihova 19, SI-1000 Ljubljana</w:t>
      </w:r>
    </w:p>
    <w:p w:rsidR="009B2884" w:rsidRPr="00692930" w:rsidRDefault="009B2884" w:rsidP="009B2884">
      <w:pPr>
        <w:ind w:firstLine="0"/>
        <w:jc w:val="center"/>
        <w:rPr>
          <w:rFonts w:ascii="Times New Roman" w:hAnsi="Times New Roman"/>
          <w:i/>
          <w:sz w:val="24"/>
          <w:szCs w:val="24"/>
          <w:lang w:eastAsia="sl-SI"/>
        </w:rPr>
      </w:pPr>
      <w:r w:rsidRPr="00692930">
        <w:rPr>
          <w:rFonts w:ascii="Times New Roman" w:hAnsi="Times New Roman"/>
          <w:i/>
          <w:sz w:val="24"/>
          <w:szCs w:val="24"/>
          <w:lang w:eastAsia="sl-SI"/>
        </w:rPr>
        <w:t xml:space="preserve">*corresponding author: </w:t>
      </w:r>
      <w:hyperlink r:id="rId9" w:history="1">
        <w:r w:rsidR="00F3061F" w:rsidRPr="00692930">
          <w:rPr>
            <w:rStyle w:val="Hyperlink"/>
            <w:rFonts w:ascii="Times New Roman" w:hAnsi="Times New Roman"/>
            <w:i/>
            <w:sz w:val="24"/>
            <w:szCs w:val="24"/>
            <w:lang w:eastAsia="sl-SI"/>
          </w:rPr>
          <w:t>miran.gaberscek@ki.si</w:t>
        </w:r>
      </w:hyperlink>
    </w:p>
    <w:p w:rsidR="00F3061F" w:rsidRPr="00692930" w:rsidRDefault="00F3061F" w:rsidP="009B2884">
      <w:pPr>
        <w:ind w:firstLine="0"/>
        <w:jc w:val="center"/>
        <w:rPr>
          <w:rFonts w:ascii="Times New Roman" w:hAnsi="Times New Roman"/>
          <w:i/>
          <w:sz w:val="24"/>
          <w:szCs w:val="24"/>
          <w:lang w:eastAsia="sl-SI"/>
        </w:rPr>
      </w:pPr>
      <w:r w:rsidRPr="00692930">
        <w:rPr>
          <w:rFonts w:ascii="Times New Roman" w:hAnsi="Times New Roman"/>
          <w:i/>
          <w:sz w:val="24"/>
          <w:szCs w:val="24"/>
          <w:lang w:eastAsia="sl-SI"/>
        </w:rPr>
        <w:t>Phone: +386 1 4760 320</w:t>
      </w:r>
    </w:p>
    <w:p w:rsidR="009D54B0" w:rsidRPr="00692930" w:rsidRDefault="009D54B0" w:rsidP="008A3866">
      <w:pPr>
        <w:ind w:firstLine="0"/>
        <w:rPr>
          <w:rFonts w:ascii="Times New Roman" w:hAnsi="Times New Roman"/>
          <w:sz w:val="24"/>
          <w:szCs w:val="24"/>
        </w:rPr>
      </w:pPr>
    </w:p>
    <w:p w:rsidR="009D54B0" w:rsidRPr="00692930" w:rsidRDefault="00BA4A1F" w:rsidP="008A3866">
      <w:pPr>
        <w:ind w:firstLine="0"/>
        <w:rPr>
          <w:rFonts w:ascii="Times New Roman" w:hAnsi="Times New Roman"/>
          <w:b/>
          <w:sz w:val="24"/>
          <w:szCs w:val="24"/>
          <w:lang w:eastAsia="sl-SI"/>
        </w:rPr>
      </w:pPr>
      <w:r w:rsidRPr="00692930">
        <w:rPr>
          <w:rFonts w:ascii="Times New Roman" w:hAnsi="Times New Roman"/>
          <w:b/>
          <w:sz w:val="24"/>
          <w:szCs w:val="24"/>
          <w:lang w:eastAsia="sl-SI"/>
        </w:rPr>
        <w:t>Abstract</w:t>
      </w:r>
      <w:r w:rsidR="009D54B0" w:rsidRPr="00692930">
        <w:rPr>
          <w:rFonts w:ascii="Times New Roman" w:hAnsi="Times New Roman"/>
          <w:b/>
          <w:sz w:val="24"/>
          <w:szCs w:val="24"/>
          <w:lang w:eastAsia="sl-SI"/>
        </w:rPr>
        <w:t>:</w:t>
      </w:r>
    </w:p>
    <w:p w:rsidR="00C14E7B" w:rsidRPr="00692930" w:rsidRDefault="00F3061F" w:rsidP="00C14E7B">
      <w:pPr>
        <w:ind w:firstLine="0"/>
        <w:rPr>
          <w:rFonts w:ascii="Times New Roman" w:hAnsi="Times New Roman"/>
          <w:sz w:val="24"/>
          <w:szCs w:val="24"/>
        </w:rPr>
      </w:pPr>
      <w:r w:rsidRPr="00692930">
        <w:rPr>
          <w:rFonts w:ascii="Times New Roman" w:hAnsi="Times New Roman"/>
          <w:sz w:val="24"/>
          <w:szCs w:val="24"/>
          <w:lang w:eastAsia="sl-SI"/>
        </w:rPr>
        <w:t>W</w:t>
      </w:r>
      <w:r w:rsidR="005345B0" w:rsidRPr="00692930">
        <w:rPr>
          <w:rFonts w:ascii="Times New Roman" w:hAnsi="Times New Roman"/>
          <w:sz w:val="24"/>
          <w:szCs w:val="24"/>
          <w:lang w:eastAsia="sl-SI"/>
        </w:rPr>
        <w:t xml:space="preserve">e </w:t>
      </w:r>
      <w:r w:rsidR="0056485E" w:rsidRPr="00692930">
        <w:rPr>
          <w:rFonts w:ascii="Times New Roman" w:hAnsi="Times New Roman"/>
          <w:sz w:val="24"/>
          <w:szCs w:val="24"/>
          <w:lang w:eastAsia="sl-SI"/>
        </w:rPr>
        <w:t xml:space="preserve">compare the basic electrochemical performance of a </w:t>
      </w:r>
      <w:r w:rsidR="005345B0" w:rsidRPr="00692930">
        <w:rPr>
          <w:rFonts w:ascii="Times New Roman" w:hAnsi="Times New Roman"/>
          <w:sz w:val="24"/>
          <w:szCs w:val="24"/>
        </w:rPr>
        <w:t>LiMnPO</w:t>
      </w:r>
      <w:r w:rsidR="005345B0" w:rsidRPr="00692930">
        <w:rPr>
          <w:rFonts w:ascii="Times New Roman" w:hAnsi="Times New Roman"/>
          <w:sz w:val="24"/>
          <w:szCs w:val="24"/>
          <w:vertAlign w:val="subscript"/>
        </w:rPr>
        <w:t>4</w:t>
      </w:r>
      <w:r w:rsidR="005345B0" w:rsidRPr="00692930">
        <w:rPr>
          <w:rFonts w:ascii="Times New Roman" w:hAnsi="Times New Roman"/>
          <w:sz w:val="24"/>
          <w:szCs w:val="24"/>
        </w:rPr>
        <w:t xml:space="preserve"> </w:t>
      </w:r>
      <w:r w:rsidR="0056485E" w:rsidRPr="00692930">
        <w:rPr>
          <w:rFonts w:ascii="Times New Roman" w:hAnsi="Times New Roman"/>
          <w:sz w:val="24"/>
          <w:szCs w:val="24"/>
        </w:rPr>
        <w:t xml:space="preserve">battery </w:t>
      </w:r>
      <w:r w:rsidR="005345B0" w:rsidRPr="00692930">
        <w:rPr>
          <w:rFonts w:ascii="Times New Roman" w:hAnsi="Times New Roman"/>
          <w:sz w:val="24"/>
          <w:szCs w:val="24"/>
        </w:rPr>
        <w:t xml:space="preserve">material </w:t>
      </w:r>
      <w:r w:rsidR="0056485E" w:rsidRPr="00692930">
        <w:rPr>
          <w:rFonts w:ascii="Times New Roman" w:hAnsi="Times New Roman"/>
          <w:sz w:val="24"/>
          <w:szCs w:val="24"/>
        </w:rPr>
        <w:t>with the performance of it</w:t>
      </w:r>
      <w:r w:rsidR="005345B0" w:rsidRPr="00692930">
        <w:rPr>
          <w:rFonts w:ascii="Times New Roman" w:hAnsi="Times New Roman"/>
          <w:sz w:val="24"/>
          <w:szCs w:val="24"/>
        </w:rPr>
        <w:t xml:space="preserve">s </w:t>
      </w:r>
      <w:r w:rsidR="0056485E" w:rsidRPr="00692930">
        <w:rPr>
          <w:rFonts w:ascii="Times New Roman" w:hAnsi="Times New Roman"/>
          <w:sz w:val="24"/>
          <w:szCs w:val="24"/>
        </w:rPr>
        <w:t xml:space="preserve">much more researched olivine counterpart </w:t>
      </w:r>
      <w:r w:rsidR="00C14E7B" w:rsidRPr="00692930">
        <w:rPr>
          <w:rFonts w:ascii="Times New Roman" w:hAnsi="Times New Roman"/>
          <w:sz w:val="24"/>
          <w:szCs w:val="24"/>
        </w:rPr>
        <w:t>- LiFePO</w:t>
      </w:r>
      <w:r w:rsidR="00C14E7B" w:rsidRPr="00692930">
        <w:rPr>
          <w:rFonts w:ascii="Times New Roman" w:hAnsi="Times New Roman"/>
          <w:sz w:val="24"/>
          <w:szCs w:val="24"/>
          <w:vertAlign w:val="subscript"/>
        </w:rPr>
        <w:t>4</w:t>
      </w:r>
      <w:r w:rsidR="0056485E" w:rsidRPr="00692930">
        <w:rPr>
          <w:rFonts w:ascii="Times New Roman" w:hAnsi="Times New Roman"/>
          <w:sz w:val="24"/>
          <w:szCs w:val="24"/>
        </w:rPr>
        <w:t xml:space="preserve">. </w:t>
      </w:r>
      <w:r w:rsidRPr="00692930">
        <w:rPr>
          <w:rFonts w:ascii="Times New Roman" w:hAnsi="Times New Roman"/>
          <w:sz w:val="24"/>
          <w:szCs w:val="24"/>
        </w:rPr>
        <w:t>To get</w:t>
      </w:r>
      <w:r w:rsidR="0056485E" w:rsidRPr="00692930">
        <w:rPr>
          <w:rFonts w:ascii="Times New Roman" w:hAnsi="Times New Roman"/>
          <w:sz w:val="24"/>
          <w:szCs w:val="24"/>
        </w:rPr>
        <w:t xml:space="preserve"> a wider picture, we also included another well understood material</w:t>
      </w:r>
      <w:r w:rsidR="00CB461A" w:rsidRPr="00692930">
        <w:rPr>
          <w:rFonts w:ascii="Times New Roman" w:hAnsi="Times New Roman"/>
          <w:sz w:val="24"/>
          <w:szCs w:val="24"/>
        </w:rPr>
        <w:t>, LiCoO</w:t>
      </w:r>
      <w:r w:rsidR="00CB461A" w:rsidRPr="00692930">
        <w:rPr>
          <w:rFonts w:ascii="Times New Roman" w:hAnsi="Times New Roman"/>
          <w:sz w:val="24"/>
          <w:szCs w:val="24"/>
          <w:vertAlign w:val="subscript"/>
        </w:rPr>
        <w:t>2</w:t>
      </w:r>
      <w:r w:rsidR="00CB461A" w:rsidRPr="00692930">
        <w:rPr>
          <w:rFonts w:ascii="Times New Roman" w:hAnsi="Times New Roman"/>
          <w:sz w:val="24"/>
          <w:szCs w:val="24"/>
        </w:rPr>
        <w:t xml:space="preserve">. </w:t>
      </w:r>
      <w:r w:rsidR="00AE2021" w:rsidRPr="00692930">
        <w:rPr>
          <w:rFonts w:ascii="Times New Roman" w:hAnsi="Times New Roman"/>
          <w:sz w:val="24"/>
          <w:szCs w:val="24"/>
          <w:lang w:eastAsia="sl-SI"/>
        </w:rPr>
        <w:t xml:space="preserve">Based on </w:t>
      </w:r>
      <w:r w:rsidR="00CB461A" w:rsidRPr="00692930">
        <w:rPr>
          <w:rFonts w:ascii="Times New Roman" w:hAnsi="Times New Roman"/>
          <w:sz w:val="24"/>
          <w:szCs w:val="24"/>
          <w:lang w:eastAsia="sl-SI"/>
        </w:rPr>
        <w:t>chronopotentiometric (galvanostatic) experiment</w:t>
      </w:r>
      <w:r w:rsidR="0056485E" w:rsidRPr="00692930">
        <w:rPr>
          <w:rFonts w:ascii="Times New Roman" w:hAnsi="Times New Roman"/>
          <w:sz w:val="24"/>
          <w:szCs w:val="24"/>
          <w:lang w:eastAsia="sl-SI"/>
        </w:rPr>
        <w:t xml:space="preserve">s, </w:t>
      </w:r>
      <w:r w:rsidR="00AE2021" w:rsidRPr="00692930">
        <w:rPr>
          <w:rFonts w:ascii="Times New Roman" w:hAnsi="Times New Roman"/>
          <w:sz w:val="24"/>
          <w:szCs w:val="24"/>
          <w:lang w:eastAsia="sl-SI"/>
        </w:rPr>
        <w:t xml:space="preserve">we discuss </w:t>
      </w:r>
      <w:r w:rsidR="00560613" w:rsidRPr="00692930">
        <w:rPr>
          <w:rFonts w:ascii="Times New Roman" w:hAnsi="Times New Roman"/>
          <w:sz w:val="24"/>
          <w:szCs w:val="24"/>
          <w:lang w:eastAsia="sl-SI"/>
        </w:rPr>
        <w:t xml:space="preserve">the materials performance in terms of cell </w:t>
      </w:r>
      <w:r w:rsidR="0056485E" w:rsidRPr="00692930">
        <w:rPr>
          <w:rFonts w:ascii="Times New Roman" w:hAnsi="Times New Roman"/>
          <w:sz w:val="24"/>
          <w:szCs w:val="24"/>
        </w:rPr>
        <w:t>e</w:t>
      </w:r>
      <w:r w:rsidR="00CB461A" w:rsidRPr="00692930">
        <w:rPr>
          <w:rFonts w:ascii="Times New Roman" w:hAnsi="Times New Roman"/>
          <w:sz w:val="24"/>
          <w:szCs w:val="24"/>
        </w:rPr>
        <w:t xml:space="preserve">nergy efficiency </w:t>
      </w:r>
      <w:r w:rsidR="00AE2021" w:rsidRPr="00692930">
        <w:rPr>
          <w:rFonts w:ascii="Times New Roman" w:hAnsi="Times New Roman"/>
          <w:sz w:val="24"/>
          <w:szCs w:val="24"/>
        </w:rPr>
        <w:t xml:space="preserve">and electrode polarization. </w:t>
      </w:r>
      <w:r w:rsidRPr="00692930">
        <w:rPr>
          <w:rFonts w:ascii="Times New Roman" w:hAnsi="Times New Roman"/>
          <w:sz w:val="24"/>
          <w:szCs w:val="24"/>
        </w:rPr>
        <w:t>W</w:t>
      </w:r>
      <w:r w:rsidR="00CB461A" w:rsidRPr="00692930">
        <w:rPr>
          <w:rFonts w:ascii="Times New Roman" w:hAnsi="Times New Roman"/>
          <w:sz w:val="24"/>
          <w:szCs w:val="24"/>
        </w:rPr>
        <w:t xml:space="preserve">e </w:t>
      </w:r>
      <w:r w:rsidR="005F43E8" w:rsidRPr="00692930">
        <w:rPr>
          <w:rFonts w:ascii="Times New Roman" w:hAnsi="Times New Roman"/>
          <w:sz w:val="24"/>
          <w:szCs w:val="24"/>
        </w:rPr>
        <w:t>propose</w:t>
      </w:r>
      <w:r w:rsidR="00CB461A" w:rsidRPr="00692930">
        <w:rPr>
          <w:rFonts w:ascii="Times New Roman" w:hAnsi="Times New Roman"/>
          <w:sz w:val="24"/>
          <w:szCs w:val="24"/>
        </w:rPr>
        <w:t xml:space="preserve"> </w:t>
      </w:r>
      <w:r w:rsidR="00AE2021" w:rsidRPr="00692930">
        <w:rPr>
          <w:rFonts w:ascii="Times New Roman" w:hAnsi="Times New Roman"/>
          <w:sz w:val="24"/>
          <w:szCs w:val="24"/>
        </w:rPr>
        <w:t>and justify the use of the “</w:t>
      </w:r>
      <w:r w:rsidR="005F43E8" w:rsidRPr="00692930">
        <w:rPr>
          <w:rFonts w:ascii="Times New Roman" w:hAnsi="Times New Roman"/>
          <w:sz w:val="24"/>
          <w:szCs w:val="24"/>
        </w:rPr>
        <w:t>inflection point criterion</w:t>
      </w:r>
      <w:r w:rsidR="00AE2021" w:rsidRPr="00692930">
        <w:rPr>
          <w:rFonts w:ascii="Times New Roman" w:hAnsi="Times New Roman"/>
          <w:sz w:val="24"/>
          <w:szCs w:val="24"/>
        </w:rPr>
        <w:t>”</w:t>
      </w:r>
      <w:r w:rsidR="005F43E8" w:rsidRPr="00692930">
        <w:rPr>
          <w:rFonts w:ascii="Times New Roman" w:hAnsi="Times New Roman"/>
          <w:sz w:val="24"/>
          <w:szCs w:val="24"/>
        </w:rPr>
        <w:t xml:space="preserve"> for determination of total overpotential (</w:t>
      </w:r>
      <w:r w:rsidR="005F43E8" w:rsidRPr="00692930">
        <w:rPr>
          <w:rFonts w:ascii="Times New Roman" w:hAnsi="Times New Roman"/>
          <w:i/>
          <w:sz w:val="24"/>
          <w:szCs w:val="24"/>
        </w:rPr>
        <w:sym w:font="Symbol" w:char="F068"/>
      </w:r>
      <w:r w:rsidR="005F43E8" w:rsidRPr="00692930">
        <w:rPr>
          <w:rFonts w:ascii="Times New Roman" w:hAnsi="Times New Roman"/>
          <w:sz w:val="24"/>
          <w:szCs w:val="24"/>
          <w:vertAlign w:val="subscript"/>
        </w:rPr>
        <w:t>total</w:t>
      </w:r>
      <w:r w:rsidR="005F43E8" w:rsidRPr="00692930">
        <w:rPr>
          <w:rFonts w:ascii="Times New Roman" w:hAnsi="Times New Roman"/>
          <w:sz w:val="24"/>
          <w:szCs w:val="24"/>
        </w:rPr>
        <w:t>)</w:t>
      </w:r>
      <w:r w:rsidR="00560613" w:rsidRPr="00692930">
        <w:rPr>
          <w:rFonts w:ascii="Times New Roman" w:hAnsi="Times New Roman"/>
          <w:sz w:val="24"/>
          <w:szCs w:val="24"/>
        </w:rPr>
        <w:t xml:space="preserve">. We further demonstrate </w:t>
      </w:r>
      <w:r w:rsidR="005F43E8" w:rsidRPr="00692930">
        <w:rPr>
          <w:rFonts w:ascii="Times New Roman" w:hAnsi="Times New Roman"/>
          <w:sz w:val="24"/>
          <w:szCs w:val="24"/>
        </w:rPr>
        <w:t xml:space="preserve">that the </w:t>
      </w:r>
      <w:r w:rsidR="00AE2021" w:rsidRPr="00692930">
        <w:rPr>
          <w:rFonts w:ascii="Times New Roman" w:hAnsi="Times New Roman"/>
          <w:sz w:val="24"/>
          <w:szCs w:val="24"/>
        </w:rPr>
        <w:t xml:space="preserve">general </w:t>
      </w:r>
      <w:r w:rsidR="00AE2021" w:rsidRPr="00692930">
        <w:rPr>
          <w:rFonts w:ascii="Times New Roman" w:hAnsi="Times New Roman"/>
          <w:bCs/>
          <w:sz w:val="24"/>
          <w:szCs w:val="24"/>
        </w:rPr>
        <w:t>current-o</w:t>
      </w:r>
      <w:r w:rsidR="00C14E7B" w:rsidRPr="00692930">
        <w:rPr>
          <w:rFonts w:ascii="Times New Roman" w:hAnsi="Times New Roman"/>
          <w:bCs/>
          <w:sz w:val="24"/>
          <w:szCs w:val="24"/>
        </w:rPr>
        <w:t>verpotential characteristics</w:t>
      </w:r>
      <w:r w:rsidR="005F43E8" w:rsidRPr="00692930">
        <w:rPr>
          <w:rFonts w:ascii="Times New Roman" w:hAnsi="Times New Roman"/>
          <w:bCs/>
          <w:sz w:val="24"/>
          <w:szCs w:val="24"/>
        </w:rPr>
        <w:t xml:space="preserve"> can be represented by introducing the</w:t>
      </w:r>
      <w:r w:rsidR="00AE2021" w:rsidRPr="00692930">
        <w:rPr>
          <w:rFonts w:ascii="Times New Roman" w:hAnsi="Times New Roman"/>
          <w:sz w:val="24"/>
          <w:szCs w:val="24"/>
        </w:rPr>
        <w:t xml:space="preserve"> t</w:t>
      </w:r>
      <w:r w:rsidR="005F43E8" w:rsidRPr="00692930">
        <w:rPr>
          <w:rFonts w:ascii="Times New Roman" w:hAnsi="Times New Roman"/>
          <w:sz w:val="24"/>
          <w:szCs w:val="24"/>
        </w:rPr>
        <w:t>otal resistance of the cell -</w:t>
      </w:r>
      <w:r w:rsidR="00C14E7B" w:rsidRPr="00692930">
        <w:rPr>
          <w:rFonts w:ascii="Times New Roman" w:hAnsi="Times New Roman"/>
          <w:sz w:val="24"/>
          <w:szCs w:val="24"/>
        </w:rPr>
        <w:t xml:space="preserve"> </w:t>
      </w:r>
      <w:r w:rsidR="00C14E7B" w:rsidRPr="00692930">
        <w:rPr>
          <w:rFonts w:ascii="Times New Roman" w:hAnsi="Times New Roman"/>
          <w:i/>
          <w:sz w:val="24"/>
          <w:szCs w:val="24"/>
        </w:rPr>
        <w:t>R</w:t>
      </w:r>
      <w:r w:rsidR="005F43E8" w:rsidRPr="00692930">
        <w:rPr>
          <w:rFonts w:ascii="Times New Roman" w:hAnsi="Times New Roman"/>
          <w:sz w:val="24"/>
          <w:szCs w:val="24"/>
          <w:vertAlign w:val="subscript"/>
        </w:rPr>
        <w:t>total</w:t>
      </w:r>
      <w:r w:rsidR="005F43E8" w:rsidRPr="00692930">
        <w:rPr>
          <w:rFonts w:ascii="Times New Roman" w:hAnsi="Times New Roman"/>
          <w:sz w:val="24"/>
          <w:szCs w:val="24"/>
        </w:rPr>
        <w:t>.</w:t>
      </w:r>
      <w:r w:rsidR="00C14E7B" w:rsidRPr="00692930">
        <w:rPr>
          <w:rFonts w:ascii="Times New Roman" w:hAnsi="Times New Roman"/>
          <w:sz w:val="24"/>
          <w:szCs w:val="24"/>
          <w:vertAlign w:val="subscript"/>
        </w:rPr>
        <w:t xml:space="preserve"> </w:t>
      </w:r>
      <w:r w:rsidR="00AE2021" w:rsidRPr="00692930">
        <w:rPr>
          <w:rFonts w:ascii="Times New Roman" w:hAnsi="Times New Roman"/>
          <w:sz w:val="24"/>
          <w:szCs w:val="24"/>
        </w:rPr>
        <w:t>W</w:t>
      </w:r>
      <w:r w:rsidR="00560613" w:rsidRPr="00692930">
        <w:rPr>
          <w:rFonts w:ascii="Times New Roman" w:hAnsi="Times New Roman"/>
          <w:sz w:val="24"/>
          <w:szCs w:val="24"/>
        </w:rPr>
        <w:t xml:space="preserve">e find </w:t>
      </w:r>
      <w:r w:rsidR="00AE2021" w:rsidRPr="00692930">
        <w:rPr>
          <w:rFonts w:ascii="Times New Roman" w:hAnsi="Times New Roman"/>
          <w:sz w:val="24"/>
          <w:szCs w:val="24"/>
        </w:rPr>
        <w:t xml:space="preserve">consistently that whereas in LCO the general </w:t>
      </w:r>
      <w:r w:rsidR="00AE2021" w:rsidRPr="00692930">
        <w:rPr>
          <w:rFonts w:ascii="Times New Roman" w:hAnsi="Times New Roman"/>
          <w:bCs/>
          <w:sz w:val="24"/>
          <w:szCs w:val="24"/>
        </w:rPr>
        <w:t>current-overpotential characteristics</w:t>
      </w:r>
      <w:r w:rsidR="00AE2021" w:rsidRPr="00692930">
        <w:rPr>
          <w:rFonts w:ascii="Times New Roman" w:hAnsi="Times New Roman"/>
          <w:sz w:val="24"/>
          <w:szCs w:val="24"/>
        </w:rPr>
        <w:t xml:space="preserve"> is more or less linear, there is significant deviation from linearity in LiFePO</w:t>
      </w:r>
      <w:r w:rsidR="00AE2021" w:rsidRPr="00692930">
        <w:rPr>
          <w:rFonts w:ascii="Times New Roman" w:hAnsi="Times New Roman"/>
          <w:sz w:val="24"/>
          <w:szCs w:val="24"/>
          <w:vertAlign w:val="subscript"/>
        </w:rPr>
        <w:t>4</w:t>
      </w:r>
      <w:r w:rsidR="00AE2021" w:rsidRPr="00692930">
        <w:rPr>
          <w:rFonts w:ascii="Times New Roman" w:hAnsi="Times New Roman"/>
          <w:sz w:val="24"/>
          <w:szCs w:val="24"/>
        </w:rPr>
        <w:t xml:space="preserve"> and even bigger in </w:t>
      </w:r>
      <w:r w:rsidR="005F43E8" w:rsidRPr="00692930">
        <w:rPr>
          <w:rFonts w:ascii="Times New Roman" w:hAnsi="Times New Roman"/>
          <w:sz w:val="24"/>
          <w:szCs w:val="24"/>
        </w:rPr>
        <w:t>LiMnPO</w:t>
      </w:r>
      <w:r w:rsidR="005F43E8" w:rsidRPr="00692930">
        <w:rPr>
          <w:rFonts w:ascii="Times New Roman" w:hAnsi="Times New Roman"/>
          <w:sz w:val="24"/>
          <w:szCs w:val="24"/>
          <w:vertAlign w:val="subscript"/>
        </w:rPr>
        <w:t>4</w:t>
      </w:r>
      <w:r w:rsidR="00AE2021" w:rsidRPr="00692930">
        <w:rPr>
          <w:rFonts w:ascii="Times New Roman" w:hAnsi="Times New Roman"/>
          <w:sz w:val="24"/>
          <w:szCs w:val="24"/>
        </w:rPr>
        <w:t xml:space="preserve">. The phenomenon is discussed in terms of state-of-the art knowledge about phase transformation phenomena in these materials. </w:t>
      </w:r>
    </w:p>
    <w:p w:rsidR="004F75D2" w:rsidRPr="00692930" w:rsidRDefault="004F75D2" w:rsidP="008A3866">
      <w:pPr>
        <w:ind w:firstLine="0"/>
        <w:rPr>
          <w:rFonts w:ascii="Times New Roman" w:hAnsi="Times New Roman"/>
          <w:b/>
          <w:sz w:val="24"/>
          <w:szCs w:val="24"/>
          <w:lang w:eastAsia="sl-SI"/>
        </w:rPr>
      </w:pPr>
    </w:p>
    <w:p w:rsidR="002E046D" w:rsidRPr="00692930" w:rsidRDefault="002E046D" w:rsidP="008A3866">
      <w:pPr>
        <w:ind w:firstLine="0"/>
        <w:rPr>
          <w:rFonts w:ascii="Times New Roman" w:hAnsi="Times New Roman"/>
          <w:b/>
          <w:sz w:val="24"/>
          <w:szCs w:val="24"/>
          <w:lang w:eastAsia="sl-SI"/>
        </w:rPr>
      </w:pPr>
      <w:r w:rsidRPr="00692930">
        <w:rPr>
          <w:rFonts w:ascii="Times New Roman" w:hAnsi="Times New Roman"/>
          <w:b/>
          <w:sz w:val="24"/>
          <w:szCs w:val="24"/>
          <w:lang w:eastAsia="sl-SI"/>
        </w:rPr>
        <w:t xml:space="preserve">Keywords: </w:t>
      </w:r>
      <w:r w:rsidRPr="00692930">
        <w:rPr>
          <w:rFonts w:ascii="Times New Roman" w:hAnsi="Times New Roman"/>
          <w:sz w:val="24"/>
          <w:szCs w:val="24"/>
          <w:lang w:eastAsia="sl-SI"/>
        </w:rPr>
        <w:t>insertion battery materials,</w:t>
      </w:r>
      <w:r w:rsidRPr="00692930">
        <w:rPr>
          <w:rFonts w:ascii="Times New Roman" w:hAnsi="Times New Roman"/>
          <w:b/>
          <w:sz w:val="24"/>
          <w:szCs w:val="24"/>
          <w:lang w:eastAsia="sl-SI"/>
        </w:rPr>
        <w:t xml:space="preserve"> </w:t>
      </w:r>
      <w:r w:rsidRPr="00692930">
        <w:rPr>
          <w:rFonts w:ascii="Times New Roman" w:hAnsi="Times New Roman"/>
          <w:sz w:val="24"/>
          <w:szCs w:val="24"/>
        </w:rPr>
        <w:t>LiMnPO</w:t>
      </w:r>
      <w:r w:rsidRPr="00692930">
        <w:rPr>
          <w:rFonts w:ascii="Times New Roman" w:hAnsi="Times New Roman"/>
          <w:sz w:val="24"/>
          <w:szCs w:val="24"/>
          <w:vertAlign w:val="subscript"/>
        </w:rPr>
        <w:t>4</w:t>
      </w:r>
      <w:r w:rsidRPr="00692930">
        <w:rPr>
          <w:rFonts w:ascii="Times New Roman" w:hAnsi="Times New Roman"/>
          <w:sz w:val="24"/>
          <w:szCs w:val="24"/>
        </w:rPr>
        <w:t>, non-linearity, activation, efficiency, kinetics</w:t>
      </w:r>
    </w:p>
    <w:p w:rsidR="002E046D" w:rsidRPr="00692930" w:rsidRDefault="002E046D" w:rsidP="008A3866">
      <w:pPr>
        <w:ind w:firstLine="0"/>
        <w:rPr>
          <w:rFonts w:ascii="Times New Roman" w:hAnsi="Times New Roman"/>
          <w:b/>
          <w:sz w:val="24"/>
          <w:szCs w:val="24"/>
          <w:lang w:eastAsia="sl-SI"/>
        </w:rPr>
      </w:pPr>
    </w:p>
    <w:p w:rsidR="009D54B0" w:rsidRPr="00692930" w:rsidRDefault="0070203B" w:rsidP="008A3866">
      <w:pPr>
        <w:ind w:firstLine="0"/>
        <w:rPr>
          <w:rFonts w:ascii="Times New Roman" w:hAnsi="Times New Roman"/>
          <w:b/>
          <w:sz w:val="24"/>
          <w:szCs w:val="24"/>
          <w:lang w:eastAsia="sl-SI"/>
        </w:rPr>
      </w:pPr>
      <w:r w:rsidRPr="00692930">
        <w:rPr>
          <w:rFonts w:ascii="Times New Roman" w:hAnsi="Times New Roman"/>
          <w:b/>
          <w:sz w:val="24"/>
          <w:szCs w:val="24"/>
          <w:lang w:eastAsia="sl-SI"/>
        </w:rPr>
        <w:t xml:space="preserve">1. </w:t>
      </w:r>
      <w:r w:rsidR="009D54B0" w:rsidRPr="00692930">
        <w:rPr>
          <w:rFonts w:ascii="Times New Roman" w:hAnsi="Times New Roman"/>
          <w:b/>
          <w:sz w:val="24"/>
          <w:szCs w:val="24"/>
          <w:lang w:eastAsia="sl-SI"/>
        </w:rPr>
        <w:t>Introduction:</w:t>
      </w:r>
    </w:p>
    <w:p w:rsidR="009D54B0" w:rsidRPr="00692930" w:rsidRDefault="009D54B0" w:rsidP="008A3866">
      <w:pPr>
        <w:rPr>
          <w:rFonts w:ascii="Times New Roman" w:hAnsi="Times New Roman"/>
          <w:b/>
          <w:sz w:val="24"/>
          <w:szCs w:val="24"/>
          <w:lang w:eastAsia="sl-SI"/>
        </w:rPr>
      </w:pPr>
    </w:p>
    <w:p w:rsidR="00831DB6" w:rsidRPr="00692930" w:rsidRDefault="00DE7E58" w:rsidP="008A3866">
      <w:pPr>
        <w:rPr>
          <w:rFonts w:ascii="Times New Roman" w:hAnsi="Times New Roman"/>
          <w:sz w:val="24"/>
          <w:szCs w:val="24"/>
        </w:rPr>
      </w:pPr>
      <w:r w:rsidRPr="00692930">
        <w:rPr>
          <w:rFonts w:ascii="Times New Roman" w:hAnsi="Times New Roman"/>
          <w:sz w:val="24"/>
          <w:szCs w:val="24"/>
        </w:rPr>
        <w:t>Soon after their invention, s</w:t>
      </w:r>
      <w:r w:rsidR="00785909" w:rsidRPr="00692930">
        <w:rPr>
          <w:rFonts w:ascii="Times New Roman" w:hAnsi="Times New Roman"/>
          <w:sz w:val="24"/>
          <w:szCs w:val="24"/>
        </w:rPr>
        <w:t xml:space="preserve">ignificant differences in the electrochemical performance of different members of the </w:t>
      </w:r>
      <w:r w:rsidR="009D54B0" w:rsidRPr="00692930">
        <w:rPr>
          <w:rFonts w:ascii="Times New Roman" w:hAnsi="Times New Roman"/>
          <w:sz w:val="24"/>
          <w:szCs w:val="24"/>
        </w:rPr>
        <w:t>phospho-olivine polyanionic family LiMPO</w:t>
      </w:r>
      <w:r w:rsidR="009D54B0" w:rsidRPr="00692930">
        <w:rPr>
          <w:rFonts w:ascii="Times New Roman" w:hAnsi="Times New Roman"/>
          <w:sz w:val="24"/>
          <w:szCs w:val="24"/>
          <w:vertAlign w:val="subscript"/>
        </w:rPr>
        <w:t>4</w:t>
      </w:r>
      <w:r w:rsidR="009D54B0" w:rsidRPr="00692930">
        <w:rPr>
          <w:rFonts w:ascii="Times New Roman" w:hAnsi="Times New Roman"/>
          <w:sz w:val="24"/>
          <w:szCs w:val="24"/>
        </w:rPr>
        <w:t xml:space="preserve"> (M = Fe, Mn, Co, Ni) </w:t>
      </w:r>
      <w:r w:rsidR="00785909" w:rsidRPr="00692930">
        <w:rPr>
          <w:rFonts w:ascii="Times New Roman" w:hAnsi="Times New Roman"/>
          <w:sz w:val="24"/>
          <w:szCs w:val="24"/>
        </w:rPr>
        <w:t xml:space="preserve">were observed. </w:t>
      </w:r>
      <w:r w:rsidR="00030C0A" w:rsidRPr="00692930">
        <w:rPr>
          <w:rFonts w:ascii="Times New Roman" w:hAnsi="Times New Roman"/>
          <w:sz w:val="24"/>
          <w:szCs w:val="24"/>
        </w:rPr>
        <w:t>For example, i</w:t>
      </w:r>
      <w:r w:rsidR="00785909" w:rsidRPr="00692930">
        <w:rPr>
          <w:rFonts w:ascii="Times New Roman" w:hAnsi="Times New Roman"/>
          <w:sz w:val="24"/>
          <w:szCs w:val="24"/>
        </w:rPr>
        <w:t xml:space="preserve">t was assumed that </w:t>
      </w:r>
      <w:r w:rsidR="009D54B0" w:rsidRPr="00692930">
        <w:rPr>
          <w:rFonts w:ascii="Times New Roman" w:hAnsi="Times New Roman"/>
          <w:sz w:val="24"/>
          <w:szCs w:val="24"/>
        </w:rPr>
        <w:t>the iron analogue, LiFePO</w:t>
      </w:r>
      <w:r w:rsidR="009D54B0" w:rsidRPr="00692930">
        <w:rPr>
          <w:rFonts w:ascii="Times New Roman" w:hAnsi="Times New Roman"/>
          <w:sz w:val="24"/>
          <w:szCs w:val="24"/>
          <w:vertAlign w:val="subscript"/>
        </w:rPr>
        <w:t>4</w:t>
      </w:r>
      <w:r w:rsidR="009D54B0" w:rsidRPr="00692930">
        <w:rPr>
          <w:rFonts w:ascii="Times New Roman" w:hAnsi="Times New Roman"/>
          <w:sz w:val="24"/>
          <w:szCs w:val="24"/>
        </w:rPr>
        <w:t xml:space="preserve"> (LFP), was exhibiting </w:t>
      </w:r>
      <w:r w:rsidR="00785909" w:rsidRPr="00692930">
        <w:rPr>
          <w:rFonts w:ascii="Times New Roman" w:hAnsi="Times New Roman"/>
          <w:sz w:val="24"/>
          <w:szCs w:val="24"/>
        </w:rPr>
        <w:t xml:space="preserve">good enough </w:t>
      </w:r>
      <w:r w:rsidR="009D54B0" w:rsidRPr="00692930">
        <w:rPr>
          <w:rFonts w:ascii="Times New Roman" w:hAnsi="Times New Roman"/>
          <w:sz w:val="24"/>
          <w:szCs w:val="24"/>
        </w:rPr>
        <w:t xml:space="preserve">electrochemical performance </w:t>
      </w:r>
      <w:r w:rsidR="00785909" w:rsidRPr="00692930">
        <w:rPr>
          <w:rFonts w:ascii="Times New Roman" w:hAnsi="Times New Roman"/>
          <w:sz w:val="24"/>
          <w:szCs w:val="24"/>
        </w:rPr>
        <w:t>to be considered as potentially interesting</w:t>
      </w:r>
      <w:r w:rsidR="009D54B0" w:rsidRPr="00692930">
        <w:rPr>
          <w:rFonts w:ascii="Times New Roman" w:hAnsi="Times New Roman"/>
          <w:sz w:val="24"/>
          <w:szCs w:val="24"/>
        </w:rPr>
        <w:t xml:space="preserve"> </w:t>
      </w:r>
      <w:r w:rsidR="00030C0A" w:rsidRPr="00692930">
        <w:rPr>
          <w:rFonts w:ascii="Times New Roman" w:hAnsi="Times New Roman"/>
          <w:sz w:val="24"/>
          <w:szCs w:val="24"/>
        </w:rPr>
        <w:t xml:space="preserve">material </w:t>
      </w:r>
      <w:r w:rsidR="009D54B0" w:rsidRPr="00692930">
        <w:rPr>
          <w:rFonts w:ascii="Times New Roman" w:hAnsi="Times New Roman"/>
          <w:sz w:val="24"/>
          <w:szCs w:val="24"/>
        </w:rPr>
        <w:t xml:space="preserve">for low-power </w:t>
      </w:r>
      <w:r w:rsidR="00785909" w:rsidRPr="00692930">
        <w:rPr>
          <w:rFonts w:ascii="Times New Roman" w:hAnsi="Times New Roman"/>
          <w:sz w:val="24"/>
          <w:szCs w:val="24"/>
        </w:rPr>
        <w:t xml:space="preserve">battery </w:t>
      </w:r>
      <w:r w:rsidR="009D54B0" w:rsidRPr="00692930">
        <w:rPr>
          <w:rFonts w:ascii="Times New Roman" w:hAnsi="Times New Roman"/>
          <w:sz w:val="24"/>
          <w:szCs w:val="24"/>
        </w:rPr>
        <w:t>applications</w:t>
      </w:r>
      <w:r w:rsidR="00E17D3A" w:rsidRPr="00692930">
        <w:rPr>
          <w:rFonts w:ascii="Times New Roman" w:hAnsi="Times New Roman"/>
          <w:sz w:val="24"/>
          <w:szCs w:val="24"/>
        </w:rPr>
        <w:t>.</w:t>
      </w:r>
      <w:r w:rsidR="00B37B15"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"10.1149/1.1837571", "ISBN" : "0013-4651", "ISSN" : "00134651", "abstract" : "Reversible extraction of lithium from Formula (triphylite) and insertion of lithium into Formula at 3.5 V vs. lithium at 0.05 mA/cm2 shows this material to be an excellent candidate for the cathode of a low\u2010power, rechargeable lithium battery that is inexpensive, nontoxic, and environmentally benign. Electrochemical extraction was limited to \u223c0.6 Li/formula unit; but even with this restriction the specific capacity is 100 to 110 mAh/g. Complete extraction of lithium was performed chemically; it gave a new phase, Formula , isostructural with heterosite, Formula . The Formula framework of the ordered olivine Formula is retained with minor displacive adjustments. Nevertheless the insertion/extraction reaction proceeds via a two\u2010phase process, and a reversible loss in capacity with increasing current density appears to be associated with a diffusion\u2010limited transfer of lithium across the two\u2010phase interface. Electrochemical extraction of lithium from isostructural Formula (M = Mn, Co, or Ni) with an Formula electrolyte was not possible; but successful extraction of lithium from Formula was accomplished with maximum oxidation of the Formula occurring at x = 0.5. The Formula couple was oxidized first at 3.5 V followed by oxidation of the Formula couple at 4.1 V vs. lithium. The Formula interactions appear to destabilize the Formula level and stabilize the Formula level so as to make the Formula energy accessible.", "author" : [ { "dropping-particle" : "", "family" : "Padhi", "given" : "A. K.", "non-dropping-particle" : "", "parse-names" : false, "suffix" : "" }, { "dropping-particle" : "", "family" : "Nanjundaswamy", "given" : "K.S.", "non-dropping-particle" : "", "parse-names" : false, "suffix" : "" }, { "dropping-particle" : "", "family" : "Goodenough", "given" : "J. B.", "non-dropping-particle" : "", "parse-names" : false, "suffix" : "" } ], "container-title" : "Journal of The Electrochemical Society", "id" : "ITEM-1", "issue" : "4", "issued" : { "date-parts" : [ [ "1997" ] ] }, "page" : "1188-1194", "title" : "Phospho-olivines as Positive-Electrode Materials for Rechargeable Lithium Batteries", "type" : "article-journal", "volume" : "144" }, "uris" : [ "http://www.mendeley.com/documents/?uuid=fe90f266-1af0-452e-b3a1-c2fd1610b851", "http://www.mendeley.com/documents/?uuid=9648fc54-d23a-4be3-ba85-bb235e7c218c" ] } ], "mendeley" : { "formattedCitation" : "&lt;sup&gt;1&lt;/sup&gt;", "plainTextFormattedCitation" : "1", "previouslyFormattedCitation" : "&lt;sup&gt;1&lt;/sup&gt;" }, "properties" : { "noteIndex" : 0 }, "schema" : "https://github.com/citation-style-language/schema/raw/master/csl-citation.json" }</w:instrText>
      </w:r>
      <w:r w:rsidR="00B37B15"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1</w:t>
      </w:r>
      <w:r w:rsidR="00B37B15" w:rsidRPr="00692930">
        <w:rPr>
          <w:rFonts w:ascii="Times New Roman" w:hAnsi="Times New Roman"/>
          <w:sz w:val="24"/>
          <w:szCs w:val="24"/>
        </w:rPr>
        <w:fldChar w:fldCharType="end"/>
      </w:r>
      <w:r w:rsidR="009D54B0" w:rsidRPr="00692930">
        <w:rPr>
          <w:rFonts w:ascii="Times New Roman" w:hAnsi="Times New Roman"/>
          <w:sz w:val="24"/>
          <w:szCs w:val="24"/>
        </w:rPr>
        <w:t xml:space="preserve"> </w:t>
      </w:r>
      <w:r w:rsidR="00785909" w:rsidRPr="00692930">
        <w:rPr>
          <w:rFonts w:ascii="Times New Roman" w:hAnsi="Times New Roman"/>
          <w:sz w:val="24"/>
          <w:szCs w:val="24"/>
        </w:rPr>
        <w:t xml:space="preserve">By contrast, from </w:t>
      </w:r>
      <w:r w:rsidR="009D54B0" w:rsidRPr="00692930">
        <w:rPr>
          <w:rFonts w:ascii="Times New Roman" w:hAnsi="Times New Roman"/>
          <w:sz w:val="24"/>
          <w:szCs w:val="24"/>
        </w:rPr>
        <w:t>the manganese analogue, LiMnPO</w:t>
      </w:r>
      <w:r w:rsidR="009D54B0" w:rsidRPr="00692930">
        <w:rPr>
          <w:rFonts w:ascii="Times New Roman" w:hAnsi="Times New Roman"/>
          <w:sz w:val="24"/>
          <w:szCs w:val="24"/>
          <w:vertAlign w:val="subscript"/>
        </w:rPr>
        <w:t>4</w:t>
      </w:r>
      <w:r w:rsidR="009D54B0" w:rsidRPr="00692930">
        <w:rPr>
          <w:rFonts w:ascii="Times New Roman" w:hAnsi="Times New Roman"/>
          <w:sz w:val="24"/>
          <w:szCs w:val="24"/>
        </w:rPr>
        <w:t xml:space="preserve"> (LMP)</w:t>
      </w:r>
      <w:r w:rsidR="00785909" w:rsidRPr="00692930">
        <w:rPr>
          <w:rFonts w:ascii="Times New Roman" w:hAnsi="Times New Roman"/>
          <w:sz w:val="24"/>
          <w:szCs w:val="24"/>
        </w:rPr>
        <w:t xml:space="preserve">, basically </w:t>
      </w:r>
      <w:r w:rsidR="00B66E22" w:rsidRPr="00692930">
        <w:rPr>
          <w:rFonts w:ascii="Times New Roman" w:hAnsi="Times New Roman"/>
          <w:sz w:val="24"/>
          <w:szCs w:val="24"/>
        </w:rPr>
        <w:t>no lithium could be extracted, n</w:t>
      </w:r>
      <w:r w:rsidR="009D54B0" w:rsidRPr="00692930">
        <w:rPr>
          <w:rFonts w:ascii="Times New Roman" w:hAnsi="Times New Roman"/>
          <w:sz w:val="24"/>
          <w:szCs w:val="24"/>
        </w:rPr>
        <w:t>either electrochemical</w:t>
      </w:r>
      <w:r w:rsidR="00B66E22" w:rsidRPr="00692930">
        <w:rPr>
          <w:rFonts w:ascii="Times New Roman" w:hAnsi="Times New Roman"/>
          <w:sz w:val="24"/>
          <w:szCs w:val="24"/>
        </w:rPr>
        <w:t>ly</w:t>
      </w:r>
      <w:r w:rsidR="009D54B0" w:rsidRPr="00692930">
        <w:rPr>
          <w:rFonts w:ascii="Times New Roman" w:hAnsi="Times New Roman"/>
          <w:sz w:val="24"/>
          <w:szCs w:val="24"/>
        </w:rPr>
        <w:t xml:space="preserve"> </w:t>
      </w:r>
      <w:r w:rsidR="00B66E22" w:rsidRPr="00692930">
        <w:rPr>
          <w:rFonts w:ascii="Times New Roman" w:hAnsi="Times New Roman"/>
          <w:sz w:val="24"/>
          <w:szCs w:val="24"/>
        </w:rPr>
        <w:lastRenderedPageBreak/>
        <w:t>nor chemically</w:t>
      </w:r>
      <w:r w:rsidR="00B63C54" w:rsidRPr="00692930">
        <w:rPr>
          <w:rFonts w:ascii="Times New Roman" w:hAnsi="Times New Roman"/>
          <w:sz w:val="24"/>
          <w:szCs w:val="24"/>
        </w:rPr>
        <w:t>.</w:t>
      </w:r>
      <w:r w:rsidR="00B37B15"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"10.1149/1.1837571", "ISBN" : "0013-4651", "ISSN" : "00134651", "abstract" : "Reversible extraction of lithium from Formula (triphylite) and insertion of lithium into Formula at 3.5 V vs. lithium at 0.05 mA/cm2 shows this material to be an excellent candidate for the cathode of a low\u2010power, rechargeable lithium battery that is inexpensive, nontoxic, and environmentally benign. Electrochemical extraction was limited to \u223c0.6 Li/formula unit; but even with this restriction the specific capacity is 100 to 110 mAh/g. Complete extraction of lithium was performed chemically; it gave a new phase, Formula , isostructural with heterosite, Formula . The Formula framework of the ordered olivine Formula is retained with minor displacive adjustments. Nevertheless the insertion/extraction reaction proceeds via a two\u2010phase process, and a reversible loss in capacity with increasing current density appears to be associated with a diffusion\u2010limited transfer of lithium across the two\u2010phase interface. Electrochemical extraction of lithium from isostructural Formula (M = Mn, Co, or Ni) with an Formula electrolyte was not possible; but successful extraction of lithium from Formula was accomplished with maximum oxidation of the Formula occurring at x = 0.5. The Formula couple was oxidized first at 3.5 V followed by oxidation of the Formula couple at 4.1 V vs. lithium. The Formula interactions appear to destabilize the Formula level and stabilize the Formula level so as to make the Formula energy accessible.", "author" : [ { "dropping-particle" : "", "family" : "Padhi", "given" : "A. K.", "non-dropping-particle" : "", "parse-names" : false, "suffix" : "" }, { "dropping-particle" : "", "family" : "Nanjundaswamy", "given" : "K.S.", "non-dropping-particle" : "", "parse-names" : false, "suffix" : "" }, { "dropping-particle" : "", "family" : "Goodenough", "given" : "J. B.", "non-dropping-particle" : "", "parse-names" : false, "suffix" : "" } ], "container-title" : "Journal of The Electrochemical Society", "id" : "ITEM-1", "issue" : "4", "issued" : { "date-parts" : [ [ "1997" ] ] }, "page" : "1188-1194", "title" : "Phospho-olivines as Positive-Electrode Materials for Rechargeable Lithium Batteries", "type" : "article-journal", "volume" : "144" }, "uris" : [ "http://www.mendeley.com/documents/?uuid=9648fc54-d23a-4be3-ba85-bb235e7c218c", "http://www.mendeley.com/documents/?uuid=fe90f266-1af0-452e-b3a1-c2fd1610b851" ] } ], "mendeley" : { "formattedCitation" : "&lt;sup&gt;1&lt;/sup&gt;", "plainTextFormattedCitation" : "1", "previouslyFormattedCitation" : "&lt;sup&gt;1&lt;/sup&gt;" }, "properties" : { "noteIndex" : 0 }, "schema" : "https://github.com/citation-style-language/schema/raw/master/csl-citation.json" }</w:instrText>
      </w:r>
      <w:r w:rsidR="00B37B15"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1</w:t>
      </w:r>
      <w:r w:rsidR="00B37B15" w:rsidRPr="00692930">
        <w:rPr>
          <w:rFonts w:ascii="Times New Roman" w:hAnsi="Times New Roman"/>
          <w:sz w:val="24"/>
          <w:szCs w:val="24"/>
        </w:rPr>
        <w:fldChar w:fldCharType="end"/>
      </w:r>
      <w:r w:rsidR="009D54B0" w:rsidRPr="00692930">
        <w:rPr>
          <w:rFonts w:ascii="Times New Roman" w:hAnsi="Times New Roman"/>
          <w:sz w:val="24"/>
          <w:szCs w:val="24"/>
        </w:rPr>
        <w:t xml:space="preserve"> </w:t>
      </w:r>
      <w:r w:rsidR="00030C0A" w:rsidRPr="00692930">
        <w:rPr>
          <w:rFonts w:ascii="Times New Roman" w:hAnsi="Times New Roman"/>
          <w:sz w:val="24"/>
          <w:szCs w:val="24"/>
        </w:rPr>
        <w:t>Similar dichotomy persisted for many years</w:t>
      </w:r>
      <w:r w:rsidR="00B66E22" w:rsidRPr="00692930">
        <w:rPr>
          <w:rFonts w:ascii="Times New Roman" w:hAnsi="Times New Roman"/>
          <w:sz w:val="24"/>
          <w:szCs w:val="24"/>
        </w:rPr>
        <w:t>,</w:t>
      </w:r>
      <w:r w:rsidR="00030C0A" w:rsidRPr="00692930">
        <w:rPr>
          <w:rFonts w:ascii="Times New Roman" w:hAnsi="Times New Roman"/>
          <w:sz w:val="24"/>
          <w:szCs w:val="24"/>
        </w:rPr>
        <w:t xml:space="preserve"> </w:t>
      </w:r>
      <w:r w:rsidR="00B66E22" w:rsidRPr="00692930">
        <w:rPr>
          <w:rFonts w:ascii="Times New Roman" w:hAnsi="Times New Roman"/>
          <w:sz w:val="24"/>
          <w:szCs w:val="24"/>
        </w:rPr>
        <w:t xml:space="preserve">with LMP being able to deliver </w:t>
      </w:r>
      <w:r w:rsidRPr="00692930">
        <w:rPr>
          <w:rFonts w:ascii="Times New Roman" w:hAnsi="Times New Roman"/>
          <w:sz w:val="24"/>
          <w:szCs w:val="24"/>
        </w:rPr>
        <w:t xml:space="preserve">only </w:t>
      </w:r>
      <w:r w:rsidR="00B66E22" w:rsidRPr="00692930">
        <w:rPr>
          <w:rFonts w:ascii="Times New Roman" w:hAnsi="Times New Roman"/>
          <w:sz w:val="24"/>
          <w:szCs w:val="24"/>
        </w:rPr>
        <w:t xml:space="preserve">a fraction of the </w:t>
      </w:r>
      <w:r w:rsidR="009D54B0" w:rsidRPr="00692930">
        <w:rPr>
          <w:rFonts w:ascii="Times New Roman" w:hAnsi="Times New Roman"/>
          <w:sz w:val="24"/>
          <w:szCs w:val="24"/>
        </w:rPr>
        <w:t xml:space="preserve">reversible </w:t>
      </w:r>
      <w:r w:rsidR="00B66E22" w:rsidRPr="00692930">
        <w:rPr>
          <w:rFonts w:ascii="Times New Roman" w:hAnsi="Times New Roman"/>
          <w:sz w:val="24"/>
          <w:szCs w:val="24"/>
        </w:rPr>
        <w:t>theoretical capacity</w:t>
      </w:r>
      <w:r w:rsidR="009D54B0" w:rsidRPr="00692930">
        <w:rPr>
          <w:rFonts w:ascii="Times New Roman" w:hAnsi="Times New Roman"/>
          <w:sz w:val="24"/>
          <w:szCs w:val="24"/>
        </w:rPr>
        <w:t xml:space="preserve"> </w:t>
      </w:r>
      <w:r w:rsidR="00B66E22" w:rsidRPr="00692930">
        <w:rPr>
          <w:rFonts w:ascii="Times New Roman" w:hAnsi="Times New Roman"/>
          <w:sz w:val="24"/>
          <w:szCs w:val="24"/>
        </w:rPr>
        <w:t xml:space="preserve">- at low C-rates and </w:t>
      </w:r>
      <w:r w:rsidR="00B162FA" w:rsidRPr="00692930">
        <w:rPr>
          <w:rFonts w:ascii="Times New Roman" w:hAnsi="Times New Roman"/>
          <w:sz w:val="24"/>
          <w:szCs w:val="24"/>
        </w:rPr>
        <w:t>with a big</w:t>
      </w:r>
      <w:r w:rsidR="00B66E22" w:rsidRPr="00692930">
        <w:rPr>
          <w:rFonts w:ascii="Times New Roman" w:hAnsi="Times New Roman"/>
          <w:sz w:val="24"/>
          <w:szCs w:val="24"/>
        </w:rPr>
        <w:t xml:space="preserve"> potential difference between the charge and discharge curves</w:t>
      </w:r>
      <w:r w:rsidR="00B63C54" w:rsidRPr="00692930">
        <w:rPr>
          <w:rFonts w:ascii="Times New Roman" w:hAnsi="Times New Roman"/>
          <w:sz w:val="24"/>
          <w:szCs w:val="24"/>
        </w:rPr>
        <w:t>.</w:t>
      </w:r>
      <w:r w:rsidR="00D25064"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"10.1021/cm030347b", "ISSN" : "0897-4756", "abstract" : "Pure and well-crystallized LiMnPO4 powders were obtained by a direct precipitation route in an aqueous medium at 373 K. A thermodynamic study of the system Li+/Mn(II)/phosphate/H2O identified a pH range in which LiMnPO4 precipitation was the most probable. From these theoretical considerations, the olivine-type compound precipitation turned out to be straightforward, i.e., no further thermal treatment was needed. A systematic study of the influence of synthesis parameters enabled tailoring of the size of the as-obtained particles. The smallest precipitated particles (?100 nm) led to a global improvement of the electrochemical behavior when used in lithium batteries, consisting in lowering the polarization and enhancement of the reversible capacities (?70 mAh/g at C/20). A two-phase Li extraction/insertion mechanism was identified, using the potential intermittent titration technique (PITT) and in situ X-ray diffraction, between LiMnPO4 and the delithiated phase MnPO4, indexed in the space group Pmnb with unit cell parameters a = 5.93(2) \u00c5, b = 9.69(6) \u00c5, and c = 4.78(1) \u00c5.\\nPure and well-crystallized LiMnPO4 powders were obtained by a direct precipitation route in an aqueous medium at 373 K. A thermodynamic study of the system Li+/Mn(II)/phosphate/H2O identified a pH range in which LiMnPO4 precipitation was the most probable. From these theoretical considerations, the olivine-type compound precipitation turned out to be straightforward, i.e., no further thermal treatment was needed. A systematic study of the influence of synthesis parameters enabled tailoring of the size of the as-obtained particles. The smallest precipitated particles (?100 nm) led to a global improvement of the electrochemical behavior when used in lithium batteries, consisting in lowering the polarization and enhancement of the reversible capacities (?70 mAh/g at C/20). A two-phase Li extraction/insertion mechanism was identified, using the potential intermittent titration technique (PITT) and in situ X-ray diffraction, between LiMnPO4 and the delithiated phase MnPO4, indexed in the space group Pmnb with unit cell parameters a = 5.93(2) \u00c5, b = 9.69(6) \u00c5, and c = 4.78(1) \u00c5.", "author" : [ { "dropping-particle" : "", "family" : "Delacourt", "given" : "C.", "non-dropping-particle" : "", "parse-names" : false, "suffix" : "" }, { "dropping-particle" : "", "family" : "Poizot", "given" : "P.", "non-dropping-particle" : "", "parse-names" : false, "suffix" : "" }, { "dropping-particle" : "", "family" : "Morcrette", "given" : "M.", "non-dropping-particle" : "", "parse-names" : false, "suffix" : "" }, { "dropping-particle" : "", "family" : "Tarascon", "given" : "J.-M.", "non-dropping-particle" : "", "parse-names" : false, "suffix" : "" }, { "dropping-particle" : "", "family" : "Masquelier", "given" : "C.", "non-dropping-particle" : "", "parse-names" : false, "suffix" : "" } ], "container-title" : "Chemistry of Materials", "id" : "ITEM-1", "issue" : "1", "issued" : { "date-parts" : [ [ "2004" ] ] }, "page" : "93-99", "title" : "One-Step Low-Temperature Route for the Preparation of Electrochemically Active LiMnPO 4 Powders", "type" : "article-journal", "volume" : "16" }, "uris" : [ "http://www.mendeley.com/documents/?uuid=28a909ff-0aec-4a1d-975a-73895846fb21" ] }, { "id" : "ITEM-2", "itemData" : { "DOI" : "10.1149/1.1884787", "ISBN" : "0013-4651", "ISSN" : "00134651", "abstract" : "To better understand the factors responsible for the poor electrochemical performances of the olivine-type LiMnPO 4 , various experiments such as chemical delithiation, galvanostatic charge and discharge, cyclic voltamperometry, and impedance conductivity, were carried out on both LiFePO 4 and LiMnPO 4 . Chemical delithiation experiments confirmed a topotactic two-phase electrochemical mechanism between LiMnPO 4 and the fully delithiated phase MnPO 4 ( a = 5.909 ( 5 ) \u00c5 , b = 9.64 ( 1 ) \u00c5 , and c = 4.768 ( 6 ) \u00c5 ). We conclude that the limiting factor in the MnPO 4 / LiMnPO 4 electrochemical reaction is nested mostly in the ionic and/or electronic transport within the LiMnPO 4 particles themselves rather than in charge transfer kinetics or structural instability of the MnPO 4 phase. For instance, the electrical conductivity of LiMnPO 4 ( \u03c3 \u223c 3.10 \u2212 9 S cm \u2212 1 at 573 K, \u0394 E \u223c 1.1 eV ) was found to be several orders of magnitude lower than that of LiFePO 4 ( \u03c3 \u223c 10 \u2212 9 S cm \u2212 1 at 298 K, \u0394 E \u223c 0.6 eV ).", "author" : [ { "dropping-particle" : "", "family" : "Delacourt", "given" : "C.", "non-dropping-particle" : "", "parse-names" : false, "suffix" : "" }, { "dropping-particle" : "", "family" : "Laffont", "given" : "L.", "non-dropping-particle" : "", "parse-names" : false, "suffix" : "" }, { "dropping-particle" : "", "family" : "Bouchet", "given" : "R.", "non-dropping-particle" : "", "parse-names" : false, "suffix" : "" }, { "dropping-particle" : "", "family" : "Wurm", "given" : "C.", "non-dropping-particle" : "", "parse-names" : false, "suffix" : "" }, { "dropping-particle" : "", "family" : "Leriche", "given" : "J.-B.", "non-dropping-particle" : "", "parse-names" : false, "suffix" : "" }, { "dropping-particle" : "", "family" : "Morcrette", "given" : "M.", "non-dropping-particle" : "", "parse-names" : false, "suffix" : "" }, { "dropping-particle" : "", "family" : "Tarascon", "given" : "J.-M.", "non-dropping-particle" : "", "parse-names" : false, "suffix" : "" }, { "dropping-particle" : "", "family" : "Masquelier", "given" : "C.", "non-dropping-particle" : "", "parse-names" : false, "suffix" : "" } ], "container-title" : "Journal of The Electrochemical Society", "id" : "ITEM-2", "issue" : "5", "issued" : { "date-parts" : [ [ "2005" ] ] }, "page" : "A913", "title" : "Toward Understanding of Electrical Limitations (Electronic, Ionic) in LiMPO4 (M=Fe, Mn) Electrode Materials", "type" : "article-journal", "volume" : "152" }, "uris" : [ "http://www.mendeley.com/documents/?uuid=817c368b-ec05-4237-8962-b851a687fb91", "http://www.mendeley.com/documents/?uuid=bc9b10dd-ef78-495a-af2b-93b106e724cd" ] }, { "id" : "ITEM-3", "itemData" : { "DOI" : "10.1016/j.jpowsour.2005.05.033", "ISBN" : "0378-7753", "ISSN" : "03787753", "abstract" : "Porous LiMPO\n                        4/C composites (where M stands for Fe and/or Mn) with micro-sized particles were synthesised by sol-gel technique. Particles porosity is discussed in terms of qualitative results obtained from SEM micrographs and in terms of quantitative results obtained from N\n                        2 adsorption isotherms. Porous particles could be described as an inverse picture of nanoparticulate arrangement, where the pores serve as channels for lithium supply and the distance between the pores determines the materials kinetics. Tests show that the electrochemical behaviour of porous LiMPO\n                        4/C composite is comparable with the results from the literature. The best electrochemical results were obtained with a LiFePO\n                        4/C composite (over 140 mAh g\n                        -1 at C/2 rate during continuous cycling). The capacity obtained with LiMnPO\n                        4/C composite is much lower (40 mAh g\n                        -1 at C/20 rate), although the textural properties are similar to those observed in the LiFePO\n                        4/C composite. ?? 2005 Elsevier B.V. All rights reserved.", "author" : [ { "dropping-particle" : "", "family" : "Dominko", "given" : "R.", "non-dropping-particle" : "", "parse-names" : false, "suffix" : "" }, { "dropping-particle" : "", "family" : "Bele", "given" : "M.", "non-dropping-particle" : "", "parse-names" : false, "suffix" : "" }, { "dropping-particle" : "", "family" : "Gaberscek", "given" : "M.", "non-dropping-particle" : "", "parse-names" : false, "suffix" : "" }, { "dropping-particle" : "", "family" : "Remskar", "given" : "M.", "non-dropping-particle" : "", "parse-names" : false, "suffix" : "" }, { "dropping-particle" : "", "family" : "Hanzel", "given" : "D.", "non-dropping-particle" : "", "parse-names" : false, "suffix" : "" }, { "dropping-particle" : "", "family" : "Goupil", "given" : "J. M.", "non-dropping-particle" : "", "parse-names" : false, "suffix" : "" }, { "dropping-particle" : "", "family" : "Pejovnik", "given" : "S.", "non-dropping-particle" : "", "parse-names" : false, "suffix" : "" }, { "dropping-particle" : "", "family" : "Jamnik", "given" : "J.", "non-dropping-particle" : "", "parse-names" : false, "suffix" : "" } ], "container-title" : "Journal of Power Sources", "id" : "ITEM-3", "issue" : "2", "issued" : { "date-parts" : [ [ "2006" ] ] }, "page" : "274-280", "title" : "Porous olivine composites synthesized by sol-gel technique", "type" : "article-journal", "volume" : "153" }, "uris" : [ "http://www.mendeley.com/documents/?uuid=33cd37ff-fb54-4f09-880e-2d4e666a4f23" ] } ], "mendeley" : { "formattedCitation" : "&lt;sup&gt;2\u20134&lt;/sup&gt;", "plainTextFormattedCitation" : "2\u20134", "previouslyFormattedCitation" : "&lt;sup&gt;2\u20134&lt;/sup&gt;" }, "properties" : { "noteIndex" : 0 }, "schema" : "https://github.com/citation-style-language/schema/raw/master/csl-citation.json" }</w:instrText>
      </w:r>
      <w:r w:rsidR="00D25064"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2–4</w:t>
      </w:r>
      <w:r w:rsidR="00D25064" w:rsidRPr="00692930">
        <w:rPr>
          <w:rFonts w:ascii="Times New Roman" w:hAnsi="Times New Roman"/>
          <w:sz w:val="24"/>
          <w:szCs w:val="24"/>
        </w:rPr>
        <w:fldChar w:fldCharType="end"/>
      </w:r>
      <w:r w:rsidR="009D54B0" w:rsidRPr="00692930">
        <w:rPr>
          <w:rFonts w:ascii="Times New Roman" w:hAnsi="Times New Roman"/>
          <w:sz w:val="24"/>
          <w:szCs w:val="24"/>
        </w:rPr>
        <w:t xml:space="preserve"> </w:t>
      </w:r>
      <w:r w:rsidR="00B162FA" w:rsidRPr="00692930">
        <w:rPr>
          <w:rFonts w:ascii="Times New Roman" w:hAnsi="Times New Roman"/>
          <w:sz w:val="24"/>
          <w:szCs w:val="24"/>
        </w:rPr>
        <w:t>A</w:t>
      </w:r>
      <w:r w:rsidR="009D54B0" w:rsidRPr="00692930">
        <w:rPr>
          <w:rFonts w:ascii="Times New Roman" w:hAnsi="Times New Roman"/>
          <w:sz w:val="24"/>
          <w:szCs w:val="24"/>
        </w:rPr>
        <w:t>fter demonstration of much improved performance when used in mixtures with LFP</w:t>
      </w:r>
      <w:r w:rsidR="00C57CA9" w:rsidRPr="00692930">
        <w:rPr>
          <w:rFonts w:ascii="Times New Roman" w:hAnsi="Times New Roman"/>
          <w:sz w:val="24"/>
          <w:szCs w:val="24"/>
        </w:rPr>
        <w:t>,</w:t>
      </w:r>
      <w:r w:rsidR="001B72FD"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"10.1016/S0378-7753(03)00239-8", "ISBN" : "0378-7753", "ISSN" : "03787753", "abstract" : "The recent progress at Sony in the design of practical olivine-type cathodes is reviewed briefly. First principle calculations revealed LiFePO4 is a semiconductor with ca. 0.3 eV band gap and LiMnPO4 is an insulator with ca. 2 eV band gap, which seems the major intrinsic obstacle to a smooth redox reaction at 4 V in the Mn-rich phase. Attention is also focused on the lattice frustration induced by the strong electron (Mn3+: 3d4-eg??*)-lattice interaction (Jahn-Teller effect) in the charged state of Li(MnyFe1-y)PO4 (0 ??? y ??? 1). Dense nanocomposite formation with disordered conductive carbon as well as the choice of the appropriate synthetic precursors is highlighted as important engineering aspects, followed by some specific issues concerning tolerance to unusual conditions. ?? 2003 Elsevier Science B.V. All rights reserved.", "author" : [ { "dropping-particle" : "", "family" : "Yamada", "given" : "Atsuo", "non-dropping-particle" : "", "parse-names" : false, "suffix" : "" }, { "dropping-particle" : "", "family" : "Hosoya", "given" : "Mamoru", "non-dropping-particle" : "", "parse-names" : false, "suffix" : "" }, { "dropping-particle" : "", "family" : "Chung", "given" : "Sai Cheong", "non-dropping-particle" : "", "parse-names" : false, "suffix" : "" }, { "dropping-particle" : "", "family" : "Kudo", "given" : "Yoshihiro", "non-dropping-particle" : "", "parse-names" : false, "suffix" : "" }, { "dropping-particle" : "", "family" : "Hinokuma", "given" : "Koichiro", "non-dropping-particle" : "", "parse-names" : false, "suffix" : "" }, { "dropping-particle" : "", "family" : "Liu", "given" : "Kuang Yu", "non-dropping-particle" : "", "parse-names" : false, "suffix" : "" }, { "dropping-particle" : "", "family" : "Nishi", "given" : "Yoshio", "non-dropping-particle" : "", "parse-names" : false, "suffix" : "" } ], "container-title" : "Journal of Power Sources", "id" : "ITEM-1", "issued" : { "date-parts" : [ [ "2003" ] ] }, "page" : "232-238", "title" : "Olivine-type cathodes: Achievements and problems", "type" : "article-journal", "volume" : "119-121" }, "uris" : [ "http://www.mendeley.com/documents/?uuid=cf102a4c-f516-43ba-b4d7-d953811b5189" ] } ], "mendeley" : { "formattedCitation" : "&lt;sup&gt;5&lt;/sup&gt;", "plainTextFormattedCitation" : "5", "previouslyFormattedCitation" : "&lt;sup&gt;5&lt;/sup&gt;" }, "properties" : { "noteIndex" : 0 }, "schema" : "https://github.com/citation-style-language/schema/raw/master/csl-citation.json" }</w:instrText>
      </w:r>
      <w:r w:rsidR="001B72FD"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5</w:t>
      </w:r>
      <w:r w:rsidR="001B72FD" w:rsidRPr="00692930">
        <w:rPr>
          <w:rFonts w:ascii="Times New Roman" w:hAnsi="Times New Roman"/>
          <w:sz w:val="24"/>
          <w:szCs w:val="24"/>
        </w:rPr>
        <w:fldChar w:fldCharType="end"/>
      </w:r>
      <w:r w:rsidR="00C31247" w:rsidRPr="00692930">
        <w:rPr>
          <w:rFonts w:ascii="Times New Roman" w:hAnsi="Times New Roman"/>
          <w:sz w:val="24"/>
          <w:szCs w:val="24"/>
          <w:vertAlign w:val="superscript"/>
        </w:rPr>
        <w:t>,</w:t>
      </w:r>
      <w:r w:rsidR="006C46EE"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"10.1002/anie.200903587", "ISBN" : "1521-3773", "ISSN" : "14337851", "PMID" : "19795430", "abstract" : "Capable and efficient: Carbon-coated nanoparticles of LiMn0.8Fe0.2PO4 (see TEM image) synthesized by a solid-state reaction were found to be an excellent cathode material for lithium-ion batteries: A stable reversible capacity of up to 165 mA h g\u22121 was observed, along with excellent cycling, very fast rate capabilities, excellent thermal stability, and very low surface reactivity in lithium-battery electrolyte solutions.", "author" : [ { "dropping-particle" : "", "family" : "Martha", "given" : "Surendra K.", "non-dropping-particle" : "", "parse-names" : false, "suffix" : "" }, { "dropping-particle" : "", "family" : "Grinblat", "given" : "Judith", "non-dropping-particle" : "", "parse-names" : false, "suffix" : "" }, { "dropping-particle" : "", "family" : "Haik", "given" : "Ortal", "non-dropping-particle" : "", "parse-names" : false, "suffix" : "" }, { "dropping-particle" : "", "family" : "Zinigrad", "given" : "Ella", "non-dropping-particle" : "", "parse-names" : false, "suffix" : "" }, { "dropping-particle" : "", "family" : "Drezen", "given" : "Thierry", "non-dropping-particle" : "", "parse-names" : false, "suffix" : "" }, { "dropping-particle" : "", "family" : "Miners", "given" : "James H.", "non-dropping-particle" : "", "parse-names" : false, "suffix" : "" }, { "dropping-particle" : "", "family" : "Exnar", "given" : "Ivan", "non-dropping-particle" : "", "parse-names" : false, "suffix" : "" }, { "dropping-particle" : "", "family" : "Kay", "given" : "Andreas", "non-dropping-particle" : "", "parse-names" : false, "suffix" : "" }, { "dropping-particle" : "", "family" : "Markovsky", "given" : "Boris", "non-dropping-particle" : "", "parse-names" : false, "suffix" : "" }, { "dropping-particle" : "", "family" : "Aurbach", "given" : "Down", "non-dropping-particle" : "", "parse-names" : false, "suffix" : "" } ], "container-title" : "Angewandte Chemie - International Edition", "id" : "ITEM-1", "issue" : "45", "issued" : { "date-parts" : [ [ "2009" ] ] }, "page" : "8559-8563", "title" : "LiMn0.8Fe0.2PO4: An advanced cathode material for rechargeable lithium batteries", "type" : "article-journal", "volume" : "48" }, "uris" : [ "http://www.mendeley.com/documents/?uuid=e375249b-472d-46d4-abe3-5f82c5f752c7" ] } ], "mendeley" : { "formattedCitation" : "&lt;sup&gt;6&lt;/sup&gt;", "plainTextFormattedCitation" : "6", "previouslyFormattedCitation" : "&lt;sup&gt;6&lt;/sup&gt;" }, "properties" : { "noteIndex" : 0 }, "schema" : "https://github.com/citation-style-language/schema/raw/master/csl-citation.json" }</w:instrText>
      </w:r>
      <w:r w:rsidR="006C46EE"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6</w:t>
      </w:r>
      <w:r w:rsidR="006C46EE" w:rsidRPr="00692930">
        <w:rPr>
          <w:rFonts w:ascii="Times New Roman" w:hAnsi="Times New Roman"/>
          <w:sz w:val="24"/>
          <w:szCs w:val="24"/>
        </w:rPr>
        <w:fldChar w:fldCharType="end"/>
      </w:r>
      <w:r w:rsidR="00B162FA" w:rsidRPr="00692930">
        <w:rPr>
          <w:rFonts w:ascii="Times New Roman" w:hAnsi="Times New Roman"/>
          <w:sz w:val="24"/>
          <w:szCs w:val="24"/>
        </w:rPr>
        <w:t xml:space="preserve"> the interest in this material has grown considerably</w:t>
      </w:r>
      <w:r w:rsidR="00FE68F4" w:rsidRPr="00692930">
        <w:rPr>
          <w:rFonts w:ascii="Times New Roman" w:hAnsi="Times New Roman"/>
          <w:sz w:val="24"/>
          <w:szCs w:val="24"/>
        </w:rPr>
        <w:t>.</w:t>
      </w:r>
      <w:r w:rsidR="00FE68F4" w:rsidRPr="00692930">
        <w:rPr>
          <w:sz w:val="20"/>
          <w:szCs w:val="20"/>
        </w:rPr>
        <w:t xml:space="preserve"> </w:t>
      </w:r>
      <w:r w:rsidR="009D54B0" w:rsidRPr="00692930">
        <w:rPr>
          <w:rFonts w:ascii="Times New Roman" w:hAnsi="Times New Roman"/>
          <w:sz w:val="24"/>
          <w:szCs w:val="24"/>
        </w:rPr>
        <w:t xml:space="preserve">In parallel to that, improvements of the performance of pure LMP have also been occasionally reported. </w:t>
      </w:r>
      <w:r w:rsidR="005457D2" w:rsidRPr="00692930">
        <w:rPr>
          <w:rFonts w:ascii="Times New Roman" w:hAnsi="Times New Roman"/>
          <w:sz w:val="24"/>
          <w:szCs w:val="24"/>
        </w:rPr>
        <w:t>For instance</w:t>
      </w:r>
      <w:r w:rsidR="000E0798" w:rsidRPr="00692930">
        <w:rPr>
          <w:rFonts w:ascii="Times New Roman" w:hAnsi="Times New Roman"/>
          <w:sz w:val="24"/>
          <w:szCs w:val="24"/>
        </w:rPr>
        <w:t>, in 2002</w:t>
      </w:r>
      <w:r w:rsidR="005457D2" w:rsidRPr="00692930">
        <w:rPr>
          <w:rFonts w:ascii="Times New Roman" w:hAnsi="Times New Roman"/>
          <w:sz w:val="24"/>
          <w:szCs w:val="24"/>
        </w:rPr>
        <w:t xml:space="preserve"> Sony published </w:t>
      </w:r>
      <w:r w:rsidRPr="00692930">
        <w:rPr>
          <w:rFonts w:ascii="Times New Roman" w:hAnsi="Times New Roman"/>
          <w:sz w:val="24"/>
          <w:szCs w:val="24"/>
          <w:lang w:eastAsia="sl-SI"/>
        </w:rPr>
        <w:t xml:space="preserve">a reversible capacity of 140 mAh/g for LMP at room temperature (CC-CV </w:t>
      </w:r>
      <w:r w:rsidRPr="00692930">
        <w:rPr>
          <w:rFonts w:ascii="Times New Roman" w:hAnsi="Times New Roman"/>
          <w:sz w:val="24"/>
          <w:szCs w:val="24"/>
        </w:rPr>
        <w:t>cycling protocol with potential window 2.0-4.5 V</w:t>
      </w:r>
      <w:r w:rsidRPr="00692930">
        <w:rPr>
          <w:rFonts w:ascii="Times New Roman" w:hAnsi="Times New Roman"/>
          <w:sz w:val="24"/>
          <w:szCs w:val="24"/>
          <w:lang w:eastAsia="sl-SI"/>
        </w:rPr>
        <w:t>)</w:t>
      </w:r>
      <w:r w:rsidR="00C57CA9" w:rsidRPr="00692930">
        <w:rPr>
          <w:rFonts w:ascii="Times New Roman" w:hAnsi="Times New Roman"/>
          <w:sz w:val="24"/>
          <w:szCs w:val="24"/>
          <w:lang w:eastAsia="sl-SI"/>
        </w:rPr>
        <w:t>,</w:t>
      </w:r>
      <w:r w:rsidR="00E715AD"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"10.1149/1.1475195", "ISSN" : "10990062", "author" : [ { "dropping-particle" : "", "family" : "Li", "given" : "Guohua", "non-dropping-particle" : "", "parse-names" : false, "suffix" : "" }, { "dropping-particle" : "", "family" : "Azuma", "given" : "Hideto", "non-dropping-particle" : "", "parse-names" : false, "suffix" : "" }, { "dropping-particle" : "", "family" : "Tohda", "given" : "Masayuki", "non-dropping-particle" : "", "parse-names" : false, "suffix" : "" } ], "container-title" : "Electrochemical and Solid-State Letters", "id" : "ITEM-1", "issue" : "6", "issued" : { "date-parts" : [ [ "2002" ] ] }, "page" : "A135", "title" : "LiMnPO4 as the Cathode for Lithium Batteries", "type" : "article-journal", "volume" : "5" }, "uris" : [ "http://www.mendeley.com/documents/?uuid=1e34283a-7936-4677-b58b-c4b6c0b20e1c", "http://www.mendeley.com/documents/?uuid=9e21ceb3-b6de-4a10-9997-a72c8ffefc5f" ] } ], "mendeley" : { "formattedCitation" : "&lt;sup&gt;7&lt;/sup&gt;", "plainTextFormattedCitation" : "7", "previouslyFormattedCitation" : "&lt;sup&gt;7&lt;/sup&gt;" }, "properties" : { "noteIndex" : 0 }, "schema" : "https://github.com/citation-style-language/schema/raw/master/csl-citation.json" }</w:instrText>
      </w:r>
      <w:r w:rsidR="00E715AD"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7</w:t>
      </w:r>
      <w:r w:rsidR="00E715AD" w:rsidRPr="00692930">
        <w:rPr>
          <w:rFonts w:ascii="Times New Roman" w:hAnsi="Times New Roman"/>
          <w:sz w:val="24"/>
          <w:szCs w:val="24"/>
        </w:rPr>
        <w:fldChar w:fldCharType="end"/>
      </w:r>
      <w:r w:rsidR="005457D2" w:rsidRPr="00692930">
        <w:rPr>
          <w:rFonts w:ascii="Times New Roman" w:hAnsi="Times New Roman"/>
          <w:sz w:val="24"/>
          <w:szCs w:val="24"/>
        </w:rPr>
        <w:t xml:space="preserve"> </w:t>
      </w:r>
      <w:r w:rsidRPr="00692930">
        <w:rPr>
          <w:rFonts w:ascii="Times New Roman" w:hAnsi="Times New Roman"/>
          <w:sz w:val="24"/>
          <w:szCs w:val="24"/>
          <w:lang w:eastAsia="sl-SI"/>
        </w:rPr>
        <w:t>but this achievement could then not be reproduced for many years</w:t>
      </w:r>
      <w:r w:rsidR="005457D2" w:rsidRPr="00692930">
        <w:rPr>
          <w:rFonts w:ascii="Times New Roman" w:hAnsi="Times New Roman"/>
          <w:sz w:val="24"/>
          <w:szCs w:val="24"/>
          <w:lang w:eastAsia="sl-SI"/>
        </w:rPr>
        <w:t>.</w:t>
      </w:r>
    </w:p>
    <w:p w:rsidR="008074C0" w:rsidRPr="00692930" w:rsidRDefault="009D54B0" w:rsidP="008A3866">
      <w:pPr>
        <w:rPr>
          <w:rFonts w:ascii="Times New Roman" w:hAnsi="Times New Roman"/>
          <w:sz w:val="24"/>
          <w:szCs w:val="24"/>
        </w:rPr>
      </w:pPr>
      <w:r w:rsidRPr="00692930">
        <w:rPr>
          <w:rFonts w:ascii="Times New Roman" w:hAnsi="Times New Roman"/>
          <w:sz w:val="24"/>
          <w:szCs w:val="24"/>
        </w:rPr>
        <w:t>An obvious approach to improving the rate performance of insertion materials seems to be decreasing the particle size</w:t>
      </w:r>
      <w:r w:rsidR="00C57CA9" w:rsidRPr="00692930">
        <w:rPr>
          <w:rFonts w:ascii="Times New Roman" w:hAnsi="Times New Roman"/>
          <w:sz w:val="24"/>
          <w:szCs w:val="24"/>
        </w:rPr>
        <w:t>.</w:t>
      </w:r>
      <w:r w:rsidR="00273957"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"10.1016/j.elecom.2007.09.020", "ISBN" : "1388-2481", "ISSN" : "13882481", "abstract" : "Based on careful analysis of nine papers by different research groups, we show, for the first time, that in LiFePO4-based cathode materials the electrode resistance depends solely on the mean particle size. The effect of carbon coating is marginal, it suffices that each LiFePO4 particle is point-contacted with a reasonable number of carbon black particles usually added in the course of electrode preparation. We present a simple but general theoretical model that consistently explains this unexpected result. The main reason for the relatively small importance of carbon coatings is the fact that the ionic conductivity (ca. 10-11-10-10 S cm-1 at RT) is much smaller than the electronic (&gt;10-9 S cm-1 at RT). The present finding could be of significant importance not only for further optimization of LiFePO4 cathodes, but also for preparation of other cathode materials in which the ionic conductivity is much lower than the electronic. ?? 2007 Elsevier B.V. All rights reserved.", "author" : [ { "dropping-particle" : "", "family" : "Gaberscek", "given" : "Miran", "non-dropping-particle" : "", "parse-names" : false, "suffix" : "" }, { "dropping-particle" : "", "family" : "Dominko", "given" : "Robert", "non-dropping-particle" : "", "parse-names" : false, "suffix" : "" }, { "dropping-particle" : "", "family" : "Jamnik", "given" : "Janez", "non-dropping-particle" : "", "parse-names" : false, "suffix" : "" } ], "container-title" : "Electrochemistry Communications", "id" : "ITEM-1", "issue" : "12", "issued" : { "date-parts" : [ [ "2007" ] ] }, "page" : "2778-2783", "title" : "Is small particle size more important than carbon coating? An example study on LiFePO4 cathodes", "type" : "article-journal", "volume" : "9" }, "uris" : [ "http://www.mendeley.com/documents/?uuid=2e7582f6-64a3-4584-a23b-e4f6c1d665fe" ] } ], "mendeley" : { "formattedCitation" : "&lt;sup&gt;8&lt;/sup&gt;", "plainTextFormattedCitation" : "8", "previouslyFormattedCitation" : "&lt;sup&gt;8&lt;/sup&gt;" }, "properties" : { "noteIndex" : 0 }, "schema" : "https://github.com/citation-style-language/schema/raw/master/csl-citation.json" }</w:instrText>
      </w:r>
      <w:r w:rsidR="00273957"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8</w:t>
      </w:r>
      <w:r w:rsidR="00273957" w:rsidRPr="00692930">
        <w:rPr>
          <w:rFonts w:ascii="Times New Roman" w:hAnsi="Times New Roman"/>
          <w:sz w:val="24"/>
          <w:szCs w:val="24"/>
        </w:rPr>
        <w:fldChar w:fldCharType="end"/>
      </w:r>
      <w:r w:rsidRPr="00692930">
        <w:rPr>
          <w:rFonts w:ascii="Times New Roman" w:hAnsi="Times New Roman"/>
          <w:sz w:val="24"/>
          <w:szCs w:val="24"/>
        </w:rPr>
        <w:t xml:space="preserve"> Drezen et al</w:t>
      </w:r>
      <w:r w:rsidR="00EA41E1" w:rsidRPr="00692930">
        <w:rPr>
          <w:rFonts w:ascii="Times New Roman" w:hAnsi="Times New Roman"/>
          <w:sz w:val="24"/>
          <w:szCs w:val="24"/>
        </w:rPr>
        <w:t>.</w:t>
      </w:r>
      <w:r w:rsidR="00273957"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"10.1016/j.jpowsour.2007.06.203", "ISBN" : "03787753", "ISSN" : "03787753", "abstract" : "LiMnPO4 was synthesized using a sol-gel method and tested as a cathode material for lithium ion batteries. After calcination at temperatures between 520 and 600 ??C, primary particle sizes in the range of 140-220 nm were achieved. Subsequent dry ball milling reduced the primary particle diameters from 130 to 90 nm, depending on time of ball milling. Reversible capacities of 156 mAh g-1 at C/100 and 134 mAh g-1 at C/10 were measured. At 92% and 79% of the theoretical values, respectively, these are the highest values reported to date for this material. At faster charging rates, the electrochemical performance was found to be improved when smaller LiMnPO4 particles were used. ?? 2007 Elsevier B.V. All rights reserved.", "author" : [ { "dropping-particle" : "", "family" : "Drezen", "given" : "Thierry", "non-dropping-particle" : "", "parse-names" : false, "suffix" : "" }, { "dropping-particle" : "", "family" : "Kwon", "given" : "Nam Hee", "non-dropping-particle" : "", "parse-names" : false, "suffix" : "" }, { "dropping-particle" : "", "family" : "Bowen", "given" : "Paul", "non-dropping-particle" : "", "parse-names" : false, "suffix" : "" }, { "dropping-particle" : "", "family" : "Teerlinck", "given" : "Ivo", "non-dropping-particle" : "", "parse-names" : false, "suffix" : "" }, { "dropping-particle" : "", "family" : "Isono", "given" : "Motoshi", "non-dropping-particle" : "", "parse-names" : false, "suffix" : "" }, { "dropping-particle" : "", "family" : "Exnar", "given" : "Ivan", "non-dropping-particle" : "", "parse-names" : false, "suffix" : "" } ], "container-title" : "Journal of Power Sources", "id" : "ITEM-1", "issue" : "2", "issued" : { "date-parts" : [ [ "2007" ] ] }, "page" : "949-953", "title" : "Effect of particle size on LiMnPO4 cathodes", "type" : "article-journal", "volume" : "174" }, "uris" : [ "http://www.mendeley.com/documents/?uuid=1df3af08-e2d0-4ecb-b112-82b926018790" ] } ], "mendeley" : { "formattedCitation" : "&lt;sup&gt;9&lt;/sup&gt;", "plainTextFormattedCitation" : "9", "previouslyFormattedCitation" : "&lt;sup&gt;9&lt;/sup&gt;" }, "properties" : { "noteIndex" : 0 }, "schema" : "https://github.com/citation-style-language/schema/raw/master/csl-citation.json" }</w:instrText>
      </w:r>
      <w:r w:rsidR="00273957"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9</w:t>
      </w:r>
      <w:r w:rsidR="00273957" w:rsidRPr="00692930">
        <w:rPr>
          <w:rFonts w:ascii="Times New Roman" w:hAnsi="Times New Roman"/>
          <w:sz w:val="24"/>
          <w:szCs w:val="24"/>
        </w:rPr>
        <w:fldChar w:fldCharType="end"/>
      </w:r>
      <w:r w:rsidRPr="00692930">
        <w:rPr>
          <w:rFonts w:ascii="Times New Roman" w:hAnsi="Times New Roman"/>
          <w:sz w:val="24"/>
          <w:szCs w:val="24"/>
        </w:rPr>
        <w:t xml:space="preserve"> were the first to demonstrate the beneficial effect of particle size minimization on the electrochemistry of LMP. </w:t>
      </w:r>
      <w:r w:rsidR="00B162FA" w:rsidRPr="00692930">
        <w:rPr>
          <w:rFonts w:ascii="Times New Roman" w:hAnsi="Times New Roman"/>
          <w:sz w:val="24"/>
          <w:szCs w:val="24"/>
        </w:rPr>
        <w:t>In particular,</w:t>
      </w:r>
      <w:r w:rsidRPr="00692930">
        <w:rPr>
          <w:rFonts w:ascii="Times New Roman" w:hAnsi="Times New Roman"/>
          <w:sz w:val="24"/>
          <w:szCs w:val="24"/>
        </w:rPr>
        <w:t xml:space="preserve"> they used a polyol synthesis approach to prepare nanoparticles of LMP material with a platelet morphology</w:t>
      </w:r>
      <w:r w:rsidR="000E0798" w:rsidRPr="00692930">
        <w:rPr>
          <w:rFonts w:ascii="Times New Roman" w:hAnsi="Times New Roman"/>
          <w:sz w:val="24"/>
          <w:szCs w:val="24"/>
        </w:rPr>
        <w:t>.</w:t>
      </w:r>
      <w:r w:rsidRPr="00692930">
        <w:rPr>
          <w:rFonts w:ascii="Times New Roman" w:hAnsi="Times New Roman"/>
          <w:sz w:val="24"/>
          <w:szCs w:val="24"/>
        </w:rPr>
        <w:t xml:space="preserve"> </w:t>
      </w:r>
      <w:r w:rsidR="000E0798" w:rsidRPr="00692930">
        <w:rPr>
          <w:rFonts w:ascii="Times New Roman" w:hAnsi="Times New Roman"/>
          <w:sz w:val="24"/>
          <w:szCs w:val="24"/>
        </w:rPr>
        <w:t xml:space="preserve">Particles </w:t>
      </w:r>
      <w:r w:rsidR="00DE7E58" w:rsidRPr="00692930">
        <w:rPr>
          <w:rFonts w:ascii="Times New Roman" w:hAnsi="Times New Roman"/>
          <w:sz w:val="24"/>
          <w:szCs w:val="24"/>
        </w:rPr>
        <w:t xml:space="preserve">having a thickness of about </w:t>
      </w:r>
      <w:r w:rsidRPr="00692930">
        <w:rPr>
          <w:rFonts w:ascii="Times New Roman" w:hAnsi="Times New Roman"/>
          <w:sz w:val="24"/>
          <w:szCs w:val="24"/>
        </w:rPr>
        <w:t xml:space="preserve">30 nm </w:t>
      </w:r>
      <w:r w:rsidR="00DE7E58" w:rsidRPr="00692930">
        <w:rPr>
          <w:rFonts w:ascii="Times New Roman" w:hAnsi="Times New Roman"/>
          <w:sz w:val="24"/>
          <w:szCs w:val="24"/>
        </w:rPr>
        <w:t xml:space="preserve">were </w:t>
      </w:r>
      <w:r w:rsidRPr="00692930">
        <w:rPr>
          <w:rFonts w:ascii="Times New Roman" w:hAnsi="Times New Roman"/>
          <w:sz w:val="24"/>
          <w:szCs w:val="24"/>
        </w:rPr>
        <w:t xml:space="preserve">subsequently carbon coated in a ballmilling step. </w:t>
      </w:r>
      <w:r w:rsidR="000E0798" w:rsidRPr="00692930">
        <w:rPr>
          <w:rFonts w:ascii="Times New Roman" w:hAnsi="Times New Roman"/>
          <w:sz w:val="24"/>
          <w:szCs w:val="24"/>
        </w:rPr>
        <w:t>A version of this</w:t>
      </w:r>
      <w:r w:rsidRPr="00692930">
        <w:rPr>
          <w:rFonts w:ascii="Times New Roman" w:hAnsi="Times New Roman"/>
          <w:sz w:val="24"/>
          <w:szCs w:val="24"/>
        </w:rPr>
        <w:t xml:space="preserve"> procedure yielded spherical LMP particles with </w:t>
      </w:r>
      <w:r w:rsidR="00B162FA" w:rsidRPr="00692930">
        <w:rPr>
          <w:rFonts w:ascii="Times New Roman" w:hAnsi="Times New Roman"/>
          <w:sz w:val="24"/>
          <w:szCs w:val="24"/>
        </w:rPr>
        <w:t xml:space="preserve">a </w:t>
      </w:r>
      <w:r w:rsidRPr="00692930">
        <w:rPr>
          <w:rFonts w:ascii="Times New Roman" w:hAnsi="Times New Roman"/>
          <w:sz w:val="24"/>
          <w:szCs w:val="24"/>
        </w:rPr>
        <w:t>quite uniform particle size of 25-30 nm coated with relatively thick (~15 nm) carbon layer delivering 145 mAhg</w:t>
      </w:r>
      <w:r w:rsidRPr="00692930">
        <w:rPr>
          <w:rFonts w:ascii="Times New Roman" w:hAnsi="Times New Roman"/>
          <w:sz w:val="24"/>
          <w:szCs w:val="24"/>
          <w:vertAlign w:val="superscript"/>
        </w:rPr>
        <w:t>-1</w:t>
      </w:r>
      <w:r w:rsidRPr="00692930">
        <w:rPr>
          <w:rFonts w:ascii="Times New Roman" w:hAnsi="Times New Roman"/>
          <w:sz w:val="24"/>
          <w:szCs w:val="24"/>
        </w:rPr>
        <w:t xml:space="preserve"> at C/20 and giving a stable reversible capacity of 140 mAhg</w:t>
      </w:r>
      <w:r w:rsidRPr="00692930">
        <w:rPr>
          <w:rFonts w:ascii="Times New Roman" w:hAnsi="Times New Roman"/>
          <w:sz w:val="24"/>
          <w:szCs w:val="24"/>
          <w:vertAlign w:val="superscript"/>
        </w:rPr>
        <w:t>-1</w:t>
      </w:r>
      <w:r w:rsidRPr="00692930">
        <w:rPr>
          <w:rFonts w:ascii="Times New Roman" w:hAnsi="Times New Roman"/>
          <w:sz w:val="24"/>
          <w:szCs w:val="24"/>
        </w:rPr>
        <w:t xml:space="preserve"> for C/10 C-rate (both at 30 °C using a CC-CV cycling protocol)</w:t>
      </w:r>
      <w:r w:rsidR="00C57CA9" w:rsidRPr="00692930">
        <w:rPr>
          <w:rFonts w:ascii="Times New Roman" w:hAnsi="Times New Roman"/>
          <w:sz w:val="24"/>
          <w:szCs w:val="24"/>
        </w:rPr>
        <w:t>.</w:t>
      </w:r>
      <w:r w:rsidR="00D25064"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"10.1016/j.jpowsour.2008.09.077", "ISBN" : "0378-7753", "ISSN" : "03787753", "abstract" : "A novel polyol synthesis was adopted to synthesize nano-structured LiMnPO4. This route yields well-crystallized nanoparticles with platelet morphology that are only \u223c30 nm thick oriented in the b direction. The obtained material presented a good rate behavior and a very long cyclic life both at room temperature (RT) and 50 \u00b0C. The sample exhibited a specific capacity of 145 mAh g-1 at C/20, 141 mAh g-1 at C/10 rate and 113 mAh g-1 1C rate. This represents is the highest performance results reported to date for this material. The high rate performance is ascribed to the platelet shape of the LiMnPO4 as it minimizes the paths for Li diffusion. At elevated temperature (50 \u00b0C) this material demonstrated improved reversible capacity of 159 mAh g-1 at C/10 and 138 at 1C. The electrode retained 95% of its capacity, over 200 cycles, both at RT and 50 \u00b0C. This electrochemical stability is ascribed to the structural strength of the P-O bond and the stability of the electrolyte-LiMnPO4 interface. It allows us to conclude that the impact of a possible Jahn-Teller distortion is not critical. These excellent results clarified some ambiguities on LiMnPO4 as cathode materials, and demonstrate its promise for its practical application. \u00a9 2008 Elsevier B.V. All rights reserved.", "author" : [ { "dropping-particle" : "", "family" : "Wang", "given" : "Deyu", "non-dropping-particle" : "", "parse-names" : false, "suffix" : "" }, { "dropping-particle" : "", "family" : "Buqa", "given" : "Hilmi", "non-dropping-particle" : "", "parse-names" : false, "suffix" : "" }, { "dropping-particle" : "", "family" : "Crouzet", "given" : "Michael", "non-dropping-particle" : "", "parse-names" : false, "suffix" : "" }, { "dropping-particle" : "", "family" : "Deghenghi", "given" : "Gianluca", "non-dropping-particle" : "", "parse-names" : false, "suffix" : "" }, { "dropping-particle" : "", "family" : "Drezen", "given" : "Thierry", "non-dropping-particle" : "", "parse-names" : false, "suffix" : "" }, { "dropping-particle" : "", "family" : "Exnar", "given" : "Ivan", "non-dropping-particle" : "", "parse-names" : false, "suffix" : "" }, { "dropping-particle" : "", "family" : "Kwon", "given" : "Nam Hee", "non-dropping-particle" : "", "parse-names" : false, "suffix" : "" }, { "dropping-particle" : "", "family" : "Miners", "given" : "James H.", "non-dropping-particle" : "", "parse-names" : false, "suffix" : "" }, { "dropping-particle" : "", "family" : "Poletto", "given" : "Laetitia", "non-dropping-particle" : "", "parse-names" : false, "suffix" : "" }, { "dropping-particle" : "", "family" : "Gr\u00e4tzel", "given" : "Michael", "non-dropping-particle" : "", "parse-names" : false, "suffix" : "" } ], "container-title" : "Journal of Power Sources", "id" : "ITEM-1", "issue" : "1", "issued" : { "date-parts" : [ [ "2009" ] ] }, "page" : "624-628", "title" : "High-performance, nano-structured LiMnPO4 synthesized via a polyol method", "type" : "article-journal", "volume" : "189" }, "uris" : [ "http://www.mendeley.com/documents/?uuid=ab32f780-7d80-4e6f-bf4d-2f3aa16a104c" ] }, { "id" : "ITEM-2", "itemData" : { "DOI" : "10.1149/1.3125765", "ISBN" : "00134651", "ISSN" : "00134651", "abstract" : "LiMnPO 4 nanoparticles synthesized by the polyol method were examined as a cathode material for advanced Li-ion batteries. The structure, surface morphology, and performance were characterized by X-ray diffraction, high resolution scanning electron mi- croscopy, high resolution transmission electron microscopy, Raman, Fourier transform IR, and photoelectron spectroscopies, and standard electrochemical techniques. A stable reversible capacity up to 145 mAh g \u22121 could be measured at discharge potentials 4 V vs Li / Li + , with a reasonable capacity retention during prolonged charge/discharge cycling. The rate capability of the LiMnPO 4 electrodes studied herein was higher than that of LiNi 0.5 Mn 0.5 O 2 and LiNi 0.8 Co 0.15 Al 0.05 O 2 NCA in similar experiments and measurements. The active mass studied herein seems to be the least surface reactive in alkyl carbonate / LiPF 6 solutions. We attribute the low surface activity of this material, compared to the lithiated transition-metal oxides that are examined and used as cathode materials for Li-ion batteries, to the relatively low basicity and nucleophilicity of the oxygen atoms in the olivine compounds. The thermal stability of the LiMnPO 4 material in solutions measured by differential scanning calorimetry is much higher compared to that of transition-metal oxide cathodes. This is demonstrated herein by a comparison with NCA electrodes.", "author" : [ { "dropping-particle" : "", "family" : "Martha", "given" : "S. K.", "non-dropping-particle" : "", "parse-names" : false, "suffix" : "" }, { "dropping-particle" : "", "family" : "Markovsky", "given" : "B.", "non-dropping-particle" : "", "parse-names" : false, "suffix" : "" }, { "dropping-particle" : "", "family" : "Grinblat", "given" : "J.", "non-dropping-particle" : "", "parse-names" : false, "suffix" : "" }, { "dropping-particle" : "", "family" : "Gofer", "given" : "Y.", "non-dropping-particle" : "", "parse-names" : false, "suffix" : "" }, { "dropping-particle" : "", "family" : "Haik", "given" : "O.", "non-dropping-particle" : "", "parse-names" : false, "suffix" : "" }, { "dropping-particle" : "", "family" : "Zinigrad", "given" : "E.", "non-dropping-particle" : "", "parse-names" : false, "suffix" : "" }, { "dropping-particle" : "", "family" : "Aurbach", "given" : "D.", "non-dropping-particle" : "", "parse-names" : false, "suffix" : "" }, { "dropping-particle" : "", "family" : "Drezen", "given" : "T.", "non-dropping-particle" : "", "parse-names" : false, "suffix" : "" }, { "dropping-particle" : "", "family" : "Wang", "given" : "D.", "non-dropping-particle" : "", "parse-names" : false, "suffix" : "" }, { "dropping-particle" : "", "family" : "Deghenghi", "given" : "G.", "non-dropping-particle" : "", "parse-names" : false, "suffix" : "" }, { "dropping-particle" : "", "family" : "Exnar", "given" : "I.", "non-dropping-particle" : "", "parse-names" : false, "suffix" : "" } ], "container-title" : "Journal of The Electrochemical Society", "id" : "ITEM-2", "issued" : { "date-parts" : [ [ "2009" ] ] }, "page" : "A541", "title" : "LiMnPO4 as an Advanced Cathode Material for Rechargeable Lithium Batteries", "type" : "article-journal", "volume" : "156" }, "uris" : [ "http://www.mendeley.com/documents/?uuid=63d9522c-644a-49c1-8887-3788e7cb0ed6", "http://www.mendeley.com/documents/?uuid=b17e20cc-1502-4488-b3ce-4254e904e4de" ] } ], "mendeley" : { "formattedCitation" : "&lt;sup&gt;10,11&lt;/sup&gt;", "plainTextFormattedCitation" : "10,11", "previouslyFormattedCitation" : "&lt;sup&gt;10,11&lt;/sup&gt;" }, "properties" : { "noteIndex" : 0 }, "schema" : "https://github.com/citation-style-language/schema/raw/master/csl-citation.json" }</w:instrText>
      </w:r>
      <w:r w:rsidR="00D25064"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10,11</w:t>
      </w:r>
      <w:r w:rsidR="00D25064" w:rsidRPr="00692930">
        <w:rPr>
          <w:rFonts w:ascii="Times New Roman" w:hAnsi="Times New Roman"/>
          <w:sz w:val="24"/>
          <w:szCs w:val="24"/>
        </w:rPr>
        <w:fldChar w:fldCharType="end"/>
      </w:r>
      <w:r w:rsidR="00C57CA9" w:rsidRPr="00692930">
        <w:rPr>
          <w:rFonts w:ascii="Times New Roman" w:hAnsi="Times New Roman"/>
          <w:sz w:val="24"/>
          <w:szCs w:val="24"/>
        </w:rPr>
        <w:t xml:space="preserve"> Oh et al.</w:t>
      </w:r>
      <w:r w:rsidR="00D447C9"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"10.1002/adfm.201000469", "ISBN" : "1616-3028", "ISSN" : "1616301X", "abstract" : "Abstract A cathode material of an electrically conducting carbon-LiMnPO4 nanocomposite is synthesized by ultrasonic spray pyrolysis followed by ball milling. The effect of the carbon content on the physicochemical and electrochemical properties of this material is extensively studied. A LiMnPO4 electrode with 30 wt% acetylene black (AB) carbon exhibits an excellent rate capability and good cycle life in cell tests at 55 and 25 \u00b0C. This electrode delivers a discharge capacity of 158 mAh g\u22121 at 1/20 C, 126 mAh g\u22121 at 1 C, and 107 mAh g\u22121 at 2 C rate, which are the highest capacities reported so far for this type of electrode. Transmission electron microscopy and Mn dissolution results confirm that the carbon particles surrounding the LiMnPO4 protect the electrode from HF attack, and thus lead to a reduction of the Mn dissolution that usually occurs with this electrode. The improved electrochemical properties of the C-LiMnPO4 electrode are also verified by electrochemical impedance spectroscopy.", "author" : [ { "dropping-particle" : "", "family" : "Oh", "given" : "Seung Min", "non-dropping-particle" : "", "parse-names" : false, "suffix" : "" }, { "dropping-particle" : "", "family" : "Oh", "given" : "Sung Woo", "non-dropping-particle" : "", "parse-names" : false, "suffix" : "" }, { "dropping-particle" : "", "family" : "Yoon", "given" : "Chong Seung", "non-dropping-particle" : "", "parse-names" : false, "suffix" : "" }, { "dropping-particle" : "", "family" : "Scrosati", "given" : "Bruno", "non-dropping-particle" : "", "parse-names" : false, "suffix" : "" }, { "dropping-particle" : "", "family" : "Amine", "given" : "Khalil", "non-dropping-particle" : "", "parse-names" : false, "suffix" : "" }, { "dropping-particle" : "", "family" : "Sun", "given" : "Yang Kook", "non-dropping-particle" : "", "parse-names" : false, "suffix" : "" } ], "container-title" : "Advanced Functional Materials", "id" : "ITEM-1", "issue" : "19", "issued" : { "date-parts" : [ [ "2010" ] ] }, "page" : "3260-3265", "title" : "High-performance carbon-LiMnPO4 nanocomposite cathode for lithium batteries", "type" : "article-journal", "volume" : "20" }, "uris" : [ "http://www.mendeley.com/documents/?uuid=d14fa9a1-4d25-448f-ae45-20ea6e4d003e" ] } ], "mendeley" : { "formattedCitation" : "&lt;sup&gt;12&lt;/sup&gt;", "plainTextFormattedCitation" : "12", "previouslyFormattedCitation" : "&lt;sup&gt;12&lt;/sup&gt;" }, "properties" : { "noteIndex" : 0 }, "schema" : "https://github.com/citation-style-language/schema/raw/master/csl-citation.json" }</w:instrText>
      </w:r>
      <w:r w:rsidR="00D447C9"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12</w:t>
      </w:r>
      <w:r w:rsidR="00D447C9" w:rsidRPr="00692930">
        <w:rPr>
          <w:rFonts w:ascii="Times New Roman" w:hAnsi="Times New Roman"/>
          <w:sz w:val="24"/>
          <w:szCs w:val="24"/>
        </w:rPr>
        <w:fldChar w:fldCharType="end"/>
      </w:r>
      <w:r w:rsidRPr="00692930">
        <w:rPr>
          <w:rFonts w:ascii="Times New Roman" w:hAnsi="Times New Roman"/>
          <w:sz w:val="24"/>
          <w:szCs w:val="24"/>
        </w:rPr>
        <w:t xml:space="preserve"> reported </w:t>
      </w:r>
      <w:r w:rsidR="00B162FA" w:rsidRPr="00692930">
        <w:rPr>
          <w:rFonts w:ascii="Times New Roman" w:hAnsi="Times New Roman"/>
          <w:sz w:val="24"/>
          <w:szCs w:val="24"/>
        </w:rPr>
        <w:t xml:space="preserve">a </w:t>
      </w:r>
      <w:r w:rsidRPr="00692930">
        <w:rPr>
          <w:rFonts w:ascii="Times New Roman" w:hAnsi="Times New Roman"/>
          <w:sz w:val="24"/>
          <w:szCs w:val="24"/>
        </w:rPr>
        <w:t>synthesis of carbon–LiMnPO</w:t>
      </w:r>
      <w:r w:rsidRPr="00692930">
        <w:rPr>
          <w:rFonts w:ascii="Times New Roman" w:hAnsi="Times New Roman"/>
          <w:sz w:val="24"/>
          <w:szCs w:val="24"/>
          <w:vertAlign w:val="subscript"/>
        </w:rPr>
        <w:t>4</w:t>
      </w:r>
      <w:r w:rsidRPr="00692930">
        <w:rPr>
          <w:rFonts w:ascii="Times New Roman" w:hAnsi="Times New Roman"/>
          <w:sz w:val="24"/>
          <w:szCs w:val="24"/>
        </w:rPr>
        <w:t xml:space="preserve"> nanocomposite by ultrasonic spray pyrolysis followed by ballmilling with carbon. </w:t>
      </w:r>
      <w:r w:rsidR="00906F70" w:rsidRPr="00692930">
        <w:rPr>
          <w:rFonts w:ascii="Times New Roman" w:hAnsi="Times New Roman"/>
          <w:sz w:val="24"/>
          <w:szCs w:val="24"/>
        </w:rPr>
        <w:t>In the case of a</w:t>
      </w:r>
      <w:r w:rsidRPr="00692930">
        <w:rPr>
          <w:rFonts w:ascii="Times New Roman" w:hAnsi="Times New Roman"/>
          <w:sz w:val="24"/>
          <w:szCs w:val="24"/>
        </w:rPr>
        <w:t xml:space="preserve"> LiMnPO</w:t>
      </w:r>
      <w:r w:rsidRPr="00692930">
        <w:rPr>
          <w:rFonts w:ascii="Times New Roman" w:hAnsi="Times New Roman"/>
          <w:sz w:val="24"/>
          <w:szCs w:val="24"/>
          <w:vertAlign w:val="subscript"/>
        </w:rPr>
        <w:t>4</w:t>
      </w:r>
      <w:r w:rsidRPr="00692930">
        <w:rPr>
          <w:rFonts w:ascii="Times New Roman" w:hAnsi="Times New Roman"/>
          <w:sz w:val="24"/>
          <w:szCs w:val="24"/>
        </w:rPr>
        <w:t xml:space="preserve">-C material </w:t>
      </w:r>
      <w:r w:rsidR="00906F70" w:rsidRPr="00692930">
        <w:rPr>
          <w:rFonts w:ascii="Times New Roman" w:hAnsi="Times New Roman"/>
          <w:sz w:val="24"/>
          <w:szCs w:val="24"/>
        </w:rPr>
        <w:t>having</w:t>
      </w:r>
      <w:r w:rsidRPr="00692930">
        <w:rPr>
          <w:rFonts w:ascii="Times New Roman" w:hAnsi="Times New Roman"/>
          <w:sz w:val="24"/>
          <w:szCs w:val="24"/>
        </w:rPr>
        <w:t xml:space="preserve"> </w:t>
      </w:r>
      <w:r w:rsidR="00B162FA" w:rsidRPr="00692930">
        <w:rPr>
          <w:rFonts w:ascii="Times New Roman" w:hAnsi="Times New Roman"/>
          <w:sz w:val="24"/>
          <w:szCs w:val="24"/>
        </w:rPr>
        <w:t xml:space="preserve">a </w:t>
      </w:r>
      <w:r w:rsidR="00906F70" w:rsidRPr="00692930">
        <w:rPr>
          <w:rFonts w:ascii="Times New Roman" w:hAnsi="Times New Roman"/>
          <w:sz w:val="24"/>
          <w:szCs w:val="24"/>
        </w:rPr>
        <w:t xml:space="preserve">native </w:t>
      </w:r>
      <w:r w:rsidRPr="00692930">
        <w:rPr>
          <w:rFonts w:ascii="Times New Roman" w:hAnsi="Times New Roman"/>
          <w:sz w:val="24"/>
          <w:szCs w:val="24"/>
        </w:rPr>
        <w:t>carbon content of ~27 wt.%</w:t>
      </w:r>
      <w:r w:rsidR="00B162FA" w:rsidRPr="00692930">
        <w:rPr>
          <w:rFonts w:ascii="Times New Roman" w:hAnsi="Times New Roman"/>
          <w:sz w:val="24"/>
          <w:szCs w:val="24"/>
        </w:rPr>
        <w:t xml:space="preserve"> and 7.</w:t>
      </w:r>
      <w:r w:rsidRPr="00692930">
        <w:rPr>
          <w:rFonts w:ascii="Times New Roman" w:hAnsi="Times New Roman"/>
          <w:sz w:val="24"/>
          <w:szCs w:val="24"/>
        </w:rPr>
        <w:t xml:space="preserve">5 wt.% of </w:t>
      </w:r>
      <w:r w:rsidR="00906F70" w:rsidRPr="00692930">
        <w:rPr>
          <w:rFonts w:ascii="Times New Roman" w:hAnsi="Times New Roman"/>
          <w:sz w:val="24"/>
          <w:szCs w:val="24"/>
        </w:rPr>
        <w:t xml:space="preserve">additional </w:t>
      </w:r>
      <w:r w:rsidRPr="00692930">
        <w:rPr>
          <w:rFonts w:ascii="Times New Roman" w:hAnsi="Times New Roman"/>
          <w:sz w:val="24"/>
          <w:szCs w:val="24"/>
        </w:rPr>
        <w:t>carbon black they obtained a reversible capacity of 158 mAhg</w:t>
      </w:r>
      <w:r w:rsidRPr="00692930">
        <w:rPr>
          <w:rFonts w:ascii="Times New Roman" w:hAnsi="Times New Roman"/>
          <w:sz w:val="24"/>
          <w:szCs w:val="24"/>
          <w:vertAlign w:val="superscript"/>
        </w:rPr>
        <w:t>−1</w:t>
      </w:r>
      <w:r w:rsidRPr="00692930">
        <w:rPr>
          <w:rFonts w:ascii="Times New Roman" w:hAnsi="Times New Roman"/>
          <w:sz w:val="24"/>
          <w:szCs w:val="24"/>
        </w:rPr>
        <w:t xml:space="preserve"> at C/20 (at 25 °C using a CC-CV cycling protocol). </w:t>
      </w:r>
      <w:r w:rsidR="004809DF" w:rsidRPr="00692930">
        <w:rPr>
          <w:rFonts w:ascii="Times New Roman" w:hAnsi="Times New Roman"/>
          <w:sz w:val="24"/>
          <w:szCs w:val="24"/>
        </w:rPr>
        <w:t>Choi et al.</w:t>
      </w:r>
      <w:r w:rsidR="00877713"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"10.1021/nl1007085", "ISBN" : "1530-6984", "ISSN" : "15306984", "PMID" : "20698592", "abstract" : "Electrochemically active LiMnPO(4) nanoplates have been synthesized via a novel, single-step, solid-state reaction in molten hydrocarbon. The olivine-structured LiMnPO(4) nanoplates with a thickness of approximately 50 nm appear porous and were formed as nanocrystals were assembled and grew into nanorods along the [010] direction in the (100) plane. After carbon coating, the prepared LiMnPO(4) cathode demonstrated a flat potential at 4.1 V versus Li with a specific capacity reaching as high as 168 mAh/g under a galvanostatic charging/discharging mode, along with an excellent cyclability.", "author" : [ { "dropping-particle" : "", "family" : "Choi", "given" : "Daiwon", "non-dropping-particle" : "", "parse-names" : false, "suffix" : "" }, { "dropping-particle" : "", "family" : "Wang", "given" : "Donghai", "non-dropping-particle" : "", "parse-names" : false, "suffix" : "" }, { "dropping-particle" : "", "family" : "Bae", "given" : "In Tae", "non-dropping-particle" : "", "parse-names" : false, "suffix" : "" }, { "dropping-particle" : "", "family" : "Xiao", "given" : "Jie", "non-dropping-particle" : "", "parse-names" : false, "suffix" : "" }, { "dropping-particle" : "", "family" : "Nie", "given" : "Zimin", "non-dropping-particle" : "", "parse-names" : false, "suffix" : "" }, { "dropping-particle" : "", "family" : "Wang", "given" : "Wei", "non-dropping-particle" : "", "parse-names" : false, "suffix" : "" }, { "dropping-particle" : "V.", "family" : "Viswanathan", "given" : "Vilayanur", "non-dropping-particle" : "", "parse-names" : false, "suffix" : "" }, { "dropping-particle" : "", "family" : "Lee", "given" : "Yun Jung", "non-dropping-particle" : "", "parse-names" : false, "suffix" : "" }, { "dropping-particle" : "", "family" : "Zhang", "given" : "Ji Guang", "non-dropping-particle" : "", "parse-names" : false, "suffix" : "" }, { "dropping-particle" : "", "family" : "Graff", "given" : "Gordon L.", "non-dropping-particle" : "", "parse-names" : false, "suffix" : "" }, { "dropping-particle" : "", "family" : "Yang", "given" : "Zhenguo", "non-dropping-particle" : "", "parse-names" : false, "suffix" : "" }, { "dropping-particle" : "", "family" : "Liu", "given" : "Jun", "non-dropping-particle" : "", "parse-names" : false, "suffix" : "" } ], "container-title" : "Nano Letters", "id" : "ITEM-1", "issue" : "8", "issued" : { "date-parts" : [ [ "2010" ] ] }, "page" : "2799-2805", "title" : "LiMnPO4 nanoplate grown via solid-state reaction in molten hydrocarbon for Li-ion battery cathode", "type" : "article-journal", "volume" : "10" }, "uris" : [ "http://www.mendeley.com/documents/?uuid=84c3592a-19ca-4d11-9f78-c0a6bf130447" ] } ], "mendeley" : { "formattedCitation" : "&lt;sup&gt;13&lt;/sup&gt;", "plainTextFormattedCitation" : "13", "previouslyFormattedCitation" : "&lt;sup&gt;13&lt;/sup&gt;" }, "properties" : { "noteIndex" : 0 }, "schema" : "https://github.com/citation-style-language/schema/raw/master/csl-citation.json" }</w:instrText>
      </w:r>
      <w:r w:rsidR="00877713"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13</w:t>
      </w:r>
      <w:r w:rsidR="00877713" w:rsidRPr="00692930">
        <w:rPr>
          <w:rFonts w:ascii="Times New Roman" w:hAnsi="Times New Roman"/>
          <w:sz w:val="24"/>
          <w:szCs w:val="24"/>
        </w:rPr>
        <w:fldChar w:fldCharType="end"/>
      </w:r>
      <w:r w:rsidR="00937FA3" w:rsidRPr="00692930">
        <w:rPr>
          <w:rFonts w:ascii="Times New Roman" w:hAnsi="Times New Roman"/>
          <w:sz w:val="24"/>
          <w:szCs w:val="24"/>
        </w:rPr>
        <w:t xml:space="preserve"> synthesized LiMnPO</w:t>
      </w:r>
      <w:r w:rsidR="00937FA3" w:rsidRPr="00692930">
        <w:rPr>
          <w:rFonts w:ascii="Times New Roman" w:hAnsi="Times New Roman"/>
          <w:sz w:val="24"/>
          <w:szCs w:val="24"/>
          <w:vertAlign w:val="subscript"/>
        </w:rPr>
        <w:t>4</w:t>
      </w:r>
      <w:r w:rsidR="00937FA3" w:rsidRPr="00692930">
        <w:rPr>
          <w:rFonts w:ascii="Times New Roman" w:hAnsi="Times New Roman"/>
          <w:sz w:val="24"/>
          <w:szCs w:val="24"/>
        </w:rPr>
        <w:t xml:space="preserve"> nanoplates </w:t>
      </w:r>
      <w:r w:rsidR="00937FA3" w:rsidRPr="00692930">
        <w:rPr>
          <w:rFonts w:ascii="Times New Roman" w:hAnsi="Times New Roman"/>
          <w:i/>
          <w:sz w:val="24"/>
          <w:szCs w:val="24"/>
        </w:rPr>
        <w:t>via</w:t>
      </w:r>
      <w:r w:rsidR="00937FA3" w:rsidRPr="00692930">
        <w:rPr>
          <w:rFonts w:ascii="Times New Roman" w:hAnsi="Times New Roman"/>
          <w:sz w:val="24"/>
          <w:szCs w:val="24"/>
        </w:rPr>
        <w:t xml:space="preserve"> </w:t>
      </w:r>
      <w:r w:rsidR="00906F70" w:rsidRPr="00692930">
        <w:rPr>
          <w:rFonts w:ascii="Times New Roman" w:hAnsi="Times New Roman"/>
          <w:sz w:val="24"/>
          <w:szCs w:val="24"/>
        </w:rPr>
        <w:t xml:space="preserve">a </w:t>
      </w:r>
      <w:r w:rsidR="00937FA3" w:rsidRPr="00692930">
        <w:rPr>
          <w:rFonts w:ascii="Times New Roman" w:hAnsi="Times New Roman"/>
          <w:sz w:val="24"/>
          <w:szCs w:val="24"/>
        </w:rPr>
        <w:t>solid-state reaction in molten hydrocarbon.</w:t>
      </w:r>
      <w:r w:rsidR="00A94D86" w:rsidRPr="00692930">
        <w:rPr>
          <w:rFonts w:ascii="Times New Roman" w:hAnsi="Times New Roman"/>
          <w:sz w:val="24"/>
          <w:szCs w:val="24"/>
        </w:rPr>
        <w:t xml:space="preserve"> After ball milling with 20 wt. % of conductive carbon, the LMP-based cathode </w:t>
      </w:r>
      <w:r w:rsidR="00A94D86" w:rsidRPr="00692930">
        <w:rPr>
          <w:rFonts w:ascii="Times New Roman" w:hAnsi="Times New Roman"/>
        </w:rPr>
        <w:t xml:space="preserve">material </w:t>
      </w:r>
      <w:r w:rsidR="00A94D86" w:rsidRPr="00692930">
        <w:rPr>
          <w:rFonts w:ascii="Times New Roman" w:hAnsi="Times New Roman"/>
          <w:sz w:val="24"/>
          <w:szCs w:val="24"/>
        </w:rPr>
        <w:t xml:space="preserve">demonstrated high and stable specific capacity - exceeding 150 mAh/g in initial C/25 cycles and retained </w:t>
      </w:r>
      <w:r w:rsidR="00A94D86" w:rsidRPr="00692930">
        <w:rPr>
          <w:rFonts w:ascii="Times New Roman" w:hAnsi="Times New Roman"/>
          <w:sz w:val="24"/>
          <w:szCs w:val="24"/>
        </w:rPr>
        <w:sym w:font="Symbol" w:char="F07E"/>
      </w:r>
      <w:r w:rsidR="00A94D86" w:rsidRPr="00692930">
        <w:rPr>
          <w:rFonts w:ascii="Times New Roman" w:hAnsi="Times New Roman"/>
          <w:sz w:val="24"/>
          <w:szCs w:val="24"/>
        </w:rPr>
        <w:t>145 mAh/g after pro-longed cycling</w:t>
      </w:r>
      <w:r w:rsidR="00417E4E" w:rsidRPr="00692930">
        <w:rPr>
          <w:rFonts w:ascii="Times New Roman" w:hAnsi="Times New Roman"/>
          <w:sz w:val="24"/>
          <w:szCs w:val="24"/>
        </w:rPr>
        <w:t xml:space="preserve"> (CC protocol in </w:t>
      </w:r>
      <w:r w:rsidR="00417E4E" w:rsidRPr="00692930">
        <w:rPr>
          <w:rFonts w:ascii="Times New Roman" w:hAnsi="Times New Roman"/>
          <w:sz w:val="24"/>
          <w:szCs w:val="24"/>
          <w:lang w:eastAsia="sl-SI"/>
        </w:rPr>
        <w:t>voltage range 2.0-4.5 V</w:t>
      </w:r>
      <w:r w:rsidR="00417E4E" w:rsidRPr="00692930">
        <w:rPr>
          <w:rFonts w:ascii="Times New Roman" w:hAnsi="Times New Roman"/>
          <w:sz w:val="24"/>
          <w:szCs w:val="24"/>
        </w:rPr>
        <w:t>)</w:t>
      </w:r>
      <w:r w:rsidR="00A94D86" w:rsidRPr="00692930">
        <w:rPr>
          <w:rFonts w:ascii="Times New Roman" w:hAnsi="Times New Roman"/>
          <w:sz w:val="24"/>
          <w:szCs w:val="24"/>
        </w:rPr>
        <w:t xml:space="preserve">. </w:t>
      </w:r>
      <w:r w:rsidR="00A80921" w:rsidRPr="00692930">
        <w:rPr>
          <w:rFonts w:ascii="Times New Roman" w:hAnsi="Times New Roman"/>
          <w:sz w:val="24"/>
          <w:szCs w:val="24"/>
        </w:rPr>
        <w:t xml:space="preserve">Later on, </w:t>
      </w:r>
      <w:r w:rsidR="004809DF" w:rsidRPr="00692930">
        <w:rPr>
          <w:rFonts w:ascii="Times New Roman" w:hAnsi="Times New Roman"/>
          <w:sz w:val="24"/>
          <w:szCs w:val="24"/>
        </w:rPr>
        <w:t>Kang et al.</w:t>
      </w:r>
      <w:r w:rsidR="00877713"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"10.1149/1.3524260", "ISBN" : "0013-4651", "ISSN" : "00134651", "author" : [ { "dropping-particle" : "", "family" : "Kim", "given" : "Jongsoon", "non-dropping-particle" : "", "parse-names" : false, "suffix" : "" }, { "dropping-particle" : "", "family" : "Park", "given" : "Young-Uk", "non-dropping-particle" : "", "parse-names" : false, "suffix" : "" }, { "dropping-particle" : "", "family" : "Seo", "given" : "Dong-Hwa", "non-dropping-particle" : "", "parse-names" : false, "suffix" : "" }, { "dropping-particle" : "", "family" : "Kim", "given" : "Jinsoo", "non-dropping-particle" : "", "parse-names" : false, "suffix" : "" }, { "dropping-particle" : "", "family" : "Kim", "given" : "Sung-Wook", "non-dropping-particle" : "", "parse-names" : false, "suffix" : "" }, { "dropping-particle" : "", "family" : "Kang", "given" : "Kisuk", "non-dropping-particle" : "", "parse-names" : false, "suffix" : "" } ], "container-title" : "Journal of The Electrochemical Society", "id" : "ITEM-1", "issue" : "3", "issued" : { "date-parts" : [ [ "2011" ] ] }, "page" : "A250", "title" : "Mg and Fe Co-doped Mn Based Olivine Cathode Material for High Power Capability", "type" : "article-journal", "volume" : "158" }, "uris" : [ "http://www.mendeley.com/documents/?uuid=4264bab4-4c8c-41af-904a-aa44b2a852f8" ] } ], "mendeley" : { "formattedCitation" : "&lt;sup&gt;14&lt;/sup&gt;", "plainTextFormattedCitation" : "14", "previouslyFormattedCitation" : "&lt;sup&gt;14&lt;/sup&gt;" }, "properties" : { "noteIndex" : 0 }, "schema" : "https://github.com/citation-style-language/schema/raw/master/csl-citation.json" }</w:instrText>
      </w:r>
      <w:r w:rsidR="00877713"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14</w:t>
      </w:r>
      <w:r w:rsidR="00877713" w:rsidRPr="00692930">
        <w:rPr>
          <w:rFonts w:ascii="Times New Roman" w:hAnsi="Times New Roman"/>
          <w:sz w:val="24"/>
          <w:szCs w:val="24"/>
        </w:rPr>
        <w:fldChar w:fldCharType="end"/>
      </w:r>
      <w:r w:rsidRPr="00692930">
        <w:rPr>
          <w:rFonts w:ascii="Times New Roman" w:hAnsi="Times New Roman"/>
          <w:sz w:val="24"/>
          <w:szCs w:val="24"/>
        </w:rPr>
        <w:t xml:space="preserve"> reported that small amounts of Fe and Mg dopants significantly improve</w:t>
      </w:r>
      <w:r w:rsidR="00A80921" w:rsidRPr="00692930">
        <w:rPr>
          <w:rFonts w:ascii="Times New Roman" w:hAnsi="Times New Roman"/>
          <w:sz w:val="24"/>
          <w:szCs w:val="24"/>
        </w:rPr>
        <w:t>d</w:t>
      </w:r>
      <w:r w:rsidRPr="00692930">
        <w:rPr>
          <w:rFonts w:ascii="Times New Roman" w:hAnsi="Times New Roman"/>
          <w:sz w:val="24"/>
          <w:szCs w:val="24"/>
        </w:rPr>
        <w:t xml:space="preserve"> the electrochemical power performance of LiMnPO</w:t>
      </w:r>
      <w:r w:rsidRPr="00692930">
        <w:rPr>
          <w:rFonts w:ascii="Times New Roman" w:hAnsi="Times New Roman"/>
          <w:sz w:val="24"/>
          <w:szCs w:val="24"/>
          <w:vertAlign w:val="subscript"/>
        </w:rPr>
        <w:t>4</w:t>
      </w:r>
      <w:r w:rsidR="004809DF" w:rsidRPr="00692930">
        <w:rPr>
          <w:rFonts w:ascii="Times New Roman" w:hAnsi="Times New Roman"/>
          <w:sz w:val="24"/>
          <w:szCs w:val="24"/>
        </w:rPr>
        <w:t>. Rangappa et al.</w:t>
      </w:r>
      <w:r w:rsidR="00877713"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"10.1039/c1jm12208h", "ISBN" : "0959-9428\\r1364-5501", "ISSN" : "0959-9428", "author" : [ { "dropping-particle" : "", "family" : "Rangappa", "given" : "Dinesh", "non-dropping-particle" : "", "parse-names" : false, "suffix" : "" }, { "dropping-particle" : "", "family" : "Sone", "given" : "Koji", "non-dropping-particle" : "", "parse-names" : false, "suffix" : "" }, { "dropping-particle" : "", "family" : "Zhou", "given" : "Ying", "non-dropping-particle" : "", "parse-names" : false, "suffix" : "" }, { "dropping-particle" : "", "family" : "Kudo", "given" : "Tetsuichi", "non-dropping-particle" : "", "parse-names" : false, "suffix" : "" }, { "dropping-particle" : "", "family" : "Honma", "given" : "Itaru", "non-dropping-particle" : "", "parse-names" : false, "suffix" : "" } ], "container-title" : "Journal of Materials Chemistry", "id" : "ITEM-1", "issue" : "39", "issued" : { "date-parts" : [ [ "2011" ] ] }, "page" : "15813", "title" : "Size and shape controlled LiMnPO4 nanocrystals by a supercritical ethanol process and their electrochemical properties", "type" : "article-journal", "volume" : "21" }, "uris" : [ "http://www.mendeley.com/documents/?uuid=9fa38a34-2917-4f9f-a66d-5eec6b6b3c26" ] } ], "mendeley" : { "formattedCitation" : "&lt;sup&gt;15&lt;/sup&gt;", "plainTextFormattedCitation" : "15", "previouslyFormattedCitation" : "&lt;sup&gt;15&lt;/sup&gt;" }, "properties" : { "noteIndex" : 0 }, "schema" : "https://github.com/citation-style-language/schema/raw/master/csl-citation.json" }</w:instrText>
      </w:r>
      <w:r w:rsidR="00877713"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15</w:t>
      </w:r>
      <w:r w:rsidR="00877713" w:rsidRPr="00692930">
        <w:rPr>
          <w:rFonts w:ascii="Times New Roman" w:hAnsi="Times New Roman"/>
          <w:sz w:val="24"/>
          <w:szCs w:val="24"/>
        </w:rPr>
        <w:fldChar w:fldCharType="end"/>
      </w:r>
      <w:r w:rsidRPr="00692930">
        <w:rPr>
          <w:rFonts w:ascii="Times New Roman" w:hAnsi="Times New Roman"/>
          <w:sz w:val="24"/>
          <w:szCs w:val="24"/>
        </w:rPr>
        <w:t xml:space="preserve"> prepared monodisperse nanoparticles of LiMnPO</w:t>
      </w:r>
      <w:r w:rsidRPr="00692930">
        <w:rPr>
          <w:rFonts w:ascii="Times New Roman" w:hAnsi="Times New Roman"/>
          <w:sz w:val="24"/>
          <w:szCs w:val="24"/>
          <w:vertAlign w:val="subscript"/>
        </w:rPr>
        <w:t>4</w:t>
      </w:r>
      <w:r w:rsidRPr="00692930">
        <w:rPr>
          <w:rFonts w:ascii="Times New Roman" w:hAnsi="Times New Roman"/>
          <w:sz w:val="24"/>
          <w:szCs w:val="24"/>
        </w:rPr>
        <w:t xml:space="preserve"> by performing synthesis under supercritical fluid conditions and reported the electrochemical performance of subsequently carbon coated 20 nm sized LMP to be 156 mAh/g </w:t>
      </w:r>
      <w:r w:rsidR="003A7256" w:rsidRPr="00692930">
        <w:rPr>
          <w:rFonts w:ascii="Times New Roman" w:hAnsi="Times New Roman"/>
          <w:sz w:val="24"/>
          <w:szCs w:val="24"/>
        </w:rPr>
        <w:t>(</w:t>
      </w:r>
      <w:r w:rsidRPr="00692930">
        <w:rPr>
          <w:rFonts w:ascii="Times New Roman" w:hAnsi="Times New Roman"/>
          <w:sz w:val="24"/>
          <w:szCs w:val="24"/>
        </w:rPr>
        <w:t xml:space="preserve">at C/100 and </w:t>
      </w:r>
      <w:r w:rsidR="00A80921" w:rsidRPr="00692930">
        <w:rPr>
          <w:rFonts w:ascii="Times New Roman" w:hAnsi="Times New Roman"/>
          <w:sz w:val="24"/>
          <w:szCs w:val="24"/>
        </w:rPr>
        <w:t xml:space="preserve">the </w:t>
      </w:r>
      <w:r w:rsidRPr="00692930">
        <w:rPr>
          <w:rFonts w:ascii="Times New Roman" w:hAnsi="Times New Roman"/>
          <w:sz w:val="24"/>
          <w:szCs w:val="24"/>
        </w:rPr>
        <w:t>lower cut off voltage 2 V</w:t>
      </w:r>
      <w:r w:rsidR="003A7256" w:rsidRPr="00692930">
        <w:rPr>
          <w:rFonts w:ascii="Times New Roman" w:hAnsi="Times New Roman"/>
          <w:sz w:val="24"/>
          <w:szCs w:val="24"/>
        </w:rPr>
        <w:t>)</w:t>
      </w:r>
      <w:r w:rsidRPr="00692930">
        <w:rPr>
          <w:rFonts w:ascii="Times New Roman" w:hAnsi="Times New Roman"/>
          <w:sz w:val="24"/>
          <w:szCs w:val="24"/>
        </w:rPr>
        <w:t xml:space="preserve">. </w:t>
      </w:r>
    </w:p>
    <w:p w:rsidR="00831DB6" w:rsidRPr="00692930" w:rsidRDefault="009D54B0" w:rsidP="008A3866">
      <w:pPr>
        <w:rPr>
          <w:rFonts w:ascii="Times New Roman" w:hAnsi="Times New Roman"/>
          <w:sz w:val="24"/>
          <w:szCs w:val="24"/>
        </w:rPr>
      </w:pPr>
      <w:r w:rsidRPr="00692930">
        <w:rPr>
          <w:rFonts w:ascii="Times New Roman" w:hAnsi="Times New Roman"/>
          <w:sz w:val="24"/>
          <w:szCs w:val="24"/>
        </w:rPr>
        <w:t>More recently</w:t>
      </w:r>
      <w:r w:rsidR="004809DF" w:rsidRPr="00692930">
        <w:rPr>
          <w:rFonts w:ascii="Times New Roman" w:hAnsi="Times New Roman"/>
          <w:sz w:val="24"/>
          <w:szCs w:val="24"/>
        </w:rPr>
        <w:t>,</w:t>
      </w:r>
      <w:r w:rsidR="004804AC"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"10.1021/cm203095d", "ISSN" : "0897-4756", "author" : [ { "dropping-particle" : "", "family" : "Pivko", "given" : "Maja", "non-dropping-particle" : "", "parse-names" : false, "suffix" : "" }, { "dropping-particle" : "", "family" : "Bele", "given" : "Marjan", "non-dropping-particle" : "", "parse-names" : false, "suffix" : "" }, { "dropping-particle" : "", "family" : "Tchernychova", "given" : "Elena", "non-dropping-particle" : "", "parse-names" : false, "suffix" : "" }, { "dropping-particle" : "", "family" : "Logar", "given" : "Nata\u0161a Zabukovec", "non-dropping-particle" : "", "parse-names" : false, "suffix" : "" }, { "dropping-particle" : "", "family" : "Dominko", "given" : "Robert", "non-dropping-particle" : "", "parse-names" : false, "suffix" : "" }, { "dropping-particle" : "", "family" : "Gaberscek", "given" : "Miran", "non-dropping-particle" : "", "parse-names" : false, "suffix" : "" } ], "container-title" : "Chemistry of Materials", "id" : "ITEM-1", "issue" : "6", "issued" : { "date-parts" : [ [ "2012", "3", "27" ] ] }, "page" : "1041-1047", "title" : "Synthesis of Nanometric LiMnPO4 via a Two-Step Technique", "type" : "article-journal", "volume" : "24" }, "uris" : [ "http://www.mendeley.com/documents/?uuid=17a8a436-cadc-4d33-bc16-33f9e8a767b0" ] } ], "mendeley" : { "formattedCitation" : "&lt;sup&gt;16&lt;/sup&gt;", "plainTextFormattedCitation" : "16", "previouslyFormattedCitation" : "&lt;sup&gt;16&lt;/sup&gt;" }, "properties" : { "noteIndex" : 0 }, "schema" : "https://github.com/citation-style-language/schema/raw/master/csl-citation.json" }</w:instrText>
      </w:r>
      <w:r w:rsidR="004804AC"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16</w:t>
      </w:r>
      <w:r w:rsidR="004804AC" w:rsidRPr="00692930">
        <w:rPr>
          <w:rFonts w:ascii="Times New Roman" w:hAnsi="Times New Roman"/>
          <w:sz w:val="24"/>
          <w:szCs w:val="24"/>
        </w:rPr>
        <w:fldChar w:fldCharType="end"/>
      </w:r>
      <w:r w:rsidR="00C22E1C" w:rsidRPr="00692930">
        <w:rPr>
          <w:rFonts w:ascii="Times New Roman" w:hAnsi="Times New Roman"/>
          <w:sz w:val="24"/>
          <w:szCs w:val="24"/>
        </w:rPr>
        <w:t xml:space="preserve"> we introduced a two-</w:t>
      </w:r>
      <w:r w:rsidRPr="00692930">
        <w:rPr>
          <w:rFonts w:ascii="Times New Roman" w:hAnsi="Times New Roman"/>
          <w:sz w:val="24"/>
          <w:szCs w:val="24"/>
        </w:rPr>
        <w:t xml:space="preserve">step synthesis method which yielded LMP with a </w:t>
      </w:r>
      <w:r w:rsidR="00345A3C" w:rsidRPr="00692930">
        <w:rPr>
          <w:rFonts w:ascii="Times New Roman" w:hAnsi="Times New Roman"/>
          <w:sz w:val="24"/>
          <w:szCs w:val="24"/>
        </w:rPr>
        <w:t xml:space="preserve">primary </w:t>
      </w:r>
      <w:r w:rsidRPr="00692930">
        <w:rPr>
          <w:rFonts w:ascii="Times New Roman" w:hAnsi="Times New Roman"/>
          <w:sz w:val="24"/>
          <w:szCs w:val="24"/>
        </w:rPr>
        <w:t xml:space="preserve">particle size around </w:t>
      </w:r>
      <w:r w:rsidR="00EC49E0" w:rsidRPr="00692930">
        <w:rPr>
          <w:rFonts w:ascii="Times New Roman" w:hAnsi="Times New Roman"/>
          <w:sz w:val="24"/>
          <w:szCs w:val="24"/>
        </w:rPr>
        <w:sym w:font="Symbol" w:char="F07E"/>
      </w:r>
      <w:r w:rsidR="00EC49E0" w:rsidRPr="00692930">
        <w:rPr>
          <w:rFonts w:ascii="Times New Roman" w:hAnsi="Times New Roman"/>
          <w:sz w:val="24"/>
          <w:szCs w:val="24"/>
        </w:rPr>
        <w:t>20-50 nm</w:t>
      </w:r>
      <w:r w:rsidRPr="00692930">
        <w:rPr>
          <w:rFonts w:ascii="Times New Roman" w:hAnsi="Times New Roman"/>
          <w:sz w:val="24"/>
          <w:szCs w:val="24"/>
        </w:rPr>
        <w:t>. In order to keep individual particles sufficiently separated but still in electronic contact we embedded them into pyrolytic carbon, an approach known from many other studies on various insertion materials</w:t>
      </w:r>
      <w:r w:rsidR="004809DF" w:rsidRPr="00692930">
        <w:rPr>
          <w:rFonts w:ascii="Times New Roman" w:hAnsi="Times New Roman"/>
          <w:sz w:val="24"/>
          <w:szCs w:val="24"/>
        </w:rPr>
        <w:t>.</w:t>
      </w:r>
      <w:r w:rsidR="00D25064"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"author" : [ { "dropping-particle" : "", "family" : "Ravet", "given" : "N.", "non-dropping-particle" : "", "parse-names" : false, "suffix" : "" }, { "dropping-particle" : "", "family" : "Goodenough", "given" : "J. B.", "non-dropping-particle" : "", "parse-names" : false, "suffix" : "" }, { "dropping-particle" : "", "family" : "Besner", "given" : "S.", "non-dropping-particle" : "", "parse-names" : false, "suffix" : "" }, { "dropping-particle" : "", "family" : "Simoneau", "given" : "M.", "non-dropping-particle" : "", "parse-names" : false, "suffix" : "" }, { "dropping-particle" : "", "family" : "Hovington", "given" : "P.", "non-dropping-particle" : "", "parse-names" : false, "suffix" : "" }, { "dropping-particle" : "", "family" : "Armand", "given" : "M.", "non-dropping-particle" : "", "parse-names" : false, "suffix" : "" } ], "container-title" : "Abstract 127, The Electrochemical Society and The Electrochemical Society of Japan Meeting Abstracts, Vol. 99-2, Honolulu, Hawaii, Oct 17-22", "id" : "ITEM-1", "issue" : "127", "issued" : { "date-parts" : [ [ "1999" ] ] }, "title" : "No Title", "type" : "article-journal", "volume" : "99-2" }, "uris" : [ "http://www.mendeley.com/documents/?uuid=d33025fa-4c40-4989-972b-caf234a37a48", "http://www.mendeley.com/documents/?uuid=17d60a58-9692-4298-a7ce-b050d175d4d1" ] }, { "id" : "ITEM-2", "itemData" : { "DOI" : "10.1149/1.1396695", "ISSN" : "10990062", "abstract" : "Nanocompositesof LiFePO4 and conductive carbon were prepared by two differentmethods which lead to enhanced electrochemical accessibility of the Feredox centers in this insulating material. Method A employs acomposite of the phosphate with a carbon xerogel formed froma resorcinol-formaldehyde precursor; method B uses surface-oxidized carbon particles toact as a nucleating agent for phosphate growth. Both particlesize minimization and intimate carbon contact are necessary to optimizeelectrochemical performance. Although both methods succeed for the first criteria,the latter is best achieved with method A, affording excellentcharacteristics in room temperature, liquid electrolyte cells. The resultant LiFePO4/Ccomposite achieves 90% theoretical capacity at C/2, with very goodrate capability and excellent stability. \u00a92001 The Electrochemical Society. Allrights reserved.", "author" : [ { "dropping-particle" : "", "family" : "Huang", "given" : "H.", "non-dropping-particle" : "", "parse-names" : false, "suffix" : "" }, { "dropping-particle" : "", "family" : "Yin", "given" : "S.-C.", "non-dropping-particle" : "", "parse-names" : false, "suffix" : "" }, { "dropping-particle" : "", "family" : "Nazar", "given" : "L. F.", "non-dropping-particle" : "", "parse-names" : false, "suffix" : "" } ], "container-title" : "Electrochemical and Solid-State Letters", "id" : "ITEM-2", "issue" : "10", "issued" : { "date-parts" : [ [ "2001" ] ] }, "page" : "A170", "title" : "Approaching Theoretical Capacity of LiFePO4 at Room Temperature at High Rates", "type" : "article-journal", "volume" : "4" }, "uris" : [ "http://www.mendeley.com/documents/?uuid=815fd740-b2b2-45cd-a04b-95bb3b709cd5", "http://www.mendeley.com/documents/?uuid=d8abd73c-8ea2-4db6-82f8-e920c516055d" ] }, { "id" : "ITEM-3", "itemData" : { "DOI" : "10.1149/1.1348257", "ISBN" : "00134651", "ISSN" : "00134651", "abstract" : "LiFePO4powders were synthesized under various conditions and the performance ofthe cathodes was evaluated using coin cells. The samples werecharacterized by X-ray diffraction, scanning electron microscope observations, Brunauer, Emmett,and Teller surface area measurements, particle-size distribution measurements, and M\u00f6ssbauerspectroscopy. Ab initio calculation was used to confirm the experimentalredox potentials and M\u00f6ssbauer parameters. The choice of a moderatesintering temperature (500C95% of the 170 mAh/g theoretical capacity atroom temperature. There are two main obstacles to achieving optimumcharge/discharge performance of LiFePO4: (i) undesirable particle growth at T&gt;600Cand (ii) the presence of a noncrystalline residual Fe3 + phaseat T&lt;500C. 2001 The Electrochemical Society. All rights reserved.", "author" : [ { "dropping-particle" : "", "family" : "Yamada", "given" : "A.", "non-dropping-particle" : "", "parse-names" : false, "suffix" : "" }, { "dropping-particle" : "", "family" : "Chung", "given" : "S. C.", "non-dropping-particle" : "", "parse-names" : false, "suffix" : "" }, { "dropping-particle" : "", "family" : "Hinokuma", "given" : "K.", "non-dropping-particle" : "", "parse-names" : false, "suffix" : "" } ], "container-title" : "Journal of The Electrochemical Society", "id" : "ITEM-3", "issue" : "3", "issued" : { "date-parts" : [ [ "2001" ] ] }, "page" : "A224", "title" : "Optimized LiFePO4 for Lithium Battery Cathodes", "type" : "article-journal", "volume" : "148" }, "uris" : [ "http://www.mendeley.com/documents/?uuid=99331707-1b20-4f68-95ae-5d9e26471a34", "http://www.mendeley.com/documents/?uuid=151572a1-08b0-43c4-bf8f-01d17f041ba8" ] }, { "id" : "ITEM-4", "itemData" : { "DOI" : "10.1016/j.elecom.2006.03.021", "ISBN" : "1388-2481", "ISSN" : "13882481", "abstract" : "LiFePO4 is a potential cathode candidate for the next generation of secondary lithium batteries. The LiFePO4 was synthesized by a hydrothermal process. Phase-pure material was obtained and the critical synthesis parameters were determined. Iron disorder onto the lithium sites can be eliminated by using temperatures in excess of 175 ??C; above this temperature the crystalline unit cell was essentially identical to that of the high temperature material, with a volume of 291.3 ?? 0.2 ??3. The use of a soluble reductant, such as sugar or ascorbic acid, was found to minimize the oxidation of the iron to ferric. The electronic conductivity was enhanced by the deposition of carbon from the sugar, or by the addition of carbon nanotubes to the hydrothermal reactor. The electrochemical behavior of this material showed more than 90% lithium removal on charge and complete capacity retention over 50 cycles. ?? 2006 Elsevier B.V. All rights reserved.", "author" : [ { "dropping-particle" : "", "family" : "Chen", "given" : "Jiajun", "non-dropping-particle" : "", "parse-names" : false, "suffix" : "" }, { "dropping-particle" : "", "family" : "Whittingham", "given" : "M Stanley", "non-dropping-particle" : "", "parse-names" : false, "suffix" : "" } ], "container-title" : "Electrochemistry Communications", "id" : "ITEM-4", "issue" : "5", "issued" : { "date-parts" : [ [ "2006" ] ] }, "page" : "855-858", "title" : "Hydrothermal synthesis of lithium iron phosphate", "type" : "article-journal", "volume" : "8" }, "uris" : [ "http://www.mendeley.com/documents/?uuid=c91873a3-58da-4e1d-a115-ab05d91f8c05", "http://www.mendeley.com/documents/?uuid=067b198b-16aa-4d20-a2ec-05ff3066c1fc" ] }, { "id" : "ITEM-5", "itemData" : { "DOI" : "10.1149/1.1498255", "ISBN" : "0013-4651", "ISSN" : "00134651", "abstract" : "Efforts were made to synthesize LiFePO4/C composites showing good rate capability and high energy density while attempting to minimize the amount of carbon in the composite. First, three carbon-coated samples, one coated with carbon after the synthesis of pure LiFePO4, one synthesized with sugar added before the heating steps, and one synthesized with sugar added before heating and subsequently coated with carbon, were studied. The resulting carbon contents for these samples are 2.7, 3.5, and 6.2 wt %, respectively. Electrochemical tests showed that the latter two samples had comparable rate capabilities to the LiFePO4/C composite (15 wt % carbon) recently reported by Huang et al. We believe the synthesis of LiFePO4 with sugar added before heating is the best method because it gives particles having uniform small size that are covered by carbon. Further studies of samples made by this method show that a very small percentage of carbon, even less than 1 wt %, causes a significant increase in rate capability, but unfortunately, a dramatic decrease in tap density. To make LiFePO4/C composites having good rate capability, high energy density, and high tap density, the carbon content and method for coating carbon onto the LiFePO4 particles must be given careful attention. However, based on the studies reported here, we are not certain that all desired parameters can be simultaneously achieved, and this may limit the usefulness of LiFePO4 in some practical applications. (C) 2002 The Electrochemical Society.", "author" : [ { "dropping-particle" : "", "family" : "Chen", "given" : "Zhaohui", "non-dropping-particle" : "", "parse-names" : false, "suffix" : "" }, { "dropping-particle" : "", "family" : "Dahn", "given" : "J. R.", "non-dropping-particle" : "", "parse-names" : false, "suffix" : "" } ], "container-title" : "Journal of The Electrochemical Society", "id" : "ITEM-5", "issue" : "9", "issued" : { "date-parts" : [ [ "2002" ] ] }, "page" : "A1184", "title" : "Reducing Carbon in LiFePO4/C Composite Electrodes to Maximize Specific Energy, Volumetric Energy, and Tap Density", "type" : "article-journal", "volume" : "149" }, "uris" : [ "http://www.mendeley.com/documents/?uuid=99a371b2-2616-4732-b85b-1d264ebdee9a", "http://www.mendeley.com/documents/?uuid=bb8fad1d-e857-4611-b3eb-d496da23756d" ] }, { "id" : "ITEM-6", "itemData" : { "DOI" : "10.1149/1.1506962", "ISBN" : "10990062", "ISSN" : "10990062", "author" : [ { "dropping-particle" : "", "family" : "Franger", "given" : "S.", "non-dropping-particle" : "", "parse-names" : false, "suffix" : "" }, { "dropping-particle" : "", "family" : "Cras", "given" : "F.", "non-dropping-particle" : "Le", "parse-names" : false, "suffix" : "" }, { "dropping-particle" : "", "family" : "Bourbon", "given" : "C.", "non-dropping-particle" : "", "parse-names" : false, "suffix" : "" }, { "dropping-particle" : "", "family" : "Rouault", "given" : "H.", "non-dropping-particle" : "", "parse-names" : false, "suffix" : "" } ], "container-title" : "Electrochemical and Solid-State Letters", "id" : "ITEM-6", "issue" : "10", "issued" : { "date-parts" : [ [ "2002" ] ] }, "page" : "A231", "title" : "LiFePO4 Synthesis Routes for Enhanced Electrochemical Performance", "type" : "article-journal", "volume" : "5" }, "uris" : [ "http://www.mendeley.com/documents/?uuid=e07b8054-c010-40f7-b2f0-db431162df00", "http://www.mendeley.com/documents/?uuid=efba205b-0096-4678-8ca2-8cf7af51c661" ] }, { "id" : "ITEM-7", "itemData" : { "DOI" : "10.1016/S1293-2558(02)00044-4", "ISSN" : "12932558", "author" : [ { "dropping-particle" : "", "family" : "Cushing", "given" : "Brian L", "non-dropping-particle" : "", "parse-names" : false, "suffix" : "" }, { "dropping-particle" : "", "family" : "Goodenough", "given" : "John B", "non-dropping-particle" : "", "parse-names" : false, "suffix" : "" } ], "container-title" : "Solid State Sciences", "id" : "ITEM-7", "issue" : "11-12", "issued" : { "date-parts" : [ [ "2002" ] ] }, "page" : "1487-1493", "title" : "Influence of carbon coating on the performance of a LiMn0.5Ni0.5O2 cathode", "type" : "article", "volume" : "4" }, "uris" : [ "http://www.mendeley.com/documents/?uuid=78e94130-a0d4-453b-8603-2ef71004e3cf", "http://www.mendeley.com/documents/?uuid=274bca6a-8156-4405-b448-60db47aaa115" ] }, { "id" : "ITEM-8", "itemData" : { "DOI" : "10.1149/1.1860492", "ISBN" : "10.1149/1.1860492", "ISSN" : "00134651", "author" : [ { "dropping-particle" : "", "family" : "Dominko", "given" : "R.", "non-dropping-particle" : "", "parse-names" : false, "suffix" : "" }, { "dropping-particle" : "", "family" : "Bele", "given" : "M.", "non-dropping-particle" : "", "parse-names" : false, "suffix" : "" }, { "dropping-particle" : "", "family" : "Gaberscek", "given" : "M.", "non-dropping-particle" : "", "parse-names" : false, "suffix" : "" }, { "dropping-particle" : "", "family" : "Remskar", "given" : "M.", "non-dropping-particle" : "", "parse-names" : false, "suffix" : "" }, { "dropping-particle" : "", "family" : "Hanzel", "given" : "D.", "non-dropping-particle" : "", "parse-names" : false, "suffix" : "" }, { "dropping-particle" : "", "family" : "Pejovnik", "given" : "S.", "non-dropping-particle" : "", "parse-names" : false, "suffix" : "" }, { "dropping-particle" : "", "family" : "Jamnik", "given" : "J.", "non-dropping-particle" : "", "parse-names" : false, "suffix" : "" } ], "container-title" : "Journal of The Electrochemical Society", "id" : "ITEM-8", "issue" : "3", "issued" : { "date-parts" : [ [ "2005" ] ] }, "page" : "A607", "title" : "Impact of the Carbon Coating Thickness on the Electrochemical Performance of LiFePO4/C Composites", "type" : "article-journal", "volume" : "152" }, "uris" : [ "http://www.mendeley.com/documents/?uuid=f7292783-cdfe-4ccd-9b35-7a3a1d74380d", "http://www.mendeley.com/documents/?uuid=a950c0e2-8f25-4286-878d-904a78b0676f" ] }, { "id" : "ITEM-9", "itemData" : { "DOI" : "10.1016/j.jpowsour.2007.07.064", "ISBN" : "0378-7753", "ISSN" : "03787753", "abstract" : "Three different synthesis techniques (hydrothermal synthesis, modified Pechini synthesis and Pechini synthesis) were successfully used for preparation of Li2FeSiO4 samples. The obtained samples possess some differences in the morphology and in the particle size, as well as in the presence of in situ formed carbon. The best electrochemical performance has been obtained with the smallest particles embedded into carbon matrix. Such a Li2FeSiO4/C composite contains the highest amounts of impurities (Fe2O3, SiO2 and Li2SiO3) and only 68.8 at.% of iron is in the form of FeII as detected by M??ssbauer spectroscopy, respectively. Despite the highest amount of impurities, the sample shows the highest reversible capacity (approximately 100 mAh g-1 based on whole silicate-derived material). With the proper structuring of Li2FeSiO4/C composites, utilisation of large part of capacity is also possible at current densities corresponding to C/5 and C/2 cycling rate. A lower amount of impurities was found in the samples that do not contain any in situ carbon after synthesis. Among them, the highest purity is possessed by the sample prepared at 900 ??C, as determined using M??ssbauer spectroscopy. The results obtained by M??ssbauer spectroscopy and XRD analysis indicate on the differences in the crystal structure between the thermally treated samples and the sample prepared by hydrothermal synthesis. ?? 2007 Elsevier B.V. All rights reserved.", "author" : [ { "dropping-particle" : "", "family" : "Dominko", "given" : "R.", "non-dropping-particle" : "", "parse-names" : false, "suffix" : "" }, { "dropping-particle" : "", "family" : "Conte", "given" : "D. E.", "non-dropping-particle" : "", "parse-names" : false, "suffix" : "" }, { "dropping-particle" : "", "family" : "Hanzel", "given" : "D.", "non-dropping-particle" : "", "parse-names" : false, "suffix" : "" }, { "dropping-particle" : "", "family" : "Gaberscek", "given" : "M.", "non-dropping-particle" : "", "parse-names" : false, "suffix" : "" }, { "dropping-particle" : "", "family" : "Jamnik", "given" : "J.", "non-dropping-particle" : "", "parse-names" : false, "suffix" : "" } ], "container-title" : "Journal of Power Sources", "id" : "ITEM-9", "issue" : "2", "issued" : { "date-parts" : [ [ "2008" ] ] }, "page" : "842-847", "title" : "Impact of synthesis conditions on the structure and performance of Li2FeSiO4", "type" : "article-journal", "volume" : "178" }, "uris" : [ "http://www.mendeley.com/documents/?uuid=64d2e453-17c9-44c8-9b12-b11185d7c563", "http://www.mendeley.com/documents/?uuid=d2e58d55-a91e-4c86-b538-f33d213e62cf" ] }, { "id" : "ITEM-10", "itemData" : { "DOI" : "10.1016/j.jpowsour.2008.11.015", "ISBN" : "0378-7753", "ISSN" : "03787753", "abstract" : "We demonstrate, for the first time, a considerable electrochemical activity of two members of lithium transition element titanates: Li2FeTiO4 and Li2MnTiO4. Both materials consist of 10-20 nm particles embedded in a conductive carbon coating. We show that not the coating but the small particle size is decisive for materials' activity. Li2FeTiO4 shows a stable reversible capacity of up to 123 mA hg-1 at C/20 and 60 \u00b0C which is 83% of the theoretical value for exchange of 1 electron (148 mA hg-1). Li2MnTiO4 could only be prepared in a nanosized form that contained about 30% of impurities. The capacity of the whole material (including impurities) is comparable to that of Li2FeTiO4 but the cycling stability is much poorer. In contrast to the Fe and Mn analogues, the third member of the titanate family, Li2NiTiO4, shows a good electrochemistry even when the particle size is much larger (about 100 nm). During initial cycles at C/10 and 60 \u00b0C, exchange of more than 1 electron per compound formula has been observed. The cycling stability at high temperatures, however, is poor. \u00a9 2008 Elsevier B.V. All rights reserved.", "author" : [ { "dropping-particle" : "", "family" : "K\u00fczma", "given" : "Mirjana", "non-dropping-particle" : "", "parse-names" : false, "suffix" : "" }, { "dropping-particle" : "", "family" : "Dominko", "given" : "Robert", "non-dropping-particle" : "", "parse-names" : false, "suffix" : "" }, { "dropping-particle" : "", "family" : "Meden", "given" : "Anton", "non-dropping-particle" : "", "parse-names" : false, "suffix" : "" }, { "dropping-particle" : "", "family" : "Makovec", "given" : "Darko", "non-dropping-particle" : "", "parse-names" : false, "suffix" : "" }, { "dropping-particle" : "", "family" : "Bele", "given" : "Marjan", "non-dropping-particle" : "", "parse-names" : false, "suffix" : "" }, { "dropping-particle" : "", "family" : "Jamnik", "given" : "Janko", "non-dropping-particle" : "", "parse-names" : false, "suffix" : "" }, { "dropping-particle" : "", "family" : "Gaber\u0161\u010dek", "given" : "Miran", "non-dropping-particle" : "", "parse-names" : false, "suffix" : "" } ], "container-title" : "Journal of Power Sources", "id" : "ITEM-10", "issue" : "1", "issued" : { "date-parts" : [ [ "2009" ] ] }, "page" : "81-88", "title" : "Electrochemical activity of Li2FeTiO4 and Li2MnTiO4 as potential active materials for Li ion batteries: A comparison with Li2NiTiO4", "type" : "article-journal", "volume" : "189" }, "uris" : [ "http://www.mendeley.com/documents/?uuid=bfdbd815-6445-476b-a571-e33f8930d8e4", "http://www.mendeley.com/documents/?uuid=448e5fe1-9364-4304-9244-c444b1141e4e" ] }, { "id" : "ITEM-11", "itemData" : { "DOI" : "10.1149/1.2844287", "ISBN" : "1099-0062", "ISSN" : "10990062", "abstract" : "A carbon-coated Li2FeSiO4 material with uniform nanoparticles approximately 4080 nm in diameter is synthesized by a synthesis route, i.e., a hydrothermal-assisted sol-gel process. As an electrode material for rechargeable lithium batteries, the Li2FeSiO4 sample shows high rate capability and excellent capacity retention. The Li2FeSiO4 electrode delivers a discharge capacity of 160 mAh g1 at C/16 rate, corresponding to 96% of the theoretical value. A discharge capacity of about 91 and 78 mAh g1 can be obtained at 5 and 10 C rate, respectively. No capacity loss can be observed up to 50 cycles. 2008 The Electrochemical Society. DOI: 10.1149/1.2844287 All rights reserved", "author" : [ { "dropping-particle" : "", "family" : "Gong", "given" : "Z. L.", "non-dropping-particle" : "", "parse-names" : false, "suffix" : "" }, { "dropping-particle" : "", "family" : "Li", "given" : "Y. X.", "non-dropping-particle" : "", "parse-names" : false, "suffix" : "" }, { "dropping-particle" : "", "family" : "He", "given" : "G. N.", "non-dropping-particle" : "", "parse-names" : false, "suffix" : "" }, { "dropping-particle" : "", "family" : "Li", "given" : "J.", "non-dropping-particle" : "", "parse-names" : false, "suffix" : "" }, { "dropping-particle" : "", "family" : "Yang", "given" : "Y.", "non-dropping-particle" : "", "parse-names" : false, "suffix" : "" } ], "container-title" : "Electrochemical and Solid-State Letters", "id" : "ITEM-11", "issue" : "5", "issued" : { "date-parts" : [ [ "2008" ] ] }, "page" : "A60", "title" : "Nanostructured Li2FeSiO4 Electrode Material Synthesized through Hydrothermal-Assisted Sol-Gel Process", "type" : "article-journal", "volume" : "11" }, "uris" : [ "http://www.mendeley.com/documents/?uuid=49a9eae8-dc89-475a-a974-ac672d0acb1b", "http://www.mendeley.com/documents/?uuid=194a5e37-da09-4d3a-8a0d-afff6ebaa7b3" ] } ], "mendeley" : { "formattedCitation" : "&lt;sup&gt;17\u201327&lt;/sup&gt;", "plainTextFormattedCitation" : "17\u201327", "previouslyFormattedCitation" : "&lt;sup&gt;17\u201327&lt;/sup&gt;" }, "properties" : { "noteIndex" : 0 }, "schema" : "https://github.com/citation-style-language/schema/raw/master/csl-citation.json" }</w:instrText>
      </w:r>
      <w:r w:rsidR="00D25064"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17–27</w:t>
      </w:r>
      <w:r w:rsidR="00D25064" w:rsidRPr="00692930">
        <w:rPr>
          <w:rFonts w:ascii="Times New Roman" w:hAnsi="Times New Roman"/>
          <w:sz w:val="24"/>
          <w:szCs w:val="24"/>
        </w:rPr>
        <w:fldChar w:fldCharType="end"/>
      </w:r>
      <w:r w:rsidR="008074C0" w:rsidRPr="00692930">
        <w:rPr>
          <w:rFonts w:ascii="Times New Roman" w:hAnsi="Times New Roman"/>
          <w:sz w:val="24"/>
          <w:szCs w:val="24"/>
        </w:rPr>
        <w:t xml:space="preserve"> </w:t>
      </w:r>
      <w:r w:rsidRPr="00692930">
        <w:rPr>
          <w:rFonts w:ascii="Times New Roman" w:hAnsi="Times New Roman"/>
          <w:sz w:val="24"/>
          <w:szCs w:val="24"/>
        </w:rPr>
        <w:t xml:space="preserve">Our material delivers an </w:t>
      </w:r>
      <w:r w:rsidRPr="00692930">
        <w:rPr>
          <w:rFonts w:ascii="Times New Roman" w:hAnsi="Times New Roman"/>
          <w:sz w:val="24"/>
          <w:szCs w:val="24"/>
        </w:rPr>
        <w:lastRenderedPageBreak/>
        <w:t>initial reversible capacity of ~160 mAhg</w:t>
      </w:r>
      <w:r w:rsidRPr="00692930">
        <w:rPr>
          <w:rFonts w:ascii="Times New Roman" w:hAnsi="Times New Roman"/>
          <w:sz w:val="24"/>
          <w:szCs w:val="24"/>
          <w:vertAlign w:val="superscript"/>
        </w:rPr>
        <w:t>-1</w:t>
      </w:r>
      <w:r w:rsidRPr="00692930">
        <w:rPr>
          <w:rFonts w:ascii="Times New Roman" w:hAnsi="Times New Roman"/>
          <w:sz w:val="24"/>
          <w:szCs w:val="24"/>
        </w:rPr>
        <w:t xml:space="preserve"> at a C-rate of C/20 at 55 °C using a CC cycling protocol and </w:t>
      </w:r>
      <w:r w:rsidR="00345A3C" w:rsidRPr="00692930">
        <w:rPr>
          <w:rFonts w:ascii="Times New Roman" w:hAnsi="Times New Roman"/>
          <w:sz w:val="24"/>
          <w:szCs w:val="24"/>
        </w:rPr>
        <w:t>~</w:t>
      </w:r>
      <w:r w:rsidRPr="00692930">
        <w:rPr>
          <w:rFonts w:ascii="Times New Roman" w:hAnsi="Times New Roman"/>
          <w:sz w:val="24"/>
          <w:szCs w:val="24"/>
        </w:rPr>
        <w:t>155 mAhg</w:t>
      </w:r>
      <w:r w:rsidRPr="00692930">
        <w:rPr>
          <w:rFonts w:ascii="Times New Roman" w:hAnsi="Times New Roman"/>
          <w:sz w:val="24"/>
          <w:szCs w:val="24"/>
          <w:vertAlign w:val="superscript"/>
        </w:rPr>
        <w:t>-1</w:t>
      </w:r>
      <w:r w:rsidRPr="00692930">
        <w:rPr>
          <w:rFonts w:ascii="Times New Roman" w:hAnsi="Times New Roman"/>
          <w:sz w:val="24"/>
          <w:szCs w:val="24"/>
        </w:rPr>
        <w:t xml:space="preserve"> for C/20 C-rate at 25 °C using a CC-CV cycling protocol.</w:t>
      </w:r>
    </w:p>
    <w:p w:rsidR="00667379" w:rsidRPr="00692930" w:rsidRDefault="009D54B0" w:rsidP="00C93EA3">
      <w:pPr>
        <w:rPr>
          <w:rFonts w:ascii="Times New Roman" w:hAnsi="Times New Roman"/>
          <w:sz w:val="24"/>
          <w:szCs w:val="24"/>
        </w:rPr>
      </w:pPr>
      <w:r w:rsidRPr="00692930">
        <w:rPr>
          <w:rFonts w:ascii="Times New Roman" w:hAnsi="Times New Roman"/>
          <w:sz w:val="24"/>
          <w:szCs w:val="24"/>
        </w:rPr>
        <w:t>Despite the great advances described above, the practical performance of LMP still lags significantly behind that of LFP. In order to understand the critical differences between the two materials, we have performed several systematic sets of experiments on both materials and also on some other well understood insertion materials, such as LiCoO</w:t>
      </w:r>
      <w:r w:rsidRPr="00692930">
        <w:rPr>
          <w:rFonts w:ascii="Times New Roman" w:hAnsi="Times New Roman"/>
          <w:sz w:val="24"/>
          <w:szCs w:val="24"/>
          <w:vertAlign w:val="subscript"/>
        </w:rPr>
        <w:t>2</w:t>
      </w:r>
      <w:r w:rsidRPr="00692930">
        <w:rPr>
          <w:rFonts w:ascii="Times New Roman" w:hAnsi="Times New Roman"/>
          <w:sz w:val="24"/>
          <w:szCs w:val="24"/>
        </w:rPr>
        <w:t xml:space="preserve">. The most important similarities and differences are shown and discussed in </w:t>
      </w:r>
      <w:r w:rsidR="00C93EA3" w:rsidRPr="00692930">
        <w:rPr>
          <w:rFonts w:ascii="Times New Roman" w:hAnsi="Times New Roman"/>
          <w:sz w:val="24"/>
          <w:szCs w:val="24"/>
        </w:rPr>
        <w:t xml:space="preserve">some detail. </w:t>
      </w:r>
      <w:r w:rsidR="008E7CB2" w:rsidRPr="00692930">
        <w:rPr>
          <w:rFonts w:ascii="Times New Roman" w:hAnsi="Times New Roman"/>
          <w:sz w:val="24"/>
          <w:szCs w:val="24"/>
        </w:rPr>
        <w:t xml:space="preserve">Quite surprisingly </w:t>
      </w:r>
      <w:r w:rsidRPr="00692930">
        <w:rPr>
          <w:rFonts w:ascii="Times New Roman" w:hAnsi="Times New Roman"/>
          <w:sz w:val="24"/>
          <w:szCs w:val="24"/>
        </w:rPr>
        <w:t>we find that, in fact, the properties of LMP are not essentially different from those of LFP, only the relaxation of charge within the</w:t>
      </w:r>
      <w:r w:rsidR="009D6F44" w:rsidRPr="00692930">
        <w:rPr>
          <w:rFonts w:ascii="Times New Roman" w:hAnsi="Times New Roman"/>
          <w:sz w:val="24"/>
          <w:szCs w:val="24"/>
        </w:rPr>
        <w:t xml:space="preserve"> lattice of</w:t>
      </w:r>
      <w:r w:rsidRPr="00692930">
        <w:rPr>
          <w:rFonts w:ascii="Times New Roman" w:hAnsi="Times New Roman"/>
          <w:sz w:val="24"/>
          <w:szCs w:val="24"/>
        </w:rPr>
        <w:t xml:space="preserve"> </w:t>
      </w:r>
      <w:r w:rsidR="009D6F44" w:rsidRPr="00692930">
        <w:rPr>
          <w:rFonts w:ascii="Times New Roman" w:hAnsi="Times New Roman"/>
          <w:sz w:val="24"/>
          <w:szCs w:val="24"/>
        </w:rPr>
        <w:t>Li</w:t>
      </w:r>
      <w:r w:rsidR="009D6F44" w:rsidRPr="00692930">
        <w:rPr>
          <w:rFonts w:ascii="Times New Roman" w:hAnsi="Times New Roman"/>
          <w:sz w:val="24"/>
          <w:szCs w:val="24"/>
          <w:vertAlign w:val="subscript"/>
        </w:rPr>
        <w:t>x</w:t>
      </w:r>
      <w:r w:rsidR="009D6F44" w:rsidRPr="00692930">
        <w:rPr>
          <w:rFonts w:ascii="Times New Roman" w:hAnsi="Times New Roman"/>
          <w:sz w:val="24"/>
          <w:szCs w:val="24"/>
        </w:rPr>
        <w:t>MnPO</w:t>
      </w:r>
      <w:r w:rsidR="009D6F44" w:rsidRPr="00692930">
        <w:rPr>
          <w:rFonts w:ascii="Times New Roman" w:hAnsi="Times New Roman"/>
          <w:sz w:val="24"/>
          <w:szCs w:val="24"/>
          <w:vertAlign w:val="subscript"/>
        </w:rPr>
        <w:t>4</w:t>
      </w:r>
      <w:r w:rsidRPr="00692930">
        <w:rPr>
          <w:rFonts w:ascii="Times New Roman" w:hAnsi="Times New Roman"/>
          <w:sz w:val="24"/>
          <w:szCs w:val="24"/>
        </w:rPr>
        <w:t xml:space="preserve"> is </w:t>
      </w:r>
      <w:r w:rsidR="009D6F44" w:rsidRPr="00692930">
        <w:rPr>
          <w:rFonts w:ascii="Times New Roman" w:hAnsi="Times New Roman"/>
          <w:sz w:val="24"/>
          <w:szCs w:val="24"/>
        </w:rPr>
        <w:t>significantly</w:t>
      </w:r>
      <w:r w:rsidRPr="00692930">
        <w:rPr>
          <w:rFonts w:ascii="Times New Roman" w:hAnsi="Times New Roman"/>
          <w:sz w:val="24"/>
          <w:szCs w:val="24"/>
        </w:rPr>
        <w:t xml:space="preserve"> slower. </w:t>
      </w:r>
      <w:r w:rsidR="00C93EA3" w:rsidRPr="00692930">
        <w:rPr>
          <w:rFonts w:ascii="Times New Roman" w:hAnsi="Times New Roman"/>
          <w:sz w:val="24"/>
          <w:szCs w:val="24"/>
        </w:rPr>
        <w:t>This, however, implies that</w:t>
      </w:r>
      <w:r w:rsidR="00AB5D79" w:rsidRPr="00692930">
        <w:rPr>
          <w:rFonts w:ascii="Times New Roman" w:hAnsi="Times New Roman"/>
          <w:sz w:val="24"/>
          <w:szCs w:val="24"/>
        </w:rPr>
        <w:t xml:space="preserve"> if </w:t>
      </w:r>
      <w:r w:rsidR="00512169" w:rsidRPr="00692930">
        <w:rPr>
          <w:rFonts w:ascii="Times New Roman" w:hAnsi="Times New Roman"/>
          <w:sz w:val="24"/>
          <w:szCs w:val="24"/>
        </w:rPr>
        <w:t xml:space="preserve">very </w:t>
      </w:r>
      <w:r w:rsidR="00AB5D79" w:rsidRPr="00692930">
        <w:rPr>
          <w:rFonts w:ascii="Times New Roman" w:hAnsi="Times New Roman"/>
          <w:sz w:val="24"/>
          <w:szCs w:val="24"/>
        </w:rPr>
        <w:t>small particles of LMP</w:t>
      </w:r>
      <w:r w:rsidR="00512169" w:rsidRPr="00692930">
        <w:rPr>
          <w:rFonts w:ascii="Times New Roman" w:hAnsi="Times New Roman"/>
          <w:sz w:val="24"/>
          <w:szCs w:val="24"/>
        </w:rPr>
        <w:t xml:space="preserve"> (</w:t>
      </w:r>
      <w:r w:rsidR="00C93EA3" w:rsidRPr="00692930">
        <w:rPr>
          <w:rFonts w:ascii="Times New Roman" w:hAnsi="Times New Roman"/>
          <w:sz w:val="24"/>
          <w:szCs w:val="24"/>
        </w:rPr>
        <w:t xml:space="preserve">according to our estimation </w:t>
      </w:r>
      <w:r w:rsidR="00933208" w:rsidRPr="00692930">
        <w:rPr>
          <w:rFonts w:ascii="Times New Roman" w:hAnsi="Times New Roman"/>
          <w:sz w:val="24"/>
          <w:szCs w:val="24"/>
        </w:rPr>
        <w:t xml:space="preserve">on the order of </w:t>
      </w:r>
      <w:r w:rsidR="00512169" w:rsidRPr="00692930">
        <w:rPr>
          <w:rFonts w:ascii="Times New Roman" w:hAnsi="Times New Roman"/>
          <w:sz w:val="24"/>
          <w:szCs w:val="24"/>
        </w:rPr>
        <w:t>10 nm)</w:t>
      </w:r>
      <w:r w:rsidR="00AB5D79" w:rsidRPr="00692930">
        <w:rPr>
          <w:rFonts w:ascii="Times New Roman" w:hAnsi="Times New Roman"/>
          <w:sz w:val="24"/>
          <w:szCs w:val="24"/>
        </w:rPr>
        <w:t xml:space="preserve"> could be </w:t>
      </w:r>
      <w:r w:rsidR="00043844" w:rsidRPr="00692930">
        <w:rPr>
          <w:rFonts w:ascii="Times New Roman" w:hAnsi="Times New Roman"/>
          <w:sz w:val="24"/>
          <w:szCs w:val="24"/>
        </w:rPr>
        <w:t xml:space="preserve">efficiently </w:t>
      </w:r>
      <w:r w:rsidR="00AB5D79" w:rsidRPr="00692930">
        <w:rPr>
          <w:rFonts w:ascii="Times New Roman" w:hAnsi="Times New Roman"/>
          <w:sz w:val="24"/>
          <w:szCs w:val="24"/>
        </w:rPr>
        <w:t>wired both ionically and electronically, t</w:t>
      </w:r>
      <w:r w:rsidRPr="00692930">
        <w:rPr>
          <w:rFonts w:ascii="Times New Roman" w:hAnsi="Times New Roman"/>
          <w:sz w:val="24"/>
          <w:szCs w:val="24"/>
        </w:rPr>
        <w:t xml:space="preserve">here </w:t>
      </w:r>
      <w:r w:rsidR="00043844" w:rsidRPr="00692930">
        <w:rPr>
          <w:rFonts w:ascii="Times New Roman" w:hAnsi="Times New Roman"/>
          <w:sz w:val="24"/>
          <w:szCs w:val="24"/>
        </w:rPr>
        <w:t>should</w:t>
      </w:r>
      <w:r w:rsidRPr="00692930">
        <w:rPr>
          <w:rFonts w:ascii="Times New Roman" w:hAnsi="Times New Roman"/>
          <w:sz w:val="24"/>
          <w:szCs w:val="24"/>
        </w:rPr>
        <w:t xml:space="preserve"> be no obstacles for this material to reach its theoretical li</w:t>
      </w:r>
      <w:r w:rsidR="00417E4E" w:rsidRPr="00692930">
        <w:rPr>
          <w:rFonts w:ascii="Times New Roman" w:hAnsi="Times New Roman"/>
          <w:sz w:val="24"/>
          <w:szCs w:val="24"/>
        </w:rPr>
        <w:t>mitation of capacity, 171</w:t>
      </w:r>
      <w:r w:rsidR="00AB5D79" w:rsidRPr="00692930">
        <w:rPr>
          <w:rFonts w:ascii="Times New Roman" w:hAnsi="Times New Roman"/>
          <w:sz w:val="24"/>
          <w:szCs w:val="24"/>
        </w:rPr>
        <w:t xml:space="preserve"> mAh/g</w:t>
      </w:r>
      <w:r w:rsidR="00C93EA3" w:rsidRPr="00692930">
        <w:rPr>
          <w:rFonts w:ascii="Times New Roman" w:hAnsi="Times New Roman"/>
          <w:sz w:val="24"/>
          <w:szCs w:val="24"/>
        </w:rPr>
        <w:t>,</w:t>
      </w:r>
      <w:r w:rsidR="00AB5D79" w:rsidRPr="00692930">
        <w:rPr>
          <w:rFonts w:ascii="Times New Roman" w:hAnsi="Times New Roman"/>
          <w:sz w:val="24"/>
          <w:szCs w:val="24"/>
        </w:rPr>
        <w:t xml:space="preserve"> and </w:t>
      </w:r>
      <w:r w:rsidR="00043844" w:rsidRPr="00692930">
        <w:rPr>
          <w:rFonts w:ascii="Times New Roman" w:hAnsi="Times New Roman"/>
          <w:sz w:val="24"/>
          <w:szCs w:val="24"/>
        </w:rPr>
        <w:t xml:space="preserve">a </w:t>
      </w:r>
      <w:r w:rsidR="00AB5D79" w:rsidRPr="00692930">
        <w:rPr>
          <w:rFonts w:ascii="Times New Roman" w:hAnsi="Times New Roman"/>
          <w:sz w:val="24"/>
          <w:szCs w:val="24"/>
        </w:rPr>
        <w:t xml:space="preserve">high C-rate capability. </w:t>
      </w:r>
    </w:p>
    <w:p w:rsidR="008E7CB2" w:rsidRPr="00692930" w:rsidRDefault="008E7CB2" w:rsidP="008A3866">
      <w:pPr>
        <w:ind w:firstLine="0"/>
        <w:rPr>
          <w:rFonts w:ascii="Times New Roman" w:hAnsi="Times New Roman"/>
          <w:sz w:val="24"/>
          <w:szCs w:val="24"/>
        </w:rPr>
      </w:pPr>
    </w:p>
    <w:p w:rsidR="009D54B0" w:rsidRPr="00692930" w:rsidRDefault="009D54B0" w:rsidP="008A3866">
      <w:pPr>
        <w:spacing w:after="120"/>
        <w:ind w:firstLine="0"/>
        <w:rPr>
          <w:rFonts w:ascii="Times New Roman" w:hAnsi="Times New Roman"/>
          <w:b/>
          <w:sz w:val="24"/>
          <w:szCs w:val="24"/>
        </w:rPr>
      </w:pPr>
      <w:r w:rsidRPr="00692930">
        <w:rPr>
          <w:rFonts w:ascii="Times New Roman" w:hAnsi="Times New Roman"/>
          <w:b/>
          <w:sz w:val="24"/>
          <w:szCs w:val="24"/>
        </w:rPr>
        <w:t>2. Experimental</w:t>
      </w:r>
    </w:p>
    <w:p w:rsidR="009D54B0" w:rsidRPr="00692930" w:rsidRDefault="005D0538" w:rsidP="008A3866">
      <w:pPr>
        <w:ind w:firstLine="0"/>
        <w:rPr>
          <w:rFonts w:ascii="Times New Roman" w:hAnsi="Times New Roman"/>
          <w:b/>
          <w:sz w:val="24"/>
          <w:szCs w:val="24"/>
        </w:rPr>
      </w:pPr>
      <w:r w:rsidRPr="00692930">
        <w:rPr>
          <w:rFonts w:ascii="Times New Roman" w:hAnsi="Times New Roman"/>
          <w:b/>
          <w:sz w:val="24"/>
          <w:szCs w:val="24"/>
        </w:rPr>
        <w:t xml:space="preserve">2.1 </w:t>
      </w:r>
      <w:r w:rsidR="009D54B0" w:rsidRPr="00692930">
        <w:rPr>
          <w:rFonts w:ascii="Times New Roman" w:hAnsi="Times New Roman"/>
          <w:b/>
          <w:sz w:val="24"/>
          <w:szCs w:val="24"/>
        </w:rPr>
        <w:t>Active materials</w:t>
      </w:r>
    </w:p>
    <w:p w:rsidR="009D54B0" w:rsidRPr="00692930" w:rsidRDefault="009D54B0" w:rsidP="008A3866">
      <w:pPr>
        <w:autoSpaceDE w:val="0"/>
        <w:autoSpaceDN w:val="0"/>
        <w:adjustRightInd w:val="0"/>
        <w:rPr>
          <w:rFonts w:ascii="Times-Roman" w:hAnsi="Times-Roman" w:cs="Times-Roman"/>
          <w:sz w:val="24"/>
          <w:szCs w:val="24"/>
          <w:highlight w:val="yellow"/>
          <w:lang w:eastAsia="sl-SI"/>
        </w:rPr>
      </w:pPr>
      <w:r w:rsidRPr="00692930">
        <w:rPr>
          <w:rFonts w:ascii="Times New Roman" w:hAnsi="Times New Roman"/>
          <w:sz w:val="24"/>
          <w:szCs w:val="24"/>
        </w:rPr>
        <w:t>LiCoO</w:t>
      </w:r>
      <w:r w:rsidRPr="00692930">
        <w:rPr>
          <w:rFonts w:ascii="Times New Roman" w:hAnsi="Times New Roman"/>
          <w:sz w:val="24"/>
          <w:szCs w:val="24"/>
          <w:vertAlign w:val="subscript"/>
        </w:rPr>
        <w:t>2</w:t>
      </w:r>
      <w:r w:rsidR="00DE7E58" w:rsidRPr="00692930">
        <w:rPr>
          <w:rFonts w:ascii="Times New Roman" w:hAnsi="Times New Roman"/>
          <w:sz w:val="24"/>
          <w:szCs w:val="24"/>
        </w:rPr>
        <w:t xml:space="preserve">-based cells were prepared using a </w:t>
      </w:r>
      <w:r w:rsidRPr="00692930">
        <w:rPr>
          <w:rFonts w:ascii="Times New Roman" w:hAnsi="Times New Roman"/>
          <w:sz w:val="24"/>
          <w:szCs w:val="24"/>
        </w:rPr>
        <w:t>commercial LiCoO</w:t>
      </w:r>
      <w:r w:rsidRPr="00692930">
        <w:rPr>
          <w:rFonts w:ascii="Times New Roman" w:hAnsi="Times New Roman"/>
          <w:sz w:val="24"/>
          <w:szCs w:val="24"/>
          <w:vertAlign w:val="subscript"/>
        </w:rPr>
        <w:t>2</w:t>
      </w:r>
      <w:r w:rsidRPr="00692930">
        <w:rPr>
          <w:rFonts w:ascii="Times New Roman" w:hAnsi="Times New Roman"/>
          <w:sz w:val="24"/>
          <w:szCs w:val="24"/>
        </w:rPr>
        <w:t xml:space="preserve"> (“cathode powder SC 20”, Merck) with an average particle size of 2–3 </w:t>
      </w:r>
      <w:r w:rsidRPr="00692930">
        <w:rPr>
          <w:rFonts w:ascii="Times New Roman" w:hAnsi="Times New Roman"/>
          <w:sz w:val="24"/>
          <w:szCs w:val="24"/>
        </w:rPr>
        <w:sym w:font="Symbol" w:char="F06D"/>
      </w:r>
      <w:r w:rsidRPr="00692930">
        <w:rPr>
          <w:rFonts w:ascii="Times New Roman" w:hAnsi="Times New Roman"/>
          <w:sz w:val="24"/>
          <w:szCs w:val="24"/>
        </w:rPr>
        <w:t>m. LiFePO</w:t>
      </w:r>
      <w:r w:rsidRPr="00692930">
        <w:rPr>
          <w:rFonts w:ascii="Times New Roman" w:hAnsi="Times New Roman"/>
          <w:sz w:val="24"/>
          <w:szCs w:val="24"/>
          <w:vertAlign w:val="subscript"/>
        </w:rPr>
        <w:t>4</w:t>
      </w:r>
      <w:r w:rsidRPr="00692930">
        <w:rPr>
          <w:rFonts w:ascii="Times New Roman" w:hAnsi="Times New Roman"/>
          <w:sz w:val="24"/>
          <w:szCs w:val="24"/>
        </w:rPr>
        <w:t>-C active material was synthesized according to a citrate precursor method described in detail elsewhere</w:t>
      </w:r>
      <w:r w:rsidR="00E415E7" w:rsidRPr="00692930">
        <w:rPr>
          <w:rFonts w:ascii="Times New Roman" w:hAnsi="Times New Roman"/>
          <w:sz w:val="24"/>
          <w:szCs w:val="24"/>
        </w:rPr>
        <w:t>.</w:t>
      </w:r>
      <w:r w:rsidR="00F0750B"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"10.1021/cm062843g", "ISBN" : "0897-4756", "ISSN" : "08974756", "abstract" : "To increase the power density of battery materials, without significantly affecting their main advantage of a high energy density, novel material architectures need to be developed. Using the example of LiFePO4, we demonstrate a simple, sol\u2212gel-based route that leads to large (up to 20 \u03bcm) primary LiFePO4 particles, each of which contains hierarchically organized pores in the meso and macro range. As the pores are formed due to vigorous gas evolution (mainly CO and CO2) during degradation of a citrate precursor, they are perfectly interconnected within each particle. Elementary carbon, the other citrate-degradation product, is deposited on the walls of emerging pores. The superposition of a continuous 1\u22122 nm thick carbon film (electron conductor) on pores (ion conductor when filled with electrolyte) represents a unique architecture in which the electrons and ions are simultaneously supplied to the site of insertion in the particle interior. The material can operate at current rates up to 50 C while preserving a high tap density of ca. 1.9 g cm-3.", "author" : [ { "dropping-particle" : "", "family" : "Dominko", "given" : "Robert", "non-dropping-particle" : "", "parse-names" : false, "suffix" : "" }, { "dropping-particle" : "", "family" : "Bele", "given" : "Marjan", "non-dropping-particle" : "", "parse-names" : false, "suffix" : "" }, { "dropping-particle" : "", "family" : "Goupil", "given" : "Jean Michel", "non-dropping-particle" : "", "parse-names" : false, "suffix" : "" }, { "dropping-particle" : "", "family" : "Gaberscek", "given" : "Miran", "non-dropping-particle" : "", "parse-names" : false, "suffix" : "" }, { "dropping-particle" : "", "family" : "Hanzel", "given" : "Darko", "non-dropping-particle" : "", "parse-names" : false, "suffix" : "" }, { "dropping-particle" : "", "family" : "Arcon", "given" : "Iztok", "non-dropping-particle" : "", "parse-names" : false, "suffix" : "" }, { "dropping-particle" : "", "family" : "Jamnik", "given" : "Janez", "non-dropping-particle" : "", "parse-names" : false, "suffix" : "" } ], "container-title" : "Chemistry of Materials", "id" : "ITEM-1", "issue" : "12", "issued" : { "date-parts" : [ [ "2007" ] ] }, "page" : "2960-2969", "title" : "Wired porous cathode materials: A novel concept for synthesis of LiFePO4", "type" : "article-journal", "volume" : "19" }, "uris" : [ "http://www.mendeley.com/documents/?uuid=7d9d51e6-3efc-4b5c-b413-58ac1caf20c6", "http://www.mendeley.com/documents/?uuid=bb4df0fe-1f6f-448c-8a1e-fdda340de2b5" ] } ], "mendeley" : { "formattedCitation" : "&lt;sup&gt;28&lt;/sup&gt;", "plainTextFormattedCitation" : "28", "previouslyFormattedCitation" : "&lt;sup&gt;28&lt;/sup&gt;" }, "properties" : { "noteIndex" : 0 }, "schema" : "https://github.com/citation-style-language/schema/raw/master/csl-citation.json" }</w:instrText>
      </w:r>
      <w:r w:rsidR="00F0750B"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28</w:t>
      </w:r>
      <w:r w:rsidR="00F0750B" w:rsidRPr="00692930">
        <w:rPr>
          <w:rFonts w:ascii="Times New Roman" w:hAnsi="Times New Roman"/>
          <w:sz w:val="24"/>
          <w:szCs w:val="24"/>
        </w:rPr>
        <w:fldChar w:fldCharType="end"/>
      </w:r>
      <w:r w:rsidR="00F0750B" w:rsidRPr="00692930">
        <w:rPr>
          <w:rFonts w:ascii="Times New Roman" w:hAnsi="Times New Roman"/>
          <w:sz w:val="24"/>
          <w:szCs w:val="24"/>
        </w:rPr>
        <w:t xml:space="preserve"> </w:t>
      </w:r>
      <w:r w:rsidRPr="00692930">
        <w:rPr>
          <w:rFonts w:ascii="Times New Roman" w:hAnsi="Times New Roman"/>
          <w:sz w:val="24"/>
          <w:szCs w:val="24"/>
        </w:rPr>
        <w:t>Brieﬂy, Fe(III)</w:t>
      </w:r>
      <w:r w:rsidR="00D7000D" w:rsidRPr="00692930">
        <w:rPr>
          <w:rFonts w:ascii="Times New Roman" w:hAnsi="Times New Roman"/>
          <w:sz w:val="24"/>
          <w:szCs w:val="24"/>
        </w:rPr>
        <w:t xml:space="preserve"> citrate (Aldrich</w:t>
      </w:r>
      <w:r w:rsidRPr="00692930">
        <w:rPr>
          <w:rFonts w:ascii="Times New Roman" w:hAnsi="Times New Roman"/>
          <w:sz w:val="24"/>
          <w:szCs w:val="24"/>
        </w:rPr>
        <w:t xml:space="preserve">) was dissolved in water at 60 °C. Separately, an equimolar </w:t>
      </w:r>
      <w:r w:rsidR="00E73CE4" w:rsidRPr="00692930">
        <w:rPr>
          <w:rFonts w:ascii="Times New Roman" w:hAnsi="Times New Roman"/>
          <w:sz w:val="24"/>
          <w:szCs w:val="24"/>
        </w:rPr>
        <w:t>aqueous</w:t>
      </w:r>
      <w:r w:rsidRPr="00692930">
        <w:rPr>
          <w:rFonts w:ascii="Times New Roman" w:hAnsi="Times New Roman"/>
          <w:sz w:val="24"/>
          <w:szCs w:val="24"/>
        </w:rPr>
        <w:t xml:space="preserve"> solution of LiH</w:t>
      </w:r>
      <w:r w:rsidRPr="00692930">
        <w:rPr>
          <w:rFonts w:ascii="Times New Roman" w:hAnsi="Times New Roman"/>
          <w:sz w:val="24"/>
          <w:szCs w:val="24"/>
          <w:vertAlign w:val="subscript"/>
        </w:rPr>
        <w:t>2</w:t>
      </w:r>
      <w:r w:rsidRPr="00692930">
        <w:rPr>
          <w:rFonts w:ascii="Times New Roman" w:hAnsi="Times New Roman"/>
          <w:sz w:val="24"/>
          <w:szCs w:val="24"/>
        </w:rPr>
        <w:t>PO</w:t>
      </w:r>
      <w:r w:rsidRPr="00692930">
        <w:rPr>
          <w:rFonts w:ascii="Times New Roman" w:hAnsi="Times New Roman"/>
          <w:sz w:val="24"/>
          <w:szCs w:val="24"/>
          <w:vertAlign w:val="subscript"/>
        </w:rPr>
        <w:t>4</w:t>
      </w:r>
      <w:r w:rsidRPr="00692930">
        <w:rPr>
          <w:rFonts w:ascii="Times New Roman" w:hAnsi="Times New Roman"/>
          <w:sz w:val="24"/>
          <w:szCs w:val="24"/>
        </w:rPr>
        <w:t xml:space="preserve"> was prepared from H</w:t>
      </w:r>
      <w:r w:rsidRPr="00692930">
        <w:rPr>
          <w:rFonts w:ascii="Times New Roman" w:hAnsi="Times New Roman"/>
          <w:sz w:val="24"/>
          <w:szCs w:val="24"/>
          <w:vertAlign w:val="subscript"/>
        </w:rPr>
        <w:t>3</w:t>
      </w:r>
      <w:r w:rsidRPr="00692930">
        <w:rPr>
          <w:rFonts w:ascii="Times New Roman" w:hAnsi="Times New Roman"/>
          <w:sz w:val="24"/>
          <w:szCs w:val="24"/>
        </w:rPr>
        <w:t>PO</w:t>
      </w:r>
      <w:r w:rsidRPr="00692930">
        <w:rPr>
          <w:rFonts w:ascii="Times New Roman" w:hAnsi="Times New Roman"/>
          <w:sz w:val="24"/>
          <w:szCs w:val="24"/>
          <w:vertAlign w:val="subscript"/>
        </w:rPr>
        <w:t>4</w:t>
      </w:r>
      <w:r w:rsidR="00D7000D" w:rsidRPr="00692930">
        <w:rPr>
          <w:rFonts w:ascii="Times New Roman" w:hAnsi="Times New Roman"/>
          <w:sz w:val="24"/>
          <w:szCs w:val="24"/>
        </w:rPr>
        <w:t xml:space="preserve"> (Merck</w:t>
      </w:r>
      <w:r w:rsidRPr="00692930">
        <w:rPr>
          <w:rFonts w:ascii="Times New Roman" w:hAnsi="Times New Roman"/>
          <w:sz w:val="24"/>
          <w:szCs w:val="24"/>
        </w:rPr>
        <w:t>) and Li</w:t>
      </w:r>
      <w:r w:rsidRPr="00692930">
        <w:rPr>
          <w:rFonts w:ascii="Times New Roman" w:hAnsi="Times New Roman"/>
          <w:sz w:val="24"/>
          <w:szCs w:val="24"/>
          <w:vertAlign w:val="subscript"/>
        </w:rPr>
        <w:t>3</w:t>
      </w:r>
      <w:r w:rsidRPr="00692930">
        <w:rPr>
          <w:rFonts w:ascii="Times New Roman" w:hAnsi="Times New Roman"/>
          <w:sz w:val="24"/>
          <w:szCs w:val="24"/>
        </w:rPr>
        <w:t>PO</w:t>
      </w:r>
      <w:r w:rsidRPr="00692930">
        <w:rPr>
          <w:rFonts w:ascii="Times New Roman" w:hAnsi="Times New Roman"/>
          <w:sz w:val="24"/>
          <w:szCs w:val="24"/>
          <w:vertAlign w:val="subscript"/>
        </w:rPr>
        <w:t>4</w:t>
      </w:r>
      <w:r w:rsidR="00D7000D" w:rsidRPr="00692930">
        <w:rPr>
          <w:rFonts w:ascii="Times New Roman" w:hAnsi="Times New Roman"/>
          <w:sz w:val="24"/>
          <w:szCs w:val="24"/>
        </w:rPr>
        <w:t xml:space="preserve"> (Aldrich</w:t>
      </w:r>
      <w:r w:rsidRPr="00692930">
        <w:rPr>
          <w:rFonts w:ascii="Times New Roman" w:hAnsi="Times New Roman"/>
          <w:sz w:val="24"/>
          <w:szCs w:val="24"/>
        </w:rPr>
        <w:t xml:space="preserve">). The solutions were mixed together and after 1 h of stirring a rotary evaporator was used for the removal of water (at 60 °C under reduced pressure). After thorough drying and subsequent grinding with </w:t>
      </w:r>
      <w:r w:rsidR="00E73CE4" w:rsidRPr="00692930">
        <w:rPr>
          <w:rFonts w:ascii="Times New Roman" w:hAnsi="Times New Roman"/>
          <w:sz w:val="24"/>
          <w:szCs w:val="24"/>
        </w:rPr>
        <w:t xml:space="preserve">a </w:t>
      </w:r>
      <w:r w:rsidRPr="00692930">
        <w:rPr>
          <w:rFonts w:ascii="Times New Roman" w:hAnsi="Times New Roman"/>
          <w:sz w:val="24"/>
          <w:szCs w:val="24"/>
        </w:rPr>
        <w:t xml:space="preserve">mortar and pestle, the obtained greenish xerogel was ﬁred in argon atmosphere for 10 h at 700 °C. The heating rate was 10 </w:t>
      </w:r>
      <w:r w:rsidR="00942598" w:rsidRPr="00692930">
        <w:rPr>
          <w:rFonts w:ascii="Times New Roman" w:hAnsi="Times New Roman"/>
          <w:sz w:val="24"/>
          <w:szCs w:val="24"/>
        </w:rPr>
        <w:t>°C</w:t>
      </w:r>
      <w:r w:rsidRPr="00692930">
        <w:rPr>
          <w:rFonts w:ascii="Times New Roman" w:hAnsi="Times New Roman"/>
          <w:sz w:val="24"/>
          <w:szCs w:val="24"/>
        </w:rPr>
        <w:t>/min. This method gives porous LiFePO</w:t>
      </w:r>
      <w:r w:rsidRPr="00692930">
        <w:rPr>
          <w:rFonts w:ascii="Times New Roman" w:hAnsi="Times New Roman"/>
          <w:sz w:val="24"/>
          <w:szCs w:val="24"/>
          <w:vertAlign w:val="subscript"/>
        </w:rPr>
        <w:t>4</w:t>
      </w:r>
      <w:r w:rsidRPr="00692930">
        <w:rPr>
          <w:rFonts w:ascii="Times New Roman" w:hAnsi="Times New Roman"/>
          <w:sz w:val="24"/>
          <w:szCs w:val="24"/>
        </w:rPr>
        <w:t xml:space="preserve"> particles of typical sizes between 5 and 20 </w:t>
      </w:r>
      <w:r w:rsidRPr="00692930">
        <w:rPr>
          <w:rFonts w:ascii="Times New Roman" w:hAnsi="Times New Roman"/>
          <w:sz w:val="24"/>
          <w:szCs w:val="24"/>
        </w:rPr>
        <w:sym w:font="Symbol" w:char="F06D"/>
      </w:r>
      <w:r w:rsidRPr="00692930">
        <w:rPr>
          <w:rFonts w:ascii="Times New Roman" w:hAnsi="Times New Roman"/>
          <w:sz w:val="24"/>
          <w:szCs w:val="24"/>
        </w:rPr>
        <w:t>m. All particle surfaces (outer and inner) were essentially covered with a 1–2 nm thick carbon ﬁlm. The total content of native</w:t>
      </w:r>
      <w:r w:rsidR="00942598" w:rsidRPr="00692930">
        <w:rPr>
          <w:rFonts w:ascii="Times New Roman" w:hAnsi="Times New Roman"/>
          <w:sz w:val="24"/>
          <w:szCs w:val="24"/>
        </w:rPr>
        <w:t xml:space="preserve"> </w:t>
      </w:r>
      <w:r w:rsidR="00D7000D" w:rsidRPr="00692930">
        <w:rPr>
          <w:rFonts w:ascii="Times New Roman" w:hAnsi="Times New Roman"/>
          <w:sz w:val="24"/>
          <w:szCs w:val="24"/>
        </w:rPr>
        <w:t>amorphous</w:t>
      </w:r>
      <w:r w:rsidRPr="00692930">
        <w:rPr>
          <w:rFonts w:ascii="Times New Roman" w:hAnsi="Times New Roman"/>
          <w:sz w:val="24"/>
          <w:szCs w:val="24"/>
        </w:rPr>
        <w:t xml:space="preserve"> carbon was ~ 3 wt %. The LiMnPO</w:t>
      </w:r>
      <w:r w:rsidRPr="00692930">
        <w:rPr>
          <w:rFonts w:ascii="Times New Roman" w:hAnsi="Times New Roman"/>
          <w:sz w:val="24"/>
          <w:szCs w:val="24"/>
          <w:vertAlign w:val="subscript"/>
        </w:rPr>
        <w:t>4</w:t>
      </w:r>
      <w:r w:rsidRPr="00692930">
        <w:rPr>
          <w:rFonts w:ascii="Times New Roman" w:hAnsi="Times New Roman"/>
          <w:sz w:val="24"/>
          <w:szCs w:val="24"/>
        </w:rPr>
        <w:t>-C (LMP) active material was synthesized according to the two-step synthesis described in detail elsewhere</w:t>
      </w:r>
      <w:r w:rsidR="00E415E7" w:rsidRPr="00692930">
        <w:rPr>
          <w:rFonts w:ascii="Times New Roman" w:hAnsi="Times New Roman"/>
          <w:sz w:val="24"/>
          <w:szCs w:val="24"/>
        </w:rPr>
        <w:t>.</w:t>
      </w:r>
      <w:r w:rsidR="004804AC"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"10.1021/cm203095d", "ISSN" : "0897-4756", "author" : [ { "dropping-particle" : "", "family" : "Pivko", "given" : "Maja", "non-dropping-particle" : "", "parse-names" : false, "suffix" : "" }, { "dropping-particle" : "", "family" : "Bele", "given" : "Marjan", "non-dropping-particle" : "", "parse-names" : false, "suffix" : "" }, { "dropping-particle" : "", "family" : "Tchernychova", "given" : "Elena", "non-dropping-particle" : "", "parse-names" : false, "suffix" : "" }, { "dropping-particle" : "", "family" : "Logar", "given" : "Nata\u0161a Zabukovec", "non-dropping-particle" : "", "parse-names" : false, "suffix" : "" }, { "dropping-particle" : "", "family" : "Dominko", "given" : "Robert", "non-dropping-particle" : "", "parse-names" : false, "suffix" : "" }, { "dropping-particle" : "", "family" : "Gaberscek", "given" : "Miran", "non-dropping-particle" : "", "parse-names" : false, "suffix" : "" } ], "container-title" : "Chemistry of Materials", "id" : "ITEM-1", "issue" : "6", "issued" : { "date-parts" : [ [ "2012", "3", "27" ] ] }, "page" : "1041-1047", "title" : "Synthesis of Nanometric LiMnPO4 via a Two-Step Technique", "type" : "article-journal", "volume" : "24" }, "uris" : [ "http://www.mendeley.com/documents/?uuid=17a8a436-cadc-4d33-bc16-33f9e8a767b0" ] } ], "mendeley" : { "formattedCitation" : "&lt;sup&gt;16&lt;/sup&gt;", "plainTextFormattedCitation" : "16", "previouslyFormattedCitation" : "&lt;sup&gt;16&lt;/sup&gt;" }, "properties" : { "noteIndex" : 0 }, "schema" : "https://github.com/citation-style-language/schema/raw/master/csl-citation.json" }</w:instrText>
      </w:r>
      <w:r w:rsidR="004804AC"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16</w:t>
      </w:r>
      <w:r w:rsidR="004804AC" w:rsidRPr="00692930">
        <w:rPr>
          <w:rFonts w:ascii="Times New Roman" w:hAnsi="Times New Roman"/>
          <w:sz w:val="24"/>
          <w:szCs w:val="24"/>
        </w:rPr>
        <w:fldChar w:fldCharType="end"/>
      </w:r>
      <w:r w:rsidRPr="00692930">
        <w:rPr>
          <w:rFonts w:ascii="Times New Roman" w:hAnsi="Times New Roman"/>
          <w:sz w:val="24"/>
          <w:szCs w:val="24"/>
        </w:rPr>
        <w:t xml:space="preserve"> In the first step, a homogeneous mixture of reactants without lithium was prepared</w:t>
      </w:r>
      <w:r w:rsidR="00605891" w:rsidRPr="00692930">
        <w:rPr>
          <w:rFonts w:ascii="Times New Roman" w:hAnsi="Times New Roman"/>
          <w:sz w:val="24"/>
          <w:szCs w:val="24"/>
        </w:rPr>
        <w:t xml:space="preserve"> in </w:t>
      </w:r>
      <w:r w:rsidR="00B55F7A" w:rsidRPr="00692930">
        <w:rPr>
          <w:rFonts w:ascii="Times New Roman" w:hAnsi="Times New Roman"/>
          <w:sz w:val="24"/>
          <w:szCs w:val="24"/>
        </w:rPr>
        <w:t xml:space="preserve">a </w:t>
      </w:r>
      <w:r w:rsidR="00605891" w:rsidRPr="00692930">
        <w:rPr>
          <w:rFonts w:ascii="Times New Roman" w:hAnsi="Times New Roman"/>
          <w:sz w:val="24"/>
          <w:szCs w:val="24"/>
        </w:rPr>
        <w:t>round bottom flask</w:t>
      </w:r>
      <w:r w:rsidRPr="00692930">
        <w:rPr>
          <w:rFonts w:ascii="Times New Roman" w:hAnsi="Times New Roman"/>
          <w:sz w:val="24"/>
          <w:szCs w:val="24"/>
        </w:rPr>
        <w:t xml:space="preserve"> by stirring sto</w:t>
      </w:r>
      <w:r w:rsidR="0098121A" w:rsidRPr="00692930">
        <w:rPr>
          <w:rFonts w:ascii="Times New Roman" w:hAnsi="Times New Roman"/>
          <w:sz w:val="24"/>
          <w:szCs w:val="24"/>
        </w:rPr>
        <w:t>i</w:t>
      </w:r>
      <w:r w:rsidRPr="00692930">
        <w:rPr>
          <w:rFonts w:ascii="Times New Roman" w:hAnsi="Times New Roman"/>
          <w:sz w:val="24"/>
          <w:szCs w:val="24"/>
        </w:rPr>
        <w:t>chiometric quantities of manganese acetate (Fluka), citric acid (Sigma</w:t>
      </w:r>
      <w:r w:rsidR="008D1BF4" w:rsidRPr="00692930">
        <w:rPr>
          <w:rFonts w:ascii="Times New Roman" w:hAnsi="Times New Roman"/>
          <w:sz w:val="24"/>
          <w:szCs w:val="24"/>
        </w:rPr>
        <w:t>-</w:t>
      </w:r>
      <w:r w:rsidRPr="00692930">
        <w:rPr>
          <w:rFonts w:ascii="Times New Roman" w:hAnsi="Times New Roman"/>
          <w:sz w:val="24"/>
          <w:szCs w:val="24"/>
        </w:rPr>
        <w:t>Aldrich), and phosphoric acid (Merck) (the molar ratio of Mn:P</w:t>
      </w:r>
      <w:r w:rsidR="00D7000D" w:rsidRPr="00692930">
        <w:rPr>
          <w:rFonts w:ascii="Times New Roman" w:hAnsi="Times New Roman"/>
          <w:sz w:val="24"/>
          <w:szCs w:val="24"/>
        </w:rPr>
        <w:t>:citric acid</w:t>
      </w:r>
      <w:r w:rsidRPr="00692930">
        <w:rPr>
          <w:rFonts w:ascii="Times New Roman" w:hAnsi="Times New Roman"/>
          <w:sz w:val="24"/>
          <w:szCs w:val="24"/>
        </w:rPr>
        <w:t xml:space="preserve"> was 1:1</w:t>
      </w:r>
      <w:r w:rsidR="004F3429" w:rsidRPr="00692930">
        <w:rPr>
          <w:rFonts w:ascii="Times New Roman" w:hAnsi="Times New Roman"/>
          <w:sz w:val="24"/>
          <w:szCs w:val="24"/>
        </w:rPr>
        <w:t>.</w:t>
      </w:r>
      <w:r w:rsidR="0008432A" w:rsidRPr="00692930">
        <w:rPr>
          <w:rFonts w:ascii="Times New Roman" w:hAnsi="Times New Roman"/>
          <w:sz w:val="24"/>
          <w:szCs w:val="24"/>
        </w:rPr>
        <w:t>1:1</w:t>
      </w:r>
      <w:r w:rsidR="004F3429" w:rsidRPr="00692930">
        <w:rPr>
          <w:rFonts w:ascii="Times New Roman" w:hAnsi="Times New Roman"/>
          <w:sz w:val="24"/>
          <w:szCs w:val="24"/>
        </w:rPr>
        <w:t>.</w:t>
      </w:r>
      <w:r w:rsidR="0008432A" w:rsidRPr="00692930">
        <w:rPr>
          <w:rFonts w:ascii="Times New Roman" w:hAnsi="Times New Roman"/>
          <w:sz w:val="24"/>
          <w:szCs w:val="24"/>
        </w:rPr>
        <w:t>5</w:t>
      </w:r>
      <w:r w:rsidRPr="00692930">
        <w:rPr>
          <w:rFonts w:ascii="Times New Roman" w:hAnsi="Times New Roman"/>
          <w:sz w:val="24"/>
          <w:szCs w:val="24"/>
        </w:rPr>
        <w:t>).</w:t>
      </w:r>
      <w:r w:rsidR="00AB5399" w:rsidRPr="00692930">
        <w:rPr>
          <w:rFonts w:ascii="Times New Roman" w:hAnsi="Times New Roman"/>
          <w:sz w:val="24"/>
          <w:szCs w:val="24"/>
        </w:rPr>
        <w:t xml:space="preserve"> The pre-dissolved Mn and P precursors and solution of citric acid (each prepared as separate water solution) were mixed together at RT</w:t>
      </w:r>
      <w:r w:rsidR="00605891" w:rsidRPr="00692930">
        <w:rPr>
          <w:rFonts w:ascii="Times New Roman" w:hAnsi="Times New Roman"/>
          <w:sz w:val="24"/>
          <w:szCs w:val="24"/>
        </w:rPr>
        <w:t xml:space="preserve"> </w:t>
      </w:r>
      <w:r w:rsidR="00E8229A" w:rsidRPr="00692930">
        <w:rPr>
          <w:rFonts w:ascii="Times New Roman" w:hAnsi="Times New Roman"/>
          <w:sz w:val="24"/>
          <w:szCs w:val="24"/>
        </w:rPr>
        <w:t>in</w:t>
      </w:r>
      <w:r w:rsidR="00605891" w:rsidRPr="00692930">
        <w:rPr>
          <w:rFonts w:ascii="Times New Roman" w:hAnsi="Times New Roman"/>
          <w:sz w:val="24"/>
          <w:szCs w:val="24"/>
        </w:rPr>
        <w:t xml:space="preserve"> </w:t>
      </w:r>
      <w:r w:rsidR="00E73CE4" w:rsidRPr="00692930">
        <w:rPr>
          <w:rFonts w:ascii="Times New Roman" w:hAnsi="Times New Roman"/>
          <w:sz w:val="24"/>
          <w:szCs w:val="24"/>
        </w:rPr>
        <w:lastRenderedPageBreak/>
        <w:t>a</w:t>
      </w:r>
      <w:r w:rsidR="00605891" w:rsidRPr="00692930">
        <w:rPr>
          <w:rFonts w:ascii="Times New Roman" w:hAnsi="Times New Roman"/>
          <w:sz w:val="24"/>
          <w:szCs w:val="24"/>
        </w:rPr>
        <w:t xml:space="preserve"> flask</w:t>
      </w:r>
      <w:r w:rsidR="00E73CE4" w:rsidRPr="00692930">
        <w:rPr>
          <w:rFonts w:ascii="Times New Roman" w:hAnsi="Times New Roman"/>
          <w:sz w:val="24"/>
          <w:szCs w:val="24"/>
        </w:rPr>
        <w:t>. The latter</w:t>
      </w:r>
      <w:r w:rsidR="00605891" w:rsidRPr="00692930">
        <w:rPr>
          <w:rFonts w:ascii="Times New Roman" w:hAnsi="Times New Roman"/>
          <w:sz w:val="24"/>
          <w:szCs w:val="24"/>
        </w:rPr>
        <w:t xml:space="preserve"> was </w:t>
      </w:r>
      <w:r w:rsidR="00E73CE4" w:rsidRPr="00692930">
        <w:rPr>
          <w:rFonts w:ascii="Times New Roman" w:hAnsi="Times New Roman"/>
          <w:sz w:val="24"/>
          <w:szCs w:val="24"/>
        </w:rPr>
        <w:t xml:space="preserve">then </w:t>
      </w:r>
      <w:r w:rsidR="00605891" w:rsidRPr="00692930">
        <w:rPr>
          <w:rFonts w:ascii="Times New Roman" w:hAnsi="Times New Roman"/>
          <w:sz w:val="24"/>
          <w:szCs w:val="24"/>
        </w:rPr>
        <w:t>transferred to a vacuum rotary evaporator</w:t>
      </w:r>
      <w:r w:rsidR="005071D0" w:rsidRPr="00692930">
        <w:rPr>
          <w:rFonts w:ascii="Times New Roman" w:hAnsi="Times New Roman"/>
          <w:sz w:val="24"/>
          <w:szCs w:val="24"/>
        </w:rPr>
        <w:t xml:space="preserve"> </w:t>
      </w:r>
      <w:r w:rsidR="00E8229A" w:rsidRPr="00692930">
        <w:rPr>
          <w:rFonts w:ascii="Times New Roman" w:hAnsi="Times New Roman"/>
          <w:sz w:val="24"/>
          <w:szCs w:val="24"/>
        </w:rPr>
        <w:t xml:space="preserve">with </w:t>
      </w:r>
      <w:r w:rsidR="00E73CE4" w:rsidRPr="00692930">
        <w:rPr>
          <w:rFonts w:ascii="Times New Roman" w:hAnsi="Times New Roman"/>
          <w:sz w:val="24"/>
          <w:szCs w:val="24"/>
        </w:rPr>
        <w:t xml:space="preserve">a </w:t>
      </w:r>
      <w:r w:rsidR="00E8229A" w:rsidRPr="00692930">
        <w:rPr>
          <w:rFonts w:ascii="Times New Roman" w:hAnsi="Times New Roman"/>
          <w:sz w:val="24"/>
          <w:szCs w:val="24"/>
        </w:rPr>
        <w:t xml:space="preserve">bath temperature </w:t>
      </w:r>
      <w:r w:rsidR="0098121A" w:rsidRPr="00692930">
        <w:rPr>
          <w:rFonts w:ascii="Times New Roman" w:hAnsi="Times New Roman"/>
          <w:sz w:val="24"/>
          <w:szCs w:val="24"/>
        </w:rPr>
        <w:t xml:space="preserve">of </w:t>
      </w:r>
      <w:r w:rsidR="00E8229A" w:rsidRPr="00692930">
        <w:rPr>
          <w:rFonts w:ascii="Times New Roman" w:hAnsi="Times New Roman"/>
          <w:sz w:val="24"/>
          <w:szCs w:val="24"/>
        </w:rPr>
        <w:t>60 °C</w:t>
      </w:r>
      <w:r w:rsidR="0098121A" w:rsidRPr="00692930">
        <w:rPr>
          <w:rFonts w:ascii="Times New Roman" w:hAnsi="Times New Roman"/>
          <w:sz w:val="24"/>
          <w:szCs w:val="24"/>
        </w:rPr>
        <w:t>.</w:t>
      </w:r>
      <w:r w:rsidR="00E8229A" w:rsidRPr="00692930">
        <w:rPr>
          <w:rFonts w:ascii="Times New Roman" w:hAnsi="Times New Roman"/>
          <w:sz w:val="24"/>
          <w:szCs w:val="24"/>
        </w:rPr>
        <w:t xml:space="preserve"> </w:t>
      </w:r>
      <w:r w:rsidR="0098121A" w:rsidRPr="00692930">
        <w:rPr>
          <w:rFonts w:ascii="Times New Roman" w:hAnsi="Times New Roman"/>
          <w:sz w:val="24"/>
          <w:szCs w:val="24"/>
        </w:rPr>
        <w:t>I</w:t>
      </w:r>
      <w:r w:rsidR="005071D0" w:rsidRPr="00692930">
        <w:rPr>
          <w:rFonts w:ascii="Times New Roman" w:hAnsi="Times New Roman"/>
          <w:sz w:val="24"/>
          <w:szCs w:val="24"/>
        </w:rPr>
        <w:t>n the</w:t>
      </w:r>
      <w:r w:rsidR="00605891" w:rsidRPr="00692930">
        <w:rPr>
          <w:rFonts w:ascii="Times New Roman" w:hAnsi="Times New Roman"/>
          <w:sz w:val="24"/>
          <w:szCs w:val="24"/>
        </w:rPr>
        <w:t xml:space="preserve"> first</w:t>
      </w:r>
      <w:r w:rsidR="005071D0" w:rsidRPr="00692930">
        <w:rPr>
          <w:rFonts w:ascii="Times New Roman" w:hAnsi="Times New Roman"/>
          <w:sz w:val="24"/>
          <w:szCs w:val="24"/>
        </w:rPr>
        <w:t xml:space="preserve"> step of drying</w:t>
      </w:r>
      <w:r w:rsidR="00605891" w:rsidRPr="00692930">
        <w:rPr>
          <w:rFonts w:ascii="Times New Roman" w:hAnsi="Times New Roman"/>
          <w:sz w:val="24"/>
          <w:szCs w:val="24"/>
        </w:rPr>
        <w:t xml:space="preserve"> </w:t>
      </w:r>
      <w:r w:rsidR="00E8229A" w:rsidRPr="00692930">
        <w:rPr>
          <w:rFonts w:ascii="Times New Roman" w:hAnsi="Times New Roman"/>
          <w:sz w:val="24"/>
          <w:szCs w:val="24"/>
        </w:rPr>
        <w:t>the pressure was carefully decreased to 60 mbar whereby</w:t>
      </w:r>
      <w:r w:rsidR="005071D0" w:rsidRPr="00692930">
        <w:rPr>
          <w:rFonts w:ascii="Times New Roman" w:hAnsi="Times New Roman"/>
          <w:sz w:val="24"/>
          <w:szCs w:val="24"/>
        </w:rPr>
        <w:t xml:space="preserve"> most of the water was removed forming a viscous sol that was subjected to a sudden pressure decrease to </w:t>
      </w:r>
      <w:r w:rsidR="00E8229A" w:rsidRPr="00692930">
        <w:rPr>
          <w:rFonts w:ascii="Times New Roman" w:hAnsi="Times New Roman"/>
          <w:sz w:val="24"/>
          <w:szCs w:val="24"/>
        </w:rPr>
        <w:t>10</w:t>
      </w:r>
      <w:r w:rsidR="005071D0" w:rsidRPr="00692930">
        <w:rPr>
          <w:rFonts w:ascii="Times New Roman" w:hAnsi="Times New Roman"/>
          <w:sz w:val="24"/>
          <w:szCs w:val="24"/>
        </w:rPr>
        <w:t xml:space="preserve"> mbar whereby the sol </w:t>
      </w:r>
      <w:r w:rsidR="005071D0" w:rsidRPr="00692930">
        <w:rPr>
          <w:rStyle w:val="hps"/>
          <w:rFonts w:ascii="Times New Roman" w:hAnsi="Times New Roman"/>
          <w:sz w:val="24"/>
          <w:szCs w:val="24"/>
        </w:rPr>
        <w:t>simultaneously</w:t>
      </w:r>
      <w:r w:rsidR="005071D0" w:rsidRPr="00692930">
        <w:rPr>
          <w:rFonts w:ascii="Times New Roman" w:hAnsi="Times New Roman"/>
          <w:sz w:val="24"/>
          <w:szCs w:val="24"/>
        </w:rPr>
        <w:t xml:space="preserve"> expanded </w:t>
      </w:r>
      <w:r w:rsidR="00605891" w:rsidRPr="00692930">
        <w:rPr>
          <w:rFonts w:ascii="Times New Roman" w:hAnsi="Times New Roman"/>
          <w:sz w:val="24"/>
          <w:szCs w:val="24"/>
        </w:rPr>
        <w:t>to form</w:t>
      </w:r>
      <w:r w:rsidR="005071D0" w:rsidRPr="00692930">
        <w:rPr>
          <w:rFonts w:ascii="Times New Roman" w:hAnsi="Times New Roman"/>
          <w:sz w:val="24"/>
          <w:szCs w:val="24"/>
        </w:rPr>
        <w:t xml:space="preserve"> </w:t>
      </w:r>
      <w:r w:rsidR="00A420EA" w:rsidRPr="00692930">
        <w:rPr>
          <w:rFonts w:ascii="Times New Roman" w:hAnsi="Times New Roman"/>
          <w:sz w:val="24"/>
          <w:szCs w:val="24"/>
        </w:rPr>
        <w:t xml:space="preserve">a voluminous </w:t>
      </w:r>
      <w:r w:rsidR="005071D0" w:rsidRPr="00692930">
        <w:rPr>
          <w:rFonts w:ascii="Times New Roman" w:hAnsi="Times New Roman"/>
          <w:sz w:val="24"/>
          <w:szCs w:val="24"/>
        </w:rPr>
        <w:t xml:space="preserve">foamy-like </w:t>
      </w:r>
      <w:r w:rsidR="00A420EA" w:rsidRPr="00692930">
        <w:rPr>
          <w:rFonts w:ascii="Times New Roman" w:hAnsi="Times New Roman"/>
          <w:sz w:val="24"/>
          <w:szCs w:val="24"/>
        </w:rPr>
        <w:t xml:space="preserve">sol that was finally dried at </w:t>
      </w:r>
      <w:r w:rsidR="00E8229A" w:rsidRPr="00692930">
        <w:rPr>
          <w:rFonts w:ascii="Times New Roman" w:hAnsi="Times New Roman"/>
          <w:sz w:val="24"/>
          <w:szCs w:val="24"/>
        </w:rPr>
        <w:t>5</w:t>
      </w:r>
      <w:r w:rsidR="00A420EA" w:rsidRPr="00692930">
        <w:rPr>
          <w:rFonts w:ascii="Times New Roman" w:hAnsi="Times New Roman"/>
          <w:sz w:val="24"/>
          <w:szCs w:val="24"/>
        </w:rPr>
        <w:t xml:space="preserve"> mbar for </w:t>
      </w:r>
      <w:r w:rsidR="00E8229A" w:rsidRPr="00692930">
        <w:rPr>
          <w:rFonts w:ascii="Times New Roman" w:hAnsi="Times New Roman"/>
          <w:sz w:val="24"/>
          <w:szCs w:val="24"/>
        </w:rPr>
        <w:t>2</w:t>
      </w:r>
      <w:r w:rsidR="00A420EA" w:rsidRPr="00692930">
        <w:rPr>
          <w:rFonts w:ascii="Times New Roman" w:hAnsi="Times New Roman"/>
          <w:sz w:val="24"/>
          <w:szCs w:val="24"/>
        </w:rPr>
        <w:t xml:space="preserve"> h. </w:t>
      </w:r>
      <w:r w:rsidRPr="00692930">
        <w:rPr>
          <w:rFonts w:ascii="Times New Roman" w:hAnsi="Times New Roman"/>
          <w:sz w:val="24"/>
          <w:szCs w:val="24"/>
        </w:rPr>
        <w:t xml:space="preserve">The dried sol was thermally treated at 700 °C for 1 h in an argon atmosphere. In the second step, the composite from </w:t>
      </w:r>
      <w:r w:rsidR="008D1BF4" w:rsidRPr="00692930">
        <w:rPr>
          <w:rFonts w:ascii="Times New Roman" w:hAnsi="Times New Roman"/>
          <w:sz w:val="24"/>
          <w:szCs w:val="24"/>
        </w:rPr>
        <w:t xml:space="preserve">the first step was mixed with a 20 % excess </w:t>
      </w:r>
      <w:r w:rsidRPr="00692930">
        <w:rPr>
          <w:rFonts w:ascii="Times New Roman" w:hAnsi="Times New Roman"/>
          <w:sz w:val="24"/>
          <w:szCs w:val="24"/>
        </w:rPr>
        <w:t>of LiOH (Aldrich</w:t>
      </w:r>
      <w:r w:rsidR="008D1BF4" w:rsidRPr="00692930">
        <w:rPr>
          <w:rFonts w:ascii="Times New Roman" w:hAnsi="Times New Roman"/>
          <w:sz w:val="24"/>
          <w:szCs w:val="24"/>
        </w:rPr>
        <w:t>, the molar ratio Li:Mn = 1.2:1</w:t>
      </w:r>
      <w:r w:rsidRPr="00692930">
        <w:rPr>
          <w:rFonts w:ascii="Times New Roman" w:hAnsi="Times New Roman"/>
          <w:sz w:val="24"/>
          <w:szCs w:val="24"/>
        </w:rPr>
        <w:t xml:space="preserve">), using planetary ball milling (Retch) for </w:t>
      </w:r>
      <w:r w:rsidR="00210433" w:rsidRPr="00692930">
        <w:rPr>
          <w:rFonts w:ascii="Times New Roman" w:hAnsi="Times New Roman"/>
          <w:sz w:val="24"/>
          <w:szCs w:val="24"/>
        </w:rPr>
        <w:t>3</w:t>
      </w:r>
      <w:r w:rsidRPr="00692930">
        <w:rPr>
          <w:rFonts w:ascii="Times New Roman" w:hAnsi="Times New Roman"/>
          <w:sz w:val="24"/>
          <w:szCs w:val="24"/>
        </w:rPr>
        <w:t>0 min at 300 rpm. The final LiMnPO</w:t>
      </w:r>
      <w:r w:rsidRPr="00692930">
        <w:rPr>
          <w:rFonts w:ascii="Times New Roman" w:hAnsi="Times New Roman"/>
          <w:sz w:val="24"/>
          <w:szCs w:val="24"/>
          <w:vertAlign w:val="subscript"/>
        </w:rPr>
        <w:t>4</w:t>
      </w:r>
      <w:r w:rsidRPr="00692930">
        <w:rPr>
          <w:rFonts w:ascii="Times New Roman" w:hAnsi="Times New Roman"/>
          <w:sz w:val="24"/>
          <w:szCs w:val="24"/>
        </w:rPr>
        <w:t>-C material was obtained with additional thermal treatment at 700 °C in argon for 12 h.</w:t>
      </w:r>
    </w:p>
    <w:p w:rsidR="009D54B0" w:rsidRPr="00692930" w:rsidRDefault="009D54B0" w:rsidP="008A3866">
      <w:pPr>
        <w:rPr>
          <w:rFonts w:ascii="Times New Roman" w:hAnsi="Times New Roman"/>
          <w:sz w:val="24"/>
          <w:szCs w:val="24"/>
        </w:rPr>
      </w:pPr>
    </w:p>
    <w:p w:rsidR="009D54B0" w:rsidRPr="00692930" w:rsidRDefault="005D0538" w:rsidP="008A3866">
      <w:pPr>
        <w:ind w:firstLine="0"/>
        <w:rPr>
          <w:rFonts w:ascii="Times New Roman" w:hAnsi="Times New Roman"/>
          <w:b/>
          <w:sz w:val="24"/>
          <w:szCs w:val="24"/>
        </w:rPr>
      </w:pPr>
      <w:r w:rsidRPr="00692930">
        <w:rPr>
          <w:rFonts w:ascii="Times New Roman" w:hAnsi="Times New Roman"/>
          <w:b/>
          <w:sz w:val="24"/>
          <w:szCs w:val="24"/>
        </w:rPr>
        <w:t xml:space="preserve">2.2 </w:t>
      </w:r>
      <w:r w:rsidR="00D7000D" w:rsidRPr="00692930">
        <w:rPr>
          <w:rFonts w:ascii="Times New Roman" w:hAnsi="Times New Roman"/>
          <w:b/>
          <w:sz w:val="24"/>
          <w:szCs w:val="24"/>
        </w:rPr>
        <w:t>Preparation of electrode composites and e</w:t>
      </w:r>
      <w:r w:rsidR="009D54B0" w:rsidRPr="00692930">
        <w:rPr>
          <w:rFonts w:ascii="Times New Roman" w:hAnsi="Times New Roman"/>
          <w:b/>
          <w:sz w:val="24"/>
          <w:szCs w:val="24"/>
        </w:rPr>
        <w:t>lectrode</w:t>
      </w:r>
      <w:r w:rsidR="00D7000D" w:rsidRPr="00692930">
        <w:rPr>
          <w:rFonts w:ascii="Times New Roman" w:hAnsi="Times New Roman"/>
          <w:b/>
          <w:sz w:val="24"/>
          <w:szCs w:val="24"/>
        </w:rPr>
        <w:t>s</w:t>
      </w:r>
      <w:r w:rsidR="009D54B0" w:rsidRPr="00692930">
        <w:rPr>
          <w:rFonts w:ascii="Times New Roman" w:hAnsi="Times New Roman"/>
          <w:b/>
          <w:sz w:val="24"/>
          <w:szCs w:val="24"/>
        </w:rPr>
        <w:t xml:space="preserve"> </w:t>
      </w:r>
    </w:p>
    <w:p w:rsidR="009D54B0" w:rsidRPr="00692930" w:rsidRDefault="00D7000D" w:rsidP="008A3866">
      <w:pPr>
        <w:rPr>
          <w:rFonts w:ascii="Times New Roman" w:hAnsi="Times New Roman"/>
          <w:sz w:val="24"/>
          <w:szCs w:val="24"/>
        </w:rPr>
      </w:pPr>
      <w:r w:rsidRPr="00692930">
        <w:rPr>
          <w:rFonts w:ascii="Times New Roman" w:hAnsi="Times New Roman"/>
          <w:sz w:val="24"/>
          <w:szCs w:val="24"/>
        </w:rPr>
        <w:t>Cathode composites were prepared from the basic active materials (LiCoO</w:t>
      </w:r>
      <w:r w:rsidRPr="00692930">
        <w:rPr>
          <w:rFonts w:ascii="Times New Roman" w:hAnsi="Times New Roman"/>
          <w:sz w:val="24"/>
          <w:szCs w:val="24"/>
          <w:vertAlign w:val="subscript"/>
        </w:rPr>
        <w:t>2</w:t>
      </w:r>
      <w:r w:rsidRPr="00692930">
        <w:rPr>
          <w:rFonts w:ascii="Times New Roman" w:hAnsi="Times New Roman"/>
          <w:sz w:val="24"/>
          <w:szCs w:val="24"/>
        </w:rPr>
        <w:t>, LiFePO</w:t>
      </w:r>
      <w:r w:rsidRPr="00692930">
        <w:rPr>
          <w:rFonts w:ascii="Times New Roman" w:hAnsi="Times New Roman"/>
          <w:sz w:val="24"/>
          <w:szCs w:val="24"/>
          <w:vertAlign w:val="subscript"/>
        </w:rPr>
        <w:t>4</w:t>
      </w:r>
      <w:r w:rsidRPr="00692930">
        <w:rPr>
          <w:rFonts w:ascii="Times New Roman" w:hAnsi="Times New Roman"/>
          <w:sz w:val="24"/>
          <w:szCs w:val="24"/>
        </w:rPr>
        <w:t>-C, LiMnPO</w:t>
      </w:r>
      <w:r w:rsidRPr="00692930">
        <w:rPr>
          <w:rFonts w:ascii="Times New Roman" w:hAnsi="Times New Roman"/>
          <w:sz w:val="24"/>
          <w:szCs w:val="24"/>
          <w:vertAlign w:val="subscript"/>
        </w:rPr>
        <w:t>4</w:t>
      </w:r>
      <w:r w:rsidRPr="00692930">
        <w:rPr>
          <w:rFonts w:ascii="Times New Roman" w:hAnsi="Times New Roman"/>
          <w:sz w:val="24"/>
          <w:szCs w:val="24"/>
        </w:rPr>
        <w:t>-C) to which carbon black (CB, “Printex”) and binder</w:t>
      </w:r>
      <w:r w:rsidR="00846915" w:rsidRPr="00692930">
        <w:rPr>
          <w:rFonts w:ascii="Times New Roman" w:hAnsi="Times New Roman"/>
          <w:sz w:val="24"/>
          <w:szCs w:val="24"/>
        </w:rPr>
        <w:t xml:space="preserve"> (PTFE)</w:t>
      </w:r>
      <w:r w:rsidRPr="00692930">
        <w:rPr>
          <w:rFonts w:ascii="Times New Roman" w:hAnsi="Times New Roman"/>
          <w:sz w:val="24"/>
          <w:szCs w:val="24"/>
        </w:rPr>
        <w:t xml:space="preserve"> were added to get a ﬁnal weight ratio of 8:1:1. </w:t>
      </w:r>
      <w:r w:rsidR="00B55F7A" w:rsidRPr="00692930">
        <w:rPr>
          <w:rFonts w:ascii="Times New Roman" w:hAnsi="Times New Roman"/>
          <w:sz w:val="24"/>
          <w:szCs w:val="24"/>
        </w:rPr>
        <w:t xml:space="preserve">A mixture consisting from active material, CB and 60% </w:t>
      </w:r>
      <w:r w:rsidR="00846915" w:rsidRPr="00692930">
        <w:rPr>
          <w:rFonts w:ascii="Times New Roman" w:hAnsi="Times New Roman"/>
          <w:sz w:val="24"/>
          <w:szCs w:val="24"/>
        </w:rPr>
        <w:t xml:space="preserve"> </w:t>
      </w:r>
      <w:r w:rsidRPr="00692930">
        <w:rPr>
          <w:rFonts w:ascii="Times New Roman" w:hAnsi="Times New Roman"/>
          <w:sz w:val="24"/>
          <w:szCs w:val="24"/>
        </w:rPr>
        <w:t>PTFE</w:t>
      </w:r>
      <w:r w:rsidR="00B55F7A" w:rsidRPr="00692930">
        <w:rPr>
          <w:rFonts w:ascii="Times New Roman" w:hAnsi="Times New Roman"/>
          <w:sz w:val="24"/>
          <w:szCs w:val="24"/>
        </w:rPr>
        <w:t xml:space="preserve"> (Aldrich) </w:t>
      </w:r>
      <w:r w:rsidRPr="00692930">
        <w:rPr>
          <w:rFonts w:ascii="Times New Roman" w:hAnsi="Times New Roman"/>
          <w:sz w:val="24"/>
          <w:szCs w:val="24"/>
        </w:rPr>
        <w:t>in 2-propanol</w:t>
      </w:r>
      <w:r w:rsidR="00B55F7A" w:rsidRPr="00692930">
        <w:rPr>
          <w:rFonts w:ascii="Times New Roman" w:hAnsi="Times New Roman"/>
          <w:sz w:val="24"/>
          <w:szCs w:val="24"/>
        </w:rPr>
        <w:t xml:space="preserve"> was prepared</w:t>
      </w:r>
      <w:r w:rsidRPr="00692930">
        <w:rPr>
          <w:rFonts w:ascii="Times New Roman" w:hAnsi="Times New Roman"/>
          <w:sz w:val="24"/>
          <w:szCs w:val="24"/>
        </w:rPr>
        <w:t xml:space="preserve">. The mixture was homogenized by thoroughly mixing in a ball mill (30 min at 300 rpm). After evaporation of the 2-propanol a ductile kneadable composite mass was obtained. </w:t>
      </w:r>
      <w:r w:rsidR="00B55F7A" w:rsidRPr="00692930">
        <w:rPr>
          <w:rFonts w:ascii="Times New Roman" w:hAnsi="Times New Roman"/>
          <w:sz w:val="24"/>
          <w:szCs w:val="24"/>
        </w:rPr>
        <w:t xml:space="preserve">The </w:t>
      </w:r>
      <w:r w:rsidR="008A486B" w:rsidRPr="00692930">
        <w:rPr>
          <w:rFonts w:ascii="Times New Roman" w:hAnsi="Times New Roman"/>
          <w:sz w:val="24"/>
          <w:szCs w:val="24"/>
        </w:rPr>
        <w:t xml:space="preserve">electrodes </w:t>
      </w:r>
      <w:r w:rsidR="00B55F7A" w:rsidRPr="00692930">
        <w:rPr>
          <w:rFonts w:ascii="Times New Roman" w:hAnsi="Times New Roman"/>
          <w:sz w:val="24"/>
          <w:szCs w:val="24"/>
        </w:rPr>
        <w:t xml:space="preserve">were prepared </w:t>
      </w:r>
      <w:r w:rsidR="009D54B0" w:rsidRPr="00692930">
        <w:rPr>
          <w:rFonts w:ascii="Times New Roman" w:hAnsi="Times New Roman"/>
          <w:sz w:val="24"/>
          <w:szCs w:val="24"/>
        </w:rPr>
        <w:t xml:space="preserve">by spreading the cathode composite mass onto </w:t>
      </w:r>
      <w:r w:rsidR="0098121A" w:rsidRPr="00692930">
        <w:rPr>
          <w:rFonts w:ascii="Times New Roman" w:hAnsi="Times New Roman"/>
          <w:sz w:val="24"/>
          <w:szCs w:val="24"/>
        </w:rPr>
        <w:t>an</w:t>
      </w:r>
      <w:r w:rsidR="009D54B0" w:rsidRPr="00692930">
        <w:rPr>
          <w:rFonts w:ascii="Times New Roman" w:hAnsi="Times New Roman"/>
          <w:sz w:val="24"/>
          <w:szCs w:val="24"/>
        </w:rPr>
        <w:t xml:space="preserve"> aluminum foil current collector that </w:t>
      </w:r>
      <w:r w:rsidR="00B55F7A" w:rsidRPr="00692930">
        <w:rPr>
          <w:rFonts w:ascii="Times New Roman" w:hAnsi="Times New Roman"/>
          <w:sz w:val="24"/>
          <w:szCs w:val="24"/>
        </w:rPr>
        <w:t>had been</w:t>
      </w:r>
      <w:r w:rsidR="009D54B0" w:rsidRPr="00692930">
        <w:rPr>
          <w:rFonts w:ascii="Times New Roman" w:hAnsi="Times New Roman"/>
          <w:sz w:val="24"/>
          <w:szCs w:val="24"/>
        </w:rPr>
        <w:t xml:space="preserve"> roughened using a sandpaper to improve clinging. Circular electrodes with a diameter of 14 mm (1.54 cm</w:t>
      </w:r>
      <w:r w:rsidR="009D54B0" w:rsidRPr="00692930">
        <w:rPr>
          <w:rFonts w:ascii="Times New Roman" w:hAnsi="Times New Roman"/>
          <w:sz w:val="24"/>
          <w:szCs w:val="24"/>
          <w:vertAlign w:val="superscript"/>
        </w:rPr>
        <w:t>2</w:t>
      </w:r>
      <w:r w:rsidR="009D54B0" w:rsidRPr="00692930">
        <w:rPr>
          <w:rFonts w:ascii="Times New Roman" w:hAnsi="Times New Roman"/>
          <w:sz w:val="24"/>
          <w:szCs w:val="24"/>
        </w:rPr>
        <w:t xml:space="preserve">) were cut out. The electrodes were pressed with </w:t>
      </w:r>
      <w:r w:rsidR="0098121A" w:rsidRPr="00692930">
        <w:rPr>
          <w:rFonts w:ascii="Times New Roman" w:hAnsi="Times New Roman"/>
          <w:sz w:val="24"/>
          <w:szCs w:val="24"/>
        </w:rPr>
        <w:t xml:space="preserve">a </w:t>
      </w:r>
      <w:r w:rsidR="009D54B0" w:rsidRPr="00692930">
        <w:rPr>
          <w:rFonts w:ascii="Times New Roman" w:hAnsi="Times New Roman"/>
          <w:sz w:val="24"/>
          <w:szCs w:val="24"/>
        </w:rPr>
        <w:t>force of 5 tons for 1 min in a hydraulic press. The typical loading of active material in electrodes was 3–3.5 mg/cm</w:t>
      </w:r>
      <w:r w:rsidR="009D54B0" w:rsidRPr="00692930">
        <w:rPr>
          <w:rFonts w:ascii="Times New Roman" w:hAnsi="Times New Roman"/>
          <w:sz w:val="24"/>
          <w:szCs w:val="24"/>
          <w:vertAlign w:val="superscript"/>
        </w:rPr>
        <w:t>2</w:t>
      </w:r>
      <w:r w:rsidR="009D54B0" w:rsidRPr="00692930">
        <w:rPr>
          <w:rFonts w:ascii="Times New Roman" w:hAnsi="Times New Roman"/>
          <w:sz w:val="24"/>
          <w:szCs w:val="24"/>
        </w:rPr>
        <w:t xml:space="preserve">. </w:t>
      </w:r>
      <w:r w:rsidR="00B55F7A" w:rsidRPr="00692930">
        <w:rPr>
          <w:rFonts w:ascii="Times New Roman" w:hAnsi="Times New Roman"/>
          <w:sz w:val="24"/>
          <w:szCs w:val="24"/>
        </w:rPr>
        <w:t xml:space="preserve">Finally, the </w:t>
      </w:r>
      <w:r w:rsidR="009D54B0" w:rsidRPr="00692930">
        <w:rPr>
          <w:rFonts w:ascii="Times New Roman" w:hAnsi="Times New Roman"/>
          <w:sz w:val="24"/>
          <w:szCs w:val="24"/>
        </w:rPr>
        <w:t>electrodes were dried for 12 h at 90 °C and stored in an Ar filled glovebox for at least 24 h before use.</w:t>
      </w:r>
    </w:p>
    <w:p w:rsidR="009D54B0" w:rsidRPr="00692930" w:rsidRDefault="009D54B0" w:rsidP="008A3866">
      <w:pPr>
        <w:rPr>
          <w:rFonts w:ascii="Times New Roman" w:hAnsi="Times New Roman"/>
          <w:sz w:val="24"/>
          <w:szCs w:val="24"/>
        </w:rPr>
      </w:pPr>
    </w:p>
    <w:p w:rsidR="009D54B0" w:rsidRPr="00692930" w:rsidRDefault="005D0538" w:rsidP="008A3866">
      <w:pPr>
        <w:ind w:firstLine="0"/>
        <w:rPr>
          <w:rFonts w:ascii="Times New Roman" w:hAnsi="Times New Roman"/>
          <w:b/>
          <w:sz w:val="24"/>
          <w:szCs w:val="24"/>
        </w:rPr>
      </w:pPr>
      <w:r w:rsidRPr="00692930">
        <w:rPr>
          <w:rFonts w:ascii="Times New Roman" w:hAnsi="Times New Roman"/>
          <w:b/>
          <w:sz w:val="24"/>
          <w:szCs w:val="24"/>
        </w:rPr>
        <w:t xml:space="preserve">2.3 </w:t>
      </w:r>
      <w:r w:rsidR="009D54B0" w:rsidRPr="00692930">
        <w:rPr>
          <w:rFonts w:ascii="Times New Roman" w:hAnsi="Times New Roman"/>
          <w:b/>
          <w:sz w:val="24"/>
          <w:szCs w:val="24"/>
        </w:rPr>
        <w:t>Cell preparation and electrochemical measurements</w:t>
      </w:r>
    </w:p>
    <w:p w:rsidR="00AE0847" w:rsidRPr="00692930" w:rsidRDefault="009D54B0" w:rsidP="008A3866">
      <w:pPr>
        <w:autoSpaceDE w:val="0"/>
        <w:autoSpaceDN w:val="0"/>
        <w:adjustRightInd w:val="0"/>
        <w:rPr>
          <w:rFonts w:ascii="Times-Roman" w:hAnsi="Times-Roman" w:cs="Times-Roman"/>
          <w:sz w:val="24"/>
          <w:szCs w:val="24"/>
        </w:rPr>
      </w:pPr>
      <w:r w:rsidRPr="00692930">
        <w:rPr>
          <w:rFonts w:ascii="Times New Roman" w:hAnsi="Times New Roman"/>
          <w:sz w:val="24"/>
          <w:szCs w:val="24"/>
        </w:rPr>
        <w:t>The electrochemical chara</w:t>
      </w:r>
      <w:r w:rsidR="0098121A" w:rsidRPr="00692930">
        <w:rPr>
          <w:rFonts w:ascii="Times New Roman" w:hAnsi="Times New Roman"/>
          <w:sz w:val="24"/>
          <w:szCs w:val="24"/>
        </w:rPr>
        <w:t xml:space="preserve">cteristics were measured in </w:t>
      </w:r>
      <w:r w:rsidRPr="00692930">
        <w:rPr>
          <w:rFonts w:ascii="Times New Roman" w:hAnsi="Times New Roman"/>
          <w:sz w:val="24"/>
          <w:szCs w:val="24"/>
        </w:rPr>
        <w:t>vacuum-sealed cells (“pouch cells”). Two</w:t>
      </w:r>
      <w:r w:rsidR="004A11E7" w:rsidRPr="00692930">
        <w:rPr>
          <w:rFonts w:ascii="Times New Roman" w:hAnsi="Times New Roman"/>
          <w:sz w:val="24"/>
          <w:szCs w:val="24"/>
        </w:rPr>
        <w:t xml:space="preserve"> electrode cells were assembled: </w:t>
      </w:r>
      <w:r w:rsidRPr="00692930">
        <w:rPr>
          <w:rFonts w:ascii="Times New Roman" w:hAnsi="Times New Roman"/>
          <w:sz w:val="24"/>
          <w:szCs w:val="24"/>
        </w:rPr>
        <w:t>the tested working electrode (WE) and a metall</w:t>
      </w:r>
      <w:r w:rsidR="004B75ED" w:rsidRPr="00692930">
        <w:rPr>
          <w:rFonts w:ascii="Times New Roman" w:hAnsi="Times New Roman"/>
          <w:sz w:val="24"/>
          <w:szCs w:val="24"/>
        </w:rPr>
        <w:t>ic Li counter electrode (CE) (~</w:t>
      </w:r>
      <w:r w:rsidRPr="00692930">
        <w:rPr>
          <w:rFonts w:ascii="Times New Roman" w:hAnsi="Times New Roman"/>
          <w:sz w:val="24"/>
          <w:szCs w:val="24"/>
        </w:rPr>
        <w:t>3 cm</w:t>
      </w:r>
      <w:r w:rsidRPr="00692930">
        <w:rPr>
          <w:rFonts w:ascii="Times New Roman" w:hAnsi="Times New Roman"/>
          <w:sz w:val="24"/>
          <w:szCs w:val="24"/>
          <w:vertAlign w:val="superscript"/>
        </w:rPr>
        <w:t>2</w:t>
      </w:r>
      <w:r w:rsidRPr="00692930">
        <w:rPr>
          <w:rFonts w:ascii="Times New Roman" w:hAnsi="Times New Roman"/>
          <w:sz w:val="24"/>
          <w:szCs w:val="24"/>
        </w:rPr>
        <w:t>) were placed oppositely over a separator (“Whatman” glass microﬁber). The electrolyte used was 1 M LiPF</w:t>
      </w:r>
      <w:r w:rsidRPr="00692930">
        <w:rPr>
          <w:rFonts w:ascii="Times New Roman" w:hAnsi="Times New Roman"/>
          <w:sz w:val="24"/>
          <w:szCs w:val="24"/>
          <w:vertAlign w:val="subscript"/>
        </w:rPr>
        <w:t>6</w:t>
      </w:r>
      <w:r w:rsidRPr="00692930">
        <w:rPr>
          <w:rFonts w:ascii="Times New Roman" w:hAnsi="Times New Roman"/>
          <w:sz w:val="24"/>
          <w:szCs w:val="24"/>
        </w:rPr>
        <w:t xml:space="preserve"> in EC:DEC (1:1 by volume), all received from Aldrich. The galvanostatic measurements wer</w:t>
      </w:r>
      <w:r w:rsidR="007E5CF0" w:rsidRPr="00692930">
        <w:rPr>
          <w:rFonts w:ascii="Times New Roman" w:hAnsi="Times New Roman"/>
          <w:sz w:val="24"/>
          <w:szCs w:val="24"/>
        </w:rPr>
        <w:t>e performed using a “V</w:t>
      </w:r>
      <w:r w:rsidRPr="00692930">
        <w:rPr>
          <w:rFonts w:ascii="Times New Roman" w:hAnsi="Times New Roman"/>
          <w:sz w:val="24"/>
          <w:szCs w:val="24"/>
        </w:rPr>
        <w:t>M</w:t>
      </w:r>
      <w:r w:rsidR="007E5CF0" w:rsidRPr="00692930">
        <w:rPr>
          <w:rFonts w:ascii="Times New Roman" w:hAnsi="Times New Roman"/>
          <w:sz w:val="24"/>
          <w:szCs w:val="24"/>
        </w:rPr>
        <w:t>P</w:t>
      </w:r>
      <w:r w:rsidRPr="00692930">
        <w:rPr>
          <w:rFonts w:ascii="Times New Roman" w:hAnsi="Times New Roman"/>
          <w:sz w:val="24"/>
          <w:szCs w:val="24"/>
        </w:rPr>
        <w:t>3” (Bio-Logic) potentiostat/galvanostat running with EC-Lab</w:t>
      </w:r>
      <w:r w:rsidRPr="00692930">
        <w:rPr>
          <w:rFonts w:ascii="Times New Roman" w:hAnsi="Times New Roman"/>
          <w:sz w:val="24"/>
          <w:szCs w:val="24"/>
          <w:vertAlign w:val="superscript"/>
        </w:rPr>
        <w:t>®</w:t>
      </w:r>
      <w:r w:rsidRPr="00692930">
        <w:rPr>
          <w:rFonts w:ascii="Times New Roman" w:hAnsi="Times New Roman"/>
          <w:sz w:val="24"/>
          <w:szCs w:val="24"/>
        </w:rPr>
        <w:t xml:space="preserve"> software. </w:t>
      </w:r>
      <w:r w:rsidR="00921784" w:rsidRPr="00692930">
        <w:rPr>
          <w:rFonts w:ascii="Times New Roman" w:hAnsi="Times New Roman"/>
          <w:sz w:val="24"/>
          <w:szCs w:val="24"/>
        </w:rPr>
        <w:t>All the c</w:t>
      </w:r>
      <w:r w:rsidRPr="00692930">
        <w:rPr>
          <w:rFonts w:ascii="Times New Roman" w:hAnsi="Times New Roman"/>
          <w:sz w:val="24"/>
          <w:szCs w:val="24"/>
        </w:rPr>
        <w:t>omparative measurements of LiCoO</w:t>
      </w:r>
      <w:r w:rsidRPr="00692930">
        <w:rPr>
          <w:rFonts w:ascii="Times New Roman" w:hAnsi="Times New Roman"/>
          <w:sz w:val="24"/>
          <w:szCs w:val="24"/>
          <w:vertAlign w:val="subscript"/>
        </w:rPr>
        <w:t>2</w:t>
      </w:r>
      <w:r w:rsidRPr="00692930">
        <w:rPr>
          <w:rFonts w:ascii="Times New Roman" w:hAnsi="Times New Roman"/>
          <w:sz w:val="24"/>
          <w:szCs w:val="24"/>
        </w:rPr>
        <w:t>, LiFePO</w:t>
      </w:r>
      <w:r w:rsidRPr="00692930">
        <w:rPr>
          <w:rFonts w:ascii="Times New Roman" w:hAnsi="Times New Roman"/>
          <w:sz w:val="24"/>
          <w:szCs w:val="24"/>
          <w:vertAlign w:val="subscript"/>
        </w:rPr>
        <w:t>4</w:t>
      </w:r>
      <w:r w:rsidRPr="00692930">
        <w:rPr>
          <w:rFonts w:ascii="Times New Roman" w:hAnsi="Times New Roman"/>
          <w:sz w:val="24"/>
          <w:szCs w:val="24"/>
        </w:rPr>
        <w:t>-C, LiMnPO</w:t>
      </w:r>
      <w:r w:rsidRPr="00692930">
        <w:rPr>
          <w:rFonts w:ascii="Times New Roman" w:hAnsi="Times New Roman"/>
          <w:sz w:val="24"/>
          <w:szCs w:val="24"/>
          <w:vertAlign w:val="subscript"/>
        </w:rPr>
        <w:t>4</w:t>
      </w:r>
      <w:r w:rsidRPr="00692930">
        <w:rPr>
          <w:rFonts w:ascii="Times New Roman" w:hAnsi="Times New Roman"/>
          <w:sz w:val="24"/>
          <w:szCs w:val="24"/>
        </w:rPr>
        <w:t>-C materials were conducted at 25 °C</w:t>
      </w:r>
      <w:r w:rsidR="00613537" w:rsidRPr="00692930">
        <w:rPr>
          <w:rFonts w:ascii="Times New Roman" w:hAnsi="Times New Roman"/>
          <w:sz w:val="24"/>
          <w:szCs w:val="24"/>
        </w:rPr>
        <w:t>.</w:t>
      </w:r>
      <w:r w:rsidR="00AE0847" w:rsidRPr="00692930">
        <w:rPr>
          <w:rFonts w:ascii="Times New Roman" w:hAnsi="Times New Roman"/>
          <w:sz w:val="24"/>
          <w:szCs w:val="24"/>
        </w:rPr>
        <w:t xml:space="preserve"> </w:t>
      </w:r>
    </w:p>
    <w:p w:rsidR="00F3258D" w:rsidRPr="00692930" w:rsidRDefault="00F3258D" w:rsidP="008A3866">
      <w:pPr>
        <w:rPr>
          <w:rFonts w:ascii="Times New Roman" w:hAnsi="Times New Roman"/>
          <w:sz w:val="24"/>
          <w:szCs w:val="24"/>
        </w:rPr>
      </w:pPr>
    </w:p>
    <w:p w:rsidR="005D0538" w:rsidRPr="00692930" w:rsidRDefault="005D0538">
      <w:pPr>
        <w:rPr>
          <w:rFonts w:ascii="Times New Roman" w:hAnsi="Times New Roman"/>
          <w:b/>
          <w:sz w:val="24"/>
          <w:szCs w:val="24"/>
        </w:rPr>
      </w:pPr>
      <w:r w:rsidRPr="00692930">
        <w:rPr>
          <w:rFonts w:ascii="Times New Roman" w:hAnsi="Times New Roman"/>
          <w:b/>
          <w:sz w:val="24"/>
          <w:szCs w:val="24"/>
        </w:rPr>
        <w:br w:type="page"/>
      </w:r>
    </w:p>
    <w:p w:rsidR="009D54B0" w:rsidRPr="00692930" w:rsidRDefault="005D0538" w:rsidP="008A3866">
      <w:pPr>
        <w:ind w:firstLine="0"/>
        <w:rPr>
          <w:rFonts w:ascii="Times New Roman" w:hAnsi="Times New Roman"/>
          <w:b/>
          <w:sz w:val="24"/>
          <w:szCs w:val="24"/>
        </w:rPr>
      </w:pPr>
      <w:r w:rsidRPr="00692930">
        <w:rPr>
          <w:rFonts w:ascii="Times New Roman" w:hAnsi="Times New Roman"/>
          <w:b/>
          <w:sz w:val="24"/>
          <w:szCs w:val="24"/>
        </w:rPr>
        <w:lastRenderedPageBreak/>
        <w:t xml:space="preserve">3. </w:t>
      </w:r>
      <w:r w:rsidR="009D54B0" w:rsidRPr="00692930">
        <w:rPr>
          <w:rFonts w:ascii="Times New Roman" w:hAnsi="Times New Roman"/>
          <w:b/>
          <w:sz w:val="24"/>
          <w:szCs w:val="24"/>
        </w:rPr>
        <w:t>Results and discussion</w:t>
      </w:r>
    </w:p>
    <w:p w:rsidR="005D0538" w:rsidRPr="00692930" w:rsidRDefault="005D0538" w:rsidP="008A3866">
      <w:pPr>
        <w:ind w:firstLine="0"/>
        <w:rPr>
          <w:rFonts w:ascii="Times New Roman" w:hAnsi="Times New Roman"/>
          <w:b/>
          <w:sz w:val="24"/>
          <w:szCs w:val="24"/>
        </w:rPr>
      </w:pPr>
    </w:p>
    <w:p w:rsidR="00831DB6" w:rsidRPr="00692930" w:rsidRDefault="009D54B0" w:rsidP="008A3866">
      <w:pPr>
        <w:autoSpaceDE w:val="0"/>
        <w:autoSpaceDN w:val="0"/>
        <w:adjustRightInd w:val="0"/>
        <w:rPr>
          <w:rFonts w:ascii="Times New Roman" w:hAnsi="Times New Roman"/>
          <w:sz w:val="24"/>
          <w:szCs w:val="24"/>
          <w:lang w:eastAsia="sl-SI"/>
        </w:rPr>
      </w:pPr>
      <w:r w:rsidRPr="00692930">
        <w:rPr>
          <w:rFonts w:ascii="Times New Roman" w:hAnsi="Times New Roman"/>
          <w:sz w:val="24"/>
          <w:szCs w:val="24"/>
        </w:rPr>
        <w:t xml:space="preserve">The structure and morphology of LMP prepared </w:t>
      </w:r>
      <w:r w:rsidRPr="00692930">
        <w:rPr>
          <w:rFonts w:ascii="Times New Roman" w:hAnsi="Times New Roman"/>
          <w:i/>
          <w:sz w:val="24"/>
          <w:szCs w:val="24"/>
        </w:rPr>
        <w:t>via</w:t>
      </w:r>
      <w:r w:rsidRPr="00692930">
        <w:rPr>
          <w:rFonts w:ascii="Times New Roman" w:hAnsi="Times New Roman"/>
          <w:sz w:val="24"/>
          <w:szCs w:val="24"/>
        </w:rPr>
        <w:t xml:space="preserve"> the two-step synthesis developed in our laboratory w</w:t>
      </w:r>
      <w:r w:rsidR="00C17A2C" w:rsidRPr="00692930">
        <w:rPr>
          <w:rFonts w:ascii="Times New Roman" w:hAnsi="Times New Roman"/>
          <w:sz w:val="24"/>
          <w:szCs w:val="24"/>
        </w:rPr>
        <w:t>ere reported previously</w:t>
      </w:r>
      <w:r w:rsidR="00E415E7" w:rsidRPr="00692930">
        <w:rPr>
          <w:rFonts w:ascii="Times New Roman" w:hAnsi="Times New Roman"/>
          <w:sz w:val="24"/>
          <w:szCs w:val="24"/>
        </w:rPr>
        <w:t>.</w:t>
      </w:r>
      <w:r w:rsidR="004804AC"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"10.1021/cm203095d", "ISSN" : "0897-4756", "author" : [ { "dropping-particle" : "", "family" : "Pivko", "given" : "Maja", "non-dropping-particle" : "", "parse-names" : false, "suffix" : "" }, { "dropping-particle" : "", "family" : "Bele", "given" : "Marjan", "non-dropping-particle" : "", "parse-names" : false, "suffix" : "" }, { "dropping-particle" : "", "family" : "Tchernychova", "given" : "Elena", "non-dropping-particle" : "", "parse-names" : false, "suffix" : "" }, { "dropping-particle" : "", "family" : "Logar", "given" : "Nata\u0161a Zabukovec", "non-dropping-particle" : "", "parse-names" : false, "suffix" : "" }, { "dropping-particle" : "", "family" : "Dominko", "given" : "Robert", "non-dropping-particle" : "", "parse-names" : false, "suffix" : "" }, { "dropping-particle" : "", "family" : "Gaberscek", "given" : "Miran", "non-dropping-particle" : "", "parse-names" : false, "suffix" : "" } ], "container-title" : "Chemistry of Materials", "id" : "ITEM-1", "issue" : "6", "issued" : { "date-parts" : [ [ "2012", "3", "27" ] ] }, "page" : "1041-1047", "title" : "Synthesis of Nanometric LiMnPO4 via a Two-Step Technique", "type" : "article-journal", "volume" : "24" }, "uris" : [ "http://www.mendeley.com/documents/?uuid=17a8a436-cadc-4d33-bc16-33f9e8a767b0" ] } ], "mendeley" : { "formattedCitation" : "&lt;sup&gt;16&lt;/sup&gt;", "plainTextFormattedCitation" : "16", "previouslyFormattedCitation" : "&lt;sup&gt;16&lt;/sup&gt;" }, "properties" : { "noteIndex" : 0 }, "schema" : "https://github.com/citation-style-language/schema/raw/master/csl-citation.json" }</w:instrText>
      </w:r>
      <w:r w:rsidR="004804AC"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16</w:t>
      </w:r>
      <w:r w:rsidR="004804AC" w:rsidRPr="00692930">
        <w:rPr>
          <w:rFonts w:ascii="Times New Roman" w:hAnsi="Times New Roman"/>
          <w:sz w:val="24"/>
          <w:szCs w:val="24"/>
        </w:rPr>
        <w:fldChar w:fldCharType="end"/>
      </w:r>
      <w:r w:rsidR="00B55F7A" w:rsidRPr="00692930">
        <w:rPr>
          <w:rFonts w:ascii="Times New Roman" w:hAnsi="Times New Roman"/>
          <w:sz w:val="24"/>
          <w:szCs w:val="24"/>
        </w:rPr>
        <w:t xml:space="preserve"> Also,</w:t>
      </w:r>
      <w:r w:rsidR="008A3866" w:rsidRPr="00692930">
        <w:rPr>
          <w:rFonts w:ascii="Times New Roman" w:hAnsi="Times New Roman"/>
          <w:sz w:val="24"/>
          <w:szCs w:val="24"/>
        </w:rPr>
        <w:t xml:space="preserve"> </w:t>
      </w:r>
      <w:r w:rsidR="008A3866" w:rsidRPr="00692930">
        <w:rPr>
          <w:rFonts w:ascii="Times New Roman" w:hAnsi="Times New Roman"/>
          <w:sz w:val="24"/>
          <w:szCs w:val="24"/>
          <w:lang w:eastAsia="sl-SI"/>
        </w:rPr>
        <w:t xml:space="preserve">degradation processes </w:t>
      </w:r>
      <w:r w:rsidR="00B55F7A" w:rsidRPr="00692930">
        <w:rPr>
          <w:rFonts w:ascii="Times New Roman" w:hAnsi="Times New Roman"/>
          <w:sz w:val="24"/>
          <w:szCs w:val="24"/>
          <w:lang w:eastAsia="sl-SI"/>
        </w:rPr>
        <w:t>appearing during</w:t>
      </w:r>
      <w:r w:rsidR="008A3866" w:rsidRPr="00692930">
        <w:rPr>
          <w:rFonts w:ascii="Times New Roman" w:hAnsi="Times New Roman"/>
          <w:sz w:val="24"/>
          <w:szCs w:val="24"/>
          <w:lang w:eastAsia="sl-SI"/>
        </w:rPr>
        <w:t xml:space="preserve"> various stages of cycling were</w:t>
      </w:r>
      <w:r w:rsidR="00773F0D" w:rsidRPr="00692930">
        <w:rPr>
          <w:rFonts w:ascii="Times New Roman" w:hAnsi="Times New Roman"/>
          <w:sz w:val="24"/>
          <w:szCs w:val="24"/>
          <w:lang w:eastAsia="sl-SI"/>
        </w:rPr>
        <w:t xml:space="preserve"> recently</w:t>
      </w:r>
      <w:r w:rsidR="008A3866" w:rsidRPr="00692930">
        <w:rPr>
          <w:rFonts w:ascii="Times New Roman" w:hAnsi="Times New Roman"/>
          <w:sz w:val="24"/>
          <w:szCs w:val="24"/>
          <w:lang w:eastAsia="sl-SI"/>
        </w:rPr>
        <w:t xml:space="preserve"> thoroughly examined using a range of techniques</w:t>
      </w:r>
      <w:r w:rsidR="00E415E7" w:rsidRPr="00692930">
        <w:rPr>
          <w:rFonts w:ascii="Times New Roman" w:hAnsi="Times New Roman"/>
          <w:sz w:val="24"/>
          <w:szCs w:val="24"/>
          <w:lang w:eastAsia="sl-SI"/>
        </w:rPr>
        <w:t>.</w:t>
      </w:r>
      <w:r w:rsidR="00A6399C" w:rsidRPr="00692930">
        <w:rPr>
          <w:rFonts w:ascii="Times New Roman" w:hAnsi="Times New Roman"/>
          <w:sz w:val="24"/>
          <w:szCs w:val="24"/>
          <w:lang w:eastAsia="sl-SI"/>
        </w:rPr>
        <w:fldChar w:fldCharType="begin" w:fldLock="1"/>
      </w:r>
      <w:r w:rsidR="00750EA2">
        <w:rPr>
          <w:rFonts w:ascii="Times New Roman" w:hAnsi="Times New Roman"/>
          <w:sz w:val="24"/>
          <w:szCs w:val="24"/>
          <w:lang w:eastAsia="sl-SI"/>
        </w:rPr>
        <w:instrText>ADDIN CSL_CITATION { "citationItems" : [ { "id" : "ITEM-1", "itemData" : { "DOI" : "10.1016/j.jpowsour.2015.10.094", "ISSN" : "03787753", "author" : [ { "dropping-particle" : "", "family" : "Moskon", "given" : "J.", "non-dropping-particle" : "", "parse-names" : false, "suffix" : "" }, { "dropping-particle" : "", "family" : "Pivko", "given" : "M.", "non-dropping-particle" : "", "parse-names" : false, "suffix" : "" }, { "dropping-particle" : "", "family" : "Jerman", "given" : "I.", "non-dropping-particle" : "", "parse-names" : false, "suffix" : "" }, { "dropping-particle" : "", "family" : "Tchernychova", "given" : "E.", "non-dropping-particle" : "", "parse-names" : false, "suffix" : "" }, { "dropping-particle" : "", "family" : "Logar", "given" : "N. Zabukovec", "non-dropping-particle" : "", "parse-names" : false, "suffix" : "" }, { "dropping-particle" : "", "family" : "Zorko", "given" : "M.", "non-dropping-particle" : "", "parse-names" : false, "suffix" : "" }, { "dropping-particle" : "", "family" : "Selih", "given" : "V.S.", "non-dropping-particle" : "", "parse-names" : false, "suffix" : "" }, { "dropping-particle" : "", "family" : "Dominko", "given" : "R.", "non-dropping-particle" : "", "parse-names" : false, "suffix" : "" }, { "dropping-particle" : "", "family" : "Gaberscek", "given" : "M.", "non-dropping-particle" : "", "parse-names" : false, "suffix" : "" } ], "container-title" : "Journal of Power Sources", "id" : "ITEM-1", "issued" : { "date-parts" : [ [ "2016", "1" ] ] }, "page" : "97-108", "publisher" : "Elsevier B.V", "title" : "Cycling stability and degradation mechanism of LiMnPO4 based electrodes", "type" : "article-journal", "volume" : "303" }, "uris" : [ "http://www.mendeley.com/documents/?uuid=9eec3bc6-ee5b-4e69-9209-77285b3370c3" ] } ], "mendeley" : { "formattedCitation" : "&lt;sup&gt;29&lt;/sup&gt;", "plainTextFormattedCitation" : "29", "previouslyFormattedCitation" : "&lt;sup&gt;29&lt;/sup&gt;" }, "properties" : { "noteIndex" : 0 }, "schema" : "https://github.com/citation-style-language/schema/raw/master/csl-citation.json" }</w:instrText>
      </w:r>
      <w:r w:rsidR="00A6399C" w:rsidRPr="00692930">
        <w:rPr>
          <w:rFonts w:ascii="Times New Roman" w:hAnsi="Times New Roman"/>
          <w:sz w:val="24"/>
          <w:szCs w:val="24"/>
          <w:lang w:eastAsia="sl-SI"/>
        </w:rPr>
        <w:fldChar w:fldCharType="separate"/>
      </w:r>
      <w:r w:rsidR="007D65EC" w:rsidRPr="007D65EC">
        <w:rPr>
          <w:rFonts w:ascii="Times New Roman" w:hAnsi="Times New Roman"/>
          <w:noProof/>
          <w:sz w:val="24"/>
          <w:szCs w:val="24"/>
          <w:vertAlign w:val="superscript"/>
          <w:lang w:eastAsia="sl-SI"/>
        </w:rPr>
        <w:t>29</w:t>
      </w:r>
      <w:r w:rsidR="00A6399C" w:rsidRPr="00692930">
        <w:rPr>
          <w:rFonts w:ascii="Times New Roman" w:hAnsi="Times New Roman"/>
          <w:sz w:val="24"/>
          <w:szCs w:val="24"/>
          <w:lang w:eastAsia="sl-SI"/>
        </w:rPr>
        <w:fldChar w:fldCharType="end"/>
      </w:r>
      <w:r w:rsidR="008A3866" w:rsidRPr="00692930">
        <w:rPr>
          <w:rFonts w:ascii="Times New Roman" w:hAnsi="Times New Roman"/>
          <w:sz w:val="24"/>
          <w:szCs w:val="24"/>
          <w:lang w:eastAsia="sl-SI"/>
        </w:rPr>
        <w:t xml:space="preserve"> </w:t>
      </w:r>
      <w:r w:rsidRPr="00692930">
        <w:rPr>
          <w:rFonts w:ascii="Times New Roman" w:hAnsi="Times New Roman"/>
          <w:sz w:val="24"/>
          <w:szCs w:val="24"/>
        </w:rPr>
        <w:t xml:space="preserve">Briefly, all diffraction peaks correspond to the olivine type structure with a Pnma space group of the orthorhombic crystal system. The Rietveld refinement showed, however, that our LMP had a slightly smaller </w:t>
      </w:r>
      <w:r w:rsidR="00955FE0" w:rsidRPr="00692930">
        <w:rPr>
          <w:rFonts w:ascii="Times New Roman" w:hAnsi="Times New Roman"/>
          <w:sz w:val="24"/>
          <w:szCs w:val="24"/>
        </w:rPr>
        <w:t xml:space="preserve">cell </w:t>
      </w:r>
      <w:r w:rsidRPr="00692930">
        <w:rPr>
          <w:rFonts w:ascii="Times New Roman" w:hAnsi="Times New Roman"/>
          <w:sz w:val="24"/>
          <w:szCs w:val="24"/>
        </w:rPr>
        <w:t xml:space="preserve">volume </w:t>
      </w:r>
      <w:r w:rsidR="00DE54D5" w:rsidRPr="00692930">
        <w:rPr>
          <w:rFonts w:ascii="Times New Roman" w:hAnsi="Times New Roman"/>
          <w:sz w:val="24"/>
          <w:szCs w:val="24"/>
        </w:rPr>
        <w:t xml:space="preserve">– </w:t>
      </w:r>
      <w:r w:rsidR="003F6B7D" w:rsidRPr="00692930">
        <w:rPr>
          <w:rFonts w:ascii="Times New Roman" w:hAnsi="Times New Roman"/>
          <w:sz w:val="24"/>
          <w:szCs w:val="24"/>
        </w:rPr>
        <w:t>the difference being in the range</w:t>
      </w:r>
      <w:r w:rsidRPr="00692930">
        <w:rPr>
          <w:rFonts w:ascii="Times New Roman" w:hAnsi="Times New Roman"/>
          <w:sz w:val="24"/>
          <w:szCs w:val="24"/>
        </w:rPr>
        <w:t xml:space="preserve"> </w:t>
      </w:r>
      <w:r w:rsidR="003F6B7D" w:rsidRPr="00692930">
        <w:rPr>
          <w:rFonts w:ascii="Times New Roman" w:hAnsi="Times New Roman"/>
          <w:sz w:val="24"/>
          <w:szCs w:val="24"/>
        </w:rPr>
        <w:sym w:font="Symbol" w:char="F07E"/>
      </w:r>
      <w:r w:rsidRPr="00692930">
        <w:rPr>
          <w:rFonts w:ascii="Times New Roman" w:hAnsi="Times New Roman"/>
          <w:sz w:val="24"/>
          <w:szCs w:val="24"/>
        </w:rPr>
        <w:t>0.</w:t>
      </w:r>
      <w:r w:rsidR="003F6B7D" w:rsidRPr="00692930">
        <w:rPr>
          <w:rFonts w:ascii="Times New Roman" w:hAnsi="Times New Roman"/>
          <w:sz w:val="24"/>
          <w:szCs w:val="24"/>
        </w:rPr>
        <w:t>1</w:t>
      </w:r>
      <w:r w:rsidRPr="00692930">
        <w:rPr>
          <w:rFonts w:ascii="Times New Roman" w:hAnsi="Times New Roman"/>
          <w:sz w:val="24"/>
          <w:szCs w:val="24"/>
        </w:rPr>
        <w:t>-0.</w:t>
      </w:r>
      <w:r w:rsidR="00AC6B5F" w:rsidRPr="00692930">
        <w:rPr>
          <w:rFonts w:ascii="Times New Roman" w:hAnsi="Times New Roman"/>
          <w:sz w:val="24"/>
          <w:szCs w:val="24"/>
        </w:rPr>
        <w:t>6</w:t>
      </w:r>
      <w:r w:rsidRPr="00692930">
        <w:rPr>
          <w:rFonts w:ascii="Times New Roman" w:hAnsi="Times New Roman"/>
          <w:sz w:val="24"/>
          <w:szCs w:val="24"/>
        </w:rPr>
        <w:t xml:space="preserve"> %</w:t>
      </w:r>
      <w:r w:rsidR="003F6B7D" w:rsidRPr="00692930">
        <w:rPr>
          <w:rFonts w:ascii="Times New Roman" w:hAnsi="Times New Roman"/>
          <w:sz w:val="24"/>
          <w:szCs w:val="24"/>
        </w:rPr>
        <w:t xml:space="preserve"> compared to the previously reported data</w:t>
      </w:r>
      <w:r w:rsidRPr="00692930">
        <w:rPr>
          <w:rFonts w:ascii="Times New Roman" w:hAnsi="Times New Roman"/>
          <w:sz w:val="24"/>
          <w:szCs w:val="24"/>
        </w:rPr>
        <w:t xml:space="preserve"> if compared to LiMnPO</w:t>
      </w:r>
      <w:r w:rsidRPr="00692930">
        <w:rPr>
          <w:rFonts w:ascii="Times New Roman" w:hAnsi="Times New Roman"/>
          <w:sz w:val="24"/>
          <w:szCs w:val="24"/>
          <w:vertAlign w:val="subscript"/>
        </w:rPr>
        <w:t>4</w:t>
      </w:r>
      <w:r w:rsidRPr="00692930">
        <w:rPr>
          <w:rFonts w:ascii="Times New Roman" w:hAnsi="Times New Roman"/>
          <w:sz w:val="24"/>
          <w:szCs w:val="24"/>
        </w:rPr>
        <w:t xml:space="preserve"> samples obtained in earlier studies</w:t>
      </w:r>
      <w:r w:rsidR="00E415E7" w:rsidRPr="00692930">
        <w:rPr>
          <w:rFonts w:ascii="Times New Roman" w:hAnsi="Times New Roman"/>
          <w:sz w:val="24"/>
          <w:szCs w:val="24"/>
        </w:rPr>
        <w:t>,</w:t>
      </w:r>
      <w:r w:rsidR="00DE54D5"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"10.1149/1.3271112", "ISSN" : "00134651", "abstract" : "HPL SA report the modification of the electrochemical performance of lithium manganese phosphate (LiMnPO4) via Mn-site bivalent substitution. Manganese (10%) is substituted with iron, nickel, magnesium, or zinc. These substituents are shown via an X-ray to form solid solutions. The choice of substituent is demonstrated to have a strong influence on the electrochemical performance. The optimum performance improvement was achieved when 10% of Fe is substituted. This is ascribed to a smaller crystallite and a higher electronic conductivity observed in this material: Presumably Fe plays a role in hindering the crystallite growth and in increasing the carriers transportation. Electronic structures were calculated by density function theory to understand the different influences of substitute cations.", "author" : [ { "dropping-particle" : "", "family" : "Wang", "given" : "Deyu", "non-dropping-particle" : "", "parse-names" : false, "suffix" : "" }, { "dropping-particle" : "", "family" : "Ouyang", "given" : "Chuying", "non-dropping-particle" : "", "parse-names" : false, "suffix" : "" }, { "dropping-particle" : "", "family" : "Dre\u0301zen", "given" : "Thierry", "non-dropping-particle" : "", "parse-names" : false, "suffix" : "" }, { "dropping-particle" : "", "family" : "Exnar", "given" : "Ivan", "non-dropping-particle" : "", "parse-names" : false, "suffix" : "" }, { "dropping-particle" : "", "family" : "Kay", "given" : "Andreas", "non-dropping-particle" : "", "parse-names" : false, "suffix" : "" }, { "dropping-particle" : "", "family" : "Kwon", "given" : "Nam-Hee", "non-dropping-particle" : "", "parse-names" : false, "suffix" : "" }, { "dropping-particle" : "", "family" : "Gouerec", "given" : "Pascal", "non-dropping-particle" : "", "parse-names" : false, "suffix" : "" }, { "dropping-particle" : "", "family" : "Miners", "given" : "James H.", "non-dropping-particle" : "", "parse-names" : false, "suffix" : "" }, { "dropping-particle" : "", "family" : "Wang", "given" : "Mingkui", "non-dropping-particle" : "", "parse-names" : false, "suffix" : "" }, { "dropping-particle" : "", "family" : "Gra\u0308tzel", "given" : "Michael", "non-dropping-particle" : "", "parse-names" : false, "suffix" : "" } ], "container-title" : "Journal of The Electrochemical Society", "id" : "ITEM-1", "issue" : "2", "issued" : { "date-parts" : [ [ "2010" ] ] }, "page" : "A225", "title" : "Improving the Electrochemical Activity of LiMnPO[sub 4] Via Mn-Site Substitution", "type" : "article-journal", "volume" : "157" }, "uris" : [ "http://www.mendeley.com/documents/?uuid=ae6f298b-caa9-46d9-bc27-3eab954cf88b", "http://www.mendeley.com/documents/?uuid=d0b77c2a-4d45-4885-b4e4-4c8b75336ac1" ] }, { "id" : "ITEM-2", "itemData" : { "DOI" : "10.1016/j.electacta.2008.11.069", "ISSN" : "00134686", "abstract" : "To improve the cathodic performance of olivine-type LiMnPO4, we investigated the optimal annealing conditions for a composite of carbon with cation doping. Nanocrystalline and the cation-doped LiMn1-xMxPO4 (M = Ti, Mg, Zr and x = 0, 0.01, 0.05 and 0.10) was synthesized in aqueous solution using a planetary ball mill. The synthesis was performed at the fairly low temperature of 350 \u00b0C to limit particle size. The obtained samples except for the Zr doped one consisted of uniform and nano-sized particles. The performance of LiMnPO4 was much improved by an annealing treatment between 500 and 550 \u00b0C with carbon in an inert atmosphere. A small amount of metal-rich phosphide (Mn2P) was detected in the sample annealed at 900 \u00b0C. In addition, 1 at.% Mg doping for Fe enhanced the rate capability in our doped samples. The discharge capacity of LiMn0.99Mg0.01PO4/C was 146 mAh/g at 0.1 mA/cm2 and 125 mAh/g even at 2.0 mA/cm2. \u00a9 2008 Elsevier Ltd. All rights reserved.", "author" : [ { "dropping-particle" : "", "family" : "Shiratsuchi", "given" : "Tomoyuki", "non-dropping-particle" : "", "parse-names" : false, "suffix" : "" }, { "dropping-particle" : "", "family" : "Okada", "given" : "Shigeto", "non-dropping-particle" : "", "parse-names" : false, "suffix" : "" }, { "dropping-particle" : "", "family" : "Doi", "given" : "Takayuki", "non-dropping-particle" : "", "parse-names" : false, "suffix" : "" }, { "dropping-particle" : "", "family" : "Yamaki", "given" : "Jun Ichi", "non-dropping-particle" : "", "parse-names" : false, "suffix" : "" } ], "container-title" : "Electrochimica Acta", "id" : "ITEM-2", "issue" : "11", "issued" : { "date-parts" : [ [ "2009", "4" ] ] }, "page" : "3145-3151", "title" : "Cathodic performance of LiMn1-xMxPO4 (M = Ti, Mg and Zr) annealed in an inert atmosphere", "type" : "article-journal", "volume" : "54" }, "uris" : [ "http://www.mendeley.com/documents/?uuid=012bc080-89de-4cc8-8025-5f501795e146", "http://www.mendeley.com/documents/?uuid=07f4923e-289b-4e92-b048-f0fbec170770" ] }, { "id" : "ITEM-3", "itemData" : { "DOI" : "10.1002/aenm.201000049", "ISSN" : "16146832", "abstract" : "3DM- LiMnPO4 balls and flakes are prepared via an impregnation method using a PMMA template. Both 3DM ball and flake structures demonstrated superior capacity retention to previously reported LiMnPO4 prepared by various methods.", "author" : [ { "dropping-particle" : "", "family" : "Yoo", "given" : "Hochun", "non-dropping-particle" : "", "parse-names" : false, "suffix" : "" }, { "dropping-particle" : "", "family" : "Jo", "given" : "Minki", "non-dropping-particle" : "", "parse-names" : false, "suffix" : "" }, { "dropping-particle" : "", "family" : "Jin", "given" : "Bong Soo", "non-dropping-particle" : "", "parse-names" : false, "suffix" : "" }, { "dropping-particle" : "", "family" : "Kim", "given" : "Hyun Soo", "non-dropping-particle" : "", "parse-names" : false, "suffix" : "" }, { "dropping-particle" : "", "family" : "Cho", "given" : "Jaephil", "non-dropping-particle" : "", "parse-names" : false, "suffix" : "" } ], "container-title" : "Advanced Energy Materials", "id" : "ITEM-3", "issue" : "3", "issued" : { "date-parts" : [ [ "2011", "5" ] ] }, "page" : "347-351", "title" : "Flexible morphology design of 3D-macroporous LiMnPO 4 cathode materials for Li secondary batteries: Ball to flake", "type" : "article-journal", "volume" : "1" }, "uris" : [ "http://www.mendeley.com/documents/?uuid=8e11bc5d-3e16-43f9-8f1c-51b30ef41a47", "http://www.mendeley.com/documents/?uuid=1316edc2-8a24-4548-9e98-0a4cc097eade" ] }, { "id" : "ITEM-4", "itemData" : { "DOI" : "10.1016/j.jpowsour.2008.09.077", "ISBN" : "0378-7753", "ISSN" : "03787753", "abstract" : "A novel polyol synthesis was adopted to synthesize nano-structured LiMnPO4. This route yields well-crystallized nanoparticles with platelet morphology that are only \u223c30 nm thick oriented in the b direction. The obtained material presented a good rate behavior and a very long cyclic life both at room temperature (RT) and 50 \u00b0C. The sample exhibited a specific capacity of 145 mAh g-1 at C/20, 141 mAh g-1 at C/10 rate and 113 mAh g-1 1C rate. This represents is the highest performance results reported to date for this material. The high rate performance is ascribed to the platelet shape of the LiMnPO4 as it minimizes the paths for Li diffusion. At elevated temperature (50 \u00b0C) this material demonstrated improved reversible capacity of 159 mAh g-1 at C/10 and 138 at 1C. The electrode retained 95% of its capacity, over 200 cycles, both at RT and 50 \u00b0C. This electrochemical stability is ascribed to the structural strength of the P-O bond and the stability of the electrolyte-LiMnPO4 interface. It allows us to conclude that the impact of a possible Jahn-Teller distortion is not critical. These excellent results clarified some ambiguities on LiMnPO4 as cathode materials, and demonstrate its promise for its practical application. \u00a9 2008 Elsevier B.V. All rights reserved.", "author" : [ { "dropping-particle" : "", "family" : "Wang", "given" : "Deyu", "non-dropping-particle" : "", "parse-names" : false, "suffix" : "" }, { "dropping-particle" : "", "family" : "Buqa", "given" : "Hilmi", "non-dropping-particle" : "", "parse-names" : false, "suffix" : "" }, { "dropping-particle" : "", "family" : "Crouzet", "given" : "Michael", "non-dropping-particle" : "", "parse-names" : false, "suffix" : "" }, { "dropping-particle" : "", "family" : "Deghenghi", "given" : "Gianluca", "non-dropping-particle" : "", "parse-names" : false, "suffix" : "" }, { "dropping-particle" : "", "family" : "Drezen", "given" : "Thierry", "non-dropping-particle" : "", "parse-names" : false, "suffix" : "" }, { "dropping-particle" : "", "family" : "Exnar", "given" : "Ivan", "non-dropping-particle" : "", "parse-names" : false, "suffix" : "" }, { "dropping-particle" : "", "family" : "Kwon", "given" : "Nam Hee", "non-dropping-particle" : "", "parse-names" : false, "suffix" : "" }, { "dropping-particle" : "", "family" : "Miners", "given" : "James H.", "non-dropping-particle" : "", "parse-names" : false, "suffix" : "" }, { "dropping-particle" : "", "family" : "Poletto", "given" : "Laetitia", "non-dropping-particle" : "", "parse-names" : false, "suffix" : "" }, { "dropping-particle" : "", "family" : "Gr\u00e4tzel", "given" : "Michael", "non-dropping-particle" : "", "parse-names" : false, "suffix" : "" } ], "container-title" : "Journal of Power Sources", "id" : "ITEM-4", "issue" : "1", "issued" : { "date-parts" : [ [ "2009" ] ] }, "page" : "624-628", "title" : "High-performance, nano-structured LiMnPO4 synthesized via a polyol method", "type" : "article-journal", "volume" : "189" }, "uris" : [ "http://www.mendeley.com/documents/?uuid=ab32f780-7d80-4e6f-bf4d-2f3aa16a104c" ] }, { "id" : "ITEM-5", "itemData" : { "DOI" : "10.1021/nl1007085", "ISBN" : "1530-6984", "ISSN" : "15306984", "PMID" : "20698592", "abstract" : "Electrochemically active LiMnPO(4) nanoplates have been synthesized via a novel, single-step, solid-state reaction in molten hydrocarbon. The olivine-structured LiMnPO(4) nanoplates with a thickness of approximately 50 nm appear porous and were formed as nanocrystals were assembled and grew into nanorods along the [010] direction in the (100) plane. After carbon coating, the prepared LiMnPO(4) cathode demonstrated a flat potential at 4.1 V versus Li with a specific capacity reaching as high as 168 mAh/g under a galvanostatic charging/discharging mode, along with an excellent cyclability.", "author" : [ { "dropping-particle" : "", "family" : "Choi", "given" : "Daiwon", "non-dropping-particle" : "", "parse-names" : false, "suffix" : "" }, { "dropping-particle" : "", "family" : "Wang", "given" : "Donghai", "non-dropping-particle" : "", "parse-names" : false, "suffix" : "" }, { "dropping-particle" : "", "family" : "Bae", "given" : "In Tae", "non-dropping-particle" : "", "parse-names" : false, "suffix" : "" }, { "dropping-particle" : "", "family" : "Xiao", "given" : "Jie", "non-dropping-particle" : "", "parse-names" : false, "suffix" : "" }, { "dropping-particle" : "", "family" : "Nie", "given" : "Zimin", "non-dropping-particle" : "", "parse-names" : false, "suffix" : "" }, { "dropping-particle" : "", "family" : "Wang", "given" : "Wei", "non-dropping-particle" : "", "parse-names" : false, "suffix" : "" }, { "dropping-particle" : "V.", "family" : "Viswanathan", "given" : "Vilayanur", "non-dropping-particle" : "", "parse-names" : false, "suffix" : "" }, { "dropping-particle" : "", "family" : "Lee", "given" : "Yun Jung", "non-dropping-particle" : "", "parse-names" : false, "suffix" : "" }, { "dropping-particle" : "", "family" : "Zhang", "given" : "Ji Guang", "non-dropping-particle" : "", "parse-names" : false, "suffix" : "" }, { "dropping-particle" : "", "family" : "Graff", "given" : "Gordon L.", "non-dropping-particle" : "", "parse-names" : false, "suffix" : "" }, { "dropping-particle" : "", "family" : "Yang", "given" : "Zhenguo", "non-dropping-particle" : "", "parse-names" : false, "suffix" : "" }, { "dropping-particle" : "", "family" : "Liu", "given" : "Jun", "non-dropping-particle" : "", "parse-names" : false, "suffix" : "" } ], "container-title" : "Nano Letters", "id" : "ITEM-5", "issue" : "8", "issued" : { "date-parts" : [ [ "2010" ] ] }, "page" : "2799-2805", "title" : "LiMnPO4 nanoplate grown via solid-state reaction in molten hydrocarbon for Li-ion battery cathode", "type" : "article-journal", "volume" : "10" }, "uris" : [ "http://www.mendeley.com/documents/?uuid=84c3592a-19ca-4d11-9f78-c0a6bf130447" ] }, { "id" : "ITEM-6", "itemData" : { "DOI" : "10.1002/adfm.201000469", "ISBN" : "1616-3028", "ISSN" : "1616301X", "abstract" : "Abstract A cathode material of an electrically conducting carbon-LiMnPO4 nanocomposite is synthesized by ultrasonic spray pyrolysis followed by ball milling. The effect of the carbon content on the physicochemical and electrochemical properties of this material is extensively studied. A LiMnPO4 electrode with 30 wt% acetylene black (AB) carbon exhibits an excellent rate capability and good cycle life in cell tests at 55 and 25 \u00b0C. This electrode delivers a discharge capacity of 158 mAh g\u22121 at 1/20 C, 126 mAh g\u22121 at 1 C, and 107 mAh g\u22121 at 2 C rate, which are the highest capacities reported so far for this type of electrode. Transmission electron microscopy and Mn dissolution results confirm that the carbon particles surrounding the LiMnPO4 protect the electrode from HF attack, and thus lead to a reduction of the Mn dissolution that usually occurs with this electrode. The improved electrochemical properties of the C-LiMnPO4 electrode are also verified by electrochemical impedance spectroscopy.", "author" : [ { "dropping-particle" : "", "family" : "Oh", "given" : "Seung Min", "non-dropping-particle" : "", "parse-names" : false, "suffix" : "" }, { "dropping-particle" : "", "family" : "Oh", "given" : "Sung Woo", "non-dropping-particle" : "", "parse-names" : false, "suffix" : "" }, { "dropping-particle" : "", "family" : "Yoon", "given" : "Chong Seung", "non-dropping-particle" : "", "parse-names" : false, "suffix" : "" }, { "dropping-particle" : "", "family" : "Scrosati", "given" : "Bruno", "non-dropping-particle" : "", "parse-names" : false, "suffix" : "" }, { "dropping-particle" : "", "family" : "Amine", "given" : "Khalil", "non-dropping-particle" : "", "parse-names" : false, "suffix" : "" }, { "dropping-particle" : "", "family" : "Sun", "given" : "Yang Kook", "non-dropping-particle" : "", "parse-names" : false, "suffix" : "" } ], "container-title" : "Advanced Functional Materials", "id" : "ITEM-6", "issue" : "19", "issued" : { "date-parts" : [ [ "2010" ] ] }, "page" : "3260-3265", "title" : "High-performance carbon-LiMnPO4 nanocomposite cathode for lithium batteries", "type" : "article-journal", "volume" : "20" }, "uris" : [ "http://www.mendeley.com/documents/?uuid=d14fa9a1-4d25-448f-ae45-20ea6e4d003e" ] } ], "mendeley" : { "formattedCitation" : "&lt;sup&gt;10,12,13,30\u201332&lt;/sup&gt;", "plainTextFormattedCitation" : "10,12,13,30\u201332", "previouslyFormattedCitation" : "&lt;sup&gt;10,12,13,30\u201332&lt;/sup&gt;" }, "properties" : { "noteIndex" : 0 }, "schema" : "https://github.com/citation-style-language/schema/raw/master/csl-citation.json" }</w:instrText>
      </w:r>
      <w:r w:rsidR="00DE54D5"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10,12,13,30–32</w:t>
      </w:r>
      <w:r w:rsidR="00DE54D5" w:rsidRPr="00692930">
        <w:rPr>
          <w:rFonts w:ascii="Times New Roman" w:hAnsi="Times New Roman"/>
          <w:sz w:val="24"/>
          <w:szCs w:val="24"/>
        </w:rPr>
        <w:fldChar w:fldCharType="end"/>
      </w:r>
      <w:r w:rsidR="00DE54D5" w:rsidRPr="00692930">
        <w:rPr>
          <w:rFonts w:ascii="Times New Roman" w:hAnsi="Times New Roman"/>
          <w:sz w:val="24"/>
          <w:szCs w:val="24"/>
        </w:rPr>
        <w:t xml:space="preserve"> </w:t>
      </w:r>
      <w:r w:rsidRPr="00692930">
        <w:rPr>
          <w:rFonts w:ascii="Times New Roman" w:hAnsi="Times New Roman"/>
          <w:sz w:val="24"/>
          <w:szCs w:val="24"/>
        </w:rPr>
        <w:t xml:space="preserve">or to our reference sample with bigger crystallites. This deviation still needs to be explained. The estimated particle size from peak broadening is </w:t>
      </w:r>
      <w:r w:rsidR="00AC6B5F" w:rsidRPr="00692930">
        <w:rPr>
          <w:rFonts w:ascii="Times New Roman" w:hAnsi="Times New Roman"/>
          <w:sz w:val="24"/>
          <w:szCs w:val="24"/>
        </w:rPr>
        <w:t xml:space="preserve">(38 </w:t>
      </w:r>
      <w:r w:rsidR="00AC6B5F" w:rsidRPr="00692930">
        <w:rPr>
          <w:rFonts w:ascii="Times New Roman" w:hAnsi="Times New Roman"/>
          <w:sz w:val="24"/>
          <w:szCs w:val="24"/>
        </w:rPr>
        <w:sym w:font="Symbol" w:char="F0B1"/>
      </w:r>
      <w:r w:rsidR="00AC6B5F" w:rsidRPr="00692930">
        <w:rPr>
          <w:rFonts w:ascii="Times New Roman" w:hAnsi="Times New Roman"/>
          <w:sz w:val="24"/>
          <w:szCs w:val="24"/>
        </w:rPr>
        <w:t xml:space="preserve"> 2)</w:t>
      </w:r>
      <w:r w:rsidR="00EC49E0" w:rsidRPr="00692930">
        <w:rPr>
          <w:rFonts w:ascii="Times New Roman" w:hAnsi="Times New Roman"/>
          <w:sz w:val="24"/>
          <w:szCs w:val="24"/>
        </w:rPr>
        <w:t xml:space="preserve"> nm </w:t>
      </w:r>
      <w:r w:rsidRPr="00692930">
        <w:rPr>
          <w:rFonts w:ascii="Times New Roman" w:hAnsi="Times New Roman"/>
          <w:sz w:val="24"/>
          <w:szCs w:val="24"/>
        </w:rPr>
        <w:t xml:space="preserve">which matches well </w:t>
      </w:r>
      <w:r w:rsidR="00B55F7A" w:rsidRPr="00692930">
        <w:rPr>
          <w:rFonts w:ascii="Times New Roman" w:hAnsi="Times New Roman"/>
          <w:sz w:val="24"/>
          <w:szCs w:val="24"/>
        </w:rPr>
        <w:t xml:space="preserve">with </w:t>
      </w:r>
      <w:r w:rsidRPr="00692930">
        <w:rPr>
          <w:rFonts w:ascii="Times New Roman" w:hAnsi="Times New Roman"/>
          <w:sz w:val="24"/>
          <w:szCs w:val="24"/>
        </w:rPr>
        <w:t>the</w:t>
      </w:r>
      <w:r w:rsidR="00A83C6B" w:rsidRPr="00692930">
        <w:rPr>
          <w:rFonts w:ascii="Times New Roman" w:hAnsi="Times New Roman"/>
          <w:sz w:val="24"/>
          <w:szCs w:val="24"/>
        </w:rPr>
        <w:t xml:space="preserve"> observation using SEM and TEM</w:t>
      </w:r>
      <w:r w:rsidR="00E415E7" w:rsidRPr="00692930">
        <w:rPr>
          <w:rFonts w:ascii="Times New Roman" w:hAnsi="Times New Roman"/>
          <w:sz w:val="24"/>
          <w:szCs w:val="24"/>
        </w:rPr>
        <w:t>.</w:t>
      </w:r>
      <w:r w:rsidR="004804AC"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"10.1021/cm203095d", "ISSN" : "0897-4756", "author" : [ { "dropping-particle" : "", "family" : "Pivko", "given" : "Maja", "non-dropping-particle" : "", "parse-names" : false, "suffix" : "" }, { "dropping-particle" : "", "family" : "Bele", "given" : "Marjan", "non-dropping-particle" : "", "parse-names" : false, "suffix" : "" }, { "dropping-particle" : "", "family" : "Tchernychova", "given" : "Elena", "non-dropping-particle" : "", "parse-names" : false, "suffix" : "" }, { "dropping-particle" : "", "family" : "Logar", "given" : "Nata\u0161a Zabukovec", "non-dropping-particle" : "", "parse-names" : false, "suffix" : "" }, { "dropping-particle" : "", "family" : "Dominko", "given" : "Robert", "non-dropping-particle" : "", "parse-names" : false, "suffix" : "" }, { "dropping-particle" : "", "family" : "Gaberscek", "given" : "Miran", "non-dropping-particle" : "", "parse-names" : false, "suffix" : "" } ], "container-title" : "Chemistry of Materials", "id" : "ITEM-1", "issue" : "6", "issued" : { "date-parts" : [ [ "2012", "3", "27" ] ] }, "page" : "1041-1047", "title" : "Synthesis of Nanometric LiMnPO4 via a Two-Step Technique", "type" : "article-journal", "volume" : "24" }, "uris" : [ "http://www.mendeley.com/documents/?uuid=17a8a436-cadc-4d33-bc16-33f9e8a767b0" ] } ], "mendeley" : { "formattedCitation" : "&lt;sup&gt;16&lt;/sup&gt;", "plainTextFormattedCitation" : "16", "previouslyFormattedCitation" : "&lt;sup&gt;16&lt;/sup&gt;" }, "properties" : { "noteIndex" : 0 }, "schema" : "https://github.com/citation-style-language/schema/raw/master/csl-citation.json" }</w:instrText>
      </w:r>
      <w:r w:rsidR="004804AC"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16</w:t>
      </w:r>
      <w:r w:rsidR="004804AC" w:rsidRPr="00692930">
        <w:rPr>
          <w:rFonts w:ascii="Times New Roman" w:hAnsi="Times New Roman"/>
          <w:sz w:val="24"/>
          <w:szCs w:val="24"/>
        </w:rPr>
        <w:fldChar w:fldCharType="end"/>
      </w:r>
      <w:r w:rsidRPr="00692930">
        <w:rPr>
          <w:rFonts w:ascii="Times New Roman" w:hAnsi="Times New Roman"/>
          <w:sz w:val="24"/>
          <w:szCs w:val="24"/>
        </w:rPr>
        <w:t xml:space="preserve"> LiMnPO</w:t>
      </w:r>
      <w:r w:rsidRPr="00692930">
        <w:rPr>
          <w:rFonts w:ascii="Times New Roman" w:hAnsi="Times New Roman"/>
          <w:sz w:val="24"/>
          <w:szCs w:val="24"/>
          <w:vertAlign w:val="subscript"/>
        </w:rPr>
        <w:t>4</w:t>
      </w:r>
      <w:r w:rsidRPr="00692930">
        <w:rPr>
          <w:rFonts w:ascii="Times New Roman" w:hAnsi="Times New Roman"/>
          <w:sz w:val="24"/>
          <w:szCs w:val="24"/>
        </w:rPr>
        <w:t xml:space="preserve"> particles are very well dispersed in carbon matrix (14 wt. % of C in LiMnPO</w:t>
      </w:r>
      <w:r w:rsidRPr="00692930">
        <w:rPr>
          <w:rFonts w:ascii="Times New Roman" w:hAnsi="Times New Roman"/>
          <w:sz w:val="24"/>
          <w:szCs w:val="24"/>
          <w:vertAlign w:val="subscript"/>
        </w:rPr>
        <w:t>4</w:t>
      </w:r>
      <w:r w:rsidRPr="00692930">
        <w:rPr>
          <w:rFonts w:ascii="Times New Roman" w:hAnsi="Times New Roman"/>
          <w:sz w:val="24"/>
          <w:szCs w:val="24"/>
        </w:rPr>
        <w:t xml:space="preserve">-C) formed during the first step of the synthesis. The small, well separated but electronically wired particles resulted in very good electrochemistry: a capacity up to </w:t>
      </w:r>
      <w:r w:rsidR="00C17A2C" w:rsidRPr="00692930">
        <w:rPr>
          <w:rFonts w:ascii="Times New Roman" w:hAnsi="Times New Roman"/>
          <w:bCs/>
          <w:sz w:val="24"/>
          <w:szCs w:val="24"/>
        </w:rPr>
        <w:t xml:space="preserve">161.5 mAh/g or 94 </w:t>
      </w:r>
      <w:r w:rsidRPr="00692930">
        <w:rPr>
          <w:rFonts w:ascii="Times New Roman" w:hAnsi="Times New Roman"/>
          <w:bCs/>
          <w:sz w:val="24"/>
          <w:szCs w:val="24"/>
        </w:rPr>
        <w:t>% of the theoretical</w:t>
      </w:r>
      <w:r w:rsidR="00831DB6" w:rsidRPr="00692930">
        <w:rPr>
          <w:rFonts w:ascii="Times New Roman" w:hAnsi="Times New Roman"/>
          <w:bCs/>
          <w:sz w:val="24"/>
          <w:szCs w:val="24"/>
        </w:rPr>
        <w:t xml:space="preserve"> value (17</w:t>
      </w:r>
      <w:r w:rsidR="00C17A2C" w:rsidRPr="00692930">
        <w:rPr>
          <w:rFonts w:ascii="Times New Roman" w:hAnsi="Times New Roman"/>
          <w:bCs/>
          <w:sz w:val="24"/>
          <w:szCs w:val="24"/>
        </w:rPr>
        <w:t>1</w:t>
      </w:r>
      <w:r w:rsidR="00831DB6" w:rsidRPr="00692930">
        <w:rPr>
          <w:rFonts w:ascii="Times New Roman" w:hAnsi="Times New Roman"/>
          <w:bCs/>
          <w:sz w:val="24"/>
          <w:szCs w:val="24"/>
        </w:rPr>
        <w:t xml:space="preserve"> mAh/g).</w:t>
      </w:r>
    </w:p>
    <w:p w:rsidR="009D54B0" w:rsidRPr="00692930" w:rsidRDefault="009D54B0" w:rsidP="008A3866">
      <w:pPr>
        <w:rPr>
          <w:rFonts w:ascii="Times New Roman" w:hAnsi="Times New Roman"/>
          <w:bCs/>
          <w:sz w:val="24"/>
          <w:szCs w:val="24"/>
        </w:rPr>
      </w:pPr>
      <w:r w:rsidRPr="00692930">
        <w:rPr>
          <w:rFonts w:ascii="Times New Roman" w:hAnsi="Times New Roman"/>
          <w:bCs/>
          <w:sz w:val="24"/>
          <w:szCs w:val="24"/>
        </w:rPr>
        <w:t xml:space="preserve">Although high specific capacities have been obtained, several other important electrochemical features have remained poorly understood. Examples of such features are: low power density (rapid decay of capacity above 1C), unusually large voltage hysteresis (~ 200 mV) between charge and discharge curve </w:t>
      </w:r>
      <w:r w:rsidRPr="00692930">
        <w:rPr>
          <w:rStyle w:val="hps"/>
          <w:rFonts w:ascii="Times New Roman" w:hAnsi="Times New Roman"/>
          <w:sz w:val="24"/>
          <w:szCs w:val="24"/>
        </w:rPr>
        <w:t xml:space="preserve">already </w:t>
      </w:r>
      <w:r w:rsidR="00186840" w:rsidRPr="00692930">
        <w:rPr>
          <w:rFonts w:ascii="Times New Roman" w:hAnsi="Times New Roman"/>
          <w:bCs/>
          <w:sz w:val="24"/>
          <w:szCs w:val="24"/>
        </w:rPr>
        <w:t>at relatively low rates (C/20) and</w:t>
      </w:r>
      <w:r w:rsidRPr="00692930">
        <w:rPr>
          <w:rFonts w:ascii="Times New Roman" w:hAnsi="Times New Roman"/>
          <w:bCs/>
          <w:sz w:val="24"/>
          <w:szCs w:val="24"/>
        </w:rPr>
        <w:t xml:space="preserve"> asymmetry of charge-discharge curve. These issues are systematically addressed in </w:t>
      </w:r>
      <w:r w:rsidR="00186840" w:rsidRPr="00692930">
        <w:rPr>
          <w:rFonts w:ascii="Times New Roman" w:hAnsi="Times New Roman"/>
          <w:bCs/>
          <w:sz w:val="24"/>
          <w:szCs w:val="24"/>
        </w:rPr>
        <w:t>the present paper.</w:t>
      </w:r>
    </w:p>
    <w:p w:rsidR="00A83C6B" w:rsidRPr="00692930" w:rsidRDefault="00A83C6B" w:rsidP="008A3866">
      <w:pPr>
        <w:rPr>
          <w:rFonts w:ascii="Times New Roman" w:hAnsi="Times New Roman"/>
          <w:b/>
          <w:bCs/>
          <w:sz w:val="24"/>
          <w:szCs w:val="24"/>
        </w:rPr>
      </w:pPr>
    </w:p>
    <w:p w:rsidR="009D54B0" w:rsidRPr="00692930" w:rsidRDefault="005D0538" w:rsidP="008A3866">
      <w:pPr>
        <w:ind w:firstLine="0"/>
        <w:rPr>
          <w:rFonts w:ascii="Times New Roman" w:hAnsi="Times New Roman"/>
          <w:b/>
          <w:sz w:val="24"/>
          <w:szCs w:val="24"/>
        </w:rPr>
      </w:pPr>
      <w:r w:rsidRPr="00692930">
        <w:rPr>
          <w:rFonts w:ascii="Times New Roman" w:hAnsi="Times New Roman"/>
          <w:b/>
          <w:bCs/>
          <w:sz w:val="24"/>
          <w:szCs w:val="24"/>
        </w:rPr>
        <w:t xml:space="preserve">3.1 </w:t>
      </w:r>
      <w:r w:rsidR="009D54B0" w:rsidRPr="00692930">
        <w:rPr>
          <w:rFonts w:ascii="Times New Roman" w:hAnsi="Times New Roman"/>
          <w:b/>
          <w:bCs/>
          <w:sz w:val="24"/>
          <w:szCs w:val="24"/>
        </w:rPr>
        <w:t>Galvanostatic measurements: Voltage hysteresis</w:t>
      </w:r>
      <w:r w:rsidR="009D54B0" w:rsidRPr="00692930">
        <w:rPr>
          <w:rFonts w:ascii="Times New Roman" w:hAnsi="Times New Roman"/>
          <w:b/>
          <w:sz w:val="24"/>
          <w:szCs w:val="24"/>
        </w:rPr>
        <w:t xml:space="preserve"> and Energy efficiency (</w:t>
      </w:r>
      <w:r w:rsidR="009D54B0" w:rsidRPr="00692930">
        <w:rPr>
          <w:rFonts w:ascii="Times New Roman" w:hAnsi="Times New Roman"/>
          <w:b/>
          <w:i/>
          <w:sz w:val="24"/>
          <w:szCs w:val="24"/>
        </w:rPr>
        <w:sym w:font="Symbol" w:char="F065"/>
      </w:r>
      <w:r w:rsidR="009D54B0" w:rsidRPr="00692930">
        <w:rPr>
          <w:rFonts w:ascii="Times New Roman" w:hAnsi="Times New Roman"/>
          <w:b/>
          <w:sz w:val="24"/>
          <w:szCs w:val="24"/>
        </w:rPr>
        <w:t>)</w:t>
      </w:r>
    </w:p>
    <w:p w:rsidR="009D54B0" w:rsidRPr="00692930" w:rsidRDefault="009D54B0" w:rsidP="008A3866">
      <w:pPr>
        <w:rPr>
          <w:rFonts w:ascii="Times New Roman" w:hAnsi="Times New Roman"/>
          <w:sz w:val="24"/>
          <w:szCs w:val="24"/>
        </w:rPr>
      </w:pPr>
      <w:r w:rsidRPr="00692930">
        <w:rPr>
          <w:rFonts w:ascii="Times New Roman" w:hAnsi="Times New Roman"/>
          <w:sz w:val="24"/>
          <w:szCs w:val="24"/>
        </w:rPr>
        <w:t xml:space="preserve">Fig. 1a shows measured galvanostatic charge-discharge curves for LMP at different C-rates in the range from C/20 up to 16C at 25 °C. The potential window was 2.7 – 4.5 V vs. Li </w:t>
      </w:r>
      <w:r w:rsidR="00487567" w:rsidRPr="00692930">
        <w:rPr>
          <w:rFonts w:ascii="Times New Roman" w:hAnsi="Times New Roman"/>
          <w:sz w:val="24"/>
          <w:szCs w:val="24"/>
        </w:rPr>
        <w:t xml:space="preserve">using </w:t>
      </w:r>
      <w:r w:rsidR="00186840" w:rsidRPr="00692930">
        <w:rPr>
          <w:rFonts w:ascii="Times New Roman" w:hAnsi="Times New Roman"/>
          <w:sz w:val="24"/>
          <w:szCs w:val="24"/>
        </w:rPr>
        <w:t xml:space="preserve">the conventional </w:t>
      </w:r>
      <w:r w:rsidRPr="00692930">
        <w:rPr>
          <w:rFonts w:ascii="Times New Roman" w:hAnsi="Times New Roman"/>
          <w:sz w:val="24"/>
          <w:szCs w:val="24"/>
        </w:rPr>
        <w:t xml:space="preserve">constant-current “CC” cycling protocol. A comparison to the </w:t>
      </w:r>
      <w:r w:rsidR="00186840" w:rsidRPr="00692930">
        <w:rPr>
          <w:rFonts w:ascii="Times New Roman" w:hAnsi="Times New Roman"/>
          <w:sz w:val="24"/>
          <w:szCs w:val="24"/>
        </w:rPr>
        <w:t>w</w:t>
      </w:r>
      <w:r w:rsidR="00487567" w:rsidRPr="00692930">
        <w:rPr>
          <w:rFonts w:ascii="Times New Roman" w:hAnsi="Times New Roman"/>
          <w:sz w:val="24"/>
          <w:szCs w:val="24"/>
        </w:rPr>
        <w:t>ell-</w:t>
      </w:r>
      <w:r w:rsidR="00186840" w:rsidRPr="00692930">
        <w:rPr>
          <w:rFonts w:ascii="Times New Roman" w:hAnsi="Times New Roman"/>
          <w:sz w:val="24"/>
          <w:szCs w:val="24"/>
        </w:rPr>
        <w:t>known</w:t>
      </w:r>
      <w:r w:rsidRPr="00692930">
        <w:rPr>
          <w:rFonts w:ascii="Times New Roman" w:hAnsi="Times New Roman"/>
          <w:sz w:val="24"/>
          <w:szCs w:val="24"/>
        </w:rPr>
        <w:t xml:space="preserve"> LFP (Fig. 1b) and LCO (Fig. 1c) electrodes tested under similar conditions shows one particular difference: in LFP and LCO the voltage hysteresis between charge and discharge at low rates is rather small (</w:t>
      </w:r>
      <w:r w:rsidR="00487567" w:rsidRPr="00692930">
        <w:rPr>
          <w:rFonts w:ascii="Times New Roman" w:hAnsi="Times New Roman"/>
          <w:sz w:val="24"/>
          <w:szCs w:val="24"/>
        </w:rPr>
        <w:t xml:space="preserve">34 mV and 14 mV for </w:t>
      </w:r>
      <w:r w:rsidRPr="00692930">
        <w:rPr>
          <w:rFonts w:ascii="Times New Roman" w:hAnsi="Times New Roman"/>
          <w:sz w:val="24"/>
          <w:szCs w:val="24"/>
        </w:rPr>
        <w:t>LFP and LCO</w:t>
      </w:r>
      <w:r w:rsidR="00487567" w:rsidRPr="00692930">
        <w:rPr>
          <w:rFonts w:ascii="Times New Roman" w:hAnsi="Times New Roman"/>
          <w:sz w:val="24"/>
          <w:szCs w:val="24"/>
        </w:rPr>
        <w:t>, respectively, at C/10</w:t>
      </w:r>
      <w:r w:rsidRPr="00692930">
        <w:rPr>
          <w:rFonts w:ascii="Times New Roman" w:hAnsi="Times New Roman"/>
          <w:sz w:val="24"/>
          <w:szCs w:val="24"/>
        </w:rPr>
        <w:t xml:space="preserve">) but then significantly increases when progressing to higher rates (for example approaching to 400 mV at 5C). By contrast, in LMP the voltage hysteresis is quite large (~ 200 mV) already at smallest cycling rate (C/20) but then surprisingly remains within tolerable range as the rate increases (eg. ca 550 mV at 4C). Note that all the cells had the same geometric surface area of </w:t>
      </w:r>
      <w:r w:rsidRPr="00692930">
        <w:rPr>
          <w:rFonts w:ascii="Times New Roman" w:hAnsi="Times New Roman"/>
          <w:sz w:val="24"/>
          <w:szCs w:val="24"/>
        </w:rPr>
        <w:lastRenderedPageBreak/>
        <w:t>the electrode (1.5 cm</w:t>
      </w:r>
      <w:r w:rsidRPr="00692930">
        <w:rPr>
          <w:rFonts w:ascii="Times New Roman" w:hAnsi="Times New Roman"/>
          <w:sz w:val="24"/>
          <w:szCs w:val="24"/>
          <w:vertAlign w:val="superscript"/>
        </w:rPr>
        <w:t>2</w:t>
      </w:r>
      <w:r w:rsidRPr="00692930">
        <w:rPr>
          <w:rFonts w:ascii="Times New Roman" w:hAnsi="Times New Roman"/>
          <w:sz w:val="24"/>
          <w:szCs w:val="24"/>
        </w:rPr>
        <w:t>), the same electrode composition (80 wt. % active material, 10 wt. % carbon black (“Printex”) and 10 wt. % of PTFE binder) and were prepared using the same procedure (1 min of pressing with force of 5 tons in a hydraulic press). The active mass loadings of the electrodes were comparable: 4.3 mg in the case of LiMnPO</w:t>
      </w:r>
      <w:r w:rsidRPr="00692930">
        <w:rPr>
          <w:rFonts w:ascii="Times New Roman" w:hAnsi="Times New Roman"/>
          <w:sz w:val="24"/>
          <w:szCs w:val="24"/>
          <w:vertAlign w:val="subscript"/>
        </w:rPr>
        <w:t>4</w:t>
      </w:r>
      <w:r w:rsidRPr="00692930">
        <w:rPr>
          <w:rFonts w:ascii="Times New Roman" w:hAnsi="Times New Roman"/>
          <w:sz w:val="24"/>
          <w:szCs w:val="24"/>
        </w:rPr>
        <w:t>, 5.2 mg in the case of LiFePO</w:t>
      </w:r>
      <w:r w:rsidRPr="00692930">
        <w:rPr>
          <w:rFonts w:ascii="Times New Roman" w:hAnsi="Times New Roman"/>
          <w:sz w:val="24"/>
          <w:szCs w:val="24"/>
          <w:vertAlign w:val="subscript"/>
        </w:rPr>
        <w:t>4</w:t>
      </w:r>
      <w:r w:rsidRPr="00692930">
        <w:rPr>
          <w:rFonts w:ascii="Times New Roman" w:hAnsi="Times New Roman"/>
          <w:sz w:val="24"/>
          <w:szCs w:val="24"/>
        </w:rPr>
        <w:t>, and 4.1 mg in the case of LiCoO</w:t>
      </w:r>
      <w:r w:rsidRPr="00692930">
        <w:rPr>
          <w:rFonts w:ascii="Times New Roman" w:hAnsi="Times New Roman"/>
          <w:sz w:val="24"/>
          <w:szCs w:val="24"/>
          <w:vertAlign w:val="subscript"/>
        </w:rPr>
        <w:t>2</w:t>
      </w:r>
      <w:r w:rsidRPr="00692930">
        <w:rPr>
          <w:rFonts w:ascii="Times New Roman" w:hAnsi="Times New Roman"/>
          <w:sz w:val="24"/>
          <w:szCs w:val="24"/>
        </w:rPr>
        <w:t xml:space="preserve"> based electrode.</w:t>
      </w:r>
    </w:p>
    <w:p w:rsidR="009D54B0" w:rsidRPr="00692930" w:rsidRDefault="009D54B0" w:rsidP="008A3866">
      <w:pPr>
        <w:rPr>
          <w:rFonts w:ascii="Times New Roman" w:hAnsi="Times New Roman"/>
          <w:bCs/>
          <w:sz w:val="24"/>
          <w:szCs w:val="24"/>
        </w:rPr>
      </w:pPr>
    </w:p>
    <w:p w:rsidR="00EA50DF" w:rsidRPr="00692930" w:rsidRDefault="00EA50DF" w:rsidP="00EA50DF">
      <w:pPr>
        <w:ind w:firstLine="0"/>
        <w:jc w:val="center"/>
        <w:rPr>
          <w:rFonts w:ascii="Times New Roman" w:hAnsi="Times New Roman"/>
          <w:b/>
          <w:bCs/>
        </w:rPr>
      </w:pPr>
      <w:r w:rsidRPr="00692930">
        <w:rPr>
          <w:rFonts w:ascii="Times New Roman" w:hAnsi="Times New Roman"/>
          <w:b/>
          <w:bCs/>
          <w:noProof/>
          <w:lang w:val="sl-SI" w:eastAsia="sl-SI"/>
        </w:rPr>
        <w:drawing>
          <wp:inline distT="0" distB="0" distL="0" distR="0" wp14:anchorId="19C35CCC" wp14:editId="76CBB2EE">
            <wp:extent cx="4895386" cy="39305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2696" cy="3936424"/>
                    </a:xfrm>
                    <a:prstGeom prst="rect">
                      <a:avLst/>
                    </a:prstGeom>
                  </pic:spPr>
                </pic:pic>
              </a:graphicData>
            </a:graphic>
          </wp:inline>
        </w:drawing>
      </w:r>
    </w:p>
    <w:p w:rsidR="009D54B0" w:rsidRPr="00692930" w:rsidRDefault="00927137" w:rsidP="008A3866">
      <w:pPr>
        <w:ind w:firstLine="0"/>
        <w:rPr>
          <w:rFonts w:ascii="Times New Roman" w:hAnsi="Times New Roman"/>
        </w:rPr>
      </w:pPr>
      <w:r w:rsidRPr="00692930">
        <w:rPr>
          <w:rFonts w:ascii="Times New Roman" w:hAnsi="Times New Roman"/>
          <w:b/>
          <w:bCs/>
        </w:rPr>
        <w:t>Figure</w:t>
      </w:r>
      <w:r w:rsidR="009D54B0" w:rsidRPr="00692930">
        <w:rPr>
          <w:rFonts w:ascii="Times New Roman" w:hAnsi="Times New Roman"/>
          <w:b/>
          <w:bCs/>
        </w:rPr>
        <w:t xml:space="preserve"> 1.</w:t>
      </w:r>
      <w:r w:rsidR="009D54B0" w:rsidRPr="00692930">
        <w:rPr>
          <w:rFonts w:ascii="Times New Roman" w:hAnsi="Times New Roman"/>
          <w:bCs/>
        </w:rPr>
        <w:t xml:space="preserve"> Comparison of </w:t>
      </w:r>
      <w:r w:rsidR="00487567" w:rsidRPr="00692930">
        <w:rPr>
          <w:rFonts w:ascii="Times New Roman" w:hAnsi="Times New Roman"/>
          <w:bCs/>
        </w:rPr>
        <w:t>a</w:t>
      </w:r>
      <w:r w:rsidR="009D54B0" w:rsidRPr="00692930">
        <w:rPr>
          <w:rFonts w:ascii="Times New Roman" w:hAnsi="Times New Roman"/>
          <w:bCs/>
        </w:rPr>
        <w:t xml:space="preserve"> series of galvanostatic cycles measured </w:t>
      </w:r>
      <w:r w:rsidR="00487567" w:rsidRPr="00692930">
        <w:rPr>
          <w:rFonts w:ascii="Times New Roman" w:hAnsi="Times New Roman"/>
          <w:bCs/>
        </w:rPr>
        <w:t xml:space="preserve">on different cells </w:t>
      </w:r>
      <w:r w:rsidR="009D54B0" w:rsidRPr="00692930">
        <w:rPr>
          <w:rFonts w:ascii="Times New Roman" w:hAnsi="Times New Roman"/>
          <w:bCs/>
        </w:rPr>
        <w:t>at different current densities</w:t>
      </w:r>
      <w:r w:rsidR="004326D4" w:rsidRPr="00692930">
        <w:rPr>
          <w:rFonts w:ascii="Times New Roman" w:hAnsi="Times New Roman"/>
          <w:bCs/>
        </w:rPr>
        <w:t>:</w:t>
      </w:r>
      <w:r w:rsidR="009D54B0" w:rsidRPr="00692930">
        <w:rPr>
          <w:rFonts w:ascii="Times New Roman" w:hAnsi="Times New Roman"/>
          <w:bCs/>
        </w:rPr>
        <w:t xml:space="preserve"> a) LiMnPO</w:t>
      </w:r>
      <w:r w:rsidR="009D54B0" w:rsidRPr="00692930">
        <w:rPr>
          <w:rFonts w:ascii="Times New Roman" w:hAnsi="Times New Roman"/>
          <w:bCs/>
          <w:vertAlign w:val="subscript"/>
        </w:rPr>
        <w:t>4</w:t>
      </w:r>
      <w:r w:rsidR="009D54B0" w:rsidRPr="00692930">
        <w:rPr>
          <w:rFonts w:ascii="Times New Roman" w:hAnsi="Times New Roman"/>
          <w:bCs/>
        </w:rPr>
        <w:t xml:space="preserve"> (from C/20 up to 16C in the potential window 2.7 – 4.5 V vs. Li), b) LiFePO</w:t>
      </w:r>
      <w:r w:rsidR="009D54B0" w:rsidRPr="00692930">
        <w:rPr>
          <w:rFonts w:ascii="Times New Roman" w:hAnsi="Times New Roman"/>
          <w:bCs/>
          <w:vertAlign w:val="subscript"/>
        </w:rPr>
        <w:t>4</w:t>
      </w:r>
      <w:r w:rsidR="009D54B0" w:rsidRPr="00692930">
        <w:rPr>
          <w:rFonts w:ascii="Times New Roman" w:hAnsi="Times New Roman"/>
          <w:bCs/>
        </w:rPr>
        <w:t xml:space="preserve"> (from C/10 up to 30C in the potential window 2.7 – 4.1 V vs. Li) and c) LiCoO</w:t>
      </w:r>
      <w:r w:rsidR="009D54B0" w:rsidRPr="00692930">
        <w:rPr>
          <w:rFonts w:ascii="Times New Roman" w:hAnsi="Times New Roman"/>
          <w:bCs/>
          <w:vertAlign w:val="subscript"/>
        </w:rPr>
        <w:t>2</w:t>
      </w:r>
      <w:r w:rsidR="009D54B0" w:rsidRPr="00692930">
        <w:rPr>
          <w:rFonts w:ascii="Times New Roman" w:hAnsi="Times New Roman"/>
          <w:bCs/>
        </w:rPr>
        <w:t xml:space="preserve"> (from C/10 up to 5C in the potential window 3.0 – 4.25 V vs. Li)</w:t>
      </w:r>
      <w:r w:rsidR="00487567" w:rsidRPr="00692930">
        <w:rPr>
          <w:rFonts w:ascii="Times New Roman" w:hAnsi="Times New Roman"/>
          <w:bCs/>
        </w:rPr>
        <w:t>. In all the cases the</w:t>
      </w:r>
      <w:r w:rsidR="009D54B0" w:rsidRPr="00692930">
        <w:rPr>
          <w:rFonts w:ascii="Times New Roman" w:hAnsi="Times New Roman"/>
          <w:bCs/>
        </w:rPr>
        <w:t xml:space="preserve"> third cycle </w:t>
      </w:r>
      <w:r w:rsidR="00487567" w:rsidRPr="00692930">
        <w:rPr>
          <w:rFonts w:ascii="Times New Roman" w:hAnsi="Times New Roman"/>
          <w:bCs/>
        </w:rPr>
        <w:t>measured at certain</w:t>
      </w:r>
      <w:r w:rsidR="009D54B0" w:rsidRPr="00692930">
        <w:rPr>
          <w:rFonts w:ascii="Times New Roman" w:hAnsi="Times New Roman"/>
          <w:bCs/>
        </w:rPr>
        <w:t xml:space="preserve"> C-rate is plotted; all the curves were measured at 25 °C </w:t>
      </w:r>
      <w:r w:rsidR="004326D4" w:rsidRPr="00692930">
        <w:rPr>
          <w:rFonts w:ascii="Times New Roman" w:hAnsi="Times New Roman"/>
        </w:rPr>
        <w:t>and obtained</w:t>
      </w:r>
      <w:r w:rsidR="009D54B0" w:rsidRPr="00692930">
        <w:rPr>
          <w:rFonts w:ascii="Times New Roman" w:hAnsi="Times New Roman"/>
        </w:rPr>
        <w:t xml:space="preserve"> using </w:t>
      </w:r>
      <w:r w:rsidR="00487567" w:rsidRPr="00692930">
        <w:rPr>
          <w:rFonts w:ascii="Times New Roman" w:hAnsi="Times New Roman"/>
        </w:rPr>
        <w:t xml:space="preserve">the conventional </w:t>
      </w:r>
      <w:r w:rsidR="009D54B0" w:rsidRPr="00692930">
        <w:rPr>
          <w:rFonts w:ascii="Times New Roman" w:hAnsi="Times New Roman"/>
        </w:rPr>
        <w:t>constant-current “CC” cycling protocol.</w:t>
      </w:r>
    </w:p>
    <w:p w:rsidR="004326D4" w:rsidRPr="00692930" w:rsidRDefault="004326D4" w:rsidP="008A3866">
      <w:pPr>
        <w:rPr>
          <w:rFonts w:ascii="Times New Roman" w:hAnsi="Times New Roman"/>
          <w:sz w:val="24"/>
          <w:szCs w:val="24"/>
        </w:rPr>
      </w:pPr>
    </w:p>
    <w:p w:rsidR="00852FC4" w:rsidRPr="00692930" w:rsidRDefault="009D54B0" w:rsidP="008A3866">
      <w:pPr>
        <w:rPr>
          <w:rFonts w:ascii="Times New Roman" w:hAnsi="Times New Roman"/>
          <w:sz w:val="24"/>
          <w:szCs w:val="24"/>
        </w:rPr>
      </w:pPr>
      <w:r w:rsidRPr="00692930">
        <w:rPr>
          <w:rFonts w:ascii="Times New Roman" w:hAnsi="Times New Roman"/>
          <w:sz w:val="24"/>
          <w:szCs w:val="24"/>
        </w:rPr>
        <w:t>The unexpectedly good behaviour of LMP at higher rates is even more clearly seen from Fig</w:t>
      </w:r>
      <w:r w:rsidR="00797646" w:rsidRPr="00692930">
        <w:rPr>
          <w:rFonts w:ascii="Times New Roman" w:hAnsi="Times New Roman"/>
          <w:sz w:val="24"/>
          <w:szCs w:val="24"/>
        </w:rPr>
        <w:t>s</w:t>
      </w:r>
      <w:r w:rsidRPr="00692930">
        <w:rPr>
          <w:rFonts w:ascii="Times New Roman" w:hAnsi="Times New Roman"/>
          <w:sz w:val="24"/>
          <w:szCs w:val="24"/>
        </w:rPr>
        <w:t xml:space="preserve">. 2 </w:t>
      </w:r>
      <w:r w:rsidR="00797646" w:rsidRPr="00692930">
        <w:rPr>
          <w:rFonts w:ascii="Times New Roman" w:hAnsi="Times New Roman"/>
          <w:sz w:val="24"/>
          <w:szCs w:val="24"/>
        </w:rPr>
        <w:t>(a) – 2 (c) which show</w:t>
      </w:r>
      <w:r w:rsidRPr="00692930">
        <w:rPr>
          <w:rFonts w:ascii="Times New Roman" w:hAnsi="Times New Roman"/>
          <w:sz w:val="24"/>
          <w:szCs w:val="24"/>
        </w:rPr>
        <w:t xml:space="preserve"> </w:t>
      </w:r>
      <w:r w:rsidR="00487567" w:rsidRPr="00692930">
        <w:rPr>
          <w:rFonts w:ascii="Times New Roman" w:hAnsi="Times New Roman"/>
          <w:sz w:val="24"/>
          <w:szCs w:val="24"/>
        </w:rPr>
        <w:t xml:space="preserve">a </w:t>
      </w:r>
      <w:r w:rsidRPr="00692930">
        <w:rPr>
          <w:rFonts w:ascii="Times New Roman" w:hAnsi="Times New Roman"/>
          <w:sz w:val="24"/>
          <w:szCs w:val="24"/>
        </w:rPr>
        <w:t xml:space="preserve">comparison of selected galvanostatic cycles at similar current densities that are presented in terms of the </w:t>
      </w:r>
      <w:r w:rsidR="00B2323E" w:rsidRPr="00692930">
        <w:rPr>
          <w:rFonts w:ascii="Times New Roman" w:hAnsi="Times New Roman"/>
          <w:sz w:val="24"/>
          <w:szCs w:val="24"/>
        </w:rPr>
        <w:t>mass-</w:t>
      </w:r>
      <w:r w:rsidRPr="00692930">
        <w:rPr>
          <w:rFonts w:ascii="Times New Roman" w:hAnsi="Times New Roman"/>
          <w:sz w:val="24"/>
          <w:szCs w:val="24"/>
        </w:rPr>
        <w:t xml:space="preserve">normalized current </w:t>
      </w:r>
      <w:r w:rsidRPr="00692930">
        <w:rPr>
          <w:rFonts w:ascii="Times New Roman" w:hAnsi="Times New Roman"/>
          <w:i/>
          <w:sz w:val="24"/>
          <w:szCs w:val="24"/>
        </w:rPr>
        <w:t>I</w:t>
      </w:r>
      <w:r w:rsidRPr="00692930">
        <w:rPr>
          <w:rFonts w:ascii="Times New Roman" w:hAnsi="Times New Roman"/>
          <w:sz w:val="24"/>
          <w:szCs w:val="24"/>
          <w:vertAlign w:val="subscript"/>
        </w:rPr>
        <w:t>m</w:t>
      </w:r>
      <w:r w:rsidRPr="00692930">
        <w:rPr>
          <w:rFonts w:ascii="Times New Roman" w:hAnsi="Times New Roman"/>
          <w:sz w:val="24"/>
          <w:szCs w:val="24"/>
        </w:rPr>
        <w:t xml:space="preserve"> (in A per g of active material). The voltage hysteresis of LMP at low rates is distinctly larger than </w:t>
      </w:r>
      <w:r w:rsidR="00797646" w:rsidRPr="00692930">
        <w:rPr>
          <w:rFonts w:ascii="Times New Roman" w:hAnsi="Times New Roman"/>
          <w:sz w:val="24"/>
          <w:szCs w:val="24"/>
        </w:rPr>
        <w:t>in the case of</w:t>
      </w:r>
      <w:r w:rsidRPr="00692930">
        <w:rPr>
          <w:rFonts w:ascii="Times New Roman" w:hAnsi="Times New Roman"/>
          <w:sz w:val="24"/>
          <w:szCs w:val="24"/>
        </w:rPr>
        <w:t xml:space="preserve"> LFP and LCO</w:t>
      </w:r>
      <w:r w:rsidR="00487567" w:rsidRPr="00692930">
        <w:rPr>
          <w:rFonts w:ascii="Times New Roman" w:hAnsi="Times New Roman"/>
          <w:sz w:val="24"/>
          <w:szCs w:val="24"/>
        </w:rPr>
        <w:t>.</w:t>
      </w:r>
      <w:r w:rsidRPr="00692930">
        <w:rPr>
          <w:rFonts w:ascii="Times New Roman" w:hAnsi="Times New Roman"/>
          <w:sz w:val="24"/>
          <w:szCs w:val="24"/>
        </w:rPr>
        <w:t xml:space="preserve"> </w:t>
      </w:r>
      <w:r w:rsidR="00487567" w:rsidRPr="00692930">
        <w:rPr>
          <w:rFonts w:ascii="Times New Roman" w:hAnsi="Times New Roman"/>
          <w:sz w:val="24"/>
          <w:szCs w:val="24"/>
        </w:rPr>
        <w:t xml:space="preserve">However, with </w:t>
      </w:r>
      <w:r w:rsidR="006530A6" w:rsidRPr="00692930">
        <w:rPr>
          <w:rFonts w:ascii="Times New Roman" w:hAnsi="Times New Roman"/>
          <w:sz w:val="24"/>
          <w:szCs w:val="24"/>
        </w:rPr>
        <w:t>increasing rate, especially above ca. 1C</w:t>
      </w:r>
      <w:r w:rsidR="00797646" w:rsidRPr="00692930">
        <w:rPr>
          <w:rFonts w:ascii="Times New Roman" w:hAnsi="Times New Roman"/>
          <w:sz w:val="24"/>
          <w:szCs w:val="24"/>
        </w:rPr>
        <w:t xml:space="preserve"> (Fig. 2c)</w:t>
      </w:r>
      <w:r w:rsidR="006530A6" w:rsidRPr="00692930">
        <w:rPr>
          <w:rFonts w:ascii="Times New Roman" w:hAnsi="Times New Roman"/>
          <w:sz w:val="24"/>
          <w:szCs w:val="24"/>
        </w:rPr>
        <w:t>,</w:t>
      </w:r>
      <w:r w:rsidRPr="00692930">
        <w:rPr>
          <w:rFonts w:ascii="Times New Roman" w:hAnsi="Times New Roman"/>
          <w:sz w:val="24"/>
          <w:szCs w:val="24"/>
        </w:rPr>
        <w:t xml:space="preserve"> </w:t>
      </w:r>
      <w:r w:rsidR="00487567" w:rsidRPr="00692930">
        <w:rPr>
          <w:rFonts w:ascii="Times New Roman" w:hAnsi="Times New Roman"/>
          <w:sz w:val="24"/>
          <w:szCs w:val="24"/>
        </w:rPr>
        <w:t>the hysteresis of LMP</w:t>
      </w:r>
      <w:r w:rsidRPr="00692930">
        <w:rPr>
          <w:rFonts w:ascii="Times New Roman" w:hAnsi="Times New Roman"/>
          <w:sz w:val="24"/>
          <w:szCs w:val="24"/>
        </w:rPr>
        <w:t xml:space="preserve"> be</w:t>
      </w:r>
      <w:r w:rsidR="00E74E65" w:rsidRPr="00692930">
        <w:rPr>
          <w:rFonts w:ascii="Times New Roman" w:hAnsi="Times New Roman"/>
          <w:sz w:val="24"/>
          <w:szCs w:val="24"/>
        </w:rPr>
        <w:t>come</w:t>
      </w:r>
      <w:r w:rsidR="00797646" w:rsidRPr="00692930">
        <w:rPr>
          <w:rFonts w:ascii="Times New Roman" w:hAnsi="Times New Roman"/>
          <w:sz w:val="24"/>
          <w:szCs w:val="24"/>
        </w:rPr>
        <w:t>s</w:t>
      </w:r>
      <w:r w:rsidRPr="00692930">
        <w:rPr>
          <w:rFonts w:ascii="Times New Roman" w:hAnsi="Times New Roman"/>
          <w:sz w:val="24"/>
          <w:szCs w:val="24"/>
        </w:rPr>
        <w:t xml:space="preserve"> </w:t>
      </w:r>
      <w:r w:rsidR="00797646" w:rsidRPr="00692930">
        <w:rPr>
          <w:rFonts w:ascii="Times New Roman" w:hAnsi="Times New Roman"/>
          <w:sz w:val="24"/>
          <w:szCs w:val="24"/>
        </w:rPr>
        <w:t xml:space="preserve">comparable to the hysteresis </w:t>
      </w:r>
      <w:r w:rsidR="006530A6" w:rsidRPr="00692930">
        <w:rPr>
          <w:rFonts w:ascii="Times New Roman" w:hAnsi="Times New Roman"/>
          <w:sz w:val="24"/>
          <w:szCs w:val="24"/>
        </w:rPr>
        <w:t>for</w:t>
      </w:r>
      <w:r w:rsidR="00797646" w:rsidRPr="00692930">
        <w:rPr>
          <w:rFonts w:ascii="Times New Roman" w:hAnsi="Times New Roman"/>
          <w:sz w:val="24"/>
          <w:szCs w:val="24"/>
        </w:rPr>
        <w:t xml:space="preserve"> LFP and LCO - which is rather </w:t>
      </w:r>
      <w:r w:rsidR="00797646" w:rsidRPr="00692930">
        <w:rPr>
          <w:rFonts w:ascii="Times New Roman" w:hAnsi="Times New Roman"/>
          <w:sz w:val="24"/>
          <w:szCs w:val="24"/>
        </w:rPr>
        <w:lastRenderedPageBreak/>
        <w:t>unexpected.</w:t>
      </w:r>
      <w:r w:rsidRPr="00692930">
        <w:rPr>
          <w:rFonts w:ascii="Times New Roman" w:hAnsi="Times New Roman"/>
          <w:sz w:val="24"/>
          <w:szCs w:val="24"/>
        </w:rPr>
        <w:t xml:space="preserve"> </w:t>
      </w:r>
      <w:r w:rsidR="00797646" w:rsidRPr="00692930">
        <w:rPr>
          <w:rFonts w:ascii="Times New Roman" w:hAnsi="Times New Roman"/>
          <w:sz w:val="24"/>
          <w:szCs w:val="24"/>
        </w:rPr>
        <w:t xml:space="preserve">Without trying to find a deeper mechanistic reason, we here mainly comment this result in terms </w:t>
      </w:r>
      <w:r w:rsidR="006530A6" w:rsidRPr="00692930">
        <w:rPr>
          <w:rFonts w:ascii="Times New Roman" w:hAnsi="Times New Roman"/>
          <w:sz w:val="24"/>
          <w:szCs w:val="24"/>
        </w:rPr>
        <w:t>of</w:t>
      </w:r>
      <w:r w:rsidRPr="00692930">
        <w:rPr>
          <w:rFonts w:ascii="Times New Roman" w:hAnsi="Times New Roman"/>
          <w:sz w:val="24"/>
          <w:szCs w:val="24"/>
        </w:rPr>
        <w:t xml:space="preserve"> energy efficiency of the </w:t>
      </w:r>
      <w:r w:rsidR="006530A6" w:rsidRPr="00692930">
        <w:rPr>
          <w:rFonts w:ascii="Times New Roman" w:hAnsi="Times New Roman"/>
          <w:sz w:val="24"/>
          <w:szCs w:val="24"/>
        </w:rPr>
        <w:t xml:space="preserve">various </w:t>
      </w:r>
      <w:r w:rsidRPr="00692930">
        <w:rPr>
          <w:rFonts w:ascii="Times New Roman" w:hAnsi="Times New Roman"/>
          <w:sz w:val="24"/>
          <w:szCs w:val="24"/>
        </w:rPr>
        <w:t xml:space="preserve">cells, </w:t>
      </w:r>
      <w:r w:rsidRPr="00692930">
        <w:rPr>
          <w:rFonts w:ascii="Times New Roman" w:hAnsi="Times New Roman"/>
          <w:i/>
          <w:sz w:val="24"/>
          <w:szCs w:val="24"/>
        </w:rPr>
        <w:sym w:font="Symbol" w:char="F065"/>
      </w:r>
      <w:r w:rsidR="00797646" w:rsidRPr="00692930">
        <w:rPr>
          <w:rFonts w:ascii="Times New Roman" w:hAnsi="Times New Roman"/>
          <w:sz w:val="24"/>
          <w:szCs w:val="24"/>
        </w:rPr>
        <w:t>.</w:t>
      </w:r>
      <w:r w:rsidR="00140BDC" w:rsidRPr="00692930">
        <w:rPr>
          <w:rFonts w:ascii="Times New Roman" w:hAnsi="Times New Roman"/>
          <w:sz w:val="24"/>
          <w:szCs w:val="24"/>
        </w:rPr>
        <w:t xml:space="preserve"> </w:t>
      </w:r>
      <w:r w:rsidR="00797646" w:rsidRPr="00692930">
        <w:rPr>
          <w:rFonts w:ascii="Times New Roman" w:hAnsi="Times New Roman"/>
          <w:sz w:val="24"/>
          <w:szCs w:val="24"/>
        </w:rPr>
        <w:t>The latter</w:t>
      </w:r>
      <w:r w:rsidR="00140BDC" w:rsidRPr="00692930">
        <w:rPr>
          <w:rFonts w:ascii="Times New Roman" w:hAnsi="Times New Roman"/>
          <w:sz w:val="24"/>
          <w:szCs w:val="24"/>
        </w:rPr>
        <w:t xml:space="preserve"> </w:t>
      </w:r>
      <w:r w:rsidRPr="00692930">
        <w:rPr>
          <w:rFonts w:ascii="Times New Roman" w:hAnsi="Times New Roman"/>
          <w:sz w:val="24"/>
          <w:szCs w:val="24"/>
        </w:rPr>
        <w:t xml:space="preserve">can be </w:t>
      </w:r>
      <w:r w:rsidR="00797646" w:rsidRPr="00692930">
        <w:rPr>
          <w:rFonts w:ascii="Times New Roman" w:hAnsi="Times New Roman"/>
          <w:sz w:val="24"/>
          <w:szCs w:val="24"/>
        </w:rPr>
        <w:t>defined as follows</w:t>
      </w:r>
      <w:r w:rsidRPr="00692930">
        <w:rPr>
          <w:rFonts w:ascii="Times New Roman" w:hAnsi="Times New Roman"/>
          <w:sz w:val="24"/>
          <w:szCs w:val="24"/>
        </w:rPr>
        <w:t xml:space="preserve">: </w:t>
      </w:r>
    </w:p>
    <w:p w:rsidR="00F42725" w:rsidRPr="00692930" w:rsidRDefault="00852FC4" w:rsidP="008A3866">
      <w:pPr>
        <w:ind w:left="1416" w:firstLine="708"/>
        <w:rPr>
          <w:rFonts w:ascii="Times New Roman" w:hAnsi="Times New Roman"/>
          <w:sz w:val="24"/>
          <w:szCs w:val="24"/>
        </w:rPr>
      </w:pPr>
      <w:r w:rsidRPr="00692930">
        <w:rPr>
          <w:rFonts w:ascii="Times New Roman" w:hAnsi="Times New Roman"/>
          <w:position w:val="-28"/>
          <w:sz w:val="24"/>
          <w:szCs w:val="24"/>
        </w:rPr>
        <w:object w:dxaOrig="21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7pt;height:32.25pt" o:ole="">
            <v:imagedata r:id="rId11" o:title=""/>
          </v:shape>
          <o:OLEObject Type="Embed" ProgID="Equation.3" ShapeID="_x0000_i1025" DrawAspect="Content" ObjectID="_1511952405" r:id="rId12"/>
        </w:object>
      </w:r>
      <w:r w:rsidRPr="00692930">
        <w:rPr>
          <w:rFonts w:ascii="Times New Roman" w:hAnsi="Times New Roman"/>
          <w:sz w:val="24"/>
          <w:szCs w:val="24"/>
        </w:rPr>
        <w:t xml:space="preserve"> </w:t>
      </w:r>
      <w:r w:rsidR="00140BDC" w:rsidRPr="00692930">
        <w:rPr>
          <w:rFonts w:ascii="Times New Roman" w:hAnsi="Times New Roman"/>
          <w:sz w:val="24"/>
          <w:szCs w:val="24"/>
        </w:rPr>
        <w:tab/>
      </w:r>
      <w:r w:rsidR="00140BDC" w:rsidRPr="00692930">
        <w:rPr>
          <w:rFonts w:ascii="Times New Roman" w:hAnsi="Times New Roman"/>
          <w:sz w:val="24"/>
          <w:szCs w:val="24"/>
        </w:rPr>
        <w:tab/>
      </w:r>
      <w:r w:rsidR="00140BDC" w:rsidRPr="00692930">
        <w:rPr>
          <w:rFonts w:ascii="Times New Roman" w:hAnsi="Times New Roman"/>
          <w:sz w:val="24"/>
          <w:szCs w:val="24"/>
        </w:rPr>
        <w:tab/>
      </w:r>
      <w:r w:rsidR="00140BDC" w:rsidRPr="00692930">
        <w:rPr>
          <w:rFonts w:ascii="Times New Roman" w:hAnsi="Times New Roman"/>
          <w:sz w:val="24"/>
          <w:szCs w:val="24"/>
        </w:rPr>
        <w:tab/>
      </w:r>
      <w:r w:rsidR="00140BDC" w:rsidRPr="00692930">
        <w:rPr>
          <w:rFonts w:ascii="Times New Roman" w:hAnsi="Times New Roman"/>
          <w:sz w:val="24"/>
          <w:szCs w:val="24"/>
        </w:rPr>
        <w:tab/>
      </w:r>
      <w:r w:rsidR="00B2323E" w:rsidRPr="00692930">
        <w:rPr>
          <w:rFonts w:ascii="Times New Roman" w:hAnsi="Times New Roman"/>
          <w:sz w:val="24"/>
          <w:szCs w:val="24"/>
        </w:rPr>
        <w:t>(1)</w:t>
      </w:r>
      <w:r w:rsidR="00221909" w:rsidRPr="00692930">
        <w:rPr>
          <w:rFonts w:ascii="Times New Roman" w:hAnsi="Times New Roman"/>
          <w:sz w:val="24"/>
          <w:szCs w:val="24"/>
        </w:rPr>
        <w:t>,</w:t>
      </w:r>
      <w:r w:rsidR="00140BDC" w:rsidRPr="00692930">
        <w:rPr>
          <w:rFonts w:ascii="Times New Roman" w:hAnsi="Times New Roman"/>
          <w:sz w:val="24"/>
          <w:szCs w:val="24"/>
        </w:rPr>
        <w:t xml:space="preserve"> </w:t>
      </w:r>
    </w:p>
    <w:p w:rsidR="004326D4" w:rsidRPr="00692930" w:rsidRDefault="004326D4" w:rsidP="008A3866">
      <w:pPr>
        <w:ind w:left="1416" w:firstLine="708"/>
        <w:rPr>
          <w:rFonts w:ascii="Times New Roman" w:hAnsi="Times New Roman"/>
          <w:sz w:val="24"/>
          <w:szCs w:val="24"/>
        </w:rPr>
      </w:pPr>
    </w:p>
    <w:p w:rsidR="009D54B0" w:rsidRPr="00692930" w:rsidRDefault="009D54B0" w:rsidP="008A3866">
      <w:pPr>
        <w:ind w:firstLine="0"/>
        <w:rPr>
          <w:rFonts w:ascii="Times New Roman" w:hAnsi="Times New Roman"/>
          <w:sz w:val="24"/>
          <w:szCs w:val="24"/>
        </w:rPr>
      </w:pPr>
      <w:r w:rsidRPr="00692930">
        <w:rPr>
          <w:rFonts w:ascii="Times New Roman" w:hAnsi="Times New Roman"/>
          <w:sz w:val="24"/>
          <w:szCs w:val="24"/>
        </w:rPr>
        <w:t xml:space="preserve">where </w:t>
      </w:r>
      <w:r w:rsidR="00852FC4" w:rsidRPr="00692930">
        <w:rPr>
          <w:rFonts w:ascii="Times New Roman" w:hAnsi="Times New Roman"/>
          <w:position w:val="-10"/>
          <w:sz w:val="24"/>
          <w:szCs w:val="24"/>
        </w:rPr>
        <w:object w:dxaOrig="1260" w:dyaOrig="320">
          <v:shape id="_x0000_i1026" type="#_x0000_t75" style="width:62.2pt;height:15pt" o:ole="">
            <v:imagedata r:id="rId13" o:title=""/>
          </v:shape>
          <o:OLEObject Type="Embed" ProgID="Equation.3" ShapeID="_x0000_i1026" DrawAspect="Content" ObjectID="_1511952406" r:id="rId14"/>
        </w:object>
      </w:r>
      <w:r w:rsidRPr="00692930">
        <w:rPr>
          <w:rFonts w:ascii="Times New Roman" w:hAnsi="Times New Roman"/>
          <w:sz w:val="24"/>
          <w:szCs w:val="24"/>
        </w:rPr>
        <w:fldChar w:fldCharType="begin"/>
      </w:r>
      <w:r w:rsidRPr="00692930">
        <w:rPr>
          <w:rFonts w:ascii="Times New Roman" w:hAnsi="Times New Roman"/>
          <w:sz w:val="24"/>
          <w:szCs w:val="24"/>
        </w:rPr>
        <w:instrText xml:space="preserve"> QUOTE </w:instrText>
      </w:r>
      <m:oMath>
        <m:r>
          <m:rPr>
            <m:sty m:val="p"/>
          </m:rPr>
          <w:rPr>
            <w:rFonts w:ascii="Cambria Math" w:hAnsi="Cambria Math"/>
            <w:sz w:val="24"/>
            <w:szCs w:val="24"/>
          </w:rPr>
          <m:t>∆W</m:t>
        </m:r>
        <m:d>
          <m:dPr>
            <m:ctrlPr>
              <w:rPr>
                <w:rFonts w:ascii="Cambria Math" w:hAnsi="Cambria Math"/>
                <w:i/>
                <w:sz w:val="24"/>
                <w:szCs w:val="24"/>
              </w:rPr>
            </m:ctrlPr>
          </m:dPr>
          <m:e>
            <m:r>
              <m:rPr>
                <m:sty m:val="p"/>
              </m:rPr>
              <w:rPr>
                <w:rFonts w:ascii="Cambria Math" w:hAnsi="Cambria Math"/>
                <w:sz w:val="24"/>
                <w:szCs w:val="24"/>
              </w:rPr>
              <m:t>charge</m:t>
            </m:r>
          </m:e>
        </m:d>
      </m:oMath>
      <w:r w:rsidRPr="00692930">
        <w:rPr>
          <w:rFonts w:ascii="Times New Roman" w:hAnsi="Times New Roman"/>
          <w:sz w:val="24"/>
          <w:szCs w:val="24"/>
        </w:rPr>
        <w:instrText xml:space="preserve"> </w:instrText>
      </w:r>
      <w:r w:rsidRPr="00692930">
        <w:rPr>
          <w:rFonts w:ascii="Times New Roman" w:hAnsi="Times New Roman"/>
          <w:sz w:val="24"/>
          <w:szCs w:val="24"/>
        </w:rPr>
        <w:fldChar w:fldCharType="end"/>
      </w:r>
      <w:r w:rsidRPr="00692930">
        <w:rPr>
          <w:rFonts w:ascii="Times New Roman" w:hAnsi="Times New Roman"/>
          <w:sz w:val="24"/>
          <w:szCs w:val="24"/>
        </w:rPr>
        <w:t xml:space="preserve"> and </w:t>
      </w:r>
      <w:r w:rsidRPr="00692930">
        <w:rPr>
          <w:rFonts w:ascii="Times New Roman" w:hAnsi="Times New Roman"/>
          <w:sz w:val="24"/>
          <w:szCs w:val="24"/>
        </w:rPr>
        <w:fldChar w:fldCharType="begin"/>
      </w:r>
      <w:r w:rsidRPr="00692930">
        <w:rPr>
          <w:rFonts w:ascii="Times New Roman" w:hAnsi="Times New Roman"/>
          <w:sz w:val="24"/>
          <w:szCs w:val="24"/>
        </w:rPr>
        <w:instrText xml:space="preserve"> QUOTE </w:instrText>
      </w:r>
      <m:oMath>
        <m:r>
          <m:rPr>
            <m:sty m:val="p"/>
          </m:rPr>
          <w:rPr>
            <w:rFonts w:ascii="Cambria Math" w:hAnsi="Cambria Math"/>
            <w:sz w:val="24"/>
            <w:szCs w:val="24"/>
          </w:rPr>
          <m:t>∆W(discharge)</m:t>
        </m:r>
      </m:oMath>
      <w:r w:rsidRPr="00692930">
        <w:rPr>
          <w:rFonts w:ascii="Times New Roman" w:hAnsi="Times New Roman"/>
          <w:sz w:val="24"/>
          <w:szCs w:val="24"/>
        </w:rPr>
        <w:instrText xml:space="preserve"> </w:instrText>
      </w:r>
      <w:r w:rsidRPr="00692930">
        <w:rPr>
          <w:rFonts w:ascii="Times New Roman" w:hAnsi="Times New Roman"/>
          <w:sz w:val="24"/>
          <w:szCs w:val="24"/>
        </w:rPr>
        <w:fldChar w:fldCharType="separate"/>
      </w:r>
      <w:r w:rsidR="00852FC4" w:rsidRPr="00692930">
        <w:rPr>
          <w:rFonts w:ascii="Times New Roman" w:hAnsi="Times New Roman"/>
          <w:position w:val="-10"/>
          <w:sz w:val="24"/>
          <w:szCs w:val="24"/>
        </w:rPr>
        <w:object w:dxaOrig="1540" w:dyaOrig="320">
          <v:shape id="_x0000_i1027" type="#_x0000_t75" style="width:76.05pt;height:15pt" o:ole="">
            <v:imagedata r:id="rId15" o:title=""/>
          </v:shape>
          <o:OLEObject Type="Embed" ProgID="Equation.3" ShapeID="_x0000_i1027" DrawAspect="Content" ObjectID="_1511952407" r:id="rId16"/>
        </w:object>
      </w:r>
      <w:r w:rsidRPr="00692930">
        <w:rPr>
          <w:rFonts w:ascii="Times New Roman" w:hAnsi="Times New Roman"/>
          <w:sz w:val="24"/>
          <w:szCs w:val="24"/>
        </w:rPr>
        <w:fldChar w:fldCharType="end"/>
      </w:r>
      <w:r w:rsidRPr="00692930">
        <w:rPr>
          <w:rFonts w:ascii="Times New Roman" w:hAnsi="Times New Roman"/>
          <w:sz w:val="24"/>
          <w:szCs w:val="24"/>
        </w:rPr>
        <w:t xml:space="preserve"> are the total energy changes in the cell during galvanostatic charge and discharge. The total ene</w:t>
      </w:r>
      <w:r w:rsidR="00BB2426" w:rsidRPr="00692930">
        <w:rPr>
          <w:rFonts w:ascii="Times New Roman" w:hAnsi="Times New Roman"/>
          <w:sz w:val="24"/>
          <w:szCs w:val="24"/>
        </w:rPr>
        <w:t>rgy that is transferred</w:t>
      </w:r>
      <w:r w:rsidRPr="00692930">
        <w:rPr>
          <w:rFonts w:ascii="Times New Roman" w:hAnsi="Times New Roman"/>
          <w:sz w:val="24"/>
          <w:szCs w:val="24"/>
        </w:rPr>
        <w:t xml:space="preserve"> to/from an electrochemical cell is assumed to be equal to the change of th</w:t>
      </w:r>
      <w:r w:rsidR="00B2323E" w:rsidRPr="00692930">
        <w:rPr>
          <w:rFonts w:ascii="Times New Roman" w:hAnsi="Times New Roman"/>
          <w:sz w:val="24"/>
          <w:szCs w:val="24"/>
        </w:rPr>
        <w:t xml:space="preserve">e electrical energy of the cell,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e</m:t>
            </m:r>
          </m:sub>
        </m:sSub>
      </m:oMath>
      <w:r w:rsidR="00B2323E" w:rsidRPr="00692930">
        <w:rPr>
          <w:rFonts w:ascii="Times New Roman" w:hAnsi="Times New Roman"/>
          <w:sz w:val="24"/>
          <w:szCs w:val="24"/>
        </w:rPr>
        <w:t xml:space="preserve">, </w:t>
      </w:r>
      <w:r w:rsidRPr="00692930">
        <w:rPr>
          <w:rFonts w:ascii="Times New Roman" w:hAnsi="Times New Roman"/>
          <w:sz w:val="24"/>
          <w:szCs w:val="24"/>
        </w:rPr>
        <w:t xml:space="preserve">and is obtained simply by integration: </w:t>
      </w:r>
    </w:p>
    <w:p w:rsidR="009D54B0" w:rsidRPr="00692930" w:rsidRDefault="00B2323E" w:rsidP="008A3866">
      <w:pPr>
        <w:ind w:left="1416" w:firstLine="708"/>
        <w:rPr>
          <w:rFonts w:ascii="Times New Roman" w:hAnsi="Times New Roman"/>
          <w:sz w:val="24"/>
          <w:szCs w:val="24"/>
        </w:rPr>
      </w:pPr>
      <w:r w:rsidRPr="00692930">
        <w:rPr>
          <w:rFonts w:ascii="Times New Roman" w:hAnsi="Times New Roman"/>
          <w:position w:val="-32"/>
          <w:sz w:val="24"/>
          <w:szCs w:val="24"/>
        </w:rPr>
        <w:object w:dxaOrig="2820" w:dyaOrig="760">
          <v:shape id="_x0000_i1028" type="#_x0000_t75" style="width:141.1pt;height:37.45pt" o:ole="">
            <v:imagedata r:id="rId17" o:title=""/>
          </v:shape>
          <o:OLEObject Type="Embed" ProgID="Equation.3" ShapeID="_x0000_i1028" DrawAspect="Content" ObjectID="_1511952408" r:id="rId18"/>
        </w:object>
      </w:r>
      <w:r w:rsidR="00140BDC" w:rsidRPr="00692930">
        <w:rPr>
          <w:rFonts w:ascii="Times New Roman" w:hAnsi="Times New Roman"/>
          <w:sz w:val="24"/>
          <w:szCs w:val="24"/>
        </w:rPr>
        <w:t xml:space="preserve"> </w:t>
      </w:r>
      <w:r w:rsidR="00140BDC" w:rsidRPr="00692930">
        <w:rPr>
          <w:rFonts w:ascii="Times New Roman" w:hAnsi="Times New Roman"/>
          <w:sz w:val="24"/>
          <w:szCs w:val="24"/>
        </w:rPr>
        <w:tab/>
      </w:r>
      <w:r w:rsidR="00140BDC" w:rsidRPr="00692930">
        <w:rPr>
          <w:rFonts w:ascii="Times New Roman" w:hAnsi="Times New Roman"/>
          <w:sz w:val="24"/>
          <w:szCs w:val="24"/>
        </w:rPr>
        <w:tab/>
      </w:r>
      <w:r w:rsidR="00140BDC" w:rsidRPr="00692930">
        <w:rPr>
          <w:rFonts w:ascii="Times New Roman" w:hAnsi="Times New Roman"/>
          <w:sz w:val="24"/>
          <w:szCs w:val="24"/>
        </w:rPr>
        <w:tab/>
      </w:r>
      <w:r w:rsidR="00140BDC" w:rsidRPr="00692930">
        <w:rPr>
          <w:rFonts w:ascii="Times New Roman" w:hAnsi="Times New Roman"/>
          <w:sz w:val="24"/>
          <w:szCs w:val="24"/>
        </w:rPr>
        <w:tab/>
      </w:r>
      <w:r w:rsidRPr="00692930">
        <w:rPr>
          <w:rFonts w:ascii="Times New Roman" w:hAnsi="Times New Roman"/>
          <w:sz w:val="24"/>
          <w:szCs w:val="24"/>
        </w:rPr>
        <w:t>(</w:t>
      </w:r>
      <w:r w:rsidR="009D54B0" w:rsidRPr="00692930">
        <w:rPr>
          <w:rFonts w:ascii="Times New Roman" w:hAnsi="Times New Roman"/>
          <w:sz w:val="24"/>
          <w:szCs w:val="24"/>
        </w:rPr>
        <w:t>2</w:t>
      </w:r>
      <w:r w:rsidRPr="00692930">
        <w:rPr>
          <w:rFonts w:ascii="Times New Roman" w:hAnsi="Times New Roman"/>
          <w:sz w:val="24"/>
          <w:szCs w:val="24"/>
        </w:rPr>
        <w:t>)</w:t>
      </w:r>
      <w:r w:rsidR="00221909" w:rsidRPr="00692930">
        <w:rPr>
          <w:rFonts w:ascii="Times New Roman" w:hAnsi="Times New Roman"/>
          <w:sz w:val="24"/>
          <w:szCs w:val="24"/>
        </w:rPr>
        <w:t>,</w:t>
      </w:r>
    </w:p>
    <w:p w:rsidR="009D54B0" w:rsidRPr="00692930" w:rsidRDefault="00B2323E" w:rsidP="008A3866">
      <w:pPr>
        <w:ind w:firstLine="0"/>
        <w:rPr>
          <w:rFonts w:ascii="Times New Roman" w:hAnsi="Times New Roman"/>
          <w:sz w:val="24"/>
          <w:szCs w:val="24"/>
        </w:rPr>
      </w:pPr>
      <w:r w:rsidRPr="00692930">
        <w:rPr>
          <w:rFonts w:ascii="Times New Roman" w:hAnsi="Times New Roman"/>
          <w:sz w:val="24"/>
          <w:szCs w:val="24"/>
        </w:rPr>
        <w:t>w</w:t>
      </w:r>
      <w:r w:rsidR="009D54B0" w:rsidRPr="00692930">
        <w:rPr>
          <w:rFonts w:ascii="Times New Roman" w:hAnsi="Times New Roman"/>
          <w:sz w:val="24"/>
          <w:szCs w:val="24"/>
        </w:rPr>
        <w:t xml:space="preserve">here </w:t>
      </w:r>
      <w:r w:rsidR="00140BDC" w:rsidRPr="00692930">
        <w:rPr>
          <w:rFonts w:ascii="Times New Roman" w:hAnsi="Times New Roman"/>
          <w:sz w:val="24"/>
          <w:szCs w:val="24"/>
        </w:rPr>
        <w:t>indexes 1 and 2</w:t>
      </w:r>
      <w:r w:rsidR="009D54B0" w:rsidRPr="00692930">
        <w:rPr>
          <w:rFonts w:ascii="Times New Roman" w:hAnsi="Times New Roman"/>
          <w:sz w:val="24"/>
          <w:szCs w:val="24"/>
        </w:rPr>
        <w:t xml:space="preserve"> correspond to the start and end of charge (or discharge) process, </w:t>
      </w:r>
      <w:r w:rsidR="009D54B0" w:rsidRPr="00692930">
        <w:rPr>
          <w:rFonts w:ascii="Times New Roman" w:hAnsi="Times New Roman"/>
          <w:i/>
          <w:sz w:val="24"/>
          <w:szCs w:val="24"/>
        </w:rPr>
        <w:t>I</w:t>
      </w:r>
      <w:r w:rsidR="00140BDC" w:rsidRPr="00692930">
        <w:rPr>
          <w:rFonts w:ascii="Times New Roman" w:hAnsi="Times New Roman"/>
          <w:sz w:val="24"/>
          <w:szCs w:val="24"/>
        </w:rPr>
        <w:t xml:space="preserve"> is the constant</w:t>
      </w:r>
      <w:r w:rsidR="009D54B0" w:rsidRPr="00692930">
        <w:rPr>
          <w:rFonts w:ascii="Times New Roman" w:hAnsi="Times New Roman"/>
          <w:sz w:val="24"/>
          <w:szCs w:val="24"/>
        </w:rPr>
        <w:t xml:space="preserve"> current and </w:t>
      </w:r>
      <w:r w:rsidR="009D54B0" w:rsidRPr="00692930">
        <w:rPr>
          <w:rFonts w:ascii="Times New Roman" w:hAnsi="Times New Roman"/>
          <w:i/>
          <w:sz w:val="24"/>
          <w:szCs w:val="24"/>
        </w:rPr>
        <w:t>V</w:t>
      </w:r>
      <w:r w:rsidR="009D54B0" w:rsidRPr="00692930">
        <w:rPr>
          <w:rFonts w:ascii="Times New Roman" w:hAnsi="Times New Roman"/>
          <w:sz w:val="24"/>
          <w:szCs w:val="24"/>
        </w:rPr>
        <w:t>(</w:t>
      </w:r>
      <w:r w:rsidR="009D54B0" w:rsidRPr="00692930">
        <w:rPr>
          <w:rFonts w:ascii="Times New Roman" w:hAnsi="Times New Roman"/>
          <w:i/>
          <w:sz w:val="24"/>
          <w:szCs w:val="24"/>
        </w:rPr>
        <w:t>t</w:t>
      </w:r>
      <w:r w:rsidR="009D54B0" w:rsidRPr="00692930">
        <w:rPr>
          <w:rFonts w:ascii="Times New Roman" w:hAnsi="Times New Roman"/>
          <w:sz w:val="24"/>
          <w:szCs w:val="24"/>
        </w:rPr>
        <w:t xml:space="preserve">) the measured voltage of the cell during charge (or discharge) as a function of time, </w:t>
      </w:r>
      <w:r w:rsidR="009D54B0" w:rsidRPr="00692930">
        <w:rPr>
          <w:rFonts w:ascii="Times New Roman" w:hAnsi="Times New Roman"/>
          <w:i/>
          <w:sz w:val="24"/>
          <w:szCs w:val="24"/>
        </w:rPr>
        <w:t>t</w:t>
      </w:r>
      <w:r w:rsidR="009D54B0" w:rsidRPr="00692930">
        <w:rPr>
          <w:rFonts w:ascii="Times New Roman" w:hAnsi="Times New Roman"/>
          <w:sz w:val="24"/>
          <w:szCs w:val="24"/>
        </w:rPr>
        <w:t>. The obtained energy efficiencies (</w:t>
      </w:r>
      <w:r w:rsidR="009D54B0" w:rsidRPr="00692930">
        <w:rPr>
          <w:rFonts w:ascii="Times New Roman" w:hAnsi="Times New Roman"/>
          <w:i/>
          <w:sz w:val="24"/>
          <w:szCs w:val="24"/>
        </w:rPr>
        <w:sym w:font="Symbol" w:char="F065"/>
      </w:r>
      <w:r w:rsidR="009D54B0" w:rsidRPr="00692930">
        <w:rPr>
          <w:rFonts w:ascii="Times New Roman" w:hAnsi="Times New Roman"/>
          <w:sz w:val="24"/>
          <w:szCs w:val="24"/>
        </w:rPr>
        <w:t>) of the cells for sets of measured galvanosta</w:t>
      </w:r>
      <w:r w:rsidRPr="00692930">
        <w:rPr>
          <w:rFonts w:ascii="Times New Roman" w:hAnsi="Times New Roman"/>
          <w:sz w:val="24"/>
          <w:szCs w:val="24"/>
        </w:rPr>
        <w:t>t</w:t>
      </w:r>
      <w:r w:rsidR="009D54B0" w:rsidRPr="00692930">
        <w:rPr>
          <w:rFonts w:ascii="Times New Roman" w:hAnsi="Times New Roman"/>
          <w:sz w:val="24"/>
          <w:szCs w:val="24"/>
        </w:rPr>
        <w:t xml:space="preserve">ic curves shown on Fig. 1 are shown on Fig. 2d where there are plotted versus normalized current, </w:t>
      </w:r>
      <w:r w:rsidR="009D54B0" w:rsidRPr="00692930">
        <w:rPr>
          <w:rFonts w:ascii="Times New Roman" w:hAnsi="Times New Roman"/>
          <w:i/>
          <w:sz w:val="24"/>
          <w:szCs w:val="24"/>
        </w:rPr>
        <w:t>I</w:t>
      </w:r>
      <w:r w:rsidR="009D54B0" w:rsidRPr="00692930">
        <w:rPr>
          <w:rFonts w:ascii="Times New Roman" w:hAnsi="Times New Roman"/>
          <w:sz w:val="24"/>
          <w:szCs w:val="24"/>
          <w:vertAlign w:val="subscript"/>
        </w:rPr>
        <w:t>m</w:t>
      </w:r>
      <w:r w:rsidR="009D54B0" w:rsidRPr="00692930">
        <w:rPr>
          <w:rFonts w:ascii="Times New Roman" w:hAnsi="Times New Roman"/>
          <w:sz w:val="24"/>
          <w:szCs w:val="24"/>
        </w:rPr>
        <w:t>.</w:t>
      </w:r>
    </w:p>
    <w:p w:rsidR="00F32C31" w:rsidRPr="00692930" w:rsidRDefault="00F32C31" w:rsidP="00F32C31">
      <w:pPr>
        <w:autoSpaceDE w:val="0"/>
        <w:autoSpaceDN w:val="0"/>
        <w:adjustRightInd w:val="0"/>
        <w:rPr>
          <w:rFonts w:ascii="Times New Roman" w:hAnsi="Times New Roman"/>
          <w:sz w:val="24"/>
          <w:szCs w:val="24"/>
        </w:rPr>
      </w:pPr>
      <w:r w:rsidRPr="00692930">
        <w:rPr>
          <w:rFonts w:ascii="Times New Roman" w:hAnsi="Times New Roman"/>
          <w:sz w:val="24"/>
          <w:szCs w:val="24"/>
        </w:rPr>
        <w:t>It is generally expected for battery systems that the energy efficiency be reduced when increasing the current density. The results of Fig. 2d are in line with this hypothesis, except in the case of LMP at the lowest tested rate (C/20) where unexpectedly low efficiency (85 %) was obtained. This deviation is due to the large coulombic irreversibility of the C/20 galvanostatic cycle (see Fig. 1a), that was measured as the third C/20 cycle in a sequence starting with the “pristine electrode” with the LiMnPO</w:t>
      </w:r>
      <w:r w:rsidRPr="00692930">
        <w:rPr>
          <w:rFonts w:ascii="Times New Roman" w:hAnsi="Times New Roman"/>
          <w:sz w:val="24"/>
          <w:szCs w:val="24"/>
          <w:vertAlign w:val="subscript"/>
        </w:rPr>
        <w:t>4</w:t>
      </w:r>
      <w:r w:rsidRPr="00692930">
        <w:rPr>
          <w:rFonts w:ascii="Times New Roman" w:hAnsi="Times New Roman"/>
          <w:sz w:val="24"/>
          <w:szCs w:val="24"/>
        </w:rPr>
        <w:t>-C material in the pristine state. As shown in our recent paper</w:t>
      </w:r>
      <w:r w:rsidR="00E415E7" w:rsidRPr="00692930">
        <w:rPr>
          <w:rFonts w:ascii="Times New Roman" w:hAnsi="Times New Roman"/>
          <w:sz w:val="24"/>
          <w:szCs w:val="24"/>
        </w:rPr>
        <w:t>,</w:t>
      </w:r>
      <w:r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"10.1016/j.jpowsour.2015.10.094", "ISSN" : "03787753", "author" : [ { "dropping-particle" : "", "family" : "Moskon", "given" : "J.", "non-dropping-particle" : "", "parse-names" : false, "suffix" : "" }, { "dropping-particle" : "", "family" : "Pivko", "given" : "M.", "non-dropping-particle" : "", "parse-names" : false, "suffix" : "" }, { "dropping-particle" : "", "family" : "Jerman", "given" : "I.", "non-dropping-particle" : "", "parse-names" : false, "suffix" : "" }, { "dropping-particle" : "", "family" : "Tchernychova", "given" : "E.", "non-dropping-particle" : "", "parse-names" : false, "suffix" : "" }, { "dropping-particle" : "", "family" : "Logar", "given" : "N. Zabukovec", "non-dropping-particle" : "", "parse-names" : false, "suffix" : "" }, { "dropping-particle" : "", "family" : "Zorko", "given" : "M.", "non-dropping-particle" : "", "parse-names" : false, "suffix" : "" }, { "dropping-particle" : "", "family" : "Selih", "given" : "V.S.", "non-dropping-particle" : "", "parse-names" : false, "suffix" : "" }, { "dropping-particle" : "", "family" : "Dominko", "given" : "R.", "non-dropping-particle" : "", "parse-names" : false, "suffix" : "" }, { "dropping-particle" : "", "family" : "Gaberscek", "given" : "M.", "non-dropping-particle" : "", "parse-names" : false, "suffix" : "" } ], "container-title" : "Journal of Power Sources", "id" : "ITEM-1", "issued" : { "date-parts" : [ [ "2016", "1" ] ] }, "page" : "97-108", "publisher" : "Elsevier B.V", "title" : "Cycling stability and degradation mechanism of LiMnPO4 based electrodes", "type" : "article-journal", "volume" : "303" }, "uris" : [ "http://www.mendeley.com/documents/?uuid=9eec3bc6-ee5b-4e69-9209-77285b3370c3" ] } ], "mendeley" : { "formattedCitation" : "&lt;sup&gt;29&lt;/sup&gt;", "plainTextFormattedCitation" : "29", "previouslyFormattedCitation" : "&lt;sup&gt;29&lt;/sup&gt;" }, "properties" : { "noteIndex" : 0 }, "schema" : "https://github.com/citation-style-language/schema/raw/master/csl-citation.json" }</w:instrText>
      </w:r>
      <w:r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29</w:t>
      </w:r>
      <w:r w:rsidRPr="00692930">
        <w:rPr>
          <w:rFonts w:ascii="Times New Roman" w:hAnsi="Times New Roman"/>
          <w:sz w:val="24"/>
          <w:szCs w:val="24"/>
        </w:rPr>
        <w:fldChar w:fldCharType="end"/>
      </w:r>
      <w:r w:rsidRPr="00692930">
        <w:rPr>
          <w:rFonts w:ascii="Times New Roman" w:hAnsi="Times New Roman"/>
          <w:b/>
          <w:sz w:val="24"/>
          <w:szCs w:val="24"/>
        </w:rPr>
        <w:t xml:space="preserve"> </w:t>
      </w:r>
      <w:r w:rsidRPr="00692930">
        <w:rPr>
          <w:rFonts w:ascii="Times New Roman" w:hAnsi="Times New Roman"/>
          <w:sz w:val="24"/>
          <w:szCs w:val="24"/>
        </w:rPr>
        <w:t>LMP electrodes exhibit a strong irreversibility due to different types of parasitic side reactions that are taking place during charge at high potentials (especially in the initial cycles)</w:t>
      </w:r>
      <w:r w:rsidR="00E415E7" w:rsidRPr="00692930">
        <w:rPr>
          <w:rFonts w:ascii="Times New Roman" w:hAnsi="Times New Roman"/>
          <w:sz w:val="24"/>
          <w:szCs w:val="24"/>
        </w:rPr>
        <w:t>.</w:t>
      </w:r>
      <w:r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"10.1016/j.jpowsour.2013.07.033", "ISBN" : "03787753", "ISSN" : "03787753", "abstract" : "Electrochemical behavior of carbon black (CB) additives in 1 M LiPF 6 EC/DEC (3:7 vol.) electrolyte in the operation potential range of positive electrodes in Li-ion cells was investigated. Various carbon blacks display noticeable electrochemical activity towards PF6 intercalation and electrolyte oxidation at potentials &gt;4.0 V vs. Li/Li+. In situ X-ray diffraction, Raman spectroscopy, and ex situ scanning electron microscopy and Fourier Transform Infrared (FTIR) spectroscopy showed that repetitive intercalation/deintercalation of PF6 anions leads to structural alteration and degradation of carbon black nanoparticles. The mechanism of these interfacial processes on CB electrodes and their implications for electrochemical performance of high-voltage Li-ion electrodes during long-term cycling is evaluated. \u00a9 2013 Published by Elsevier B.V.", "author" : [ { "dropping-particle" : "", "family" : "Syzdek", "given" : "Jaros\u0142aw", "non-dropping-particle" : "", "parse-names" : false, "suffix" : "" }, { "dropping-particle" : "", "family" : "Marcinek", "given" : "Marek", "non-dropping-particle" : "", "parse-names" : false, "suffix" : "" }, { "dropping-particle" : "", "family" : "Kostecki", "given" : "Robert", "non-dropping-particle" : "", "parse-names" : false, "suffix" : "" } ], "container-title" : "Journal of Power Sources", "id" : "ITEM-1", "issued" : { "date-parts" : [ [ "2014" ] ] }, "page" : "739-744", "title" : "Electrochemical activity of carbon blacks in LiPF6-based organic electrolytes", "type" : "article-journal", "volume" : "245" }, "uris" : [ "http://www.mendeley.com/documents/?uuid=201d675c-2334-4a4f-9bbe-bad82b8af253" ] }, { "id" : "ITEM-2", "itemData" : { "DOI" : "10.1149/1.3125765", "ISBN" : "00134651", "ISSN" : "00134651", "abstract" : "LiMnPO 4 nanoparticles synthesized by the polyol method were examined as a cathode material for advanced Li-ion batteries. The structure, surface morphology, and performance were characterized by X-ray diffraction, high resolution scanning electron mi- croscopy, high resolution transmission electron microscopy, Raman, Fourier transform IR, and photoelectron spectroscopies, and standard electrochemical techniques. A stable reversible capacity up to 145 mAh g \u22121 could be measured at discharge potentials 4 V vs Li / Li + , with a reasonable capacity retention during prolonged charge/discharge cycling. The rate capability of the LiMnPO 4 electrodes studied herein was higher than that of LiNi 0.5 Mn 0.5 O 2 and LiNi 0.8 Co 0.15 Al 0.05 O 2 NCA in similar experiments and measurements. The active mass studied herein seems to be the least surface reactive in alkyl carbonate / LiPF 6 solutions. We attribute the low surface activity of this material, compared to the lithiated transition-metal oxides that are examined and used as cathode materials for Li-ion batteries, to the relatively low basicity and nucleophilicity of the oxygen atoms in the olivine compounds. The thermal stability of the LiMnPO 4 material in solutions measured by differential scanning calorimetry is much higher compared to that of transition-metal oxide cathodes. This is demonstrated herein by a comparison with NCA electrodes.", "author" : [ { "dropping-particle" : "", "family" : "Martha", "given" : "S. K.", "non-dropping-particle" : "", "parse-names" : false, "suffix" : "" }, { "dropping-particle" : "", "family" : "Markovsky", "given" : "B.", "non-dropping-particle" : "", "parse-names" : false, "suffix" : "" }, { "dropping-particle" : "", "family" : "Grinblat", "given" : "J.", "non-dropping-particle" : "", "parse-names" : false, "suffix" : "" }, { "dropping-particle" : "", "family" : "Gofer", "given" : "Y.", "non-dropping-particle" : "", "parse-names" : false, "suffix" : "" }, { "dropping-particle" : "", "family" : "Haik", "given" : "O.", "non-dropping-particle" : "", "parse-names" : false, "suffix" : "" }, { "dropping-particle" : "", "family" : "Zinigrad", "given" : "E.", "non-dropping-particle" : "", "parse-names" : false, "suffix" : "" }, { "dropping-particle" : "", "family" : "Aurbach", "given" : "D.", "non-dropping-particle" : "", "parse-names" : false, "suffix" : "" }, { "dropping-particle" : "", "family" : "Drezen", "given" : "T.", "non-dropping-particle" : "", "parse-names" : false, "suffix" : "" }, { "dropping-particle" : "", "family" : "Wang", "given" : "D.", "non-dropping-particle" : "", "parse-names" : false, "suffix" : "" }, { "dropping-particle" : "", "family" : "Deghenghi", "given" : "G.", "non-dropping-particle" : "", "parse-names" : false, "suffix" : "" }, { "dropping-particle" : "", "family" : "Exnar", "given" : "I.", "non-dropping-particle" : "", "parse-names" : false, "suffix" : "" } ], "container-title" : "Journal of The Electrochemical Society", "id" : "ITEM-2", "issued" : { "date-parts" : [ [ "2009" ] ] }, "page" : "A541", "title" : "LiMnPO4 as an Advanced Cathode Material for Rechargeable Lithium Batteries", "type" : "article-journal", "volume" : "156" }, "uris" : [ "http://www.mendeley.com/documents/?uuid=b17e20cc-1502-4488-b3ce-4254e904e4de", "http://www.mendeley.com/documents/?uuid=63d9522c-644a-49c1-8887-3788e7cb0ed6" ] } ], "mendeley" : { "formattedCitation" : "&lt;sup&gt;11,33&lt;/sup&gt;", "plainTextFormattedCitation" : "11,33", "previouslyFormattedCitation" : "&lt;sup&gt;11,33&lt;/sup&gt;" }, "properties" : { "noteIndex" : 0 }, "schema" : "https://github.com/citation-style-language/schema/raw/master/csl-citation.json" }</w:instrText>
      </w:r>
      <w:r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11,33</w:t>
      </w:r>
      <w:r w:rsidRPr="00692930">
        <w:rPr>
          <w:rFonts w:ascii="Times New Roman" w:hAnsi="Times New Roman"/>
          <w:sz w:val="24"/>
          <w:szCs w:val="24"/>
        </w:rPr>
        <w:fldChar w:fldCharType="end"/>
      </w:r>
      <w:r w:rsidRPr="00692930">
        <w:rPr>
          <w:rFonts w:ascii="Times New Roman" w:hAnsi="Times New Roman"/>
          <w:sz w:val="24"/>
          <w:szCs w:val="24"/>
        </w:rPr>
        <w:t xml:space="preserve"> In any case, we may conclude that at low current densities the energy efficiency, </w:t>
      </w:r>
      <w:r w:rsidRPr="00692930">
        <w:rPr>
          <w:rFonts w:ascii="Times New Roman" w:hAnsi="Times New Roman"/>
          <w:i/>
          <w:sz w:val="24"/>
          <w:szCs w:val="24"/>
        </w:rPr>
        <w:sym w:font="Symbol" w:char="F065"/>
      </w:r>
      <w:r w:rsidRPr="00692930">
        <w:rPr>
          <w:rFonts w:ascii="Times New Roman" w:hAnsi="Times New Roman"/>
          <w:i/>
          <w:sz w:val="24"/>
          <w:szCs w:val="24"/>
        </w:rPr>
        <w:t>,</w:t>
      </w:r>
      <w:r w:rsidRPr="00692930">
        <w:rPr>
          <w:rFonts w:ascii="Times New Roman" w:hAnsi="Times New Roman"/>
          <w:sz w:val="24"/>
          <w:szCs w:val="24"/>
        </w:rPr>
        <w:t xml:space="preserve"> of LMP is substantially smaller than in the other two active materials, LFP and LCO.</w:t>
      </w:r>
    </w:p>
    <w:p w:rsidR="00F32C31" w:rsidRPr="00692930" w:rsidRDefault="00F32C31" w:rsidP="00F32C31">
      <w:pPr>
        <w:rPr>
          <w:rFonts w:ascii="Times New Roman" w:hAnsi="Times New Roman"/>
          <w:sz w:val="24"/>
          <w:szCs w:val="24"/>
        </w:rPr>
      </w:pPr>
      <w:r w:rsidRPr="00692930">
        <w:rPr>
          <w:rFonts w:ascii="Times New Roman" w:hAnsi="Times New Roman"/>
          <w:sz w:val="24"/>
          <w:szCs w:val="24"/>
        </w:rPr>
        <w:t xml:space="preserve">At C/5 rate the LMP based cell has the energy efficiency of 90 %, still being much smaller than that of the LCO (98 % at C/5) and LFP (97 % at C/10) based cells. With increasing current the efficiency of LCO gradually becomes distinctly higher compared to the efficiency of the other two olivine materials. However, there are also pronounced differences in the behaviour of LMP and LFP: quite surprisingly, the rate of efficiency decrease is smaller </w:t>
      </w:r>
      <w:r w:rsidRPr="00692930">
        <w:rPr>
          <w:rFonts w:ascii="Times New Roman" w:hAnsi="Times New Roman"/>
          <w:sz w:val="24"/>
          <w:szCs w:val="24"/>
        </w:rPr>
        <w:lastRenderedPageBreak/>
        <w:t xml:space="preserve">in the case of LMP, so increasing the current density sufficiently (e.g. above ~ 1.5 A/g), </w:t>
      </w:r>
      <w:r w:rsidRPr="00692930">
        <w:rPr>
          <w:rFonts w:ascii="Times New Roman" w:hAnsi="Times New Roman"/>
          <w:i/>
          <w:sz w:val="24"/>
          <w:szCs w:val="24"/>
        </w:rPr>
        <w:sym w:font="Symbol" w:char="F065"/>
      </w:r>
      <w:r w:rsidRPr="00692930">
        <w:rPr>
          <w:rFonts w:ascii="Times New Roman" w:hAnsi="Times New Roman"/>
          <w:sz w:val="24"/>
          <w:szCs w:val="24"/>
        </w:rPr>
        <w:t xml:space="preserve"> of LMP becomes even higher than that of LPF. </w:t>
      </w:r>
    </w:p>
    <w:p w:rsidR="009D54B0" w:rsidRPr="00692930" w:rsidRDefault="009D54B0" w:rsidP="008A3866">
      <w:pPr>
        <w:rPr>
          <w:rFonts w:ascii="Times New Roman" w:hAnsi="Times New Roman"/>
          <w:sz w:val="24"/>
          <w:szCs w:val="24"/>
        </w:rPr>
      </w:pPr>
    </w:p>
    <w:p w:rsidR="009D54B0" w:rsidRPr="00692930" w:rsidRDefault="00F32C31" w:rsidP="008A3866">
      <w:pPr>
        <w:ind w:firstLine="0"/>
        <w:rPr>
          <w:rFonts w:ascii="Times New Roman" w:hAnsi="Times New Roman"/>
        </w:rPr>
      </w:pPr>
      <w:r w:rsidRPr="00692930">
        <w:rPr>
          <w:rFonts w:ascii="Times New Roman" w:hAnsi="Times New Roman"/>
          <w:b/>
          <w:noProof/>
          <w:lang w:val="sl-SI" w:eastAsia="sl-SI"/>
        </w:rPr>
        <w:drawing>
          <wp:inline distT="0" distB="0" distL="0" distR="0" wp14:anchorId="68106F07" wp14:editId="59803BA1">
            <wp:extent cx="5760720" cy="4414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414520"/>
                    </a:xfrm>
                    <a:prstGeom prst="rect">
                      <a:avLst/>
                    </a:prstGeom>
                  </pic:spPr>
                </pic:pic>
              </a:graphicData>
            </a:graphic>
          </wp:inline>
        </w:drawing>
      </w:r>
      <w:r w:rsidR="00927137" w:rsidRPr="00692930">
        <w:rPr>
          <w:rFonts w:ascii="Times New Roman" w:hAnsi="Times New Roman"/>
          <w:b/>
        </w:rPr>
        <w:t>Figure</w:t>
      </w:r>
      <w:r w:rsidR="009D54B0" w:rsidRPr="00692930">
        <w:rPr>
          <w:rFonts w:ascii="Times New Roman" w:hAnsi="Times New Roman"/>
          <w:b/>
        </w:rPr>
        <w:t xml:space="preserve"> 2.</w:t>
      </w:r>
      <w:r w:rsidR="009D54B0" w:rsidRPr="00692930">
        <w:rPr>
          <w:rFonts w:ascii="Times New Roman" w:hAnsi="Times New Roman"/>
        </w:rPr>
        <w:t xml:space="preserve"> Direct comparison of the shape of selected galvanostatic cycles measured on LiFePO</w:t>
      </w:r>
      <w:r w:rsidR="009D54B0" w:rsidRPr="00692930">
        <w:rPr>
          <w:rFonts w:ascii="Times New Roman" w:hAnsi="Times New Roman"/>
          <w:vertAlign w:val="subscript"/>
        </w:rPr>
        <w:t>4</w:t>
      </w:r>
      <w:r w:rsidR="009D54B0" w:rsidRPr="00692930">
        <w:rPr>
          <w:rFonts w:ascii="Times New Roman" w:hAnsi="Times New Roman"/>
        </w:rPr>
        <w:t xml:space="preserve"> (red line), LiCoO</w:t>
      </w:r>
      <w:r w:rsidR="009D54B0" w:rsidRPr="00692930">
        <w:rPr>
          <w:rFonts w:ascii="Times New Roman" w:hAnsi="Times New Roman"/>
          <w:vertAlign w:val="subscript"/>
        </w:rPr>
        <w:t>2</w:t>
      </w:r>
      <w:r w:rsidR="009D54B0" w:rsidRPr="00692930">
        <w:rPr>
          <w:rFonts w:ascii="Times New Roman" w:hAnsi="Times New Roman"/>
        </w:rPr>
        <w:t xml:space="preserve"> (blue line) and LiMnPO</w:t>
      </w:r>
      <w:r w:rsidR="009D54B0" w:rsidRPr="00692930">
        <w:rPr>
          <w:rFonts w:ascii="Times New Roman" w:hAnsi="Times New Roman"/>
          <w:vertAlign w:val="subscript"/>
        </w:rPr>
        <w:t>4</w:t>
      </w:r>
      <w:r w:rsidR="009D54B0" w:rsidRPr="00692930">
        <w:rPr>
          <w:rFonts w:ascii="Times New Roman" w:hAnsi="Times New Roman"/>
        </w:rPr>
        <w:t xml:space="preserve"> (green line) based electrodes at: a) low, b) medium, and c) higher current densities. The current densities shown are presented in terms of the normalized current</w:t>
      </w:r>
      <w:r w:rsidR="00025C42" w:rsidRPr="00692930">
        <w:rPr>
          <w:rFonts w:ascii="Times New Roman" w:hAnsi="Times New Roman"/>
        </w:rPr>
        <w:t>,</w:t>
      </w:r>
      <w:r w:rsidR="009D54B0" w:rsidRPr="00692930">
        <w:rPr>
          <w:rFonts w:ascii="Times New Roman" w:hAnsi="Times New Roman"/>
        </w:rPr>
        <w:t xml:space="preserve"> </w:t>
      </w:r>
      <w:r w:rsidR="009D54B0" w:rsidRPr="00692930">
        <w:rPr>
          <w:rFonts w:ascii="Times New Roman" w:hAnsi="Times New Roman"/>
          <w:i/>
        </w:rPr>
        <w:t>I</w:t>
      </w:r>
      <w:r w:rsidR="009D54B0" w:rsidRPr="00692930">
        <w:rPr>
          <w:rFonts w:ascii="Times New Roman" w:hAnsi="Times New Roman"/>
          <w:vertAlign w:val="subscript"/>
        </w:rPr>
        <w:t>m</w:t>
      </w:r>
      <w:r w:rsidR="009D54B0" w:rsidRPr="00692930">
        <w:rPr>
          <w:rFonts w:ascii="Times New Roman" w:hAnsi="Times New Roman"/>
        </w:rPr>
        <w:t>. In all the cases the third cycle at the same C-rate is plotted. d) Energy efficiencies (</w:t>
      </w:r>
      <w:r w:rsidR="009D54B0" w:rsidRPr="00692930">
        <w:rPr>
          <w:rFonts w:ascii="Times New Roman" w:hAnsi="Times New Roman"/>
          <w:i/>
        </w:rPr>
        <w:sym w:font="Symbol" w:char="F065"/>
      </w:r>
      <w:r w:rsidR="009D54B0" w:rsidRPr="00692930">
        <w:rPr>
          <w:rFonts w:ascii="Times New Roman" w:hAnsi="Times New Roman"/>
        </w:rPr>
        <w:t>) of the c</w:t>
      </w:r>
      <w:r w:rsidR="00B2323E" w:rsidRPr="00692930">
        <w:rPr>
          <w:rFonts w:ascii="Times New Roman" w:hAnsi="Times New Roman"/>
        </w:rPr>
        <w:t xml:space="preserve">ells calculated using </w:t>
      </w:r>
      <w:r w:rsidR="00E80617" w:rsidRPr="00692930">
        <w:rPr>
          <w:rFonts w:ascii="Times New Roman" w:hAnsi="Times New Roman"/>
        </w:rPr>
        <w:t>E</w:t>
      </w:r>
      <w:r w:rsidR="00B2323E" w:rsidRPr="00692930">
        <w:rPr>
          <w:rFonts w:ascii="Times New Roman" w:hAnsi="Times New Roman"/>
        </w:rPr>
        <w:t>quation (1)</w:t>
      </w:r>
      <w:r w:rsidR="009D54B0" w:rsidRPr="00692930">
        <w:rPr>
          <w:rFonts w:ascii="Times New Roman" w:hAnsi="Times New Roman"/>
        </w:rPr>
        <w:t xml:space="preserve"> and plotted versus normalized current, </w:t>
      </w:r>
      <w:r w:rsidR="009D54B0" w:rsidRPr="00692930">
        <w:rPr>
          <w:rFonts w:ascii="Times New Roman" w:hAnsi="Times New Roman"/>
          <w:i/>
        </w:rPr>
        <w:t>I</w:t>
      </w:r>
      <w:r w:rsidR="009D54B0" w:rsidRPr="00692930">
        <w:rPr>
          <w:rFonts w:ascii="Times New Roman" w:hAnsi="Times New Roman"/>
          <w:vertAlign w:val="subscript"/>
        </w:rPr>
        <w:t>m</w:t>
      </w:r>
      <w:r w:rsidR="009D54B0" w:rsidRPr="00692930">
        <w:rPr>
          <w:rFonts w:ascii="Times New Roman" w:hAnsi="Times New Roman"/>
        </w:rPr>
        <w:t>.</w:t>
      </w:r>
    </w:p>
    <w:p w:rsidR="009D54B0" w:rsidRPr="00692930" w:rsidRDefault="009D54B0" w:rsidP="008A3866">
      <w:pPr>
        <w:rPr>
          <w:rFonts w:ascii="Times New Roman" w:hAnsi="Times New Roman"/>
          <w:sz w:val="24"/>
          <w:szCs w:val="24"/>
        </w:rPr>
      </w:pPr>
    </w:p>
    <w:p w:rsidR="009D54B0" w:rsidRPr="00692930" w:rsidRDefault="00693494" w:rsidP="008A3866">
      <w:pPr>
        <w:rPr>
          <w:rFonts w:ascii="Times New Roman" w:hAnsi="Times New Roman"/>
          <w:sz w:val="24"/>
          <w:szCs w:val="24"/>
        </w:rPr>
      </w:pPr>
      <w:r w:rsidRPr="00692930">
        <w:rPr>
          <w:rFonts w:ascii="Times New Roman" w:hAnsi="Times New Roman"/>
          <w:sz w:val="24"/>
          <w:szCs w:val="24"/>
        </w:rPr>
        <w:t>Based on Fig.</w:t>
      </w:r>
      <w:r w:rsidR="00BC5B36" w:rsidRPr="00692930">
        <w:rPr>
          <w:rFonts w:ascii="Times New Roman" w:hAnsi="Times New Roman"/>
          <w:sz w:val="24"/>
          <w:szCs w:val="24"/>
        </w:rPr>
        <w:t xml:space="preserve"> </w:t>
      </w:r>
      <w:r w:rsidRPr="00692930">
        <w:rPr>
          <w:rFonts w:ascii="Times New Roman" w:hAnsi="Times New Roman"/>
          <w:sz w:val="24"/>
          <w:szCs w:val="24"/>
        </w:rPr>
        <w:t xml:space="preserve">2d one could </w:t>
      </w:r>
      <w:r w:rsidR="00B7293F" w:rsidRPr="00692930">
        <w:rPr>
          <w:rFonts w:ascii="Times New Roman" w:hAnsi="Times New Roman"/>
          <w:sz w:val="24"/>
          <w:szCs w:val="24"/>
        </w:rPr>
        <w:t xml:space="preserve">come to a conclusion that in some aspects </w:t>
      </w:r>
      <w:r w:rsidR="009D54B0" w:rsidRPr="00692930">
        <w:rPr>
          <w:rFonts w:ascii="Times New Roman" w:hAnsi="Times New Roman"/>
          <w:sz w:val="24"/>
          <w:szCs w:val="24"/>
        </w:rPr>
        <w:t>LiMnPO</w:t>
      </w:r>
      <w:r w:rsidR="009D54B0" w:rsidRPr="00692930">
        <w:rPr>
          <w:rFonts w:ascii="Times New Roman" w:hAnsi="Times New Roman"/>
          <w:sz w:val="24"/>
          <w:szCs w:val="24"/>
          <w:vertAlign w:val="subscript"/>
        </w:rPr>
        <w:t>4</w:t>
      </w:r>
      <w:r w:rsidR="009D54B0" w:rsidRPr="00692930">
        <w:rPr>
          <w:rFonts w:ascii="Times New Roman" w:hAnsi="Times New Roman"/>
          <w:sz w:val="24"/>
          <w:szCs w:val="24"/>
        </w:rPr>
        <w:t xml:space="preserve"> exhibits </w:t>
      </w:r>
      <w:r w:rsidR="00B7293F" w:rsidRPr="00692930">
        <w:rPr>
          <w:rFonts w:ascii="Times New Roman" w:hAnsi="Times New Roman"/>
          <w:sz w:val="24"/>
          <w:szCs w:val="24"/>
        </w:rPr>
        <w:t xml:space="preserve">a </w:t>
      </w:r>
      <w:r w:rsidR="009D54B0" w:rsidRPr="00692930">
        <w:rPr>
          <w:rFonts w:ascii="Times New Roman" w:hAnsi="Times New Roman"/>
          <w:sz w:val="24"/>
          <w:szCs w:val="24"/>
        </w:rPr>
        <w:t>better electrochemistry performance than LiFePO</w:t>
      </w:r>
      <w:r w:rsidR="009D54B0" w:rsidRPr="00692930">
        <w:rPr>
          <w:rFonts w:ascii="Times New Roman" w:hAnsi="Times New Roman"/>
          <w:sz w:val="24"/>
          <w:szCs w:val="24"/>
          <w:vertAlign w:val="subscript"/>
        </w:rPr>
        <w:t>4</w:t>
      </w:r>
      <w:r w:rsidR="00B7293F" w:rsidRPr="00692930">
        <w:rPr>
          <w:rFonts w:ascii="Times New Roman" w:hAnsi="Times New Roman"/>
          <w:sz w:val="24"/>
          <w:szCs w:val="24"/>
        </w:rPr>
        <w:t>. This however would be in</w:t>
      </w:r>
      <w:r w:rsidR="009D54B0" w:rsidRPr="00692930">
        <w:rPr>
          <w:rFonts w:ascii="Times New Roman" w:hAnsi="Times New Roman"/>
          <w:sz w:val="24"/>
          <w:szCs w:val="24"/>
        </w:rPr>
        <w:t xml:space="preserve"> contradiction with the </w:t>
      </w:r>
      <w:r w:rsidR="00B7293F" w:rsidRPr="00692930">
        <w:rPr>
          <w:rFonts w:ascii="Times New Roman" w:hAnsi="Times New Roman"/>
          <w:sz w:val="24"/>
          <w:szCs w:val="24"/>
        </w:rPr>
        <w:t xml:space="preserve">known </w:t>
      </w:r>
      <w:r w:rsidR="009D54B0" w:rsidRPr="00692930">
        <w:rPr>
          <w:rFonts w:ascii="Times New Roman" w:hAnsi="Times New Roman"/>
          <w:sz w:val="24"/>
          <w:szCs w:val="24"/>
        </w:rPr>
        <w:t>data for conductivity of the two materials at RT</w:t>
      </w:r>
      <w:r w:rsidR="00E415E7" w:rsidRPr="00692930">
        <w:rPr>
          <w:rFonts w:ascii="Times New Roman" w:hAnsi="Times New Roman"/>
          <w:sz w:val="24"/>
          <w:szCs w:val="24"/>
        </w:rPr>
        <w:t>,</w:t>
      </w:r>
      <w:r w:rsidR="00A951CD"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"10.1149/1.1884787", "ISBN" : "0013-4651", "ISSN" : "00134651", "abstract" : "To better understand the factors responsible for the poor electrochemical performances of the olivine-type LiMnPO 4 , various experiments such as chemical delithiation, galvanostatic charge and discharge, cyclic voltamperometry, and impedance conductivity, were carried out on both LiFePO 4 and LiMnPO 4 . Chemical delithiation experiments confirmed a topotactic two-phase electrochemical mechanism between LiMnPO 4 and the fully delithiated phase MnPO 4 ( a = 5.909 ( 5 ) \u00c5 , b = 9.64 ( 1 ) \u00c5 , and c = 4.768 ( 6 ) \u00c5 ). We conclude that the limiting factor in the MnPO 4 / LiMnPO 4 electrochemical reaction is nested mostly in the ionic and/or electronic transport within the LiMnPO 4 particles themselves rather than in charge transfer kinetics or structural instability of the MnPO 4 phase. For instance, the electrical conductivity of LiMnPO 4 ( \u03c3 \u223c 3.10 \u2212 9 S cm \u2212 1 at 573 K, \u0394 E \u223c 1.1 eV ) was found to be several orders of magnitude lower than that of LiFePO 4 ( \u03c3 \u223c 10 \u2212 9 S cm \u2212 1 at 298 K, \u0394 E \u223c 0.6 eV ).", "author" : [ { "dropping-particle" : "", "family" : "Delacourt", "given" : "C.", "non-dropping-particle" : "", "parse-names" : false, "suffix" : "" }, { "dropping-particle" : "", "family" : "Laffont", "given" : "L.", "non-dropping-particle" : "", "parse-names" : false, "suffix" : "" }, { "dropping-particle" : "", "family" : "Bouchet", "given" : "R.", "non-dropping-particle" : "", "parse-names" : false, "suffix" : "" }, { "dropping-particle" : "", "family" : "Wurm", "given" : "C.", "non-dropping-particle" : "", "parse-names" : false, "suffix" : "" }, { "dropping-particle" : "", "family" : "Leriche", "given" : "J.-B.", "non-dropping-particle" : "", "parse-names" : false, "suffix" : "" }, { "dropping-particle" : "", "family" : "Morcrette", "given" : "M.", "non-dropping-particle" : "", "parse-names" : false, "suffix" : "" }, { "dropping-particle" : "", "family" : "Tarascon", "given" : "J.-M.", "non-dropping-particle" : "", "parse-names" : false, "suffix" : "" }, { "dropping-particle" : "", "family" : "Masquelier", "given" : "C.", "non-dropping-particle" : "", "parse-names" : false, "suffix" : "" } ], "container-title" : "Journal of The Electrochemical Society", "id" : "ITEM-1", "issue" : "5", "issued" : { "date-parts" : [ [ "2005" ] ] }, "page" : "A913", "title" : "Toward Understanding of Electrical Limitations (Electronic, Ionic) in LiMPO4 (M=Fe, Mn) Electrode Materials", "type" : "article-journal", "volume" : "152" }, "uris" : [ "http://www.mendeley.com/documents/?uuid=bc9b10dd-ef78-495a-af2b-93b106e724cd", "http://www.mendeley.com/documents/?uuid=817c368b-ec05-4237-8962-b851a687fb91" ] } ], "mendeley" : { "formattedCitation" : "&lt;sup&gt;3&lt;/sup&gt;", "plainTextFormattedCitation" : "3", "previouslyFormattedCitation" : "&lt;sup&gt;3&lt;/sup&gt;" }, "properties" : { "noteIndex" : 0 }, "schema" : "https://github.com/citation-style-language/schema/raw/master/csl-citation.json" }</w:instrText>
      </w:r>
      <w:r w:rsidR="00A951CD"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3</w:t>
      </w:r>
      <w:r w:rsidR="00A951CD" w:rsidRPr="00692930">
        <w:rPr>
          <w:rFonts w:ascii="Times New Roman" w:hAnsi="Times New Roman"/>
          <w:sz w:val="24"/>
          <w:szCs w:val="24"/>
        </w:rPr>
        <w:fldChar w:fldCharType="end"/>
      </w:r>
      <w:r w:rsidR="000D07BF" w:rsidRPr="00692930">
        <w:rPr>
          <w:rFonts w:ascii="Times New Roman" w:hAnsi="Times New Roman"/>
          <w:sz w:val="24"/>
          <w:szCs w:val="24"/>
          <w:vertAlign w:val="superscript"/>
        </w:rPr>
        <w:t>,</w:t>
      </w:r>
      <w:r w:rsidR="00004B3F"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"10.1149/1.2388240", "ISBN" : "10990062", "ISSN" : "10990062", "author" : [ { "dropping-particle" : "", "family" : "Amin", "given" : "Ruhul", "non-dropping-particle" : "", "parse-names" : false, "suffix" : "" }, { "dropping-particle" : "", "family" : "Balaya", "given" : "Palani", "non-dropping-particle" : "", "parse-names" : false, "suffix" : "" }, { "dropping-particle" : "", "family" : "Maier", "given" : "Joachim", "non-dropping-particle" : "", "parse-names" : false, "suffix" : "" } ], "container-title" : "Electrochemical and Solid-State Letters", "id" : "ITEM-1", "issue" : "1", "issued" : { "date-parts" : [ [ "2007" ] ] }, "page" : "A13", "title" : "Anisotropy of Electronic and Ionic Transport in LiFePO4 Single Crystals", "type" : "article-journal", "volume" : "10" }, "uris" : [ "http://www.mendeley.com/documents/?uuid=86710c53-8727-4916-8082-1d6e6f1b513c", "http://www.mendeley.com/documents/?uuid=9b3245c3-b110-4789-9431-caa8ac497a1f" ] } ], "mendeley" : { "formattedCitation" : "&lt;sup&gt;34&lt;/sup&gt;", "plainTextFormattedCitation" : "34", "previouslyFormattedCitation" : "&lt;sup&gt;34&lt;/sup&gt;" }, "properties" : { "noteIndex" : 0 }, "schema" : "https://github.com/citation-style-language/schema/raw/master/csl-citation.json" }</w:instrText>
      </w:r>
      <w:r w:rsidR="00004B3F"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34</w:t>
      </w:r>
      <w:r w:rsidR="00004B3F" w:rsidRPr="00692930">
        <w:rPr>
          <w:rFonts w:ascii="Times New Roman" w:hAnsi="Times New Roman"/>
          <w:sz w:val="24"/>
          <w:szCs w:val="24"/>
        </w:rPr>
        <w:fldChar w:fldCharType="end"/>
      </w:r>
      <w:r w:rsidR="000D07BF" w:rsidRPr="00692930">
        <w:rPr>
          <w:rFonts w:ascii="Times New Roman" w:hAnsi="Times New Roman"/>
          <w:sz w:val="24"/>
          <w:szCs w:val="24"/>
        </w:rPr>
        <w:t xml:space="preserve"> </w:t>
      </w:r>
      <w:r w:rsidR="00B7293F" w:rsidRPr="00692930">
        <w:rPr>
          <w:rFonts w:ascii="Times New Roman" w:hAnsi="Times New Roman"/>
          <w:sz w:val="24"/>
          <w:szCs w:val="24"/>
        </w:rPr>
        <w:t>as well as with</w:t>
      </w:r>
      <w:r w:rsidR="009D54B0" w:rsidRPr="00692930">
        <w:rPr>
          <w:rFonts w:ascii="Times New Roman" w:hAnsi="Times New Roman"/>
          <w:sz w:val="24"/>
          <w:szCs w:val="24"/>
        </w:rPr>
        <w:t xml:space="preserve"> the </w:t>
      </w:r>
      <w:r w:rsidR="00D01B32" w:rsidRPr="00692930">
        <w:rPr>
          <w:rFonts w:ascii="Times New Roman" w:hAnsi="Times New Roman"/>
          <w:sz w:val="24"/>
          <w:szCs w:val="24"/>
        </w:rPr>
        <w:t xml:space="preserve">experimental </w:t>
      </w:r>
      <w:r w:rsidR="009D54B0" w:rsidRPr="00692930">
        <w:rPr>
          <w:rFonts w:ascii="Times New Roman" w:hAnsi="Times New Roman"/>
          <w:sz w:val="24"/>
          <w:szCs w:val="24"/>
        </w:rPr>
        <w:t xml:space="preserve">data for the </w:t>
      </w:r>
      <w:r w:rsidR="00D01B32" w:rsidRPr="00692930">
        <w:rPr>
          <w:rFonts w:ascii="Times New Roman" w:hAnsi="Times New Roman"/>
          <w:sz w:val="24"/>
          <w:szCs w:val="24"/>
        </w:rPr>
        <w:t xml:space="preserve">lithium </w:t>
      </w:r>
      <w:r w:rsidR="009D54B0" w:rsidRPr="00692930">
        <w:rPr>
          <w:rFonts w:ascii="Times New Roman" w:hAnsi="Times New Roman"/>
          <w:sz w:val="24"/>
          <w:szCs w:val="24"/>
        </w:rPr>
        <w:t>diffusio</w:t>
      </w:r>
      <w:r w:rsidR="00B7293F" w:rsidRPr="00692930">
        <w:rPr>
          <w:rFonts w:ascii="Times New Roman" w:hAnsi="Times New Roman"/>
          <w:sz w:val="24"/>
          <w:szCs w:val="24"/>
        </w:rPr>
        <w:t>n coefficient</w:t>
      </w:r>
      <w:r w:rsidR="00D01B32" w:rsidRPr="00692930">
        <w:rPr>
          <w:rFonts w:ascii="Times New Roman" w:hAnsi="Times New Roman"/>
          <w:sz w:val="24"/>
          <w:szCs w:val="24"/>
        </w:rPr>
        <w:t xml:space="preserve"> in these two materials. Specifically, for LFP and LMP the experimental</w:t>
      </w:r>
      <w:r w:rsidR="008936D2" w:rsidRPr="00692930">
        <w:rPr>
          <w:rFonts w:ascii="Times New Roman" w:hAnsi="Times New Roman"/>
          <w:sz w:val="24"/>
          <w:szCs w:val="24"/>
        </w:rPr>
        <w:t>ly determined</w:t>
      </w:r>
      <w:r w:rsidR="003644F5" w:rsidRPr="00692930">
        <w:rPr>
          <w:rFonts w:ascii="Times New Roman" w:hAnsi="Times New Roman"/>
          <w:sz w:val="24"/>
          <w:szCs w:val="24"/>
        </w:rPr>
        <w:t xml:space="preserve"> </w:t>
      </w:r>
      <w:r w:rsidR="00D01B32" w:rsidRPr="00692930">
        <w:rPr>
          <w:rFonts w:ascii="Times New Roman" w:hAnsi="Times New Roman"/>
          <w:sz w:val="24"/>
          <w:szCs w:val="24"/>
        </w:rPr>
        <w:t>diffusion coefficients</w:t>
      </w:r>
      <w:r w:rsidR="008936D2" w:rsidRPr="00692930">
        <w:rPr>
          <w:rFonts w:ascii="Times New Roman" w:hAnsi="Times New Roman"/>
          <w:sz w:val="24"/>
          <w:szCs w:val="24"/>
        </w:rPr>
        <w:t xml:space="preserve"> for Li</w:t>
      </w:r>
      <w:r w:rsidR="00D01B32" w:rsidRPr="00692930">
        <w:rPr>
          <w:rFonts w:ascii="Times New Roman" w:hAnsi="Times New Roman"/>
          <w:sz w:val="24"/>
          <w:szCs w:val="24"/>
        </w:rPr>
        <w:t xml:space="preserve"> range from </w:t>
      </w:r>
      <w:r w:rsidR="00F07FD6" w:rsidRPr="00692930">
        <w:rPr>
          <w:rFonts w:ascii="Times New Roman" w:hAnsi="Times New Roman"/>
          <w:sz w:val="24"/>
          <w:szCs w:val="24"/>
        </w:rPr>
        <w:sym w:font="Symbol" w:char="F07E"/>
      </w:r>
      <w:r w:rsidR="003644F5" w:rsidRPr="00692930">
        <w:rPr>
          <w:rFonts w:ascii="Times New Roman" w:hAnsi="Times New Roman"/>
          <w:sz w:val="24"/>
          <w:szCs w:val="24"/>
        </w:rPr>
        <w:t>10</w:t>
      </w:r>
      <w:r w:rsidR="003644F5" w:rsidRPr="00692930">
        <w:rPr>
          <w:rFonts w:ascii="Times New Roman" w:hAnsi="Times New Roman"/>
          <w:sz w:val="24"/>
          <w:szCs w:val="24"/>
          <w:vertAlign w:val="superscript"/>
        </w:rPr>
        <w:t>-13</w:t>
      </w:r>
      <w:r w:rsidR="003644F5" w:rsidRPr="00692930">
        <w:rPr>
          <w:rFonts w:ascii="Times New Roman" w:hAnsi="Times New Roman"/>
          <w:sz w:val="24"/>
          <w:szCs w:val="24"/>
        </w:rPr>
        <w:t xml:space="preserve"> to </w:t>
      </w:r>
      <w:r w:rsidR="00F07FD6" w:rsidRPr="00692930">
        <w:rPr>
          <w:rFonts w:ascii="Times New Roman" w:hAnsi="Times New Roman"/>
          <w:sz w:val="24"/>
          <w:szCs w:val="24"/>
        </w:rPr>
        <w:sym w:font="Symbol" w:char="F07E"/>
      </w:r>
      <w:r w:rsidR="003644F5" w:rsidRPr="00692930">
        <w:rPr>
          <w:rFonts w:ascii="Times New Roman" w:hAnsi="Times New Roman"/>
          <w:sz w:val="24"/>
          <w:szCs w:val="24"/>
        </w:rPr>
        <w:t>10</w:t>
      </w:r>
      <w:r w:rsidR="003644F5" w:rsidRPr="00692930">
        <w:rPr>
          <w:rFonts w:ascii="Times New Roman" w:hAnsi="Times New Roman"/>
          <w:sz w:val="24"/>
          <w:szCs w:val="24"/>
          <w:vertAlign w:val="superscript"/>
        </w:rPr>
        <w:t>-16</w:t>
      </w:r>
      <w:r w:rsidR="003644F5" w:rsidRPr="00692930">
        <w:rPr>
          <w:rFonts w:ascii="Times New Roman" w:hAnsi="Times New Roman"/>
          <w:sz w:val="24"/>
          <w:szCs w:val="24"/>
        </w:rPr>
        <w:t xml:space="preserve"> cm</w:t>
      </w:r>
      <w:r w:rsidR="003644F5" w:rsidRPr="00692930">
        <w:rPr>
          <w:rFonts w:ascii="Times New Roman" w:hAnsi="Times New Roman"/>
          <w:sz w:val="24"/>
          <w:szCs w:val="24"/>
          <w:vertAlign w:val="superscript"/>
        </w:rPr>
        <w:t>2</w:t>
      </w:r>
      <w:r w:rsidR="003644F5" w:rsidRPr="00692930">
        <w:rPr>
          <w:rFonts w:ascii="Times New Roman" w:hAnsi="Times New Roman"/>
          <w:sz w:val="24"/>
          <w:szCs w:val="24"/>
        </w:rPr>
        <w:t>s</w:t>
      </w:r>
      <w:r w:rsidR="003644F5" w:rsidRPr="00692930">
        <w:rPr>
          <w:rFonts w:ascii="Times New Roman" w:hAnsi="Times New Roman"/>
          <w:sz w:val="24"/>
          <w:szCs w:val="24"/>
          <w:vertAlign w:val="superscript"/>
        </w:rPr>
        <w:t>-1</w:t>
      </w:r>
      <w:r w:rsidR="003644F5" w:rsidRPr="00692930">
        <w:rPr>
          <w:rFonts w:ascii="Times New Roman" w:hAnsi="Times New Roman"/>
          <w:sz w:val="24"/>
          <w:szCs w:val="24"/>
        </w:rPr>
        <w:t xml:space="preserve"> </w:t>
      </w:r>
      <w:r w:rsidR="000F6F55" w:rsidRPr="00692930">
        <w:rPr>
          <w:rFonts w:ascii="Times New Roman" w:hAnsi="Times New Roman"/>
          <w:sz w:val="24"/>
          <w:szCs w:val="24"/>
        </w:rPr>
        <w:t>and 10</w:t>
      </w:r>
      <w:r w:rsidR="000F6F55" w:rsidRPr="00692930">
        <w:rPr>
          <w:rFonts w:ascii="Times New Roman" w:hAnsi="Times New Roman"/>
          <w:sz w:val="24"/>
          <w:szCs w:val="24"/>
          <w:vertAlign w:val="superscript"/>
        </w:rPr>
        <w:t>-16</w:t>
      </w:r>
      <w:r w:rsidR="000F6F55" w:rsidRPr="00692930">
        <w:rPr>
          <w:rFonts w:ascii="Times New Roman" w:hAnsi="Times New Roman"/>
          <w:sz w:val="24"/>
          <w:szCs w:val="24"/>
        </w:rPr>
        <w:t xml:space="preserve"> to 10</w:t>
      </w:r>
      <w:r w:rsidR="000F6F55" w:rsidRPr="00692930">
        <w:rPr>
          <w:rFonts w:ascii="Times New Roman" w:hAnsi="Times New Roman"/>
          <w:sz w:val="24"/>
          <w:szCs w:val="24"/>
          <w:vertAlign w:val="superscript"/>
        </w:rPr>
        <w:t>-17</w:t>
      </w:r>
      <w:r w:rsidR="000F6F55" w:rsidRPr="00692930">
        <w:rPr>
          <w:rFonts w:ascii="Times New Roman" w:hAnsi="Times New Roman"/>
          <w:sz w:val="24"/>
          <w:szCs w:val="24"/>
        </w:rPr>
        <w:t xml:space="preserve"> cm</w:t>
      </w:r>
      <w:r w:rsidR="000F6F55" w:rsidRPr="00692930">
        <w:rPr>
          <w:rFonts w:ascii="Times New Roman" w:hAnsi="Times New Roman"/>
          <w:sz w:val="24"/>
          <w:szCs w:val="24"/>
          <w:vertAlign w:val="superscript"/>
        </w:rPr>
        <w:t>2</w:t>
      </w:r>
      <w:r w:rsidR="000F6F55" w:rsidRPr="00692930">
        <w:rPr>
          <w:rFonts w:ascii="Times New Roman" w:hAnsi="Times New Roman"/>
          <w:sz w:val="24"/>
          <w:szCs w:val="24"/>
        </w:rPr>
        <w:t>s</w:t>
      </w:r>
      <w:r w:rsidR="000F6F55" w:rsidRPr="00692930">
        <w:rPr>
          <w:rFonts w:ascii="Times New Roman" w:hAnsi="Times New Roman"/>
          <w:sz w:val="24"/>
          <w:szCs w:val="24"/>
          <w:vertAlign w:val="superscript"/>
        </w:rPr>
        <w:t>-1</w:t>
      </w:r>
      <w:r w:rsidR="000F6F55" w:rsidRPr="00692930">
        <w:rPr>
          <w:rFonts w:ascii="Times New Roman" w:hAnsi="Times New Roman"/>
          <w:sz w:val="24"/>
          <w:szCs w:val="24"/>
        </w:rPr>
        <w:t>, respectively.</w:t>
      </w:r>
      <w:r w:rsidR="00004B3F"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"10.1149/1.1506962", "ISBN" : "10990062", "ISSN" : "10990062", "author" : [ { "dropping-particle" : "", "family" : "Franger", "given" : "S.", "non-dropping-particle" : "", "parse-names" : false, "suffix" : "" }, { "dropping-particle" : "", "family" : "Cras", "given" : "F.", "non-dropping-particle" : "Le", "parse-names" : false, "suffix" : "" }, { "dropping-particle" : "", "family" : "Bourbon", "given" : "C.", "non-dropping-particle" : "", "parse-names" : false, "suffix" : "" }, { "dropping-particle" : "", "family" : "Rouault", "given" : "H.", "non-dropping-particle" : "", "parse-names" : false, "suffix" : "" } ], "container-title" : "Electrochemical and Solid-State Letters", "id" : "ITEM-1", "issue" : "10", "issued" : { "date-parts" : [ [ "2002" ] ] }, "page" : "A231", "title" : "LiFePO4 Synthesis Routes for Enhanced Electrochemical Performance", "type" : "article-journal", "volume" : "5" }, "uris" : [ "http://www.mendeley.com/documents/?uuid=efba205b-0096-4678-8ca2-8cf7af51c661", "http://www.mendeley.com/documents/?uuid=e07b8054-c010-40f7-b2f0-db431162df00" ] } ], "mendeley" : { "formattedCitation" : "&lt;sup&gt;22&lt;/sup&gt;", "plainTextFormattedCitation" : "22", "previouslyFormattedCitation" : "&lt;sup&gt;22&lt;/sup&gt;" }, "properties" : { "noteIndex" : 0 }, "schema" : "https://github.com/citation-style-language/schema/raw/master/csl-citation.json" }</w:instrText>
      </w:r>
      <w:r w:rsidR="00004B3F"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22</w:t>
      </w:r>
      <w:r w:rsidR="00004B3F" w:rsidRPr="00692930">
        <w:rPr>
          <w:rFonts w:ascii="Times New Roman" w:hAnsi="Times New Roman"/>
          <w:sz w:val="24"/>
          <w:szCs w:val="24"/>
        </w:rPr>
        <w:fldChar w:fldCharType="end"/>
      </w:r>
      <w:r w:rsidR="00004B3F" w:rsidRPr="00692930">
        <w:rPr>
          <w:rFonts w:ascii="Times New Roman" w:hAnsi="Times New Roman"/>
          <w:sz w:val="24"/>
          <w:szCs w:val="24"/>
          <w:vertAlign w:val="superscript"/>
        </w:rPr>
        <w:t>,</w:t>
      </w:r>
      <w:r w:rsidR="000F6F55"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"10.1016/j.jpowsour.2013.02.043", "ISSN" : "03787753", "abstract" : "Thin films of lithium iron phosphate (LiFePO4, LFP), with a thickness between 80 nm and 320 nm are prepared by ion beam sputter deposition. X-ray diffraction, transmission electron microscopy, and electron energy loss spectroscopy show that the films exhibit the desired structure, morphology, and chemical composition. Chrono potentiometry and cyclic voltammetry are carried out to determine the electrochemical behavior of the LFP films. Within these electrochemical measurements, a well-defined lithium intercalation/ deintercalation reaction at around 3.45 V vs. Li/Li+ and a specific capacity of 104 mAh g-1 are observed. Moreover, a quite high cycling stability is found: Measurement data at 1C rate indicate a capacity fading of only 20% after \u22481700 charge-discharge cycles. In addition, the diffusion of lithium within the LFP thin films is studied by cyclic voltammetry and galvanostatic intermittent transition technique. Within these measurements it is observed that the lithium kinetics in the sputter-deposited thin films is about two orders of magnitude faster, compared to the powder material and thin films deposited by pulsed laser deposition. This behavior may be explained by the strong texture of the sputtered films. \u00a9 2013 Elsevier B.V. All rights reserved.", "author" : [ { "dropping-particle" : "", "family" : "K\u00f6hler", "given" : "Mathias", "non-dropping-particle" : "", "parse-names" : false, "suffix" : "" }, { "dropping-particle" : "", "family" : "Berkemeier", "given" : "Frank", "non-dropping-particle" : "", "parse-names" : false, "suffix" : "" }, { "dropping-particle" : "", "family" : "Gallasch", "given" : "Tobias", "non-dropping-particle" : "", "parse-names" : false, "suffix" : "" }, { "dropping-particle" : "", "family" : "Schmitz", "given" : "Guido", "non-dropping-particle" : "", "parse-names" : false, "suffix" : "" } ], "container-title" : "Journal of Power Sources", "id" : "ITEM-1", "issued" : { "date-parts" : [ [ "2013" ] ] }, "page" : "61-67", "publisher" : "Elsevier B.V", "title" : "Lithium diffusion in sputter-deposited lithium iron phosphate thin-films", "type" : "article-journal", "volume" : "236" }, "uris" : [ "http://www.mendeley.com/documents/?uuid=f6694a09-60a8-49dc-8b39-04387b28712f" ] }, { "id" : "ITEM-2", "itemData" : { "DOI" : "10.1016/S0167-2738(02)00134-0", "ISBN" : "0167-2738", "ISSN" : "01672738", "abstract" : "The lithium insertion in the ordered olivine-type structure of LiFePO4 was analyzed as an insertion process with a Frumkin-type sorption isotherm. A minimum in the chemical diffusion coefficient of lithium (DLi) was predicted by the model for strong attractive interactions between the intercalation species and the host matrix. The DLi in the material was measured as a function of the lithium content by using the galvanostatic intermittent titration technique (GITT). The diffusion coefficient was found 1.8??10-14 and 2.2??10-16 cm2 s-1 for LiFePO4 and FePO4, respectively, with a minimum in correspondence of the peak of the differential capacity. The DLi has also been measured by AC impedance method for various lithium contents. The calculated values are in very good agreement with the previous calculated ones. ?? 2002 Elsevier Science B.V. All rights reserved.", "author" : [ { "dropping-particle" : "", "family" : "Prosini", "given" : "Pier Paolo", "non-dropping-particle" : "", "parse-names" : false, "suffix" : "" }, { "dropping-particle" : "", "family" : "Lisi", "given" : "Marida", "non-dropping-particle" : "", "parse-names" : false, "suffix" : "" }, { "dropping-particle" : "", "family" : "Zane", "given" : "Daniela", "non-dropping-particle" : "", "parse-names" : false, "suffix" : "" }, { "dropping-particle" : "", "family" : "Pasquali", "given" : "Mauro", "non-dropping-particle" : "", "parse-names" : false, "suffix" : "" } ], "container-title" : "Solid State Ionics", "id" : "ITEM-2", "issue" : "1-2", "issued" : { "date-parts" : [ [ "2002" ] ] }, "page" : "45-51", "title" : "Determination of the chemical diffusion coefficient of lithium in LiFePO4", "type" : "article-journal", "volume" : "148" }, "uris" : [ "http://www.mendeley.com/documents/?uuid=bda00e58-3e90-4977-99a2-98f535d6f263", "http://www.mendeley.com/documents/?uuid=0e7db0af-5636-458c-ae3f-ac0aebdfae20" ] }, { "id" : "ITEM-3", "itemData" : { "DOI" : "10.1016/j.jpowsour.2013.01.191", "ISSN" : "03787753", "abstract" : "Nanocrystalline LiMnPO4 particles approximately 100 nm in size are synthesized for use as a cathode material using a hydrothermal method. Small charge transfer resistances (Rct) measured using electrochemical impedance spectroscopy (EIS) indicate that the particles are effectively coated with the conductive C layer by pyrolyzing sucrose in an inert atmosphere. The cathode composed of nanocrystalline C-coated LiMnPO4 exhibits the largest specific capacities of 171 mAhg-1 and 153 mAhg-1 for the first cycle and 166 mAhg-1 and 146 mAhg-1 after 110 battery cycles at a rate of 0.05 C at 55 ??C and 25 ??C, respectively, with a degradation rate of 4 ?? 1% after 110 battery cycles. The specific capacities are 165 mAhg-1 and 142 mAhg-1 for the first cycle at 55 ??C for the nanoparticles with high crystallinity, even at high discharging current of 0.5 C and 5C, respectively. Diffusion coefficients of Li+ in LiMnPO4 (the fully discharged state) and in MnPO4 (the fully charged state) are estimated to be 3.58 ?? 10-16 and 4.99 ?? 10-17 cm2s-1, respectively, from EIS in the low frequency region. ?? 2013 Elsevier B.V. All rights reserved.", "author" : [ { "dropping-particle" : "", "family" : "Dinh", "given" : "Hung Cuong", "non-dropping-particle" : "", "parse-names" : false, "suffix" : "" }, { "dropping-particle" : "Il", "family" : "Mho", "given" : "Sun", "non-dropping-particle" : "", "parse-names" : false, "suffix" : "" }, { "dropping-particle" : "", "family" : "Kang", "given" : "Yongku", "non-dropping-particle" : "", "parse-names" : false, "suffix" : "" }, { "dropping-particle" : "", "family" : "Yeo", "given" : "In Hyeong", "non-dropping-particle" : "", "parse-names" : false, "suffix" : "" } ], "container-title" : "Journal of Power Sources", "id" : "ITEM-3", "issued" : { "date-parts" : [ [ "2013" ] ] }, "page" : "189-195", "publisher" : "Elsevier B.V", "title" : "Large discharge capacities at high current rates for carbon-coated LiMnPO4 nanocrystalline cathodes", "type" : "article-journal", "volume" : "244" }, "uris" : [ "http://www.mendeley.com/documents/?uuid=a5152534-186b-4f66-9f47-6d3eef081b01", "http://www.mendeley.com/documents/?uuid=eb048f04-08b0-49f5-a136-9606a4af1ab0" ] }, { "id" : "ITEM-4", "itemData" : { "DOI" : "10.1016/j.tsf.2015.02.041", "ISSN" : "00406090", "author" : [ { "dropping-particle" : "", "family" : "Fujimoto", "given" : "Daichi", "non-dropping-particle" : "", "parse-names" : false, "suffix" : "" }, { "dropping-particle" : "", "family" : "Kuwata", "given" : "Naoaki", "non-dropping-particle" : "", "parse-names" : false, "suffix" : "" }, { "dropping-particle" : "", "family" : "Matsuda", "given" : "Yasutaka", "non-dropping-particle" : "", "parse-names" : false, "suffix" : "" }, { "dropping-particle" : "", "family" : "Kawamura", "given" : "Junichi", "non-dropping-particle" : "", "parse-names" : false, "suffix" : "" }, { "dropping-particle" : "", "family" : "Kang", "given" : "Feiyu", "non-dropping-particle" : "", "parse-names" : false, "suffix" : "" } ], "container-title" : "Thin Solid Films", "id" : "ITEM-4", "issued" : { "date-parts" : [ [ "2015" ] ] }, "page" : "81-88", "publisher" : "Elsevier B.V.", "title" : "Fabrication of solid-state thin-film batteries using LiMnPO4 thin films deposited by pulsed laser deposition", "type" : "article-journal", "volume" : "579" }, "uris" : [ "http://www.mendeley.com/documents/?uuid=c6db509f-fee3-4e8a-8299-3722c86ab11a", "http://www.mendeley.com/documents/?uuid=950d23d0-0f8e-468c-b6cc-ee8f4dcc3802" ] } ], "mendeley" : { "formattedCitation" : "&lt;sup&gt;35\u201338&lt;/sup&gt;", "plainTextFormattedCitation" : "35\u201338", "previouslyFormattedCitation" : "&lt;sup&gt;35\u201338&lt;/sup&gt;" }, "properties" : { "noteIndex" : 0 }, "schema" : "https://github.com/citation-style-language/schema/raw/master/csl-citation.json" }</w:instrText>
      </w:r>
      <w:r w:rsidR="000F6F55"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35–38</w:t>
      </w:r>
      <w:r w:rsidR="000F6F55" w:rsidRPr="00692930">
        <w:rPr>
          <w:rFonts w:ascii="Times New Roman" w:hAnsi="Times New Roman"/>
          <w:sz w:val="24"/>
          <w:szCs w:val="24"/>
        </w:rPr>
        <w:fldChar w:fldCharType="end"/>
      </w:r>
    </w:p>
    <w:p w:rsidR="009D54B0" w:rsidRPr="00692930" w:rsidRDefault="00B76A1E" w:rsidP="008A3866">
      <w:pPr>
        <w:rPr>
          <w:rFonts w:ascii="Times New Roman" w:hAnsi="Times New Roman"/>
          <w:sz w:val="24"/>
          <w:szCs w:val="24"/>
        </w:rPr>
      </w:pPr>
      <w:r w:rsidRPr="00692930">
        <w:rPr>
          <w:rFonts w:ascii="Times New Roman" w:hAnsi="Times New Roman"/>
          <w:sz w:val="24"/>
          <w:szCs w:val="24"/>
        </w:rPr>
        <w:t>A deeper analysis shows that</w:t>
      </w:r>
      <w:r w:rsidR="00B7293F" w:rsidRPr="00692930">
        <w:rPr>
          <w:rFonts w:ascii="Times New Roman" w:hAnsi="Times New Roman"/>
          <w:sz w:val="24"/>
          <w:szCs w:val="24"/>
        </w:rPr>
        <w:t xml:space="preserve"> plot</w:t>
      </w:r>
      <w:r w:rsidRPr="00692930">
        <w:rPr>
          <w:rFonts w:ascii="Times New Roman" w:hAnsi="Times New Roman"/>
          <w:sz w:val="24"/>
          <w:szCs w:val="24"/>
        </w:rPr>
        <w:t>s such as</w:t>
      </w:r>
      <w:r w:rsidR="00B7293F" w:rsidRPr="00692930">
        <w:rPr>
          <w:rFonts w:ascii="Times New Roman" w:hAnsi="Times New Roman"/>
          <w:sz w:val="24"/>
          <w:szCs w:val="24"/>
        </w:rPr>
        <w:t xml:space="preserve"> </w:t>
      </w:r>
      <w:r w:rsidRPr="00692930">
        <w:rPr>
          <w:rFonts w:ascii="Times New Roman" w:hAnsi="Times New Roman"/>
          <w:sz w:val="24"/>
          <w:szCs w:val="24"/>
        </w:rPr>
        <w:t xml:space="preserve">that </w:t>
      </w:r>
      <w:r w:rsidR="00B7293F" w:rsidRPr="00692930">
        <w:rPr>
          <w:rFonts w:ascii="Times New Roman" w:hAnsi="Times New Roman"/>
          <w:sz w:val="24"/>
          <w:szCs w:val="24"/>
        </w:rPr>
        <w:t>in Fig.</w:t>
      </w:r>
      <w:r w:rsidR="003E352B" w:rsidRPr="00692930">
        <w:rPr>
          <w:rFonts w:ascii="Times New Roman" w:hAnsi="Times New Roman"/>
          <w:sz w:val="24"/>
          <w:szCs w:val="24"/>
        </w:rPr>
        <w:t xml:space="preserve"> </w:t>
      </w:r>
      <w:r w:rsidR="00B7293F" w:rsidRPr="00692930">
        <w:rPr>
          <w:rFonts w:ascii="Times New Roman" w:hAnsi="Times New Roman"/>
          <w:sz w:val="24"/>
          <w:szCs w:val="24"/>
        </w:rPr>
        <w:t>2d</w:t>
      </w:r>
      <w:r w:rsidRPr="00692930">
        <w:rPr>
          <w:rFonts w:ascii="Times New Roman" w:hAnsi="Times New Roman"/>
          <w:sz w:val="24"/>
          <w:szCs w:val="24"/>
        </w:rPr>
        <w:t xml:space="preserve"> need</w:t>
      </w:r>
      <w:r w:rsidR="00B7293F" w:rsidRPr="00692930">
        <w:rPr>
          <w:rFonts w:ascii="Times New Roman" w:hAnsi="Times New Roman"/>
          <w:sz w:val="24"/>
          <w:szCs w:val="24"/>
        </w:rPr>
        <w:t xml:space="preserve"> to be interpreted with additional care taking into account </w:t>
      </w:r>
      <w:r w:rsidR="00260995" w:rsidRPr="00692930">
        <w:rPr>
          <w:rFonts w:ascii="Times New Roman" w:hAnsi="Times New Roman"/>
          <w:sz w:val="24"/>
          <w:szCs w:val="24"/>
        </w:rPr>
        <w:t>various</w:t>
      </w:r>
      <w:r w:rsidR="00B7293F" w:rsidRPr="00692930">
        <w:rPr>
          <w:rFonts w:ascii="Times New Roman" w:hAnsi="Times New Roman"/>
          <w:sz w:val="24"/>
          <w:szCs w:val="24"/>
        </w:rPr>
        <w:t xml:space="preserve"> limitations of such an approach. </w:t>
      </w:r>
      <w:r w:rsidRPr="00692930">
        <w:rPr>
          <w:rFonts w:ascii="Times New Roman" w:hAnsi="Times New Roman"/>
          <w:sz w:val="24"/>
          <w:szCs w:val="24"/>
        </w:rPr>
        <w:t>For example</w:t>
      </w:r>
      <w:r w:rsidR="00B7293F" w:rsidRPr="00692930">
        <w:rPr>
          <w:rFonts w:ascii="Times New Roman" w:hAnsi="Times New Roman"/>
          <w:sz w:val="24"/>
          <w:szCs w:val="24"/>
        </w:rPr>
        <w:t xml:space="preserve">, one </w:t>
      </w:r>
      <w:r w:rsidR="00B7293F" w:rsidRPr="00692930">
        <w:rPr>
          <w:rFonts w:ascii="Times New Roman" w:hAnsi="Times New Roman"/>
          <w:sz w:val="24"/>
          <w:szCs w:val="24"/>
        </w:rPr>
        <w:lastRenderedPageBreak/>
        <w:t xml:space="preserve">finds that, at high rates, </w:t>
      </w:r>
      <w:r w:rsidR="009D54B0" w:rsidRPr="00692930">
        <w:rPr>
          <w:rFonts w:ascii="Times New Roman" w:hAnsi="Times New Roman"/>
          <w:sz w:val="24"/>
          <w:szCs w:val="24"/>
        </w:rPr>
        <w:t xml:space="preserve">the energy efficiency obtained using </w:t>
      </w:r>
      <w:r w:rsidR="00E80617" w:rsidRPr="00692930">
        <w:rPr>
          <w:rFonts w:ascii="Times New Roman" w:hAnsi="Times New Roman"/>
          <w:sz w:val="24"/>
          <w:szCs w:val="24"/>
        </w:rPr>
        <w:t>E</w:t>
      </w:r>
      <w:r w:rsidR="003E352B" w:rsidRPr="00692930">
        <w:rPr>
          <w:rFonts w:ascii="Times New Roman" w:hAnsi="Times New Roman"/>
          <w:sz w:val="24"/>
          <w:szCs w:val="24"/>
        </w:rPr>
        <w:t>q</w:t>
      </w:r>
      <w:r w:rsidR="00E80617" w:rsidRPr="00692930">
        <w:rPr>
          <w:rFonts w:ascii="Times New Roman" w:hAnsi="Times New Roman"/>
          <w:sz w:val="24"/>
          <w:szCs w:val="24"/>
        </w:rPr>
        <w:t>.</w:t>
      </w:r>
      <w:r w:rsidR="009D54B0" w:rsidRPr="00692930">
        <w:rPr>
          <w:rFonts w:ascii="Times New Roman" w:hAnsi="Times New Roman"/>
          <w:sz w:val="24"/>
          <w:szCs w:val="24"/>
        </w:rPr>
        <w:t xml:space="preserve"> </w:t>
      </w:r>
      <w:r w:rsidR="003E352B" w:rsidRPr="00692930">
        <w:rPr>
          <w:rFonts w:ascii="Times New Roman" w:hAnsi="Times New Roman"/>
          <w:sz w:val="24"/>
          <w:szCs w:val="24"/>
        </w:rPr>
        <w:t>(</w:t>
      </w:r>
      <w:r w:rsidR="009D54B0" w:rsidRPr="00692930">
        <w:rPr>
          <w:rFonts w:ascii="Times New Roman" w:hAnsi="Times New Roman"/>
          <w:sz w:val="24"/>
          <w:szCs w:val="24"/>
        </w:rPr>
        <w:t xml:space="preserve">1) is strongly affected by the fact that at </w:t>
      </w:r>
      <w:r w:rsidR="00B7293F" w:rsidRPr="00692930">
        <w:rPr>
          <w:rFonts w:ascii="Times New Roman" w:hAnsi="Times New Roman"/>
          <w:sz w:val="24"/>
          <w:szCs w:val="24"/>
        </w:rPr>
        <w:t xml:space="preserve">these conditions the </w:t>
      </w:r>
      <w:r w:rsidR="009D54B0" w:rsidRPr="00692930">
        <w:rPr>
          <w:rFonts w:ascii="Times New Roman" w:hAnsi="Times New Roman"/>
          <w:sz w:val="24"/>
          <w:szCs w:val="24"/>
        </w:rPr>
        <w:t xml:space="preserve">active material </w:t>
      </w:r>
      <w:r w:rsidR="00B7293F" w:rsidRPr="00692930">
        <w:rPr>
          <w:rFonts w:ascii="Times New Roman" w:hAnsi="Times New Roman"/>
          <w:sz w:val="24"/>
          <w:szCs w:val="24"/>
        </w:rPr>
        <w:t>can</w:t>
      </w:r>
      <w:r w:rsidR="009D54B0" w:rsidRPr="00692930">
        <w:rPr>
          <w:rFonts w:ascii="Times New Roman" w:hAnsi="Times New Roman"/>
          <w:sz w:val="24"/>
          <w:szCs w:val="24"/>
        </w:rPr>
        <w:t>not be fully charged and discharged</w:t>
      </w:r>
      <w:r w:rsidR="00B7293F" w:rsidRPr="00692930">
        <w:rPr>
          <w:rFonts w:ascii="Times New Roman" w:hAnsi="Times New Roman"/>
          <w:sz w:val="24"/>
          <w:szCs w:val="24"/>
        </w:rPr>
        <w:t xml:space="preserve">. </w:t>
      </w:r>
      <w:r w:rsidR="00E80617" w:rsidRPr="00692930">
        <w:rPr>
          <w:rFonts w:ascii="Times New Roman" w:hAnsi="Times New Roman"/>
          <w:sz w:val="24"/>
          <w:szCs w:val="24"/>
        </w:rPr>
        <w:t xml:space="preserve"> I</w:t>
      </w:r>
      <w:r w:rsidR="009D54B0" w:rsidRPr="00692930">
        <w:rPr>
          <w:rFonts w:ascii="Times New Roman" w:hAnsi="Times New Roman"/>
          <w:sz w:val="24"/>
          <w:szCs w:val="24"/>
        </w:rPr>
        <w:t xml:space="preserve">n </w:t>
      </w:r>
      <w:r w:rsidR="00260995" w:rsidRPr="00692930">
        <w:rPr>
          <w:rFonts w:ascii="Times New Roman" w:hAnsi="Times New Roman"/>
          <w:sz w:val="24"/>
          <w:szCs w:val="24"/>
        </w:rPr>
        <w:t xml:space="preserve">our specific case this means that </w:t>
      </w:r>
      <w:r w:rsidR="009D54B0" w:rsidRPr="00692930">
        <w:rPr>
          <w:rFonts w:ascii="Times New Roman" w:hAnsi="Times New Roman"/>
          <w:sz w:val="24"/>
          <w:szCs w:val="24"/>
        </w:rPr>
        <w:t>the</w:t>
      </w:r>
      <w:r w:rsidR="00E80617" w:rsidRPr="00692930">
        <w:rPr>
          <w:rFonts w:ascii="Times New Roman" w:hAnsi="Times New Roman"/>
          <w:sz w:val="24"/>
          <w:szCs w:val="24"/>
        </w:rPr>
        <w:t xml:space="preserve"> </w:t>
      </w:r>
      <w:r w:rsidR="009D54B0" w:rsidRPr="00692930">
        <w:rPr>
          <w:rFonts w:ascii="Times New Roman" w:hAnsi="Times New Roman"/>
          <w:sz w:val="24"/>
          <w:szCs w:val="24"/>
        </w:rPr>
        <w:t>measured average voltage of the cell during charge is artificially reduced and the average voltage during discharge is artificially increased. Consequently</w:t>
      </w:r>
      <w:r w:rsidR="00B7293F" w:rsidRPr="00692930">
        <w:rPr>
          <w:rFonts w:ascii="Times New Roman" w:hAnsi="Times New Roman"/>
          <w:sz w:val="24"/>
          <w:szCs w:val="24"/>
        </w:rPr>
        <w:t>,</w:t>
      </w:r>
      <w:r w:rsidR="009D54B0" w:rsidRPr="00692930">
        <w:rPr>
          <w:rFonts w:ascii="Times New Roman" w:hAnsi="Times New Roman"/>
          <w:sz w:val="24"/>
          <w:szCs w:val="24"/>
        </w:rPr>
        <w:t xml:space="preserve"> </w:t>
      </w:r>
      <w:r w:rsidR="00B7293F" w:rsidRPr="00692930">
        <w:rPr>
          <w:rFonts w:ascii="Times New Roman" w:hAnsi="Times New Roman"/>
          <w:sz w:val="24"/>
          <w:szCs w:val="24"/>
        </w:rPr>
        <w:t xml:space="preserve">at high C-rates </w:t>
      </w:r>
      <w:r w:rsidR="009D54B0" w:rsidRPr="00692930">
        <w:rPr>
          <w:rFonts w:ascii="Times New Roman" w:hAnsi="Times New Roman"/>
          <w:sz w:val="24"/>
          <w:szCs w:val="24"/>
        </w:rPr>
        <w:t xml:space="preserve">the calculated energy efficiencies </w:t>
      </w:r>
      <w:r w:rsidR="00B7293F" w:rsidRPr="00692930">
        <w:rPr>
          <w:rFonts w:ascii="Times New Roman" w:hAnsi="Times New Roman"/>
          <w:sz w:val="24"/>
          <w:szCs w:val="24"/>
        </w:rPr>
        <w:t xml:space="preserve">using Eq. </w:t>
      </w:r>
      <w:r w:rsidR="00E80617" w:rsidRPr="00692930">
        <w:rPr>
          <w:rFonts w:ascii="Times New Roman" w:hAnsi="Times New Roman"/>
          <w:sz w:val="24"/>
          <w:szCs w:val="24"/>
        </w:rPr>
        <w:t>(</w:t>
      </w:r>
      <w:r w:rsidR="00B7293F" w:rsidRPr="00692930">
        <w:rPr>
          <w:rFonts w:ascii="Times New Roman" w:hAnsi="Times New Roman"/>
          <w:sz w:val="24"/>
          <w:szCs w:val="24"/>
        </w:rPr>
        <w:t>1</w:t>
      </w:r>
      <w:r w:rsidR="00E80617" w:rsidRPr="00692930">
        <w:rPr>
          <w:rFonts w:ascii="Times New Roman" w:hAnsi="Times New Roman"/>
          <w:sz w:val="24"/>
          <w:szCs w:val="24"/>
        </w:rPr>
        <w:t>)</w:t>
      </w:r>
      <w:r w:rsidR="00B7293F" w:rsidRPr="00692930">
        <w:rPr>
          <w:rFonts w:ascii="Times New Roman" w:hAnsi="Times New Roman"/>
          <w:sz w:val="24"/>
          <w:szCs w:val="24"/>
        </w:rPr>
        <w:t xml:space="preserve"> </w:t>
      </w:r>
      <w:r w:rsidR="009D54B0" w:rsidRPr="00692930">
        <w:rPr>
          <w:rFonts w:ascii="Times New Roman" w:hAnsi="Times New Roman"/>
          <w:sz w:val="24"/>
          <w:szCs w:val="24"/>
        </w:rPr>
        <w:t xml:space="preserve">are overestimated. </w:t>
      </w:r>
      <w:r w:rsidR="00F60674" w:rsidRPr="00692930">
        <w:rPr>
          <w:rFonts w:ascii="Times New Roman" w:hAnsi="Times New Roman"/>
          <w:sz w:val="24"/>
          <w:szCs w:val="24"/>
        </w:rPr>
        <w:t>Conversely, f</w:t>
      </w:r>
      <w:r w:rsidR="009D54B0" w:rsidRPr="00692930">
        <w:rPr>
          <w:rFonts w:ascii="Times New Roman" w:hAnsi="Times New Roman"/>
          <w:sz w:val="24"/>
          <w:szCs w:val="24"/>
        </w:rPr>
        <w:t xml:space="preserve">or </w:t>
      </w:r>
      <w:r w:rsidR="00F60674" w:rsidRPr="00692930">
        <w:rPr>
          <w:rFonts w:ascii="Times New Roman" w:hAnsi="Times New Roman"/>
          <w:sz w:val="24"/>
          <w:szCs w:val="24"/>
        </w:rPr>
        <w:t xml:space="preserve">the </w:t>
      </w:r>
      <w:r w:rsidR="009D54B0" w:rsidRPr="00692930">
        <w:rPr>
          <w:rFonts w:ascii="Times New Roman" w:hAnsi="Times New Roman"/>
          <w:sz w:val="24"/>
          <w:szCs w:val="24"/>
        </w:rPr>
        <w:t xml:space="preserve">low and medium C-rates where </w:t>
      </w:r>
      <w:r w:rsidR="00F60674" w:rsidRPr="00692930">
        <w:rPr>
          <w:rFonts w:ascii="Times New Roman" w:hAnsi="Times New Roman"/>
          <w:sz w:val="24"/>
          <w:szCs w:val="24"/>
        </w:rPr>
        <w:t>still a</w:t>
      </w:r>
      <w:r w:rsidR="009D54B0" w:rsidRPr="00692930">
        <w:rPr>
          <w:rFonts w:ascii="Times New Roman" w:hAnsi="Times New Roman"/>
          <w:sz w:val="24"/>
          <w:szCs w:val="24"/>
        </w:rPr>
        <w:t xml:space="preserve"> substantial part of </w:t>
      </w:r>
      <w:r w:rsidR="00925869" w:rsidRPr="00692930">
        <w:rPr>
          <w:rFonts w:ascii="Times New Roman" w:hAnsi="Times New Roman"/>
          <w:sz w:val="24"/>
          <w:szCs w:val="24"/>
        </w:rPr>
        <w:t xml:space="preserve">total </w:t>
      </w:r>
      <w:r w:rsidR="009D54B0" w:rsidRPr="00692930">
        <w:rPr>
          <w:rFonts w:ascii="Times New Roman" w:hAnsi="Times New Roman"/>
          <w:sz w:val="24"/>
          <w:szCs w:val="24"/>
        </w:rPr>
        <w:t xml:space="preserve">capacity (e.g. </w:t>
      </w:r>
      <w:r w:rsidR="009D54B0" w:rsidRPr="00692930">
        <w:rPr>
          <w:rFonts w:ascii="Times New Roman" w:hAnsi="Times New Roman"/>
          <w:sz w:val="24"/>
          <w:szCs w:val="24"/>
        </w:rPr>
        <w:sym w:font="Symbol" w:char="F03E"/>
      </w:r>
      <w:r w:rsidR="009D54B0" w:rsidRPr="00692930">
        <w:rPr>
          <w:rFonts w:ascii="Times New Roman" w:hAnsi="Times New Roman"/>
          <w:sz w:val="24"/>
          <w:szCs w:val="24"/>
        </w:rPr>
        <w:t xml:space="preserve"> </w:t>
      </w:r>
      <w:r w:rsidR="00542894" w:rsidRPr="00692930">
        <w:rPr>
          <w:rFonts w:ascii="Times New Roman" w:hAnsi="Times New Roman"/>
          <w:sz w:val="24"/>
          <w:szCs w:val="24"/>
        </w:rPr>
        <w:t>1/3 of theoretical capacity</w:t>
      </w:r>
      <w:r w:rsidR="009D54B0" w:rsidRPr="00692930">
        <w:rPr>
          <w:rFonts w:ascii="Times New Roman" w:hAnsi="Times New Roman"/>
          <w:sz w:val="24"/>
          <w:szCs w:val="24"/>
        </w:rPr>
        <w:t xml:space="preserve">) is </w:t>
      </w:r>
      <w:r w:rsidR="00F60674" w:rsidRPr="00692930">
        <w:rPr>
          <w:rFonts w:ascii="Times New Roman" w:hAnsi="Times New Roman"/>
          <w:sz w:val="24"/>
          <w:szCs w:val="24"/>
        </w:rPr>
        <w:t>exploited</w:t>
      </w:r>
      <w:r w:rsidR="009D54B0" w:rsidRPr="00692930">
        <w:rPr>
          <w:rFonts w:ascii="Times New Roman" w:hAnsi="Times New Roman"/>
          <w:sz w:val="24"/>
          <w:szCs w:val="24"/>
        </w:rPr>
        <w:t xml:space="preserve"> the obtained values of </w:t>
      </w:r>
      <w:r w:rsidR="009D54B0" w:rsidRPr="00692930">
        <w:rPr>
          <w:rFonts w:ascii="Times New Roman" w:hAnsi="Times New Roman"/>
          <w:i/>
          <w:sz w:val="24"/>
          <w:szCs w:val="24"/>
        </w:rPr>
        <w:sym w:font="Symbol" w:char="F065"/>
      </w:r>
      <w:r w:rsidR="00925869" w:rsidRPr="00692930">
        <w:rPr>
          <w:rFonts w:ascii="Times New Roman" w:hAnsi="Times New Roman"/>
          <w:sz w:val="24"/>
          <w:szCs w:val="24"/>
        </w:rPr>
        <w:t xml:space="preserve"> are meani</w:t>
      </w:r>
      <w:r w:rsidR="00542894" w:rsidRPr="00692930">
        <w:rPr>
          <w:rFonts w:ascii="Times New Roman" w:hAnsi="Times New Roman"/>
          <w:sz w:val="24"/>
          <w:szCs w:val="24"/>
        </w:rPr>
        <w:t>n</w:t>
      </w:r>
      <w:r w:rsidR="00925869" w:rsidRPr="00692930">
        <w:rPr>
          <w:rFonts w:ascii="Times New Roman" w:hAnsi="Times New Roman"/>
          <w:sz w:val="24"/>
          <w:szCs w:val="24"/>
        </w:rPr>
        <w:t>gful</w:t>
      </w:r>
      <w:r w:rsidR="009D54B0" w:rsidRPr="00692930">
        <w:rPr>
          <w:rFonts w:ascii="Times New Roman" w:hAnsi="Times New Roman"/>
          <w:sz w:val="24"/>
          <w:szCs w:val="24"/>
        </w:rPr>
        <w:t xml:space="preserve">. </w:t>
      </w:r>
      <w:r w:rsidR="00925869" w:rsidRPr="00692930">
        <w:rPr>
          <w:rFonts w:ascii="Times New Roman" w:hAnsi="Times New Roman"/>
          <w:sz w:val="24"/>
          <w:szCs w:val="24"/>
        </w:rPr>
        <w:t>Thus</w:t>
      </w:r>
      <w:r w:rsidR="009D54B0" w:rsidRPr="00692930">
        <w:rPr>
          <w:rFonts w:ascii="Times New Roman" w:hAnsi="Times New Roman"/>
          <w:sz w:val="24"/>
          <w:szCs w:val="24"/>
        </w:rPr>
        <w:t xml:space="preserve"> in the case of the LMP at 4C, 8C and 16 C (Fig. 1a) and in the case of the LFP at 20C and 30C (Fig. 1b) the obtained values of </w:t>
      </w:r>
      <w:r w:rsidR="009D54B0" w:rsidRPr="00692930">
        <w:rPr>
          <w:rFonts w:ascii="Times New Roman" w:hAnsi="Times New Roman"/>
          <w:i/>
          <w:sz w:val="24"/>
          <w:szCs w:val="24"/>
        </w:rPr>
        <w:sym w:font="Symbol" w:char="F065"/>
      </w:r>
      <w:r w:rsidR="009D54B0" w:rsidRPr="00692930">
        <w:rPr>
          <w:rFonts w:ascii="Times New Roman" w:hAnsi="Times New Roman"/>
          <w:sz w:val="24"/>
          <w:szCs w:val="24"/>
        </w:rPr>
        <w:t xml:space="preserve"> are larger than the real one</w:t>
      </w:r>
      <w:r w:rsidR="00925869" w:rsidRPr="00692930">
        <w:rPr>
          <w:rFonts w:ascii="Times New Roman" w:hAnsi="Times New Roman"/>
          <w:sz w:val="24"/>
          <w:szCs w:val="24"/>
        </w:rPr>
        <w:t>s</w:t>
      </w:r>
      <w:r w:rsidR="009D54B0" w:rsidRPr="00692930">
        <w:rPr>
          <w:rFonts w:ascii="Times New Roman" w:hAnsi="Times New Roman"/>
          <w:sz w:val="24"/>
          <w:szCs w:val="24"/>
        </w:rPr>
        <w:t xml:space="preserve"> (those with the true physical meaning)</w:t>
      </w:r>
      <w:r w:rsidR="00925869" w:rsidRPr="00692930">
        <w:rPr>
          <w:rFonts w:ascii="Times New Roman" w:hAnsi="Times New Roman"/>
          <w:sz w:val="24"/>
          <w:szCs w:val="24"/>
        </w:rPr>
        <w:t>.</w:t>
      </w:r>
      <w:r w:rsidR="002B43C9" w:rsidRPr="00692930">
        <w:rPr>
          <w:rFonts w:ascii="Times New Roman" w:hAnsi="Times New Roman"/>
          <w:sz w:val="24"/>
          <w:szCs w:val="24"/>
        </w:rPr>
        <w:t xml:space="preserve"> </w:t>
      </w:r>
      <w:r w:rsidR="00260995" w:rsidRPr="00692930">
        <w:rPr>
          <w:rFonts w:ascii="Times New Roman" w:hAnsi="Times New Roman"/>
          <w:sz w:val="24"/>
          <w:szCs w:val="24"/>
        </w:rPr>
        <w:t xml:space="preserve">More </w:t>
      </w:r>
      <w:r w:rsidR="00422AD9" w:rsidRPr="00692930">
        <w:rPr>
          <w:rFonts w:ascii="Times New Roman" w:hAnsi="Times New Roman"/>
          <w:sz w:val="24"/>
          <w:szCs w:val="24"/>
        </w:rPr>
        <w:t>real</w:t>
      </w:r>
      <w:r w:rsidR="00260995" w:rsidRPr="00692930">
        <w:rPr>
          <w:rFonts w:ascii="Times New Roman" w:hAnsi="Times New Roman"/>
          <w:sz w:val="24"/>
          <w:szCs w:val="24"/>
        </w:rPr>
        <w:t>istic</w:t>
      </w:r>
      <w:r w:rsidR="00422AD9" w:rsidRPr="00692930">
        <w:rPr>
          <w:rFonts w:ascii="Times New Roman" w:hAnsi="Times New Roman"/>
          <w:sz w:val="24"/>
          <w:szCs w:val="24"/>
        </w:rPr>
        <w:t xml:space="preserve"> values of </w:t>
      </w:r>
      <w:r w:rsidR="00422AD9" w:rsidRPr="00692930">
        <w:rPr>
          <w:rFonts w:ascii="Times New Roman" w:hAnsi="Times New Roman"/>
          <w:i/>
          <w:sz w:val="24"/>
          <w:szCs w:val="24"/>
        </w:rPr>
        <w:sym w:font="Symbol" w:char="F065"/>
      </w:r>
      <w:r w:rsidR="00422AD9" w:rsidRPr="00692930">
        <w:rPr>
          <w:rFonts w:ascii="Times New Roman" w:hAnsi="Times New Roman"/>
          <w:i/>
          <w:sz w:val="24"/>
          <w:szCs w:val="24"/>
        </w:rPr>
        <w:t xml:space="preserve"> </w:t>
      </w:r>
      <w:r w:rsidR="00422AD9" w:rsidRPr="00692930">
        <w:rPr>
          <w:rFonts w:ascii="Times New Roman" w:hAnsi="Times New Roman"/>
          <w:sz w:val="24"/>
          <w:szCs w:val="24"/>
        </w:rPr>
        <w:t xml:space="preserve">for high C-rates could be obtained by using </w:t>
      </w:r>
      <w:r w:rsidR="00260995" w:rsidRPr="00692930">
        <w:rPr>
          <w:rFonts w:ascii="Times New Roman" w:hAnsi="Times New Roman"/>
          <w:sz w:val="24"/>
          <w:szCs w:val="24"/>
        </w:rPr>
        <w:t xml:space="preserve">a </w:t>
      </w:r>
      <w:r w:rsidR="00422AD9" w:rsidRPr="00692930">
        <w:rPr>
          <w:rFonts w:ascii="Times New Roman" w:hAnsi="Times New Roman"/>
          <w:sz w:val="24"/>
          <w:szCs w:val="24"/>
        </w:rPr>
        <w:t>wide</w:t>
      </w:r>
      <w:r w:rsidR="00260995" w:rsidRPr="00692930">
        <w:rPr>
          <w:rFonts w:ascii="Times New Roman" w:hAnsi="Times New Roman"/>
          <w:sz w:val="24"/>
          <w:szCs w:val="24"/>
        </w:rPr>
        <w:t>r potential window</w:t>
      </w:r>
      <w:r w:rsidR="00422AD9" w:rsidRPr="00692930">
        <w:rPr>
          <w:rFonts w:ascii="Times New Roman" w:hAnsi="Times New Roman"/>
          <w:sz w:val="24"/>
          <w:szCs w:val="24"/>
        </w:rPr>
        <w:t xml:space="preserve"> which</w:t>
      </w:r>
      <w:r w:rsidR="00260995" w:rsidRPr="00692930">
        <w:rPr>
          <w:rFonts w:ascii="Times New Roman" w:hAnsi="Times New Roman"/>
          <w:sz w:val="24"/>
          <w:szCs w:val="24"/>
        </w:rPr>
        <w:t xml:space="preserve">, however, </w:t>
      </w:r>
      <w:r w:rsidR="00634DBF" w:rsidRPr="00692930">
        <w:rPr>
          <w:rFonts w:ascii="Times New Roman" w:hAnsi="Times New Roman"/>
          <w:sz w:val="24"/>
          <w:szCs w:val="24"/>
        </w:rPr>
        <w:t xml:space="preserve">would only be possible with a </w:t>
      </w:r>
      <w:r w:rsidR="00260995" w:rsidRPr="00692930">
        <w:rPr>
          <w:rFonts w:ascii="Times New Roman" w:hAnsi="Times New Roman"/>
          <w:sz w:val="24"/>
          <w:szCs w:val="24"/>
        </w:rPr>
        <w:t xml:space="preserve">much improved electrolyte </w:t>
      </w:r>
      <w:r w:rsidR="00422AD9" w:rsidRPr="00692930">
        <w:rPr>
          <w:rFonts w:ascii="Times New Roman" w:hAnsi="Times New Roman"/>
          <w:sz w:val="24"/>
          <w:szCs w:val="24"/>
        </w:rPr>
        <w:t xml:space="preserve">that would exhibit excellent ion transport properties together with possessing much wider potential stability window </w:t>
      </w:r>
      <w:r w:rsidR="00260995" w:rsidRPr="00692930">
        <w:rPr>
          <w:rFonts w:ascii="Times New Roman" w:hAnsi="Times New Roman"/>
          <w:sz w:val="24"/>
          <w:szCs w:val="24"/>
        </w:rPr>
        <w:t xml:space="preserve">compared to the presently used </w:t>
      </w:r>
      <w:r w:rsidR="00422AD9" w:rsidRPr="00692930">
        <w:rPr>
          <w:rFonts w:ascii="Times New Roman" w:hAnsi="Times New Roman"/>
          <w:sz w:val="24"/>
          <w:szCs w:val="24"/>
        </w:rPr>
        <w:t xml:space="preserve">carbonate-based </w:t>
      </w:r>
      <w:r w:rsidR="003C64F5" w:rsidRPr="00692930">
        <w:rPr>
          <w:rFonts w:ascii="Times New Roman" w:hAnsi="Times New Roman"/>
          <w:sz w:val="24"/>
          <w:szCs w:val="24"/>
        </w:rPr>
        <w:t>electrolytes</w:t>
      </w:r>
      <w:r w:rsidR="00422AD9" w:rsidRPr="00692930">
        <w:rPr>
          <w:rFonts w:ascii="Times New Roman" w:hAnsi="Times New Roman"/>
          <w:sz w:val="24"/>
          <w:szCs w:val="24"/>
        </w:rPr>
        <w:t>.</w:t>
      </w:r>
    </w:p>
    <w:p w:rsidR="00634DBF" w:rsidRPr="00692930" w:rsidRDefault="00634DBF" w:rsidP="008A3866">
      <w:pPr>
        <w:ind w:firstLine="0"/>
        <w:rPr>
          <w:rFonts w:ascii="Times New Roman" w:hAnsi="Times New Roman"/>
          <w:b/>
          <w:bCs/>
          <w:sz w:val="24"/>
          <w:szCs w:val="24"/>
        </w:rPr>
      </w:pPr>
    </w:p>
    <w:p w:rsidR="009D54B0" w:rsidRPr="00692930" w:rsidRDefault="005D0538" w:rsidP="008A3866">
      <w:pPr>
        <w:ind w:firstLine="0"/>
        <w:rPr>
          <w:rFonts w:ascii="Times New Roman" w:hAnsi="Times New Roman"/>
          <w:b/>
          <w:bCs/>
          <w:sz w:val="24"/>
          <w:szCs w:val="24"/>
        </w:rPr>
      </w:pPr>
      <w:r w:rsidRPr="00692930">
        <w:rPr>
          <w:rFonts w:ascii="Times New Roman" w:hAnsi="Times New Roman"/>
          <w:b/>
          <w:bCs/>
          <w:sz w:val="24"/>
          <w:szCs w:val="24"/>
        </w:rPr>
        <w:t xml:space="preserve">3.2 </w:t>
      </w:r>
      <w:r w:rsidR="009D54B0" w:rsidRPr="00692930">
        <w:rPr>
          <w:rFonts w:ascii="Times New Roman" w:hAnsi="Times New Roman"/>
          <w:b/>
          <w:bCs/>
          <w:sz w:val="24"/>
          <w:szCs w:val="24"/>
        </w:rPr>
        <w:t>Current-Overpotential (</w:t>
      </w:r>
      <w:r w:rsidR="009D54B0" w:rsidRPr="00692930">
        <w:rPr>
          <w:rFonts w:ascii="Times New Roman" w:hAnsi="Times New Roman"/>
          <w:b/>
          <w:bCs/>
          <w:i/>
          <w:iCs/>
          <w:sz w:val="24"/>
          <w:szCs w:val="24"/>
        </w:rPr>
        <w:t>I</w:t>
      </w:r>
      <w:r w:rsidR="009D54B0" w:rsidRPr="00692930">
        <w:rPr>
          <w:rFonts w:ascii="Times New Roman" w:hAnsi="Times New Roman"/>
          <w:b/>
          <w:bCs/>
          <w:sz w:val="24"/>
          <w:szCs w:val="24"/>
        </w:rPr>
        <w:t>-</w:t>
      </w:r>
      <w:r w:rsidR="009D54B0" w:rsidRPr="00692930">
        <w:rPr>
          <w:rFonts w:ascii="Symbol" w:hAnsi="Symbol"/>
          <w:b/>
          <w:bCs/>
          <w:i/>
          <w:sz w:val="24"/>
          <w:szCs w:val="24"/>
        </w:rPr>
        <w:t></w:t>
      </w:r>
      <w:r w:rsidR="009D54B0" w:rsidRPr="00692930">
        <w:rPr>
          <w:rFonts w:ascii="Times New Roman" w:hAnsi="Times New Roman"/>
          <w:b/>
          <w:bCs/>
          <w:sz w:val="24"/>
          <w:szCs w:val="24"/>
        </w:rPr>
        <w:t>) characteristics</w:t>
      </w:r>
    </w:p>
    <w:p w:rsidR="009D54B0" w:rsidRPr="00692930" w:rsidRDefault="00925869" w:rsidP="008A3866">
      <w:pPr>
        <w:rPr>
          <w:rFonts w:ascii="Times New Roman" w:hAnsi="Times New Roman"/>
          <w:sz w:val="24"/>
          <w:szCs w:val="24"/>
        </w:rPr>
      </w:pPr>
      <w:r w:rsidRPr="00692930">
        <w:rPr>
          <w:rFonts w:ascii="Times New Roman" w:hAnsi="Times New Roman"/>
          <w:sz w:val="24"/>
          <w:szCs w:val="24"/>
        </w:rPr>
        <w:t xml:space="preserve">In an attempt to gain a more realistic insight into inherent electrochemical performance at different rates we have made additional analyses of the hysteretic </w:t>
      </w:r>
      <w:r w:rsidR="00F448C6" w:rsidRPr="00692930">
        <w:rPr>
          <w:rFonts w:ascii="Times New Roman" w:hAnsi="Times New Roman"/>
          <w:sz w:val="24"/>
          <w:szCs w:val="24"/>
        </w:rPr>
        <w:t>behavior</w:t>
      </w:r>
      <w:r w:rsidRPr="00692930">
        <w:rPr>
          <w:rFonts w:ascii="Times New Roman" w:hAnsi="Times New Roman"/>
          <w:sz w:val="24"/>
          <w:szCs w:val="24"/>
        </w:rPr>
        <w:t xml:space="preserve"> of the three materials discussed above. As the hysteresis between the charge and discharge curve varies significantly with the state of charge/discharge (SOC/SOD) (see Figs. 2a-c), an obvious </w:t>
      </w:r>
      <w:r w:rsidR="009D54B0" w:rsidRPr="00692930">
        <w:rPr>
          <w:rFonts w:ascii="Times New Roman" w:hAnsi="Times New Roman"/>
          <w:sz w:val="24"/>
          <w:szCs w:val="24"/>
        </w:rPr>
        <w:t>question arises</w:t>
      </w:r>
      <w:r w:rsidRPr="00692930">
        <w:rPr>
          <w:rFonts w:ascii="Times New Roman" w:hAnsi="Times New Roman"/>
          <w:sz w:val="24"/>
          <w:szCs w:val="24"/>
        </w:rPr>
        <w:t>:</w:t>
      </w:r>
      <w:r w:rsidR="009D54B0" w:rsidRPr="00692930">
        <w:rPr>
          <w:rFonts w:ascii="Times New Roman" w:hAnsi="Times New Roman"/>
          <w:sz w:val="24"/>
          <w:szCs w:val="24"/>
        </w:rPr>
        <w:t xml:space="preserve"> at which points in the charge and discharge curve </w:t>
      </w:r>
      <w:r w:rsidRPr="00692930">
        <w:rPr>
          <w:rFonts w:ascii="Times New Roman" w:hAnsi="Times New Roman"/>
          <w:sz w:val="24"/>
          <w:szCs w:val="24"/>
        </w:rPr>
        <w:t>should</w:t>
      </w:r>
      <w:r w:rsidR="009D54B0" w:rsidRPr="00692930">
        <w:rPr>
          <w:rFonts w:ascii="Times New Roman" w:hAnsi="Times New Roman"/>
          <w:sz w:val="24"/>
          <w:szCs w:val="24"/>
        </w:rPr>
        <w:t xml:space="preserve"> we read out </w:t>
      </w:r>
      <w:r w:rsidRPr="00692930">
        <w:rPr>
          <w:rFonts w:ascii="Times New Roman" w:hAnsi="Times New Roman"/>
          <w:sz w:val="24"/>
          <w:szCs w:val="24"/>
        </w:rPr>
        <w:t>the value of overpotential,</w:t>
      </w:r>
      <w:r w:rsidR="009A5141" w:rsidRPr="00692930">
        <w:rPr>
          <w:rFonts w:ascii="Times New Roman" w:hAnsi="Times New Roman"/>
          <w:sz w:val="24"/>
          <w:szCs w:val="24"/>
        </w:rPr>
        <w:t xml:space="preserve"> </w:t>
      </w:r>
      <w:r w:rsidR="009D54B0" w:rsidRPr="00692930">
        <w:rPr>
          <w:rFonts w:ascii="Times New Roman" w:hAnsi="Times New Roman"/>
          <w:i/>
          <w:sz w:val="24"/>
          <w:szCs w:val="24"/>
        </w:rPr>
        <w:sym w:font="Symbol" w:char="F068"/>
      </w:r>
      <w:r w:rsidR="009D54B0" w:rsidRPr="00692930">
        <w:rPr>
          <w:rFonts w:ascii="Times New Roman" w:hAnsi="Times New Roman"/>
          <w:sz w:val="24"/>
          <w:szCs w:val="24"/>
        </w:rPr>
        <w:t xml:space="preserve">? One possibility would be to decide for a fixed value of </w:t>
      </w:r>
      <w:r w:rsidRPr="00692930">
        <w:rPr>
          <w:rFonts w:ascii="Times New Roman" w:hAnsi="Times New Roman"/>
          <w:sz w:val="24"/>
          <w:szCs w:val="24"/>
        </w:rPr>
        <w:t xml:space="preserve">SOC/SOD </w:t>
      </w:r>
      <w:r w:rsidR="009D54B0" w:rsidRPr="00692930">
        <w:rPr>
          <w:rFonts w:ascii="Times New Roman" w:hAnsi="Times New Roman"/>
          <w:sz w:val="24"/>
          <w:szCs w:val="24"/>
        </w:rPr>
        <w:t xml:space="preserve">(e.g. </w:t>
      </w:r>
      <w:r w:rsidRPr="00692930">
        <w:rPr>
          <w:rFonts w:ascii="Times New Roman" w:hAnsi="Times New Roman"/>
          <w:sz w:val="24"/>
          <w:szCs w:val="24"/>
        </w:rPr>
        <w:t xml:space="preserve">reading the potential at fixed </w:t>
      </w:r>
      <w:r w:rsidR="009D54B0" w:rsidRPr="00692930">
        <w:rPr>
          <w:rFonts w:ascii="Times New Roman" w:hAnsi="Times New Roman"/>
          <w:sz w:val="24"/>
          <w:szCs w:val="24"/>
        </w:rPr>
        <w:sym w:font="Symbol" w:char="F044"/>
      </w:r>
      <w:r w:rsidR="009D54B0" w:rsidRPr="00692930">
        <w:rPr>
          <w:rFonts w:ascii="Times New Roman" w:hAnsi="Times New Roman"/>
          <w:i/>
          <w:sz w:val="24"/>
          <w:szCs w:val="24"/>
        </w:rPr>
        <w:t>x</w:t>
      </w:r>
      <w:r w:rsidR="009D54B0" w:rsidRPr="00692930">
        <w:rPr>
          <w:rFonts w:ascii="Times New Roman" w:hAnsi="Times New Roman"/>
          <w:sz w:val="24"/>
          <w:szCs w:val="24"/>
        </w:rPr>
        <w:t xml:space="preserve"> in Li</w:t>
      </w:r>
      <w:r w:rsidR="009D54B0" w:rsidRPr="00692930">
        <w:rPr>
          <w:rFonts w:ascii="Times New Roman" w:hAnsi="Times New Roman"/>
          <w:sz w:val="24"/>
          <w:szCs w:val="24"/>
          <w:vertAlign w:val="subscript"/>
        </w:rPr>
        <w:t>(1-</w:t>
      </w:r>
      <w:r w:rsidR="009D54B0" w:rsidRPr="00692930">
        <w:rPr>
          <w:rFonts w:ascii="Times New Roman" w:hAnsi="Times New Roman"/>
          <w:i/>
          <w:sz w:val="24"/>
          <w:szCs w:val="24"/>
          <w:vertAlign w:val="subscript"/>
        </w:rPr>
        <w:t>x</w:t>
      </w:r>
      <w:r w:rsidR="009D54B0" w:rsidRPr="00692930">
        <w:rPr>
          <w:rFonts w:ascii="Times New Roman" w:hAnsi="Times New Roman"/>
          <w:sz w:val="24"/>
          <w:szCs w:val="24"/>
          <w:vertAlign w:val="subscript"/>
        </w:rPr>
        <w:t>)</w:t>
      </w:r>
      <w:r w:rsidR="009D54B0" w:rsidRPr="00692930">
        <w:rPr>
          <w:rFonts w:ascii="Times New Roman" w:hAnsi="Times New Roman"/>
          <w:sz w:val="24"/>
          <w:szCs w:val="24"/>
        </w:rPr>
        <w:t>MnPO</w:t>
      </w:r>
      <w:r w:rsidR="009D54B0" w:rsidRPr="00692930">
        <w:rPr>
          <w:rFonts w:ascii="Times New Roman" w:hAnsi="Times New Roman"/>
          <w:sz w:val="24"/>
          <w:szCs w:val="24"/>
          <w:vertAlign w:val="subscript"/>
        </w:rPr>
        <w:t>4</w:t>
      </w:r>
      <w:r w:rsidR="009D54B0" w:rsidRPr="00692930">
        <w:rPr>
          <w:rFonts w:ascii="Times New Roman" w:hAnsi="Times New Roman"/>
          <w:sz w:val="24"/>
          <w:szCs w:val="24"/>
        </w:rPr>
        <w:t>)</w:t>
      </w:r>
      <w:r w:rsidRPr="00692930">
        <w:rPr>
          <w:rFonts w:ascii="Times New Roman" w:hAnsi="Times New Roman"/>
          <w:sz w:val="24"/>
          <w:szCs w:val="24"/>
        </w:rPr>
        <w:t>.</w:t>
      </w:r>
      <w:r w:rsidR="009D54B0" w:rsidRPr="00692930">
        <w:rPr>
          <w:rFonts w:ascii="Times New Roman" w:hAnsi="Times New Roman"/>
          <w:sz w:val="24"/>
          <w:szCs w:val="24"/>
        </w:rPr>
        <w:t xml:space="preserve"> We </w:t>
      </w:r>
      <w:r w:rsidRPr="00692930">
        <w:rPr>
          <w:rFonts w:ascii="Times New Roman" w:hAnsi="Times New Roman"/>
          <w:sz w:val="24"/>
          <w:szCs w:val="24"/>
        </w:rPr>
        <w:t>have found that ch</w:t>
      </w:r>
      <w:r w:rsidR="00F448C6" w:rsidRPr="00692930">
        <w:rPr>
          <w:rFonts w:ascii="Times New Roman" w:hAnsi="Times New Roman"/>
          <w:sz w:val="24"/>
          <w:szCs w:val="24"/>
        </w:rPr>
        <w:t>o</w:t>
      </w:r>
      <w:r w:rsidRPr="00692930">
        <w:rPr>
          <w:rFonts w:ascii="Times New Roman" w:hAnsi="Times New Roman"/>
          <w:sz w:val="24"/>
          <w:szCs w:val="24"/>
        </w:rPr>
        <w:t>os</w:t>
      </w:r>
      <w:r w:rsidR="009D54B0" w:rsidRPr="00692930">
        <w:rPr>
          <w:rFonts w:ascii="Times New Roman" w:hAnsi="Times New Roman"/>
          <w:sz w:val="24"/>
          <w:szCs w:val="24"/>
        </w:rPr>
        <w:t>ing</w:t>
      </w:r>
      <w:r w:rsidR="002035BA" w:rsidRPr="00692930">
        <w:rPr>
          <w:rFonts w:ascii="Times New Roman" w:hAnsi="Times New Roman"/>
          <w:sz w:val="24"/>
          <w:szCs w:val="24"/>
        </w:rPr>
        <w:t>,</w:t>
      </w:r>
      <w:r w:rsidR="009D54B0" w:rsidRPr="00692930">
        <w:rPr>
          <w:rFonts w:ascii="Times New Roman" w:hAnsi="Times New Roman"/>
          <w:sz w:val="24"/>
          <w:szCs w:val="24"/>
        </w:rPr>
        <w:t xml:space="preserve"> for example </w:t>
      </w:r>
      <w:r w:rsidR="009D54B0" w:rsidRPr="00692930">
        <w:rPr>
          <w:rFonts w:ascii="Times New Roman" w:hAnsi="Times New Roman"/>
          <w:sz w:val="24"/>
          <w:szCs w:val="24"/>
        </w:rPr>
        <w:sym w:font="Symbol" w:char="F044"/>
      </w:r>
      <w:r w:rsidR="009D54B0" w:rsidRPr="00692930">
        <w:rPr>
          <w:rFonts w:ascii="Times New Roman" w:hAnsi="Times New Roman"/>
          <w:i/>
          <w:sz w:val="24"/>
          <w:szCs w:val="24"/>
        </w:rPr>
        <w:t>x</w:t>
      </w:r>
      <w:r w:rsidR="009D54B0" w:rsidRPr="00692930">
        <w:rPr>
          <w:rFonts w:ascii="Times New Roman" w:hAnsi="Times New Roman"/>
          <w:sz w:val="24"/>
          <w:szCs w:val="24"/>
        </w:rPr>
        <w:t xml:space="preserve"> = 0.1</w:t>
      </w:r>
      <w:r w:rsidR="002035BA" w:rsidRPr="00692930">
        <w:rPr>
          <w:rFonts w:ascii="Times New Roman" w:hAnsi="Times New Roman"/>
          <w:sz w:val="24"/>
          <w:szCs w:val="24"/>
        </w:rPr>
        <w:t>,</w:t>
      </w:r>
      <w:r w:rsidR="009D54B0" w:rsidRPr="00692930">
        <w:rPr>
          <w:rFonts w:ascii="Times New Roman" w:hAnsi="Times New Roman"/>
          <w:sz w:val="24"/>
          <w:szCs w:val="24"/>
        </w:rPr>
        <w:t xml:space="preserve"> </w:t>
      </w:r>
      <w:r w:rsidR="002035BA" w:rsidRPr="00692930">
        <w:rPr>
          <w:rFonts w:ascii="Times New Roman" w:hAnsi="Times New Roman"/>
          <w:sz w:val="24"/>
          <w:szCs w:val="24"/>
        </w:rPr>
        <w:t xml:space="preserve">could be </w:t>
      </w:r>
      <w:r w:rsidR="009D54B0" w:rsidRPr="00692930">
        <w:rPr>
          <w:rFonts w:ascii="Times New Roman" w:hAnsi="Times New Roman"/>
          <w:sz w:val="24"/>
          <w:szCs w:val="24"/>
        </w:rPr>
        <w:t xml:space="preserve">quite </w:t>
      </w:r>
      <w:r w:rsidR="002035BA" w:rsidRPr="00692930">
        <w:rPr>
          <w:rFonts w:ascii="Times New Roman" w:hAnsi="Times New Roman"/>
          <w:sz w:val="24"/>
          <w:szCs w:val="24"/>
        </w:rPr>
        <w:t xml:space="preserve">a </w:t>
      </w:r>
      <w:r w:rsidR="009D54B0" w:rsidRPr="00692930">
        <w:rPr>
          <w:rFonts w:ascii="Times New Roman" w:hAnsi="Times New Roman"/>
          <w:sz w:val="24"/>
          <w:szCs w:val="24"/>
        </w:rPr>
        <w:t xml:space="preserve">good </w:t>
      </w:r>
      <w:r w:rsidR="002035BA" w:rsidRPr="00692930">
        <w:rPr>
          <w:rFonts w:ascii="Times New Roman" w:hAnsi="Times New Roman"/>
          <w:sz w:val="24"/>
          <w:szCs w:val="24"/>
        </w:rPr>
        <w:t>criterion</w:t>
      </w:r>
      <w:r w:rsidR="009D54B0" w:rsidRPr="00692930">
        <w:rPr>
          <w:rFonts w:ascii="Times New Roman" w:hAnsi="Times New Roman"/>
          <w:sz w:val="24"/>
          <w:szCs w:val="24"/>
        </w:rPr>
        <w:t xml:space="preserve"> </w:t>
      </w:r>
      <w:r w:rsidR="002035BA" w:rsidRPr="00692930">
        <w:rPr>
          <w:rFonts w:ascii="Times New Roman" w:hAnsi="Times New Roman"/>
          <w:sz w:val="24"/>
          <w:szCs w:val="24"/>
        </w:rPr>
        <w:t>in the case of</w:t>
      </w:r>
      <w:r w:rsidR="009D54B0" w:rsidRPr="00692930">
        <w:rPr>
          <w:rFonts w:ascii="Times New Roman" w:hAnsi="Times New Roman"/>
          <w:sz w:val="24"/>
          <w:szCs w:val="24"/>
        </w:rPr>
        <w:t xml:space="preserve"> LFP which exhibits very pron</w:t>
      </w:r>
      <w:r w:rsidR="002035BA" w:rsidRPr="00692930">
        <w:rPr>
          <w:rFonts w:ascii="Times New Roman" w:hAnsi="Times New Roman"/>
          <w:sz w:val="24"/>
          <w:szCs w:val="24"/>
        </w:rPr>
        <w:t>ounced</w:t>
      </w:r>
      <w:r w:rsidR="009D54B0" w:rsidRPr="00692930">
        <w:rPr>
          <w:rFonts w:ascii="Times New Roman" w:hAnsi="Times New Roman"/>
          <w:sz w:val="24"/>
          <w:szCs w:val="24"/>
        </w:rPr>
        <w:t xml:space="preserve"> potential plateau. </w:t>
      </w:r>
      <w:r w:rsidR="002035BA" w:rsidRPr="00692930">
        <w:rPr>
          <w:rFonts w:ascii="Times New Roman" w:hAnsi="Times New Roman"/>
          <w:sz w:val="24"/>
          <w:szCs w:val="24"/>
        </w:rPr>
        <w:t>However,</w:t>
      </w:r>
      <w:r w:rsidR="009D54B0" w:rsidRPr="00692930">
        <w:rPr>
          <w:rFonts w:ascii="Times New Roman" w:hAnsi="Times New Roman"/>
          <w:sz w:val="24"/>
          <w:szCs w:val="24"/>
        </w:rPr>
        <w:t xml:space="preserve"> this </w:t>
      </w:r>
      <w:r w:rsidR="002035BA" w:rsidRPr="00692930">
        <w:rPr>
          <w:rFonts w:ascii="Times New Roman" w:hAnsi="Times New Roman"/>
          <w:sz w:val="24"/>
          <w:szCs w:val="24"/>
        </w:rPr>
        <w:t>criterion</w:t>
      </w:r>
      <w:r w:rsidR="009D54B0" w:rsidRPr="00692930">
        <w:rPr>
          <w:rFonts w:ascii="Times New Roman" w:hAnsi="Times New Roman"/>
          <w:sz w:val="24"/>
          <w:szCs w:val="24"/>
        </w:rPr>
        <w:t xml:space="preserve"> is less appropriate for the case of discharge of LCO and </w:t>
      </w:r>
      <w:r w:rsidR="002035BA" w:rsidRPr="00692930">
        <w:rPr>
          <w:rFonts w:ascii="Times New Roman" w:hAnsi="Times New Roman"/>
          <w:sz w:val="24"/>
          <w:szCs w:val="24"/>
        </w:rPr>
        <w:t>for the charge</w:t>
      </w:r>
      <w:r w:rsidR="009D54B0" w:rsidRPr="00692930">
        <w:rPr>
          <w:rFonts w:ascii="Times New Roman" w:hAnsi="Times New Roman"/>
          <w:sz w:val="24"/>
          <w:szCs w:val="24"/>
        </w:rPr>
        <w:t xml:space="preserve"> of LMP at lower rates (e.g. C/20) where we do not</w:t>
      </w:r>
      <w:r w:rsidRPr="00692930">
        <w:rPr>
          <w:rFonts w:ascii="Times New Roman" w:hAnsi="Times New Roman"/>
          <w:sz w:val="24"/>
          <w:szCs w:val="24"/>
        </w:rPr>
        <w:t xml:space="preserve"> reach the plateau region yet. </w:t>
      </w:r>
    </w:p>
    <w:p w:rsidR="009D54B0" w:rsidRPr="00692930" w:rsidRDefault="0011749D" w:rsidP="008A3866">
      <w:pPr>
        <w:rPr>
          <w:rFonts w:ascii="Times New Roman" w:hAnsi="Times New Roman"/>
          <w:sz w:val="24"/>
          <w:szCs w:val="24"/>
        </w:rPr>
      </w:pPr>
      <w:r w:rsidRPr="00692930">
        <w:rPr>
          <w:rFonts w:ascii="Times New Roman" w:hAnsi="Times New Roman"/>
          <w:sz w:val="24"/>
          <w:szCs w:val="24"/>
        </w:rPr>
        <w:t>Fig. 3</w:t>
      </w:r>
      <w:r w:rsidR="009D54B0" w:rsidRPr="00692930">
        <w:rPr>
          <w:rFonts w:ascii="Times New Roman" w:hAnsi="Times New Roman"/>
          <w:sz w:val="24"/>
          <w:szCs w:val="24"/>
        </w:rPr>
        <w:t xml:space="preserve"> </w:t>
      </w:r>
      <w:r w:rsidR="002035BA" w:rsidRPr="00692930">
        <w:rPr>
          <w:rFonts w:ascii="Times New Roman" w:hAnsi="Times New Roman"/>
          <w:sz w:val="24"/>
          <w:szCs w:val="24"/>
        </w:rPr>
        <w:t>shows</w:t>
      </w:r>
      <w:r w:rsidR="009D54B0" w:rsidRPr="00692930">
        <w:rPr>
          <w:rFonts w:ascii="Times New Roman" w:hAnsi="Times New Roman"/>
          <w:sz w:val="24"/>
          <w:szCs w:val="24"/>
        </w:rPr>
        <w:t xml:space="preserve"> a typical pair of galvanostatic curves of LFP measured at the same </w:t>
      </w:r>
      <w:r w:rsidR="002035BA" w:rsidRPr="00692930">
        <w:rPr>
          <w:rFonts w:ascii="Times New Roman" w:hAnsi="Times New Roman"/>
          <w:sz w:val="24"/>
          <w:szCs w:val="24"/>
        </w:rPr>
        <w:t>current (10C charge/10D discharge)</w:t>
      </w:r>
      <w:r w:rsidR="009D54B0" w:rsidRPr="00692930">
        <w:rPr>
          <w:rFonts w:ascii="Times New Roman" w:hAnsi="Times New Roman"/>
          <w:sz w:val="24"/>
          <w:szCs w:val="24"/>
        </w:rPr>
        <w:t xml:space="preserve"> </w:t>
      </w:r>
      <w:r w:rsidR="002035BA" w:rsidRPr="00692930">
        <w:rPr>
          <w:rFonts w:ascii="Times New Roman" w:hAnsi="Times New Roman"/>
          <w:sz w:val="24"/>
          <w:szCs w:val="24"/>
        </w:rPr>
        <w:t xml:space="preserve">and </w:t>
      </w:r>
      <w:r w:rsidR="009D54B0" w:rsidRPr="00692930">
        <w:rPr>
          <w:rFonts w:ascii="Times New Roman" w:hAnsi="Times New Roman"/>
          <w:sz w:val="24"/>
          <w:szCs w:val="24"/>
        </w:rPr>
        <w:t>plotted as a function of time. We can eas</w:t>
      </w:r>
      <w:r w:rsidR="00D80DF2" w:rsidRPr="00692930">
        <w:rPr>
          <w:rFonts w:ascii="Times New Roman" w:hAnsi="Times New Roman"/>
          <w:sz w:val="24"/>
          <w:szCs w:val="24"/>
        </w:rPr>
        <w:t>i</w:t>
      </w:r>
      <w:r w:rsidR="009D54B0" w:rsidRPr="00692930">
        <w:rPr>
          <w:rFonts w:ascii="Times New Roman" w:hAnsi="Times New Roman"/>
          <w:sz w:val="24"/>
          <w:szCs w:val="24"/>
        </w:rPr>
        <w:t>ly observe 3 common regions</w:t>
      </w:r>
      <w:r w:rsidR="002035BA" w:rsidRPr="00692930">
        <w:rPr>
          <w:rFonts w:ascii="Times New Roman" w:hAnsi="Times New Roman"/>
          <w:sz w:val="24"/>
          <w:szCs w:val="24"/>
        </w:rPr>
        <w:t>:</w:t>
      </w:r>
      <w:r w:rsidR="009D54B0" w:rsidRPr="00692930">
        <w:rPr>
          <w:rFonts w:ascii="Times New Roman" w:hAnsi="Times New Roman"/>
          <w:sz w:val="24"/>
          <w:szCs w:val="24"/>
        </w:rPr>
        <w:t xml:space="preserve"> I) </w:t>
      </w:r>
      <w:r w:rsidR="002035BA" w:rsidRPr="00692930">
        <w:rPr>
          <w:rFonts w:ascii="Times New Roman" w:hAnsi="Times New Roman"/>
          <w:sz w:val="24"/>
          <w:szCs w:val="24"/>
        </w:rPr>
        <w:t xml:space="preserve">an </w:t>
      </w:r>
      <w:r w:rsidR="009D54B0" w:rsidRPr="00692930">
        <w:rPr>
          <w:rFonts w:ascii="Times New Roman" w:hAnsi="Times New Roman"/>
          <w:sz w:val="24"/>
          <w:szCs w:val="24"/>
        </w:rPr>
        <w:t xml:space="preserve">initial steep </w:t>
      </w:r>
      <w:r w:rsidR="002035BA" w:rsidRPr="00692930">
        <w:rPr>
          <w:rFonts w:ascii="Times New Roman" w:hAnsi="Times New Roman"/>
          <w:sz w:val="24"/>
          <w:szCs w:val="24"/>
        </w:rPr>
        <w:t xml:space="preserve">increase/decrease in potential followed by </w:t>
      </w:r>
      <w:r w:rsidR="009D54B0" w:rsidRPr="00692930">
        <w:rPr>
          <w:rFonts w:ascii="Times New Roman" w:hAnsi="Times New Roman"/>
          <w:sz w:val="24"/>
          <w:szCs w:val="24"/>
        </w:rPr>
        <w:t>a smooth transition into II) a p</w:t>
      </w:r>
      <w:r w:rsidR="00D80DF2" w:rsidRPr="00692930">
        <w:rPr>
          <w:rFonts w:ascii="Times New Roman" w:hAnsi="Times New Roman"/>
          <w:sz w:val="24"/>
          <w:szCs w:val="24"/>
        </w:rPr>
        <w:t>lateau region with a distinctly</w:t>
      </w:r>
      <w:r w:rsidR="009D54B0" w:rsidRPr="00692930">
        <w:rPr>
          <w:rFonts w:ascii="Times New Roman" w:hAnsi="Times New Roman"/>
          <w:sz w:val="24"/>
          <w:szCs w:val="24"/>
        </w:rPr>
        <w:t xml:space="preserve"> “flat”</w:t>
      </w:r>
      <w:r w:rsidR="00524C16" w:rsidRPr="00692930">
        <w:rPr>
          <w:rFonts w:ascii="Times New Roman" w:hAnsi="Times New Roman"/>
          <w:sz w:val="24"/>
          <w:szCs w:val="24"/>
        </w:rPr>
        <w:t xml:space="preserve"> voltage</w:t>
      </w:r>
      <w:r w:rsidR="009D54B0" w:rsidRPr="00692930">
        <w:rPr>
          <w:rFonts w:ascii="Times New Roman" w:hAnsi="Times New Roman"/>
          <w:sz w:val="24"/>
          <w:szCs w:val="24"/>
        </w:rPr>
        <w:t xml:space="preserve"> profile that expands into transition to III) a steeper “blocking-like” ending of the galvanostatic curve with progressively increasing</w:t>
      </w:r>
      <w:r w:rsidR="00D80DF2" w:rsidRPr="00692930">
        <w:rPr>
          <w:rFonts w:ascii="Times New Roman" w:hAnsi="Times New Roman"/>
          <w:sz w:val="24"/>
          <w:szCs w:val="24"/>
        </w:rPr>
        <w:t>/decreasing</w:t>
      </w:r>
      <w:r w:rsidR="009D54B0" w:rsidRPr="00692930">
        <w:t xml:space="preserve"> </w:t>
      </w:r>
      <w:r w:rsidR="009D54B0" w:rsidRPr="00692930">
        <w:rPr>
          <w:rFonts w:ascii="Times New Roman" w:hAnsi="Times New Roman"/>
          <w:sz w:val="24"/>
          <w:szCs w:val="24"/>
        </w:rPr>
        <w:t xml:space="preserve">slope. </w:t>
      </w:r>
      <w:r w:rsidR="009B5CE7" w:rsidRPr="00692930">
        <w:rPr>
          <w:rFonts w:ascii="Times New Roman" w:hAnsi="Times New Roman"/>
          <w:sz w:val="24"/>
          <w:szCs w:val="24"/>
        </w:rPr>
        <w:t xml:space="preserve">In </w:t>
      </w:r>
      <w:r w:rsidR="009D54B0" w:rsidRPr="00692930">
        <w:rPr>
          <w:rFonts w:ascii="Times New Roman" w:hAnsi="Times New Roman"/>
          <w:sz w:val="24"/>
          <w:szCs w:val="24"/>
        </w:rPr>
        <w:t xml:space="preserve">LFP all the 3 regions are well expressed </w:t>
      </w:r>
      <w:r w:rsidR="009B5CE7" w:rsidRPr="00692930">
        <w:rPr>
          <w:rFonts w:ascii="Times New Roman" w:hAnsi="Times New Roman"/>
          <w:sz w:val="24"/>
          <w:szCs w:val="24"/>
        </w:rPr>
        <w:t xml:space="preserve">both </w:t>
      </w:r>
      <w:r w:rsidR="009D54B0" w:rsidRPr="00692930">
        <w:rPr>
          <w:rFonts w:ascii="Times New Roman" w:hAnsi="Times New Roman"/>
          <w:sz w:val="24"/>
          <w:szCs w:val="24"/>
        </w:rPr>
        <w:t xml:space="preserve">for </w:t>
      </w:r>
      <w:r w:rsidR="009D54B0" w:rsidRPr="00692930">
        <w:rPr>
          <w:rFonts w:ascii="Times New Roman" w:hAnsi="Times New Roman"/>
          <w:sz w:val="24"/>
          <w:szCs w:val="24"/>
        </w:rPr>
        <w:lastRenderedPageBreak/>
        <w:t xml:space="preserve">charge and discharge (see Fig. 1b); in the cases of LMP and LCO region III is not observed in the charge curves due to the fact that either the upper cut-off voltage simply chops away that portion of the curve (as in the case of LMP, see Fig. 1a) or the 2-phase plateau region is </w:t>
      </w:r>
      <w:r w:rsidR="0013118B" w:rsidRPr="00692930">
        <w:rPr>
          <w:rFonts w:ascii="Times New Roman" w:hAnsi="Times New Roman"/>
          <w:sz w:val="24"/>
          <w:szCs w:val="24"/>
        </w:rPr>
        <w:t xml:space="preserve">further </w:t>
      </w:r>
      <w:r w:rsidR="009D54B0" w:rsidRPr="00692930">
        <w:rPr>
          <w:rFonts w:ascii="Times New Roman" w:hAnsi="Times New Roman"/>
          <w:sz w:val="24"/>
          <w:szCs w:val="24"/>
        </w:rPr>
        <w:t xml:space="preserve">followed by </w:t>
      </w:r>
      <w:r w:rsidR="0013118B" w:rsidRPr="00692930">
        <w:rPr>
          <w:rFonts w:ascii="Times New Roman" w:hAnsi="Times New Roman"/>
          <w:sz w:val="24"/>
          <w:szCs w:val="24"/>
        </w:rPr>
        <w:t xml:space="preserve">an additional </w:t>
      </w:r>
      <w:r w:rsidR="00726B83" w:rsidRPr="00692930">
        <w:rPr>
          <w:rFonts w:ascii="Times New Roman" w:hAnsi="Times New Roman"/>
          <w:sz w:val="24"/>
          <w:szCs w:val="24"/>
        </w:rPr>
        <w:t xml:space="preserve">charge-storage mechanism(s) which is/are reflected as additional </w:t>
      </w:r>
      <w:r w:rsidRPr="00692930">
        <w:rPr>
          <w:rFonts w:ascii="Times New Roman" w:hAnsi="Times New Roman"/>
          <w:sz w:val="24"/>
          <w:szCs w:val="24"/>
        </w:rPr>
        <w:t xml:space="preserve">features complicating the potential profile </w:t>
      </w:r>
      <w:r w:rsidR="009D54B0" w:rsidRPr="00692930">
        <w:rPr>
          <w:rFonts w:ascii="Times New Roman" w:hAnsi="Times New Roman"/>
          <w:sz w:val="24"/>
          <w:szCs w:val="24"/>
        </w:rPr>
        <w:t xml:space="preserve">(as </w:t>
      </w:r>
      <w:r w:rsidR="00726B83" w:rsidRPr="00692930">
        <w:rPr>
          <w:rFonts w:ascii="Times New Roman" w:hAnsi="Times New Roman"/>
          <w:sz w:val="24"/>
          <w:szCs w:val="24"/>
        </w:rPr>
        <w:t xml:space="preserve">the </w:t>
      </w:r>
      <w:r w:rsidR="003F6B7D" w:rsidRPr="00692930">
        <w:rPr>
          <w:rFonts w:ascii="Times New Roman" w:hAnsi="Times New Roman"/>
          <w:sz w:val="24"/>
          <w:szCs w:val="24"/>
        </w:rPr>
        <w:t xml:space="preserve">subsequent </w:t>
      </w:r>
      <w:r w:rsidR="00DE2393" w:rsidRPr="00692930">
        <w:rPr>
          <w:rFonts w:ascii="Times New Roman" w:hAnsi="Times New Roman"/>
          <w:sz w:val="24"/>
          <w:szCs w:val="24"/>
        </w:rPr>
        <w:t>transition</w:t>
      </w:r>
      <w:r w:rsidR="0099125C" w:rsidRPr="00692930">
        <w:rPr>
          <w:rFonts w:ascii="Times New Roman" w:hAnsi="Times New Roman"/>
          <w:sz w:val="24"/>
          <w:szCs w:val="24"/>
        </w:rPr>
        <w:t xml:space="preserve"> to a single phase storage and followed by a phase transformation from hexagonal to monoclinic symmetry </w:t>
      </w:r>
      <w:r w:rsidR="009D54B0" w:rsidRPr="00692930">
        <w:rPr>
          <w:rFonts w:ascii="Times New Roman" w:hAnsi="Times New Roman"/>
          <w:sz w:val="24"/>
          <w:szCs w:val="24"/>
        </w:rPr>
        <w:t>in the case of LCO</w:t>
      </w:r>
      <w:r w:rsidR="000F6F55" w:rsidRPr="00692930">
        <w:rPr>
          <w:rFonts w:ascii="Times New Roman" w:hAnsi="Times New Roman"/>
          <w:sz w:val="24"/>
          <w:szCs w:val="24"/>
        </w:rPr>
        <w:t>,</w:t>
      </w:r>
      <w:r w:rsidR="00995411"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"10.1149/1.2221184", "ISSN" : "00134651", "abstract" : "Electrochemical properties of Formula are studied as Li is deintercalated from Formula . High precision voltage measurements and in situ x\u2010ray diffraction indicate a sequence of three distinct phase transitions as Formula varies from 1 to 0.4. Two of the transitions are situated slightly above and below Formula and are caused by an order/disorder transition of the lithium ions. The order/disorder transition is studied as a function of temperature allowing the determination of an order/disorder phase diagram. In situ x-ray diffraction measurements facilitate a direct observation of the effects of deintercalation on the host lattice crystal structure. The other phase transition is shown to be first order (coexisting phases are observed for Formula ) involving a significant expansion of the Formula parameter of the hexagonal unit cell. We report the variation of the lattice constants of Formula with Formula and show that the phase transition to the lithium ordered phase near Formula is accompanied by a lattice distortion to a monoclinic unit cell with Formula , Formula , Formula and Formula . Finally we report an overall phase diagram for Formula and Formula .", "author" : [ { "dropping-particle" : "", "family" : "Reimers", "given" : "Jan N", "non-dropping-particle" : "", "parse-names" : false, "suffix" : "" }, { "dropping-particle" : "", "family" : "Dahn", "given" : "J. R.", "non-dropping-particle" : "", "parse-names" : false, "suffix" : "" } ], "container-title" : "Journal of The Electrochemical Society", "id" : "ITEM-1", "issue" : "8", "issued" : { "date-parts" : [ [ "1992" ] ] }, "page" : "2091", "title" : "Electrochemical and In Situ X-Ray Diffraction Studies of Lithium Intercalation in LixCoO2", "type" : "article", "volume" : "139" }, "uris" : [ "http://www.mendeley.com/documents/?uuid=cfbf6e2d-cfe6-44be-99c2-7ad10788f348", "http://www.mendeley.com/documents/?uuid=267583c5-3c73-40db-9281-3eb4bf979e8e" ] } ], "mendeley" : { "formattedCitation" : "&lt;sup&gt;39&lt;/sup&gt;", "plainTextFormattedCitation" : "39", "previouslyFormattedCitation" : "&lt;sup&gt;39&lt;/sup&gt;" }, "properties" : { "noteIndex" : 0 }, "schema" : "https://github.com/citation-style-language/schema/raw/master/csl-citation.json" }</w:instrText>
      </w:r>
      <w:r w:rsidR="00995411"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39</w:t>
      </w:r>
      <w:r w:rsidR="00995411" w:rsidRPr="00692930">
        <w:rPr>
          <w:rFonts w:ascii="Times New Roman" w:hAnsi="Times New Roman"/>
          <w:sz w:val="24"/>
          <w:szCs w:val="24"/>
        </w:rPr>
        <w:fldChar w:fldCharType="end"/>
      </w:r>
      <w:r w:rsidR="009D54B0" w:rsidRPr="00692930">
        <w:rPr>
          <w:rFonts w:ascii="Times New Roman" w:hAnsi="Times New Roman"/>
          <w:sz w:val="24"/>
          <w:szCs w:val="24"/>
        </w:rPr>
        <w:t xml:space="preserve"> see Fig. 1c). </w:t>
      </w:r>
    </w:p>
    <w:p w:rsidR="009D54B0" w:rsidRPr="00692930" w:rsidRDefault="009D54B0" w:rsidP="008A3866">
      <w:pPr>
        <w:rPr>
          <w:rFonts w:ascii="Times New Roman" w:hAnsi="Times New Roman"/>
          <w:sz w:val="24"/>
          <w:szCs w:val="24"/>
        </w:rPr>
      </w:pPr>
      <w:r w:rsidRPr="00692930">
        <w:rPr>
          <w:rFonts w:ascii="Times New Roman" w:hAnsi="Times New Roman"/>
          <w:sz w:val="24"/>
          <w:szCs w:val="24"/>
        </w:rPr>
        <w:t xml:space="preserve">We can </w:t>
      </w:r>
      <w:r w:rsidR="0011749D" w:rsidRPr="00692930">
        <w:rPr>
          <w:rFonts w:ascii="Times New Roman" w:hAnsi="Times New Roman"/>
          <w:sz w:val="24"/>
          <w:szCs w:val="24"/>
        </w:rPr>
        <w:t xml:space="preserve">further </w:t>
      </w:r>
      <w:r w:rsidRPr="00692930">
        <w:rPr>
          <w:rFonts w:ascii="Times New Roman" w:hAnsi="Times New Roman"/>
          <w:sz w:val="24"/>
          <w:szCs w:val="24"/>
        </w:rPr>
        <w:t>notice</w:t>
      </w:r>
      <w:r w:rsidR="0011749D" w:rsidRPr="00692930">
        <w:rPr>
          <w:rFonts w:ascii="Times New Roman" w:hAnsi="Times New Roman"/>
          <w:sz w:val="24"/>
          <w:szCs w:val="24"/>
        </w:rPr>
        <w:t>, however, that both curves shown i</w:t>
      </w:r>
      <w:r w:rsidRPr="00692930">
        <w:rPr>
          <w:rFonts w:ascii="Times New Roman" w:hAnsi="Times New Roman"/>
          <w:sz w:val="24"/>
          <w:szCs w:val="24"/>
        </w:rPr>
        <w:t xml:space="preserve">n </w:t>
      </w:r>
      <w:r w:rsidR="0011749D" w:rsidRPr="00692930">
        <w:rPr>
          <w:rFonts w:ascii="Times New Roman" w:hAnsi="Times New Roman"/>
          <w:sz w:val="24"/>
          <w:szCs w:val="24"/>
        </w:rPr>
        <w:t>Fig. 3</w:t>
      </w:r>
      <w:r w:rsidRPr="00692930">
        <w:rPr>
          <w:rFonts w:ascii="Times New Roman" w:hAnsi="Times New Roman"/>
          <w:sz w:val="24"/>
          <w:szCs w:val="24"/>
        </w:rPr>
        <w:t xml:space="preserve"> have an inflection point (marked with red dot) that is positioned inside </w:t>
      </w:r>
      <w:r w:rsidR="0000048E" w:rsidRPr="00692930">
        <w:rPr>
          <w:rFonts w:ascii="Times New Roman" w:hAnsi="Times New Roman"/>
          <w:sz w:val="24"/>
          <w:szCs w:val="24"/>
        </w:rPr>
        <w:t>region II</w:t>
      </w:r>
      <w:r w:rsidRPr="00692930">
        <w:rPr>
          <w:rFonts w:ascii="Times New Roman" w:hAnsi="Times New Roman"/>
          <w:sz w:val="24"/>
          <w:szCs w:val="24"/>
        </w:rPr>
        <w:t xml:space="preserve">. </w:t>
      </w:r>
      <w:r w:rsidR="00C85454" w:rsidRPr="00692930">
        <w:rPr>
          <w:rFonts w:ascii="Times New Roman" w:hAnsi="Times New Roman"/>
          <w:sz w:val="24"/>
          <w:szCs w:val="24"/>
        </w:rPr>
        <w:t xml:space="preserve">In </w:t>
      </w:r>
      <w:r w:rsidRPr="00692930">
        <w:rPr>
          <w:rFonts w:ascii="Times New Roman" w:hAnsi="Times New Roman"/>
          <w:sz w:val="24"/>
          <w:szCs w:val="24"/>
        </w:rPr>
        <w:t xml:space="preserve">a galvanostatic curve </w:t>
      </w:r>
      <w:r w:rsidR="00C85454" w:rsidRPr="00692930">
        <w:rPr>
          <w:rFonts w:ascii="Times New Roman" w:hAnsi="Times New Roman"/>
          <w:sz w:val="24"/>
          <w:szCs w:val="24"/>
        </w:rPr>
        <w:t>an inflection point has a physical meaning. Indirectly this is often recognized when authors choose to plot the f</w:t>
      </w:r>
      <w:r w:rsidRPr="00692930">
        <w:rPr>
          <w:rFonts w:ascii="Times New Roman" w:hAnsi="Times New Roman"/>
          <w:sz w:val="24"/>
          <w:szCs w:val="24"/>
        </w:rPr>
        <w:t xml:space="preserve">irst derivative of </w:t>
      </w:r>
      <w:r w:rsidR="00C85454" w:rsidRPr="00692930">
        <w:rPr>
          <w:rFonts w:ascii="Times New Roman" w:hAnsi="Times New Roman"/>
          <w:sz w:val="24"/>
          <w:szCs w:val="24"/>
        </w:rPr>
        <w:t>a</w:t>
      </w:r>
      <w:r w:rsidRPr="00692930">
        <w:rPr>
          <w:rFonts w:ascii="Times New Roman" w:hAnsi="Times New Roman"/>
          <w:sz w:val="24"/>
          <w:szCs w:val="24"/>
        </w:rPr>
        <w:t xml:space="preserve"> galvanostatic curve</w:t>
      </w:r>
      <w:r w:rsidR="004D55FB" w:rsidRPr="00692930">
        <w:rPr>
          <w:rFonts w:ascii="Times New Roman" w:hAnsi="Times New Roman"/>
          <w:sz w:val="24"/>
          <w:szCs w:val="24"/>
        </w:rPr>
        <w:t xml:space="preserve"> as a function of potential. Generally</w:t>
      </w:r>
      <w:r w:rsidRPr="00692930">
        <w:rPr>
          <w:rFonts w:ascii="Times New Roman" w:hAnsi="Times New Roman"/>
          <w:sz w:val="24"/>
          <w:szCs w:val="24"/>
        </w:rPr>
        <w:t xml:space="preserve">, </w:t>
      </w:r>
      <w:r w:rsidR="004D55FB" w:rsidRPr="00692930">
        <w:rPr>
          <w:rFonts w:ascii="Times New Roman" w:hAnsi="Times New Roman"/>
          <w:sz w:val="24"/>
          <w:szCs w:val="24"/>
        </w:rPr>
        <w:t xml:space="preserve">the first derivative, </w:t>
      </w:r>
      <w:r w:rsidRPr="00692930">
        <w:rPr>
          <w:rFonts w:ascii="Times New Roman" w:hAnsi="Times New Roman"/>
          <w:sz w:val="24"/>
          <w:szCs w:val="24"/>
        </w:rPr>
        <w:t>d</w:t>
      </w:r>
      <w:r w:rsidRPr="00692930">
        <w:rPr>
          <w:rFonts w:ascii="Times New Roman" w:hAnsi="Times New Roman"/>
          <w:i/>
          <w:sz w:val="24"/>
          <w:szCs w:val="24"/>
        </w:rPr>
        <w:t>E</w:t>
      </w:r>
      <w:r w:rsidRPr="00692930">
        <w:rPr>
          <w:rFonts w:ascii="Times New Roman" w:hAnsi="Times New Roman"/>
          <w:sz w:val="24"/>
          <w:szCs w:val="24"/>
        </w:rPr>
        <w:t>/d</w:t>
      </w:r>
      <w:r w:rsidRPr="00692930">
        <w:rPr>
          <w:rFonts w:ascii="Times New Roman" w:hAnsi="Times New Roman"/>
          <w:i/>
          <w:sz w:val="24"/>
          <w:szCs w:val="24"/>
        </w:rPr>
        <w:t>t</w:t>
      </w:r>
      <w:r w:rsidRPr="00692930">
        <w:rPr>
          <w:rFonts w:ascii="Times New Roman" w:hAnsi="Times New Roman"/>
          <w:sz w:val="24"/>
          <w:szCs w:val="24"/>
        </w:rPr>
        <w:t xml:space="preserve">, at a certain time </w:t>
      </w:r>
      <w:r w:rsidRPr="00692930">
        <w:rPr>
          <w:rFonts w:ascii="Times New Roman" w:hAnsi="Times New Roman"/>
          <w:i/>
          <w:sz w:val="24"/>
          <w:szCs w:val="24"/>
        </w:rPr>
        <w:t>t</w:t>
      </w:r>
      <w:r w:rsidRPr="00692930">
        <w:rPr>
          <w:rFonts w:ascii="Times New Roman" w:hAnsi="Times New Roman"/>
          <w:sz w:val="24"/>
          <w:szCs w:val="24"/>
        </w:rPr>
        <w:t xml:space="preserve"> from the </w:t>
      </w:r>
      <w:r w:rsidR="00C85454" w:rsidRPr="00692930">
        <w:rPr>
          <w:rFonts w:ascii="Times New Roman" w:hAnsi="Times New Roman"/>
          <w:sz w:val="24"/>
          <w:szCs w:val="24"/>
        </w:rPr>
        <w:t>beginning</w:t>
      </w:r>
      <w:r w:rsidRPr="00692930">
        <w:rPr>
          <w:rFonts w:ascii="Times New Roman" w:hAnsi="Times New Roman"/>
          <w:sz w:val="24"/>
          <w:szCs w:val="24"/>
        </w:rPr>
        <w:t xml:space="preserve"> of the charge/discharge corresponds to the reciprocal of the </w:t>
      </w:r>
      <w:r w:rsidR="004D55FB" w:rsidRPr="00692930">
        <w:rPr>
          <w:rFonts w:ascii="Times New Roman" w:hAnsi="Times New Roman"/>
          <w:sz w:val="24"/>
          <w:szCs w:val="24"/>
        </w:rPr>
        <w:t>different</w:t>
      </w:r>
      <w:r w:rsidRPr="00692930">
        <w:rPr>
          <w:rFonts w:ascii="Times New Roman" w:hAnsi="Times New Roman"/>
          <w:sz w:val="24"/>
          <w:szCs w:val="24"/>
        </w:rPr>
        <w:t xml:space="preserve">ial </w:t>
      </w:r>
      <w:r w:rsidR="004D55FB" w:rsidRPr="00692930">
        <w:rPr>
          <w:rFonts w:ascii="Times New Roman" w:hAnsi="Times New Roman"/>
          <w:sz w:val="24"/>
          <w:szCs w:val="24"/>
        </w:rPr>
        <w:t xml:space="preserve">chemical </w:t>
      </w:r>
      <w:r w:rsidRPr="00692930">
        <w:rPr>
          <w:rFonts w:ascii="Times New Roman" w:hAnsi="Times New Roman"/>
          <w:sz w:val="24"/>
          <w:szCs w:val="24"/>
        </w:rPr>
        <w:t>capacitance, 1/</w:t>
      </w:r>
      <w:r w:rsidRPr="00692930">
        <w:rPr>
          <w:rFonts w:ascii="Times New Roman" w:hAnsi="Times New Roman"/>
          <w:i/>
          <w:sz w:val="24"/>
          <w:szCs w:val="24"/>
        </w:rPr>
        <w:t>C</w:t>
      </w:r>
      <w:r w:rsidR="004D55FB" w:rsidRPr="00692930">
        <w:rPr>
          <w:rFonts w:ascii="Times New Roman" w:hAnsi="Times New Roman"/>
          <w:i/>
          <w:sz w:val="24"/>
          <w:szCs w:val="24"/>
          <w:vertAlign w:val="subscript"/>
        </w:rPr>
        <w:t>chem</w:t>
      </w:r>
      <w:r w:rsidR="001D7235" w:rsidRPr="00692930">
        <w:rPr>
          <w:rFonts w:ascii="Times New Roman" w:hAnsi="Times New Roman"/>
          <w:sz w:val="24"/>
          <w:szCs w:val="24"/>
        </w:rPr>
        <w:t>,</w:t>
      </w:r>
      <w:r w:rsidR="004D55FB" w:rsidRPr="00692930">
        <w:rPr>
          <w:rFonts w:ascii="Times New Roman" w:hAnsi="Times New Roman"/>
          <w:sz w:val="24"/>
          <w:szCs w:val="24"/>
        </w:rPr>
        <w:t xml:space="preserve"> </w:t>
      </w:r>
      <w:r w:rsidRPr="00692930">
        <w:rPr>
          <w:rFonts w:ascii="Times New Roman" w:hAnsi="Times New Roman"/>
          <w:sz w:val="24"/>
          <w:szCs w:val="24"/>
        </w:rPr>
        <w:t xml:space="preserve">at time </w:t>
      </w:r>
      <w:r w:rsidRPr="00692930">
        <w:rPr>
          <w:rFonts w:ascii="Times New Roman" w:hAnsi="Times New Roman"/>
          <w:i/>
          <w:sz w:val="24"/>
          <w:szCs w:val="24"/>
        </w:rPr>
        <w:t>t</w:t>
      </w:r>
      <w:r w:rsidRPr="00692930">
        <w:rPr>
          <w:rFonts w:ascii="Times New Roman" w:hAnsi="Times New Roman"/>
          <w:sz w:val="24"/>
          <w:szCs w:val="24"/>
        </w:rPr>
        <w:t xml:space="preserve">. </w:t>
      </w:r>
      <w:r w:rsidR="00C112D2" w:rsidRPr="00692930">
        <w:rPr>
          <w:rFonts w:ascii="Times New Roman" w:hAnsi="Times New Roman"/>
          <w:sz w:val="24"/>
          <w:szCs w:val="24"/>
        </w:rPr>
        <w:t>If so, one finds that i</w:t>
      </w:r>
      <w:r w:rsidRPr="00692930">
        <w:rPr>
          <w:rFonts w:ascii="Times New Roman" w:hAnsi="Times New Roman"/>
          <w:sz w:val="24"/>
          <w:szCs w:val="24"/>
        </w:rPr>
        <w:t xml:space="preserve">n the </w:t>
      </w:r>
      <w:r w:rsidR="004D55FB" w:rsidRPr="00692930">
        <w:rPr>
          <w:rFonts w:ascii="Times New Roman" w:hAnsi="Times New Roman"/>
          <w:sz w:val="24"/>
          <w:szCs w:val="24"/>
        </w:rPr>
        <w:t xml:space="preserve">case of </w:t>
      </w:r>
      <w:r w:rsidRPr="00692930">
        <w:rPr>
          <w:rFonts w:ascii="Times New Roman" w:hAnsi="Times New Roman"/>
          <w:sz w:val="24"/>
          <w:szCs w:val="24"/>
        </w:rPr>
        <w:t xml:space="preserve">galvanostatic curve </w:t>
      </w:r>
      <w:r w:rsidR="00C112D2" w:rsidRPr="00692930">
        <w:rPr>
          <w:rFonts w:ascii="Times New Roman" w:hAnsi="Times New Roman"/>
          <w:sz w:val="24"/>
          <w:szCs w:val="24"/>
        </w:rPr>
        <w:t xml:space="preserve">the inflection point </w:t>
      </w:r>
      <w:r w:rsidRPr="00692930">
        <w:rPr>
          <w:rFonts w:ascii="Times New Roman" w:hAnsi="Times New Roman"/>
          <w:sz w:val="24"/>
          <w:szCs w:val="24"/>
        </w:rPr>
        <w:t xml:space="preserve">corresponds to the global maximum </w:t>
      </w:r>
      <w:r w:rsidR="00C112D2" w:rsidRPr="00692930">
        <w:rPr>
          <w:rFonts w:ascii="Times New Roman" w:hAnsi="Times New Roman"/>
          <w:sz w:val="24"/>
          <w:szCs w:val="24"/>
        </w:rPr>
        <w:t xml:space="preserve">of differential chemical capacitance, </w:t>
      </w:r>
      <w:r w:rsidR="00C112D2" w:rsidRPr="00692930">
        <w:rPr>
          <w:rFonts w:ascii="Times New Roman" w:hAnsi="Times New Roman"/>
          <w:i/>
          <w:sz w:val="24"/>
          <w:szCs w:val="24"/>
        </w:rPr>
        <w:t>C</w:t>
      </w:r>
      <w:r w:rsidR="00C112D2" w:rsidRPr="00692930">
        <w:rPr>
          <w:rFonts w:ascii="Times New Roman" w:hAnsi="Times New Roman"/>
          <w:i/>
          <w:sz w:val="24"/>
          <w:szCs w:val="24"/>
          <w:vertAlign w:val="subscript"/>
        </w:rPr>
        <w:t>chem</w:t>
      </w:r>
      <w:r w:rsidRPr="00692930">
        <w:rPr>
          <w:rFonts w:ascii="Times New Roman" w:hAnsi="Times New Roman"/>
          <w:sz w:val="24"/>
          <w:szCs w:val="24"/>
        </w:rPr>
        <w:t xml:space="preserve">. </w:t>
      </w:r>
      <w:r w:rsidR="00C112D2" w:rsidRPr="00692930">
        <w:rPr>
          <w:rFonts w:ascii="Times New Roman" w:hAnsi="Times New Roman"/>
          <w:sz w:val="24"/>
          <w:szCs w:val="24"/>
        </w:rPr>
        <w:t>A</w:t>
      </w:r>
      <w:r w:rsidRPr="00692930">
        <w:rPr>
          <w:rFonts w:ascii="Times New Roman" w:hAnsi="Times New Roman"/>
          <w:sz w:val="24"/>
          <w:szCs w:val="24"/>
        </w:rPr>
        <w:t xml:space="preserve">t this </w:t>
      </w:r>
      <w:r w:rsidR="00634DBF" w:rsidRPr="00692930">
        <w:rPr>
          <w:rFonts w:ascii="Times New Roman" w:hAnsi="Times New Roman"/>
          <w:sz w:val="24"/>
          <w:szCs w:val="24"/>
        </w:rPr>
        <w:t xml:space="preserve">particular </w:t>
      </w:r>
      <w:r w:rsidR="00C112D2" w:rsidRPr="00692930">
        <w:rPr>
          <w:rFonts w:ascii="Times New Roman" w:hAnsi="Times New Roman"/>
          <w:sz w:val="24"/>
          <w:szCs w:val="24"/>
        </w:rPr>
        <w:t xml:space="preserve">time, </w:t>
      </w:r>
      <w:r w:rsidRPr="00692930">
        <w:rPr>
          <w:rFonts w:ascii="Times New Roman" w:hAnsi="Times New Roman"/>
          <w:i/>
          <w:sz w:val="24"/>
          <w:szCs w:val="24"/>
        </w:rPr>
        <w:t>t</w:t>
      </w:r>
      <w:r w:rsidR="00C112D2" w:rsidRPr="00692930">
        <w:rPr>
          <w:rFonts w:ascii="Times New Roman" w:hAnsi="Times New Roman"/>
          <w:i/>
          <w:sz w:val="24"/>
          <w:szCs w:val="24"/>
          <w:vertAlign w:val="subscript"/>
        </w:rPr>
        <w:t>infl</w:t>
      </w:r>
      <w:r w:rsidR="00C112D2" w:rsidRPr="00692930">
        <w:rPr>
          <w:rFonts w:ascii="Times New Roman" w:hAnsi="Times New Roman"/>
          <w:sz w:val="24"/>
          <w:szCs w:val="24"/>
        </w:rPr>
        <w:t>,</w:t>
      </w:r>
      <w:r w:rsidRPr="00692930">
        <w:rPr>
          <w:rFonts w:ascii="Times New Roman" w:hAnsi="Times New Roman"/>
          <w:sz w:val="24"/>
          <w:szCs w:val="24"/>
        </w:rPr>
        <w:t xml:space="preserve"> the potential of cell, </w:t>
      </w:r>
      <w:r w:rsidRPr="00692930">
        <w:rPr>
          <w:rFonts w:ascii="Times New Roman" w:hAnsi="Times New Roman"/>
          <w:i/>
          <w:sz w:val="24"/>
          <w:szCs w:val="24"/>
        </w:rPr>
        <w:t>E</w:t>
      </w:r>
      <w:r w:rsidRPr="00692930">
        <w:rPr>
          <w:rFonts w:ascii="Times New Roman" w:hAnsi="Times New Roman"/>
          <w:sz w:val="24"/>
          <w:szCs w:val="24"/>
        </w:rPr>
        <w:t>, v</w:t>
      </w:r>
      <w:r w:rsidR="00E23246" w:rsidRPr="00692930">
        <w:rPr>
          <w:rFonts w:ascii="Times New Roman" w:hAnsi="Times New Roman"/>
          <w:sz w:val="24"/>
          <w:szCs w:val="24"/>
        </w:rPr>
        <w:t>aries the least with time (or SO</w:t>
      </w:r>
      <w:r w:rsidRPr="00692930">
        <w:rPr>
          <w:rFonts w:ascii="Times New Roman" w:hAnsi="Times New Roman"/>
          <w:sz w:val="24"/>
          <w:szCs w:val="24"/>
        </w:rPr>
        <w:t xml:space="preserve">C, </w:t>
      </w:r>
      <w:r w:rsidRPr="00692930">
        <w:rPr>
          <w:rFonts w:ascii="Times New Roman" w:hAnsi="Times New Roman"/>
          <w:i/>
          <w:sz w:val="24"/>
          <w:szCs w:val="24"/>
        </w:rPr>
        <w:t>x</w:t>
      </w:r>
      <w:r w:rsidRPr="00692930">
        <w:rPr>
          <w:rFonts w:ascii="Times New Roman" w:hAnsi="Times New Roman"/>
          <w:sz w:val="24"/>
          <w:szCs w:val="24"/>
        </w:rPr>
        <w:t xml:space="preserve">). </w:t>
      </w:r>
      <w:r w:rsidR="00C112D2" w:rsidRPr="00692930">
        <w:rPr>
          <w:rFonts w:ascii="Times New Roman" w:hAnsi="Times New Roman"/>
          <w:sz w:val="24"/>
          <w:szCs w:val="24"/>
        </w:rPr>
        <w:t xml:space="preserve">In this sense, this can be seen </w:t>
      </w:r>
      <w:r w:rsidR="00134BB0" w:rsidRPr="00692930">
        <w:rPr>
          <w:rFonts w:ascii="Times New Roman" w:hAnsi="Times New Roman"/>
          <w:sz w:val="24"/>
          <w:szCs w:val="24"/>
        </w:rPr>
        <w:t xml:space="preserve">as </w:t>
      </w:r>
      <w:r w:rsidR="00C112D2" w:rsidRPr="00692930">
        <w:rPr>
          <w:rFonts w:ascii="Times New Roman" w:hAnsi="Times New Roman"/>
          <w:sz w:val="24"/>
          <w:szCs w:val="24"/>
        </w:rPr>
        <w:t xml:space="preserve">a unique point in a discharge/charge curve so we decided to use it as a reference point for evaluation of voltage hysteresis of any material under consideration. </w:t>
      </w:r>
    </w:p>
    <w:p w:rsidR="00634DBF" w:rsidRPr="00692930" w:rsidRDefault="00634DBF" w:rsidP="008A3866">
      <w:pPr>
        <w:rPr>
          <w:rFonts w:ascii="Times New Roman" w:hAnsi="Times New Roman"/>
          <w:sz w:val="24"/>
          <w:szCs w:val="24"/>
        </w:rPr>
      </w:pPr>
    </w:p>
    <w:p w:rsidR="009D54B0" w:rsidRPr="00692930" w:rsidRDefault="00350312" w:rsidP="00143183">
      <w:pPr>
        <w:ind w:firstLine="0"/>
        <w:jc w:val="center"/>
        <w:rPr>
          <w:rFonts w:ascii="Times New Roman" w:hAnsi="Times New Roman"/>
          <w:sz w:val="24"/>
          <w:szCs w:val="24"/>
        </w:rPr>
      </w:pPr>
      <w:r w:rsidRPr="00692930">
        <w:rPr>
          <w:rFonts w:ascii="Times New Roman" w:hAnsi="Times New Roman"/>
          <w:noProof/>
          <w:sz w:val="24"/>
          <w:szCs w:val="24"/>
          <w:lang w:val="sl-SI" w:eastAsia="sl-SI"/>
        </w:rPr>
        <w:drawing>
          <wp:inline distT="0" distB="0" distL="0" distR="0" wp14:anchorId="65276FD2" wp14:editId="34F9AAC0">
            <wp:extent cx="3581400" cy="26487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81400" cy="2648712"/>
                    </a:xfrm>
                    <a:prstGeom prst="rect">
                      <a:avLst/>
                    </a:prstGeom>
                  </pic:spPr>
                </pic:pic>
              </a:graphicData>
            </a:graphic>
          </wp:inline>
        </w:drawing>
      </w:r>
    </w:p>
    <w:p w:rsidR="009D54B0" w:rsidRPr="00692930" w:rsidRDefault="00927137" w:rsidP="008A3866">
      <w:pPr>
        <w:ind w:firstLine="0"/>
        <w:rPr>
          <w:rFonts w:ascii="Times New Roman" w:hAnsi="Times New Roman"/>
          <w:sz w:val="24"/>
          <w:szCs w:val="24"/>
        </w:rPr>
      </w:pPr>
      <w:r w:rsidRPr="00692930">
        <w:rPr>
          <w:rFonts w:ascii="Times New Roman" w:hAnsi="Times New Roman"/>
          <w:b/>
        </w:rPr>
        <w:t>Figure</w:t>
      </w:r>
      <w:r w:rsidR="009D54B0" w:rsidRPr="00692930">
        <w:rPr>
          <w:rFonts w:ascii="Times New Roman" w:hAnsi="Times New Roman"/>
          <w:b/>
        </w:rPr>
        <w:t xml:space="preserve"> 3.</w:t>
      </w:r>
      <w:r w:rsidR="009D54B0" w:rsidRPr="00692930">
        <w:rPr>
          <w:rFonts w:ascii="Times New Roman" w:hAnsi="Times New Roman"/>
        </w:rPr>
        <w:t xml:space="preserve"> The </w:t>
      </w:r>
      <w:r w:rsidR="00753D9D" w:rsidRPr="00692930">
        <w:rPr>
          <w:rFonts w:ascii="Times New Roman" w:hAnsi="Times New Roman"/>
        </w:rPr>
        <w:t>inflection point criterion</w:t>
      </w:r>
      <w:r w:rsidR="009D54B0" w:rsidRPr="00692930">
        <w:rPr>
          <w:rFonts w:ascii="Times New Roman" w:hAnsi="Times New Roman"/>
        </w:rPr>
        <w:t xml:space="preserve"> for determination of the value of the total overpotential (</w:t>
      </w:r>
      <w:r w:rsidR="009D54B0" w:rsidRPr="00692930">
        <w:rPr>
          <w:rFonts w:ascii="Times New Roman" w:hAnsi="Times New Roman"/>
          <w:i/>
        </w:rPr>
        <w:sym w:font="Symbol" w:char="F068"/>
      </w:r>
      <w:r w:rsidR="009D54B0" w:rsidRPr="00692930">
        <w:rPr>
          <w:rFonts w:ascii="Times New Roman" w:hAnsi="Times New Roman"/>
          <w:vertAlign w:val="subscript"/>
        </w:rPr>
        <w:t>total</w:t>
      </w:r>
      <w:r w:rsidR="009D54B0" w:rsidRPr="00692930">
        <w:rPr>
          <w:rFonts w:ascii="Times New Roman" w:hAnsi="Times New Roman"/>
        </w:rPr>
        <w:t xml:space="preserve">) demonstrated on a typical pair of galvanostatic curves </w:t>
      </w:r>
      <w:r w:rsidR="00F0172C" w:rsidRPr="00692930">
        <w:rPr>
          <w:rFonts w:ascii="Times New Roman" w:hAnsi="Times New Roman"/>
        </w:rPr>
        <w:t>for</w:t>
      </w:r>
      <w:r w:rsidR="009D54B0" w:rsidRPr="00692930">
        <w:rPr>
          <w:rFonts w:ascii="Times New Roman" w:hAnsi="Times New Roman"/>
        </w:rPr>
        <w:t xml:space="preserve"> LFP </w:t>
      </w:r>
      <w:r w:rsidR="00753D9D" w:rsidRPr="00692930">
        <w:rPr>
          <w:rFonts w:ascii="Times New Roman" w:hAnsi="Times New Roman"/>
        </w:rPr>
        <w:t>plotted as a function of time. The charge and discharge rates were the same (</w:t>
      </w:r>
      <w:r w:rsidR="009D54B0" w:rsidRPr="00692930">
        <w:rPr>
          <w:rFonts w:ascii="Times New Roman" w:hAnsi="Times New Roman"/>
        </w:rPr>
        <w:t>10C</w:t>
      </w:r>
      <w:r w:rsidR="00753D9D" w:rsidRPr="00692930">
        <w:rPr>
          <w:rFonts w:ascii="Times New Roman" w:hAnsi="Times New Roman"/>
        </w:rPr>
        <w:t>/10D</w:t>
      </w:r>
      <w:r w:rsidR="009D54B0" w:rsidRPr="00692930">
        <w:rPr>
          <w:rFonts w:ascii="Times New Roman" w:hAnsi="Times New Roman"/>
        </w:rPr>
        <w:t>). The charge/discharge total overpotentials (</w:t>
      </w:r>
      <w:r w:rsidR="009D54B0" w:rsidRPr="00692930">
        <w:rPr>
          <w:rFonts w:ascii="Times New Roman" w:hAnsi="Times New Roman"/>
          <w:position w:val="-12"/>
        </w:rPr>
        <w:object w:dxaOrig="480" w:dyaOrig="380">
          <v:shape id="_x0000_i1029" type="#_x0000_t75" style="width:24.75pt;height:19.6pt" o:ole="">
            <v:imagedata r:id="rId21" o:title=""/>
          </v:shape>
          <o:OLEObject Type="Embed" ProgID="Equation.3" ShapeID="_x0000_i1029" DrawAspect="Content" ObjectID="_1511952409" r:id="rId22"/>
        </w:object>
      </w:r>
      <w:r w:rsidR="009D54B0" w:rsidRPr="00692930">
        <w:rPr>
          <w:rFonts w:ascii="Times New Roman" w:hAnsi="Times New Roman"/>
        </w:rPr>
        <w:t xml:space="preserve">and </w:t>
      </w:r>
      <w:r w:rsidR="009D54B0" w:rsidRPr="00692930">
        <w:rPr>
          <w:rFonts w:ascii="Times New Roman" w:hAnsi="Times New Roman"/>
          <w:position w:val="-12"/>
        </w:rPr>
        <w:object w:dxaOrig="480" w:dyaOrig="380">
          <v:shape id="_x0000_i1030" type="#_x0000_t75" style="width:24.75pt;height:19.6pt" o:ole="">
            <v:imagedata r:id="rId23" o:title=""/>
          </v:shape>
          <o:OLEObject Type="Embed" ProgID="Equation.3" ShapeID="_x0000_i1030" DrawAspect="Content" ObjectID="_1511952410" r:id="rId24"/>
        </w:object>
      </w:r>
      <w:r w:rsidR="009D54B0" w:rsidRPr="00692930">
        <w:rPr>
          <w:rFonts w:ascii="Times New Roman" w:hAnsi="Times New Roman"/>
        </w:rPr>
        <w:t xml:space="preserve">) were obtained </w:t>
      </w:r>
      <w:r w:rsidR="00753D9D" w:rsidRPr="00692930">
        <w:rPr>
          <w:rFonts w:ascii="Times New Roman" w:hAnsi="Times New Roman"/>
        </w:rPr>
        <w:t>using</w:t>
      </w:r>
      <w:r w:rsidR="009D54B0" w:rsidRPr="00692930">
        <w:rPr>
          <w:rFonts w:ascii="Times New Roman" w:hAnsi="Times New Roman"/>
        </w:rPr>
        <w:t xml:space="preserve"> Eq. 3.</w:t>
      </w:r>
      <w:r w:rsidR="009D54B0" w:rsidRPr="00692930">
        <w:rPr>
          <w:rFonts w:ascii="Times New Roman" w:hAnsi="Times New Roman"/>
          <w:sz w:val="24"/>
          <w:szCs w:val="24"/>
        </w:rPr>
        <w:t xml:space="preserve"> </w:t>
      </w:r>
      <w:r w:rsidR="00753D9D" w:rsidRPr="00692930">
        <w:rPr>
          <w:rFonts w:ascii="Times New Roman" w:hAnsi="Times New Roman"/>
        </w:rPr>
        <w:t>Indicated are t</w:t>
      </w:r>
      <w:r w:rsidR="009D54B0" w:rsidRPr="00692930">
        <w:rPr>
          <w:rFonts w:ascii="Times New Roman" w:hAnsi="Times New Roman"/>
        </w:rPr>
        <w:t xml:space="preserve">he three common regions of </w:t>
      </w:r>
      <w:r w:rsidR="00753D9D" w:rsidRPr="00692930">
        <w:rPr>
          <w:rFonts w:ascii="Times New Roman" w:hAnsi="Times New Roman"/>
        </w:rPr>
        <w:t>a LFP</w:t>
      </w:r>
      <w:r w:rsidR="009D54B0" w:rsidRPr="00692930">
        <w:rPr>
          <w:rFonts w:ascii="Times New Roman" w:hAnsi="Times New Roman"/>
        </w:rPr>
        <w:t xml:space="preserve"> galvanostatic </w:t>
      </w:r>
      <w:r w:rsidR="00753D9D" w:rsidRPr="00692930">
        <w:rPr>
          <w:rFonts w:ascii="Times New Roman" w:hAnsi="Times New Roman"/>
        </w:rPr>
        <w:t>profile</w:t>
      </w:r>
      <w:r w:rsidR="009D54B0" w:rsidRPr="00692930">
        <w:rPr>
          <w:rFonts w:ascii="Times New Roman" w:hAnsi="Times New Roman"/>
        </w:rPr>
        <w:t>.</w:t>
      </w:r>
    </w:p>
    <w:p w:rsidR="009D54B0" w:rsidRPr="00692930" w:rsidRDefault="009D54B0" w:rsidP="008A3866">
      <w:pPr>
        <w:rPr>
          <w:rFonts w:ascii="Times New Roman" w:hAnsi="Times New Roman"/>
        </w:rPr>
      </w:pPr>
    </w:p>
    <w:p w:rsidR="009D54B0" w:rsidRPr="00692930" w:rsidRDefault="009D54B0" w:rsidP="008A3866">
      <w:pPr>
        <w:ind w:firstLine="0"/>
        <w:rPr>
          <w:rFonts w:ascii="Times New Roman" w:hAnsi="Times New Roman"/>
          <w:sz w:val="24"/>
          <w:szCs w:val="24"/>
        </w:rPr>
      </w:pPr>
      <w:r w:rsidRPr="00692930">
        <w:rPr>
          <w:rFonts w:ascii="Times New Roman" w:hAnsi="Times New Roman"/>
          <w:sz w:val="24"/>
          <w:szCs w:val="24"/>
        </w:rPr>
        <w:t xml:space="preserve">We further define the total overpotential of the cell, </w:t>
      </w:r>
      <m:oMath>
        <m:sSub>
          <m:sSubPr>
            <m:ctrlPr>
              <w:rPr>
                <w:rFonts w:ascii="Cambria Math" w:hAnsi="Cambria Math"/>
                <w:i/>
                <w:sz w:val="24"/>
                <w:szCs w:val="24"/>
              </w:rPr>
            </m:ctrlPr>
          </m:sSubPr>
          <m:e>
            <m:r>
              <w:rPr>
                <w:rFonts w:ascii="Cambria Math" w:hAnsi="Cambria Math"/>
                <w:i/>
                <w:sz w:val="24"/>
                <w:szCs w:val="24"/>
              </w:rPr>
              <w:sym w:font="Symbol" w:char="F068"/>
            </m:r>
          </m:e>
          <m:sub>
            <m:r>
              <m:rPr>
                <m:nor/>
              </m:rPr>
              <w:rPr>
                <w:rFonts w:ascii="Cambria Math" w:hAnsi="Cambria Math"/>
                <w:sz w:val="24"/>
                <w:szCs w:val="24"/>
              </w:rPr>
              <m:t>total</m:t>
            </m:r>
          </m:sub>
        </m:sSub>
      </m:oMath>
      <w:r w:rsidRPr="00692930">
        <w:rPr>
          <w:rFonts w:ascii="Times New Roman" w:hAnsi="Times New Roman"/>
          <w:sz w:val="24"/>
          <w:szCs w:val="24"/>
        </w:rPr>
        <w:t xml:space="preserve">, as the difference between the measured </w:t>
      </w:r>
      <w:r w:rsidR="009B7D43" w:rsidRPr="00692930">
        <w:rPr>
          <w:rFonts w:ascii="Times New Roman" w:hAnsi="Times New Roman"/>
          <w:sz w:val="24"/>
          <w:szCs w:val="24"/>
        </w:rPr>
        <w:t>voltage of the cell</w:t>
      </w:r>
      <w:r w:rsidRPr="00692930">
        <w:rPr>
          <w:rFonts w:ascii="Times New Roman" w:hAnsi="Times New Roman"/>
          <w:sz w:val="24"/>
          <w:szCs w:val="24"/>
        </w:rPr>
        <w:t xml:space="preserve"> at the inflection point</w:t>
      </w:r>
      <w:r w:rsidR="00B30662" w:rsidRPr="00692930">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E</m:t>
            </m:r>
          </m:e>
          <m:sub>
            <m:r>
              <m:rPr>
                <m:nor/>
              </m:rPr>
              <w:rPr>
                <w:rFonts w:ascii="Cambria Math" w:hAnsi="Cambria Math"/>
                <w:sz w:val="24"/>
                <w:szCs w:val="24"/>
              </w:rPr>
              <m:t>infl</m:t>
            </m:r>
          </m:sub>
        </m:sSub>
      </m:oMath>
      <w:r w:rsidR="00B30662" w:rsidRPr="00692930">
        <w:rPr>
          <w:rFonts w:ascii="Times New Roman" w:hAnsi="Times New Roman"/>
          <w:sz w:val="24"/>
          <w:szCs w:val="24"/>
        </w:rPr>
        <w:t>,</w:t>
      </w:r>
      <w:r w:rsidRPr="00692930">
        <w:rPr>
          <w:rFonts w:ascii="Times New Roman" w:hAnsi="Times New Roman"/>
          <w:sz w:val="24"/>
          <w:szCs w:val="24"/>
        </w:rPr>
        <w:t xml:space="preserve"> and </w:t>
      </w:r>
      <w:r w:rsidR="00753D9D" w:rsidRPr="00692930">
        <w:rPr>
          <w:rFonts w:ascii="Times New Roman" w:hAnsi="Times New Roman"/>
          <w:sz w:val="24"/>
          <w:szCs w:val="24"/>
        </w:rPr>
        <w:t xml:space="preserve">the </w:t>
      </w:r>
      <w:r w:rsidR="009B7D43" w:rsidRPr="00692930">
        <w:rPr>
          <w:rFonts w:ascii="Times New Roman" w:hAnsi="Times New Roman"/>
          <w:sz w:val="24"/>
          <w:szCs w:val="24"/>
        </w:rPr>
        <w:t xml:space="preserve">global </w:t>
      </w:r>
      <w:r w:rsidRPr="00692930">
        <w:rPr>
          <w:rFonts w:ascii="Times New Roman" w:hAnsi="Times New Roman"/>
          <w:sz w:val="24"/>
          <w:szCs w:val="24"/>
        </w:rPr>
        <w:t>equilibrium potential</w:t>
      </w:r>
      <w:r w:rsidR="00B30662" w:rsidRPr="00692930">
        <w:rPr>
          <w:rFonts w:ascii="Times New Roman" w:hAnsi="Times New Roman"/>
          <w:sz w:val="24"/>
          <w:szCs w:val="24"/>
        </w:rPr>
        <w:t>,</w:t>
      </w:r>
      <w:r w:rsidR="0022787F" w:rsidRPr="00692930">
        <w:rPr>
          <w:rFonts w:ascii="Times New Roman" w:hAnsi="Times New Roman"/>
          <w:i/>
          <w:sz w:val="24"/>
          <w:szCs w:val="24"/>
        </w:rPr>
        <w:t xml:space="preserve"> </w:t>
      </w:r>
      <m:oMath>
        <m:sSub>
          <m:sSubPr>
            <m:ctrlPr>
              <w:rPr>
                <w:rFonts w:ascii="Cambria Math" w:hAnsi="Cambria Math"/>
                <w:i/>
                <w:sz w:val="24"/>
                <w:szCs w:val="24"/>
              </w:rPr>
            </m:ctrlPr>
          </m:sSubPr>
          <m:e>
            <m:r>
              <w:rPr>
                <w:rFonts w:ascii="Cambria Math" w:hAnsi="Cambria Math"/>
                <w:sz w:val="24"/>
                <w:szCs w:val="24"/>
              </w:rPr>
              <m:t>E</m:t>
            </m:r>
          </m:e>
          <m:sub>
            <m:r>
              <m:rPr>
                <m:nor/>
              </m:rPr>
              <w:rPr>
                <w:rFonts w:ascii="Cambria Math" w:hAnsi="Cambria Math"/>
                <w:sz w:val="24"/>
                <w:szCs w:val="24"/>
              </w:rPr>
              <m:t>e</m:t>
            </m:r>
          </m:sub>
        </m:sSub>
      </m:oMath>
      <w:r w:rsidRPr="00692930">
        <w:rPr>
          <w:rFonts w:ascii="Times New Roman" w:hAnsi="Times New Roman"/>
          <w:sz w:val="24"/>
          <w:szCs w:val="24"/>
        </w:rPr>
        <w:t xml:space="preserve">: </w:t>
      </w:r>
    </w:p>
    <w:p w:rsidR="009D54B0" w:rsidRPr="00692930" w:rsidRDefault="0022787F" w:rsidP="008A3866">
      <w:pPr>
        <w:ind w:firstLine="0"/>
        <w:rPr>
          <w:rFonts w:ascii="Times New Roman" w:hAnsi="Times New Roman"/>
          <w:sz w:val="24"/>
          <w:szCs w:val="24"/>
        </w:rPr>
      </w:pPr>
      <w:r w:rsidRPr="00692930">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i/>
                <w:sz w:val="24"/>
                <w:szCs w:val="24"/>
              </w:rPr>
              <w:sym w:font="Symbol" w:char="F068"/>
            </m:r>
          </m:e>
          <m:sub>
            <m:r>
              <m:rPr>
                <m:nor/>
              </m:rPr>
              <w:rPr>
                <w:rFonts w:ascii="Cambria Math" w:hAnsi="Cambria Math"/>
                <w:sz w:val="24"/>
                <w:szCs w:val="24"/>
              </w:rPr>
              <m:t>total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m:rPr>
                <m:nor/>
              </m:rPr>
              <w:rPr>
                <w:rFonts w:ascii="Cambria Math" w:hAnsi="Cambria Math"/>
                <w:sz w:val="24"/>
                <w:szCs w:val="24"/>
              </w:rPr>
              <m:t>infl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m:rPr>
                <m:nor/>
              </m:rPr>
              <w:rPr>
                <w:rFonts w:ascii="Cambria Math" w:hAnsi="Cambria Math"/>
                <w:sz w:val="24"/>
                <w:szCs w:val="24"/>
              </w:rPr>
              <m:t>e</m:t>
            </m:r>
          </m:sub>
        </m:sSub>
      </m:oMath>
      <w:r w:rsidR="009D54B0" w:rsidRPr="00692930">
        <w:rPr>
          <w:rFonts w:ascii="Times New Roman" w:hAnsi="Times New Roman"/>
          <w:sz w:val="24"/>
          <w:szCs w:val="24"/>
        </w:rPr>
        <w:t xml:space="preserve">            </w:t>
      </w:r>
      <w:r w:rsidR="00753D9D" w:rsidRPr="00692930">
        <w:rPr>
          <w:rFonts w:ascii="Times New Roman" w:hAnsi="Times New Roman"/>
          <w:sz w:val="24"/>
          <w:szCs w:val="24"/>
        </w:rPr>
        <w:tab/>
      </w:r>
      <w:r w:rsidR="00753D9D" w:rsidRPr="00692930">
        <w:rPr>
          <w:rFonts w:ascii="Times New Roman" w:hAnsi="Times New Roman"/>
          <w:sz w:val="24"/>
          <w:szCs w:val="24"/>
        </w:rPr>
        <w:tab/>
      </w:r>
      <w:r w:rsidR="00134BB0" w:rsidRPr="00692930">
        <w:rPr>
          <w:rFonts w:ascii="Times New Roman" w:hAnsi="Times New Roman"/>
          <w:sz w:val="24"/>
          <w:szCs w:val="24"/>
        </w:rPr>
        <w:t>(</w:t>
      </w:r>
      <w:r w:rsidR="009D54B0" w:rsidRPr="00692930">
        <w:rPr>
          <w:rFonts w:ascii="Times New Roman" w:hAnsi="Times New Roman"/>
          <w:sz w:val="24"/>
          <w:szCs w:val="24"/>
        </w:rPr>
        <w:t>3</w:t>
      </w:r>
      <w:r w:rsidR="00134BB0" w:rsidRPr="00692930">
        <w:rPr>
          <w:rFonts w:ascii="Times New Roman" w:hAnsi="Times New Roman"/>
          <w:sz w:val="24"/>
          <w:szCs w:val="24"/>
        </w:rPr>
        <w:t>)</w:t>
      </w:r>
      <w:r w:rsidR="00221909" w:rsidRPr="00692930">
        <w:rPr>
          <w:rFonts w:ascii="Times New Roman" w:hAnsi="Times New Roman"/>
          <w:sz w:val="24"/>
          <w:szCs w:val="24"/>
        </w:rPr>
        <w:t>,</w:t>
      </w:r>
    </w:p>
    <w:p w:rsidR="00134BB0" w:rsidRPr="00692930" w:rsidRDefault="0044356D" w:rsidP="008A3866">
      <w:pPr>
        <w:ind w:left="2832" w:firstLine="0"/>
        <w:rPr>
          <w:rFonts w:ascii="Times New Roman" w:hAnsi="Times New Roman"/>
          <w:sz w:val="24"/>
          <w:szCs w:val="24"/>
        </w:rPr>
      </w:pPr>
      <w:r w:rsidRPr="00692930">
        <w:rPr>
          <w:rFonts w:ascii="Times New Roman" w:hAnsi="Times New Roman"/>
          <w:sz w:val="24"/>
          <w:szCs w:val="24"/>
        </w:rPr>
        <w:t xml:space="preserve">    </w:t>
      </w:r>
    </w:p>
    <w:p w:rsidR="00DB2EC5" w:rsidRPr="00692930" w:rsidRDefault="00134BB0" w:rsidP="008A3866">
      <w:pPr>
        <w:ind w:firstLine="0"/>
        <w:rPr>
          <w:rFonts w:ascii="Times New Roman" w:hAnsi="Times New Roman"/>
          <w:sz w:val="24"/>
          <w:szCs w:val="24"/>
        </w:rPr>
      </w:pPr>
      <w:r w:rsidRPr="00692930">
        <w:rPr>
          <w:rFonts w:ascii="Times New Roman" w:hAnsi="Times New Roman"/>
          <w:sz w:val="24"/>
          <w:szCs w:val="24"/>
        </w:rPr>
        <w:t>w</w:t>
      </w:r>
      <w:r w:rsidR="009D54B0" w:rsidRPr="00692930">
        <w:rPr>
          <w:rFonts w:ascii="Times New Roman" w:hAnsi="Times New Roman"/>
          <w:sz w:val="24"/>
          <w:szCs w:val="24"/>
        </w:rPr>
        <w:t>here</w:t>
      </w:r>
      <w:r w:rsidR="00AC38EA" w:rsidRPr="00692930">
        <w:rPr>
          <w:rFonts w:ascii="Times New Roman" w:hAnsi="Times New Roman"/>
          <w:sz w:val="24"/>
          <w:szCs w:val="24"/>
        </w:rPr>
        <w:t xml:space="preserve"> for</w:t>
      </w:r>
      <w:r w:rsidR="009D54B0" w:rsidRPr="00692930">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E</m:t>
            </m:r>
          </m:e>
          <m:sub>
            <m:r>
              <m:rPr>
                <m:nor/>
              </m:rPr>
              <w:rPr>
                <w:rFonts w:ascii="Cambria Math" w:hAnsi="Cambria Math"/>
                <w:sz w:val="24"/>
                <w:szCs w:val="24"/>
              </w:rPr>
              <m:t>e</m:t>
            </m:r>
          </m:sub>
        </m:sSub>
      </m:oMath>
      <w:r w:rsidR="00F22A2D" w:rsidRPr="00692930">
        <w:rPr>
          <w:rFonts w:ascii="Times New Roman" w:hAnsi="Times New Roman"/>
          <w:sz w:val="24"/>
          <w:szCs w:val="24"/>
        </w:rPr>
        <w:t xml:space="preserve"> </w:t>
      </w:r>
      <w:r w:rsidRPr="00692930">
        <w:rPr>
          <w:rFonts w:ascii="Times New Roman" w:hAnsi="Times New Roman"/>
          <w:sz w:val="24"/>
          <w:szCs w:val="24"/>
        </w:rPr>
        <w:t>we</w:t>
      </w:r>
      <w:r w:rsidR="00753D9D" w:rsidRPr="00692930">
        <w:rPr>
          <w:rFonts w:ascii="Times New Roman" w:hAnsi="Times New Roman"/>
          <w:sz w:val="24"/>
          <w:szCs w:val="24"/>
        </w:rPr>
        <w:t xml:space="preserve"> </w:t>
      </w:r>
      <w:r w:rsidRPr="00692930">
        <w:rPr>
          <w:rFonts w:ascii="Times New Roman" w:hAnsi="Times New Roman"/>
          <w:sz w:val="24"/>
          <w:szCs w:val="24"/>
        </w:rPr>
        <w:t>took</w:t>
      </w:r>
      <w:r w:rsidR="00753D9D" w:rsidRPr="00692930">
        <w:rPr>
          <w:rFonts w:ascii="Times New Roman" w:hAnsi="Times New Roman"/>
          <w:sz w:val="24"/>
          <w:szCs w:val="24"/>
        </w:rPr>
        <w:t xml:space="preserve"> the </w:t>
      </w:r>
      <w:r w:rsidR="00F22A2D" w:rsidRPr="00692930">
        <w:rPr>
          <w:rFonts w:ascii="Times New Roman" w:hAnsi="Times New Roman"/>
          <w:sz w:val="24"/>
          <w:szCs w:val="24"/>
        </w:rPr>
        <w:t>mean value</w:t>
      </w:r>
      <w:r w:rsidR="009D54B0" w:rsidRPr="00692930">
        <w:rPr>
          <w:rFonts w:ascii="Times New Roman" w:hAnsi="Times New Roman"/>
          <w:sz w:val="24"/>
          <w:szCs w:val="24"/>
        </w:rPr>
        <w:t xml:space="preserve"> of potential in</w:t>
      </w:r>
      <w:r w:rsidR="00AC38EA" w:rsidRPr="00692930">
        <w:rPr>
          <w:rFonts w:ascii="Times New Roman" w:hAnsi="Times New Roman"/>
          <w:sz w:val="24"/>
          <w:szCs w:val="24"/>
        </w:rPr>
        <w:t xml:space="preserve"> a plateau region of</w:t>
      </w:r>
      <w:r w:rsidR="009D54B0" w:rsidRPr="00692930">
        <w:rPr>
          <w:rFonts w:ascii="Times New Roman" w:hAnsi="Times New Roman"/>
          <w:sz w:val="24"/>
          <w:szCs w:val="24"/>
        </w:rPr>
        <w:t xml:space="preserve"> </w:t>
      </w:r>
      <w:r w:rsidR="00F22A2D" w:rsidRPr="00692930">
        <w:rPr>
          <w:rFonts w:ascii="Times New Roman" w:hAnsi="Times New Roman"/>
          <w:sz w:val="24"/>
          <w:szCs w:val="24"/>
        </w:rPr>
        <w:t>a</w:t>
      </w:r>
      <w:r w:rsidR="009D54B0" w:rsidRPr="00692930">
        <w:rPr>
          <w:rFonts w:ascii="Times New Roman" w:hAnsi="Times New Roman"/>
          <w:sz w:val="24"/>
          <w:szCs w:val="24"/>
        </w:rPr>
        <w:t xml:space="preserve"> galvanostatic </w:t>
      </w:r>
      <w:r w:rsidR="00F22A2D" w:rsidRPr="00692930">
        <w:rPr>
          <w:rFonts w:ascii="Times New Roman" w:hAnsi="Times New Roman"/>
          <w:sz w:val="24"/>
          <w:szCs w:val="24"/>
        </w:rPr>
        <w:t xml:space="preserve">cycle </w:t>
      </w:r>
      <w:r w:rsidR="009D54B0" w:rsidRPr="00692930">
        <w:rPr>
          <w:rFonts w:ascii="Times New Roman" w:hAnsi="Times New Roman"/>
          <w:sz w:val="24"/>
          <w:szCs w:val="24"/>
        </w:rPr>
        <w:t>measured at very low current densities. Specific</w:t>
      </w:r>
      <w:r w:rsidR="00F22A2D" w:rsidRPr="00692930">
        <w:rPr>
          <w:rFonts w:ascii="Times New Roman" w:hAnsi="Times New Roman"/>
          <w:sz w:val="24"/>
          <w:szCs w:val="24"/>
        </w:rPr>
        <w:t>al</w:t>
      </w:r>
      <w:r w:rsidR="009D54B0" w:rsidRPr="00692930">
        <w:rPr>
          <w:rFonts w:ascii="Times New Roman" w:hAnsi="Times New Roman"/>
          <w:sz w:val="24"/>
          <w:szCs w:val="24"/>
        </w:rPr>
        <w:t>ly</w:t>
      </w:r>
      <w:r w:rsidR="00F22A2D" w:rsidRPr="00692930">
        <w:rPr>
          <w:rFonts w:ascii="Times New Roman" w:hAnsi="Times New Roman"/>
          <w:sz w:val="24"/>
          <w:szCs w:val="24"/>
        </w:rPr>
        <w:t>,</w:t>
      </w:r>
      <w:r w:rsidR="009D54B0" w:rsidRPr="00692930">
        <w:rPr>
          <w:rFonts w:ascii="Times New Roman" w:hAnsi="Times New Roman"/>
          <w:sz w:val="24"/>
          <w:szCs w:val="24"/>
        </w:rPr>
        <w:t xml:space="preserve"> for LFP </w:t>
      </w:r>
      <w:r w:rsidR="00F22A2D" w:rsidRPr="00692930">
        <w:rPr>
          <w:rFonts w:ascii="Times New Roman" w:hAnsi="Times New Roman"/>
          <w:sz w:val="24"/>
          <w:szCs w:val="24"/>
        </w:rPr>
        <w:t xml:space="preserve">and LMP </w:t>
      </w:r>
      <w:r w:rsidR="009D54B0" w:rsidRPr="00692930">
        <w:rPr>
          <w:rFonts w:ascii="Times New Roman" w:hAnsi="Times New Roman"/>
          <w:sz w:val="24"/>
          <w:szCs w:val="24"/>
        </w:rPr>
        <w:t>we took the value</w:t>
      </w:r>
      <w:r w:rsidR="00F22A2D" w:rsidRPr="00692930">
        <w:rPr>
          <w:rFonts w:ascii="Times New Roman" w:hAnsi="Times New Roman"/>
          <w:sz w:val="24"/>
          <w:szCs w:val="24"/>
        </w:rPr>
        <w:t>s</w:t>
      </w:r>
      <w:r w:rsidR="009D54B0" w:rsidRPr="00692930">
        <w:rPr>
          <w:rFonts w:ascii="Times New Roman" w:hAnsi="Times New Roman"/>
          <w:sz w:val="24"/>
          <w:szCs w:val="24"/>
        </w:rPr>
        <w:t xml:space="preserve"> </w:t>
      </w:r>
      <w:r w:rsidR="00F22A2D" w:rsidRPr="00692930">
        <w:rPr>
          <w:rFonts w:ascii="Times New Roman" w:hAnsi="Times New Roman"/>
          <w:sz w:val="24"/>
          <w:szCs w:val="24"/>
        </w:rPr>
        <w:t xml:space="preserve">of </w:t>
      </w:r>
      <w:r w:rsidR="009D54B0" w:rsidRPr="00692930">
        <w:rPr>
          <w:rFonts w:ascii="Times New Roman" w:hAnsi="Times New Roman"/>
          <w:sz w:val="24"/>
          <w:szCs w:val="24"/>
        </w:rPr>
        <w:t xml:space="preserve">3.427 V </w:t>
      </w:r>
      <w:r w:rsidR="00F22A2D" w:rsidRPr="00692930">
        <w:rPr>
          <w:rFonts w:ascii="Times New Roman" w:hAnsi="Times New Roman"/>
          <w:sz w:val="24"/>
          <w:szCs w:val="24"/>
        </w:rPr>
        <w:t xml:space="preserve">and 4.105 V, respectively, </w:t>
      </w:r>
      <w:r w:rsidR="009D54B0" w:rsidRPr="00692930">
        <w:rPr>
          <w:rFonts w:ascii="Times New Roman" w:hAnsi="Times New Roman"/>
          <w:sz w:val="24"/>
          <w:szCs w:val="24"/>
        </w:rPr>
        <w:t xml:space="preserve">obtained from </w:t>
      </w:r>
      <w:r w:rsidR="00F22A2D" w:rsidRPr="00692930">
        <w:rPr>
          <w:rFonts w:ascii="Times New Roman" w:hAnsi="Times New Roman"/>
          <w:sz w:val="24"/>
          <w:szCs w:val="24"/>
        </w:rPr>
        <w:t xml:space="preserve">corresponding </w:t>
      </w:r>
      <w:r w:rsidR="009D54B0" w:rsidRPr="00692930">
        <w:rPr>
          <w:rFonts w:ascii="Times New Roman" w:hAnsi="Times New Roman"/>
          <w:sz w:val="24"/>
          <w:szCs w:val="24"/>
        </w:rPr>
        <w:sym w:font="Symbol" w:char="F0B1"/>
      </w:r>
      <w:r w:rsidR="009D54B0" w:rsidRPr="00692930">
        <w:rPr>
          <w:rFonts w:ascii="Times New Roman" w:hAnsi="Times New Roman"/>
          <w:sz w:val="24"/>
          <w:szCs w:val="24"/>
        </w:rPr>
        <w:t>C/1000 measurements</w:t>
      </w:r>
      <w:r w:rsidR="000F6F55" w:rsidRPr="00692930">
        <w:rPr>
          <w:rFonts w:ascii="Times New Roman" w:hAnsi="Times New Roman"/>
          <w:sz w:val="24"/>
          <w:szCs w:val="24"/>
        </w:rPr>
        <w:t xml:space="preserve"> (see also below).</w:t>
      </w:r>
      <w:r w:rsidR="00A951CD"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"10.1038/nmat2730", "ISBN" : "1476-1122", "ISSN" : "1476-1122", "PMID" : "20383130", "abstract" : "Lithium batteries are considered the key storage devices for most emerging green technologies such as wind and solar technologies or hybrid and plug-in electric vehicles. Despite the tremendous recent advances in battery research, surprisingly, several fundamental issues of increasing practical importance have not been adequately tackled. One such issue concerns the energy efficiency. Generally, charging of 10(10)-10(17) electrode particles constituting a modern battery electrode proceeds at (much) higher voltages than discharging. Most importantly, the hysteresis between the charge and discharge voltage seems not to disappear as the charging/discharging current vanishes. Herein we present, for the first time, a general explanation of the occurrence of inherent hysteretic behaviour in insertion storage systems containing multiple particles. In a broader sense, the model also predicts the existence of apparent equilibria in battery electrodes, the sequential particle-by-particle charging/discharging mechanism and the disappearance of two-phase behaviour at special experimental conditions.", "author" : [ { "dropping-particle" : "", "family" : "Dreyer", "given" : "Wolfgang", "non-dropping-particle" : "", "parse-names" : false, "suffix" : "" }, { "dropping-particle" : "", "family" : "Jamnik", "given" : "Janko", "non-dropping-particle" : "", "parse-names" : false, "suffix" : "" }, { "dropping-particle" : "", "family" : "Guhlke", "given" : "Clemens", "non-dropping-particle" : "", "parse-names" : false, "suffix" : "" }, { "dropping-particle" : "", "family" : "Huth", "given" : "Robert", "non-dropping-particle" : "", "parse-names" : false, "suffix" : "" }, { "dropping-particle" : "", "family" : "Moskon", "given" : "Joze", "non-dropping-particle" : "", "parse-names" : false, "suffix" : "" }, { "dropping-particle" : "", "family" : "Gaberscek", "given" : "Miran", "non-dropping-particle" : "", "parse-names" : false, "suffix" : "" } ], "container-title" : "Nature materials", "id" : "ITEM-1", "issue" : "April", "issued" : { "date-parts" : [ [ "2010" ] ] }, "page" : "448-453", "title" : "The thermodynamic origin of hysteresis in insertion batteries", "type" : "article-journal", "volume" : "9" }, "uris" : [ "http://www.mendeley.com/documents/?uuid=01e7a1c3-af4c-4cd9-8086-17f138bb603e", "http://www.mendeley.com/documents/?uuid=bf18f55e-cc89-450b-84ac-a7198a785f39" ] } ], "mendeley" : { "formattedCitation" : "&lt;sup&gt;40&lt;/sup&gt;", "plainTextFormattedCitation" : "40", "previouslyFormattedCitation" : "&lt;sup&gt;40&lt;/sup&gt;" }, "properties" : { "noteIndex" : 0 }, "schema" : "https://github.com/citation-style-language/schema/raw/master/csl-citation.json" }</w:instrText>
      </w:r>
      <w:r w:rsidR="00A951CD"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40</w:t>
      </w:r>
      <w:r w:rsidR="00A951CD" w:rsidRPr="00692930">
        <w:rPr>
          <w:rFonts w:ascii="Times New Roman" w:hAnsi="Times New Roman"/>
          <w:sz w:val="24"/>
          <w:szCs w:val="24"/>
        </w:rPr>
        <w:fldChar w:fldCharType="end"/>
      </w:r>
      <w:r w:rsidR="00F22A2D" w:rsidRPr="00692930">
        <w:rPr>
          <w:rFonts w:ascii="Times New Roman" w:hAnsi="Times New Roman"/>
          <w:sz w:val="24"/>
          <w:szCs w:val="24"/>
        </w:rPr>
        <w:t xml:space="preserve"> </w:t>
      </w:r>
      <w:r w:rsidR="00A85FE6" w:rsidRPr="00692930">
        <w:rPr>
          <w:rFonts w:ascii="Times New Roman" w:hAnsi="Times New Roman"/>
          <w:sz w:val="24"/>
          <w:szCs w:val="24"/>
        </w:rPr>
        <w:t>For</w:t>
      </w:r>
      <w:r w:rsidR="009D54B0" w:rsidRPr="00692930">
        <w:rPr>
          <w:rFonts w:ascii="Times New Roman" w:hAnsi="Times New Roman"/>
          <w:sz w:val="24"/>
          <w:szCs w:val="24"/>
        </w:rPr>
        <w:t xml:space="preserve"> LCO </w:t>
      </w:r>
      <w:r w:rsidR="00A85FE6" w:rsidRPr="00692930">
        <w:rPr>
          <w:rFonts w:ascii="Times New Roman" w:hAnsi="Times New Roman"/>
          <w:sz w:val="24"/>
          <w:szCs w:val="24"/>
        </w:rPr>
        <w:t xml:space="preserve">the selected value was </w:t>
      </w:r>
      <w:r w:rsidR="009D54B0" w:rsidRPr="00692930">
        <w:rPr>
          <w:rFonts w:ascii="Times New Roman" w:hAnsi="Times New Roman"/>
          <w:sz w:val="24"/>
          <w:szCs w:val="24"/>
        </w:rPr>
        <w:t xml:space="preserve">3.909 V obtained from </w:t>
      </w:r>
      <w:r w:rsidR="009D54B0" w:rsidRPr="00692930">
        <w:rPr>
          <w:rFonts w:ascii="Times New Roman" w:hAnsi="Times New Roman"/>
          <w:sz w:val="24"/>
          <w:szCs w:val="24"/>
        </w:rPr>
        <w:sym w:font="Symbol" w:char="F0B1"/>
      </w:r>
      <w:r w:rsidR="009D54B0" w:rsidRPr="00692930">
        <w:rPr>
          <w:rFonts w:ascii="Times New Roman" w:hAnsi="Times New Roman"/>
          <w:sz w:val="24"/>
          <w:szCs w:val="24"/>
        </w:rPr>
        <w:t xml:space="preserve">C/200 galvanostatic measurements. </w:t>
      </w:r>
      <w:r w:rsidR="004160AB" w:rsidRPr="00692930">
        <w:rPr>
          <w:rFonts w:ascii="Times New Roman" w:hAnsi="Times New Roman"/>
          <w:sz w:val="24"/>
          <w:szCs w:val="24"/>
        </w:rPr>
        <w:t xml:space="preserve">In all </w:t>
      </w:r>
      <w:r w:rsidRPr="00692930">
        <w:rPr>
          <w:rFonts w:ascii="Times New Roman" w:hAnsi="Times New Roman"/>
          <w:sz w:val="24"/>
          <w:szCs w:val="24"/>
        </w:rPr>
        <w:t xml:space="preserve">three </w:t>
      </w:r>
      <w:r w:rsidR="004160AB" w:rsidRPr="00692930">
        <w:rPr>
          <w:rFonts w:ascii="Times New Roman" w:hAnsi="Times New Roman"/>
          <w:sz w:val="24"/>
          <w:szCs w:val="24"/>
        </w:rPr>
        <w:t xml:space="preserve">cases </w:t>
      </w:r>
      <w:r w:rsidR="009D54B0" w:rsidRPr="00692930">
        <w:rPr>
          <w:rFonts w:ascii="Times New Roman" w:hAnsi="Times New Roman"/>
          <w:sz w:val="24"/>
          <w:szCs w:val="24"/>
        </w:rPr>
        <w:t xml:space="preserve">the measurements </w:t>
      </w:r>
      <w:r w:rsidR="004160AB" w:rsidRPr="00692930">
        <w:rPr>
          <w:rFonts w:ascii="Times New Roman" w:hAnsi="Times New Roman"/>
          <w:sz w:val="24"/>
          <w:szCs w:val="24"/>
        </w:rPr>
        <w:t xml:space="preserve">were </w:t>
      </w:r>
      <w:r w:rsidR="009D54B0" w:rsidRPr="00692930">
        <w:rPr>
          <w:rFonts w:ascii="Times New Roman" w:hAnsi="Times New Roman"/>
          <w:sz w:val="24"/>
          <w:szCs w:val="24"/>
        </w:rPr>
        <w:t>cond</w:t>
      </w:r>
      <w:r w:rsidR="004160AB" w:rsidRPr="00692930">
        <w:rPr>
          <w:rFonts w:ascii="Times New Roman" w:hAnsi="Times New Roman"/>
          <w:sz w:val="24"/>
          <w:szCs w:val="24"/>
        </w:rPr>
        <w:t>ucted at 25 °C. I</w:t>
      </w:r>
      <w:r w:rsidR="009D54B0" w:rsidRPr="00692930">
        <w:rPr>
          <w:rFonts w:ascii="Times New Roman" w:hAnsi="Times New Roman"/>
          <w:sz w:val="24"/>
          <w:szCs w:val="24"/>
        </w:rPr>
        <w:t xml:space="preserve">n Fig. 3 the total overpotentials for </w:t>
      </w:r>
      <w:r w:rsidR="004160AB" w:rsidRPr="00692930">
        <w:rPr>
          <w:rFonts w:ascii="Times New Roman" w:hAnsi="Times New Roman"/>
          <w:sz w:val="24"/>
          <w:szCs w:val="24"/>
        </w:rPr>
        <w:t xml:space="preserve">the </w:t>
      </w:r>
      <w:r w:rsidR="009D54B0" w:rsidRPr="00692930">
        <w:rPr>
          <w:rFonts w:ascii="Times New Roman" w:hAnsi="Times New Roman"/>
          <w:sz w:val="24"/>
          <w:szCs w:val="24"/>
        </w:rPr>
        <w:t>charge and discharge are denoted with “+” and “-”</w:t>
      </w:r>
      <w:r w:rsidR="00223FC7" w:rsidRPr="00692930">
        <w:rPr>
          <w:rFonts w:ascii="Times New Roman" w:hAnsi="Times New Roman"/>
          <w:sz w:val="24"/>
          <w:szCs w:val="24"/>
        </w:rPr>
        <w:t xml:space="preserve"> </w:t>
      </w:r>
      <w:r w:rsidR="009D54B0" w:rsidRPr="00692930">
        <w:rPr>
          <w:rFonts w:ascii="Times New Roman" w:hAnsi="Times New Roman"/>
          <w:sz w:val="24"/>
          <w:szCs w:val="24"/>
        </w:rPr>
        <w:t>(</w:t>
      </w:r>
      <m:oMath>
        <m:sSubSup>
          <m:sSubSupPr>
            <m:ctrlPr>
              <w:rPr>
                <w:rFonts w:ascii="Cambria Math" w:hAnsi="Cambria Math"/>
                <w:i/>
                <w:sz w:val="24"/>
                <w:szCs w:val="24"/>
              </w:rPr>
            </m:ctrlPr>
          </m:sSubSupPr>
          <m:e>
            <m:r>
              <w:rPr>
                <w:rFonts w:ascii="Cambria Math" w:hAnsi="Cambria Math"/>
                <w:i/>
                <w:sz w:val="24"/>
                <w:szCs w:val="24"/>
              </w:rPr>
              <w:sym w:font="Symbol" w:char="F068"/>
            </m:r>
          </m:e>
          <m:sub>
            <m:r>
              <m:rPr>
                <m:nor/>
              </m:rPr>
              <w:rPr>
                <w:rFonts w:ascii="Cambria Math" w:hAnsi="Cambria Math"/>
                <w:sz w:val="24"/>
                <w:szCs w:val="24"/>
              </w:rPr>
              <m:t>total</m:t>
            </m:r>
          </m:sub>
          <m:sup>
            <m:r>
              <w:rPr>
                <w:rFonts w:ascii="Cambria Math" w:hAnsi="Cambria Math"/>
                <w:sz w:val="24"/>
                <w:szCs w:val="24"/>
              </w:rPr>
              <m:t>+</m:t>
            </m:r>
          </m:sup>
        </m:sSubSup>
      </m:oMath>
      <w:r w:rsidR="0044356D" w:rsidRPr="00692930">
        <w:rPr>
          <w:rFonts w:ascii="Times New Roman" w:hAnsi="Times New Roman"/>
          <w:sz w:val="24"/>
          <w:szCs w:val="24"/>
        </w:rPr>
        <w:t xml:space="preserve"> </w:t>
      </w:r>
      <w:r w:rsidR="009D54B0" w:rsidRPr="00692930">
        <w:rPr>
          <w:rFonts w:ascii="Times New Roman" w:hAnsi="Times New Roman"/>
          <w:sz w:val="24"/>
          <w:szCs w:val="24"/>
        </w:rPr>
        <w:t>and</w:t>
      </w:r>
      <m:oMath>
        <m:r>
          <m:rPr>
            <m:sty m:val="p"/>
          </m:rPr>
          <w:rPr>
            <w:rFonts w:ascii="Cambria Math" w:hAnsi="Cambria Math"/>
            <w:sz w:val="24"/>
            <w:szCs w:val="24"/>
          </w:rPr>
          <w:br/>
        </m:r>
        <m:sSubSup>
          <m:sSubSupPr>
            <m:ctrlPr>
              <w:rPr>
                <w:rFonts w:ascii="Cambria Math" w:hAnsi="Cambria Math"/>
                <w:i/>
                <w:sz w:val="24"/>
                <w:szCs w:val="24"/>
              </w:rPr>
            </m:ctrlPr>
          </m:sSubSupPr>
          <m:e>
            <m:r>
              <w:rPr>
                <w:rFonts w:ascii="Cambria Math" w:hAnsi="Cambria Math"/>
                <w:i/>
                <w:sz w:val="24"/>
                <w:szCs w:val="24"/>
              </w:rPr>
              <w:sym w:font="Symbol" w:char="F068"/>
            </m:r>
          </m:e>
          <m:sub>
            <m:r>
              <m:rPr>
                <m:nor/>
              </m:rPr>
              <w:rPr>
                <w:rFonts w:ascii="Cambria Math" w:hAnsi="Cambria Math"/>
                <w:sz w:val="24"/>
                <w:szCs w:val="24"/>
              </w:rPr>
              <m:t>total</m:t>
            </m:r>
          </m:sub>
          <m:sup>
            <m:r>
              <w:rPr>
                <w:rFonts w:ascii="Cambria Math" w:hAnsi="Cambria Math"/>
                <w:sz w:val="24"/>
                <w:szCs w:val="24"/>
              </w:rPr>
              <m:t>-</m:t>
            </m:r>
          </m:sup>
        </m:sSubSup>
      </m:oMath>
      <w:r w:rsidR="009D54B0" w:rsidRPr="00692930">
        <w:rPr>
          <w:rFonts w:ascii="Times New Roman" w:hAnsi="Times New Roman"/>
          <w:sz w:val="24"/>
          <w:szCs w:val="24"/>
        </w:rPr>
        <w:t>)</w:t>
      </w:r>
      <w:r w:rsidR="004160AB" w:rsidRPr="00692930">
        <w:rPr>
          <w:rFonts w:ascii="Times New Roman" w:hAnsi="Times New Roman"/>
          <w:sz w:val="24"/>
          <w:szCs w:val="24"/>
        </w:rPr>
        <w:t>, respectively</w:t>
      </w:r>
      <w:r w:rsidR="009D54B0" w:rsidRPr="00692930">
        <w:rPr>
          <w:rFonts w:ascii="Times New Roman" w:hAnsi="Times New Roman"/>
          <w:sz w:val="24"/>
          <w:szCs w:val="24"/>
        </w:rPr>
        <w:t xml:space="preserve">. It </w:t>
      </w:r>
      <w:r w:rsidR="004160AB" w:rsidRPr="00692930">
        <w:rPr>
          <w:rFonts w:ascii="Times New Roman" w:hAnsi="Times New Roman"/>
          <w:sz w:val="24"/>
          <w:szCs w:val="24"/>
        </w:rPr>
        <w:t>is worth noting</w:t>
      </w:r>
      <w:r w:rsidR="009D54B0" w:rsidRPr="00692930">
        <w:rPr>
          <w:rFonts w:ascii="Times New Roman" w:hAnsi="Times New Roman"/>
          <w:sz w:val="24"/>
          <w:szCs w:val="24"/>
        </w:rPr>
        <w:t xml:space="preserve"> </w:t>
      </w:r>
      <w:r w:rsidRPr="00692930">
        <w:rPr>
          <w:rFonts w:ascii="Times New Roman" w:hAnsi="Times New Roman"/>
          <w:sz w:val="24"/>
          <w:szCs w:val="24"/>
        </w:rPr>
        <w:t xml:space="preserve">that </w:t>
      </w:r>
      <w:r w:rsidR="009D54B0" w:rsidRPr="00692930">
        <w:rPr>
          <w:rFonts w:ascii="Times New Roman" w:hAnsi="Times New Roman"/>
          <w:sz w:val="24"/>
          <w:szCs w:val="24"/>
        </w:rPr>
        <w:t>the pr</w:t>
      </w:r>
      <w:r w:rsidR="004160AB" w:rsidRPr="00692930">
        <w:rPr>
          <w:rFonts w:ascii="Times New Roman" w:hAnsi="Times New Roman"/>
          <w:sz w:val="24"/>
          <w:szCs w:val="24"/>
        </w:rPr>
        <w:t>oposed inflection point criterion</w:t>
      </w:r>
      <w:r w:rsidR="009D54B0" w:rsidRPr="00692930">
        <w:rPr>
          <w:rFonts w:ascii="Times New Roman" w:hAnsi="Times New Roman"/>
          <w:sz w:val="24"/>
          <w:szCs w:val="24"/>
        </w:rPr>
        <w:t xml:space="preserve"> for reading out the value of overpotential can be </w:t>
      </w:r>
      <w:r w:rsidR="004160AB" w:rsidRPr="00692930">
        <w:rPr>
          <w:rFonts w:ascii="Times New Roman" w:hAnsi="Times New Roman"/>
          <w:sz w:val="24"/>
          <w:szCs w:val="24"/>
        </w:rPr>
        <w:t>employed generally for different Li battery types includin</w:t>
      </w:r>
      <w:r w:rsidR="00B21F25" w:rsidRPr="00692930">
        <w:rPr>
          <w:rFonts w:ascii="Times New Roman" w:hAnsi="Times New Roman"/>
          <w:sz w:val="24"/>
          <w:szCs w:val="24"/>
        </w:rPr>
        <w:t>g</w:t>
      </w:r>
      <w:r w:rsidR="004160AB" w:rsidRPr="00692930">
        <w:rPr>
          <w:rFonts w:ascii="Times New Roman" w:hAnsi="Times New Roman"/>
          <w:sz w:val="24"/>
          <w:szCs w:val="24"/>
        </w:rPr>
        <w:t xml:space="preserve"> the one </w:t>
      </w:r>
      <w:r w:rsidR="009D54B0" w:rsidRPr="00692930">
        <w:rPr>
          <w:rFonts w:ascii="Times New Roman" w:hAnsi="Times New Roman"/>
          <w:sz w:val="24"/>
          <w:szCs w:val="24"/>
        </w:rPr>
        <w:t>exhibit</w:t>
      </w:r>
      <w:r w:rsidR="004160AB" w:rsidRPr="00692930">
        <w:rPr>
          <w:rFonts w:ascii="Times New Roman" w:hAnsi="Times New Roman"/>
          <w:sz w:val="24"/>
          <w:szCs w:val="24"/>
        </w:rPr>
        <w:t>ing the</w:t>
      </w:r>
      <w:r w:rsidR="009D54B0" w:rsidRPr="00692930">
        <w:rPr>
          <w:rFonts w:ascii="Times New Roman" w:hAnsi="Times New Roman"/>
          <w:sz w:val="24"/>
          <w:szCs w:val="24"/>
        </w:rPr>
        <w:t xml:space="preserve"> so ca</w:t>
      </w:r>
      <w:r w:rsidR="004160AB" w:rsidRPr="00692930">
        <w:rPr>
          <w:rFonts w:ascii="Times New Roman" w:hAnsi="Times New Roman"/>
          <w:sz w:val="24"/>
          <w:szCs w:val="24"/>
        </w:rPr>
        <w:t>lled “solid solution” behaviour etc.</w:t>
      </w:r>
      <w:r w:rsidR="009D54B0" w:rsidRPr="00692930">
        <w:rPr>
          <w:rFonts w:ascii="Times New Roman" w:hAnsi="Times New Roman"/>
          <w:sz w:val="24"/>
          <w:szCs w:val="24"/>
        </w:rPr>
        <w:t xml:space="preserve"> </w:t>
      </w:r>
      <w:r w:rsidR="00B21F25" w:rsidRPr="00692930">
        <w:rPr>
          <w:rFonts w:ascii="Times New Roman" w:hAnsi="Times New Roman"/>
          <w:sz w:val="24"/>
          <w:szCs w:val="24"/>
        </w:rPr>
        <w:t>T</w:t>
      </w:r>
      <w:r w:rsidR="009D54B0" w:rsidRPr="00692930">
        <w:rPr>
          <w:rFonts w:ascii="Times New Roman" w:hAnsi="Times New Roman"/>
          <w:sz w:val="24"/>
          <w:szCs w:val="24"/>
        </w:rPr>
        <w:t>he results of the analysis of the galvanostatic curves of the compared materials (LMP, LFP, LCO – Fig. 1) usi</w:t>
      </w:r>
      <w:r w:rsidR="00B21F25" w:rsidRPr="00692930">
        <w:rPr>
          <w:rFonts w:ascii="Times New Roman" w:hAnsi="Times New Roman"/>
          <w:sz w:val="24"/>
          <w:szCs w:val="24"/>
        </w:rPr>
        <w:t>ng the inflection point criterion are shown</w:t>
      </w:r>
      <w:r w:rsidR="009570CF" w:rsidRPr="00692930">
        <w:rPr>
          <w:rFonts w:ascii="Times New Roman" w:hAnsi="Times New Roman"/>
          <w:sz w:val="24"/>
          <w:szCs w:val="24"/>
        </w:rPr>
        <w:t xml:space="preserve"> on</w:t>
      </w:r>
      <w:r w:rsidR="00B21F25" w:rsidRPr="00692930">
        <w:rPr>
          <w:rFonts w:ascii="Times New Roman" w:hAnsi="Times New Roman"/>
          <w:sz w:val="24"/>
          <w:szCs w:val="24"/>
        </w:rPr>
        <w:t xml:space="preserve"> Fig. 4. On the real axis the </w:t>
      </w:r>
      <w:r w:rsidR="009D54B0" w:rsidRPr="00692930">
        <w:rPr>
          <w:rFonts w:ascii="Times New Roman" w:hAnsi="Times New Roman"/>
          <w:sz w:val="24"/>
          <w:szCs w:val="24"/>
        </w:rPr>
        <w:t>total overpotential (</w:t>
      </w:r>
      <m:oMath>
        <m:sSub>
          <m:sSubPr>
            <m:ctrlPr>
              <w:rPr>
                <w:rFonts w:ascii="Cambria Math" w:hAnsi="Cambria Math"/>
                <w:i/>
                <w:sz w:val="24"/>
                <w:szCs w:val="24"/>
              </w:rPr>
            </m:ctrlPr>
          </m:sSubPr>
          <m:e>
            <m:r>
              <w:rPr>
                <w:rFonts w:ascii="Cambria Math" w:hAnsi="Cambria Math"/>
                <w:i/>
                <w:sz w:val="24"/>
                <w:szCs w:val="24"/>
              </w:rPr>
              <w:sym w:font="Symbol" w:char="F068"/>
            </m:r>
          </m:e>
          <m:sub>
            <m:r>
              <m:rPr>
                <m:nor/>
              </m:rPr>
              <w:rPr>
                <w:rFonts w:ascii="Cambria Math" w:hAnsi="Cambria Math"/>
                <w:sz w:val="24"/>
                <w:szCs w:val="24"/>
              </w:rPr>
              <m:t>total</m:t>
            </m:r>
          </m:sub>
        </m:sSub>
      </m:oMath>
      <w:r w:rsidR="009D54B0" w:rsidRPr="00692930">
        <w:rPr>
          <w:rFonts w:ascii="Times New Roman" w:hAnsi="Times New Roman"/>
          <w:sz w:val="24"/>
          <w:szCs w:val="24"/>
        </w:rPr>
        <w:t>)</w:t>
      </w:r>
      <w:r w:rsidR="00B21F25" w:rsidRPr="00692930">
        <w:rPr>
          <w:rFonts w:ascii="Times New Roman" w:hAnsi="Times New Roman"/>
          <w:sz w:val="24"/>
          <w:szCs w:val="24"/>
        </w:rPr>
        <w:t xml:space="preserve"> is given in the positive (charge) and negative (discharge) direction</w:t>
      </w:r>
      <w:r w:rsidR="009D54B0" w:rsidRPr="00692930">
        <w:rPr>
          <w:rFonts w:ascii="Times New Roman" w:hAnsi="Times New Roman"/>
          <w:sz w:val="24"/>
          <w:szCs w:val="24"/>
        </w:rPr>
        <w:t xml:space="preserve">. </w:t>
      </w:r>
      <w:r w:rsidR="00B21F25" w:rsidRPr="00692930">
        <w:rPr>
          <w:rFonts w:ascii="Times New Roman" w:hAnsi="Times New Roman"/>
          <w:sz w:val="24"/>
          <w:szCs w:val="24"/>
        </w:rPr>
        <w:t xml:space="preserve">On the ordinate axis </w:t>
      </w:r>
      <w:r w:rsidR="00B21F25" w:rsidRPr="00692930">
        <w:rPr>
          <w:rFonts w:ascii="Times New Roman" w:hAnsi="Times New Roman"/>
          <w:bCs/>
          <w:sz w:val="24"/>
          <w:szCs w:val="24"/>
        </w:rPr>
        <w:t xml:space="preserve">the </w:t>
      </w:r>
      <w:r w:rsidR="009D54B0" w:rsidRPr="00692930">
        <w:rPr>
          <w:rFonts w:ascii="Times New Roman" w:hAnsi="Times New Roman"/>
          <w:bCs/>
          <w:sz w:val="24"/>
          <w:szCs w:val="24"/>
        </w:rPr>
        <w:t>normalized current (in A per g)</w:t>
      </w:r>
      <w:r w:rsidR="00B21F25" w:rsidRPr="00692930">
        <w:rPr>
          <w:rFonts w:ascii="Times New Roman" w:hAnsi="Times New Roman"/>
          <w:bCs/>
          <w:sz w:val="24"/>
          <w:szCs w:val="24"/>
        </w:rPr>
        <w:t xml:space="preserve"> is displayed</w:t>
      </w:r>
      <w:r w:rsidR="009D54B0" w:rsidRPr="00692930">
        <w:rPr>
          <w:rFonts w:ascii="Times New Roman" w:hAnsi="Times New Roman"/>
          <w:bCs/>
          <w:sz w:val="24"/>
          <w:szCs w:val="24"/>
        </w:rPr>
        <w:t xml:space="preserve">. </w:t>
      </w:r>
    </w:p>
    <w:p w:rsidR="005D0538" w:rsidRPr="00692930" w:rsidRDefault="005D0538" w:rsidP="008A3866">
      <w:pPr>
        <w:ind w:firstLine="0"/>
        <w:rPr>
          <w:rFonts w:ascii="Times New Roman" w:hAnsi="Times New Roman"/>
          <w:sz w:val="24"/>
          <w:szCs w:val="24"/>
        </w:rPr>
      </w:pPr>
    </w:p>
    <w:p w:rsidR="00472882" w:rsidRPr="00692930" w:rsidRDefault="00472882" w:rsidP="008A3866">
      <w:pPr>
        <w:ind w:firstLine="0"/>
        <w:rPr>
          <w:rFonts w:ascii="Times New Roman" w:hAnsi="Times New Roman"/>
          <w:b/>
        </w:rPr>
      </w:pPr>
      <w:r w:rsidRPr="00692930">
        <w:rPr>
          <w:rFonts w:ascii="Times New Roman" w:hAnsi="Times New Roman"/>
          <w:b/>
          <w:noProof/>
          <w:lang w:val="sl-SI" w:eastAsia="sl-SI"/>
        </w:rPr>
        <w:drawing>
          <wp:inline distT="0" distB="0" distL="0" distR="0" wp14:anchorId="5FC24F5C" wp14:editId="3C6B74AF">
            <wp:extent cx="5760720" cy="22428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242820"/>
                    </a:xfrm>
                    <a:prstGeom prst="rect">
                      <a:avLst/>
                    </a:prstGeom>
                  </pic:spPr>
                </pic:pic>
              </a:graphicData>
            </a:graphic>
          </wp:inline>
        </w:drawing>
      </w:r>
    </w:p>
    <w:p w:rsidR="009570CF" w:rsidRPr="00692930" w:rsidRDefault="00927137" w:rsidP="008A3866">
      <w:pPr>
        <w:ind w:firstLine="0"/>
        <w:rPr>
          <w:rFonts w:ascii="Times New Roman" w:hAnsi="Times New Roman"/>
        </w:rPr>
      </w:pPr>
      <w:r w:rsidRPr="00692930">
        <w:rPr>
          <w:rFonts w:ascii="Times New Roman" w:hAnsi="Times New Roman"/>
          <w:b/>
        </w:rPr>
        <w:t>Figure</w:t>
      </w:r>
      <w:r w:rsidR="009D54B0" w:rsidRPr="00692930">
        <w:rPr>
          <w:rFonts w:ascii="Times New Roman" w:hAnsi="Times New Roman"/>
          <w:b/>
        </w:rPr>
        <w:t xml:space="preserve"> 4.</w:t>
      </w:r>
      <w:r w:rsidR="009D54B0" w:rsidRPr="00692930">
        <w:rPr>
          <w:rFonts w:ascii="Times New Roman" w:hAnsi="Times New Roman"/>
        </w:rPr>
        <w:t xml:space="preserve"> </w:t>
      </w:r>
      <w:r w:rsidR="009D54B0" w:rsidRPr="00692930">
        <w:rPr>
          <w:rFonts w:ascii="Times New Roman" w:hAnsi="Times New Roman"/>
          <w:bCs/>
        </w:rPr>
        <w:t>Current-Overpotential (</w:t>
      </w:r>
      <w:r w:rsidR="009D54B0" w:rsidRPr="00692930">
        <w:rPr>
          <w:rFonts w:ascii="Times New Roman" w:hAnsi="Times New Roman"/>
          <w:bCs/>
          <w:i/>
          <w:iCs/>
        </w:rPr>
        <w:t>I</w:t>
      </w:r>
      <w:r w:rsidR="009D54B0" w:rsidRPr="00692930">
        <w:rPr>
          <w:rFonts w:ascii="Times New Roman" w:hAnsi="Times New Roman"/>
          <w:bCs/>
          <w:iCs/>
          <w:vertAlign w:val="subscript"/>
        </w:rPr>
        <w:t>m</w:t>
      </w:r>
      <w:r w:rsidR="009D54B0" w:rsidRPr="00692930">
        <w:rPr>
          <w:rFonts w:ascii="Times New Roman" w:hAnsi="Times New Roman"/>
          <w:bCs/>
        </w:rPr>
        <w:t>-</w:t>
      </w:r>
      <w:r w:rsidR="009D54B0" w:rsidRPr="00692930">
        <w:rPr>
          <w:rFonts w:ascii="Times New Roman" w:hAnsi="Times New Roman"/>
          <w:bCs/>
          <w:i/>
        </w:rPr>
        <w:sym w:font="Symbol" w:char="F068"/>
      </w:r>
      <w:r w:rsidR="009D54B0" w:rsidRPr="00692930">
        <w:rPr>
          <w:rFonts w:ascii="Times New Roman" w:hAnsi="Times New Roman"/>
          <w:bCs/>
          <w:i/>
          <w:vertAlign w:val="subscript"/>
        </w:rPr>
        <w:t>total</w:t>
      </w:r>
      <w:r w:rsidR="009D54B0" w:rsidRPr="00692930">
        <w:rPr>
          <w:rFonts w:ascii="Times New Roman" w:hAnsi="Times New Roman"/>
          <w:bCs/>
        </w:rPr>
        <w:t>) characteristics of the compared LMP (green), LFP (red) and LCO (</w:t>
      </w:r>
      <w:r w:rsidR="00B21F25" w:rsidRPr="00692930">
        <w:rPr>
          <w:rFonts w:ascii="Times New Roman" w:hAnsi="Times New Roman"/>
          <w:bCs/>
        </w:rPr>
        <w:t>blue) obtained using</w:t>
      </w:r>
      <w:r w:rsidR="009D54B0" w:rsidRPr="00692930">
        <w:rPr>
          <w:rFonts w:ascii="Times New Roman" w:hAnsi="Times New Roman"/>
          <w:bCs/>
        </w:rPr>
        <w:t xml:space="preserve"> the </w:t>
      </w:r>
      <w:r w:rsidR="00B21F25" w:rsidRPr="00692930">
        <w:rPr>
          <w:rFonts w:ascii="Times New Roman" w:hAnsi="Times New Roman"/>
        </w:rPr>
        <w:t>inflection point criterion</w:t>
      </w:r>
      <w:r w:rsidR="009D54B0" w:rsidRPr="00692930">
        <w:rPr>
          <w:rFonts w:ascii="Times New Roman" w:hAnsi="Times New Roman"/>
        </w:rPr>
        <w:t xml:space="preserve"> </w:t>
      </w:r>
      <w:r w:rsidR="00B21F25" w:rsidRPr="00692930">
        <w:rPr>
          <w:rFonts w:ascii="Times New Roman" w:hAnsi="Times New Roman"/>
        </w:rPr>
        <w:t>together with</w:t>
      </w:r>
      <w:r w:rsidR="009D54B0" w:rsidRPr="00692930">
        <w:rPr>
          <w:rFonts w:ascii="Times New Roman" w:hAnsi="Times New Roman"/>
        </w:rPr>
        <w:t xml:space="preserve"> </w:t>
      </w:r>
      <w:r w:rsidR="00B21F25" w:rsidRPr="00692930">
        <w:rPr>
          <w:rFonts w:ascii="Times New Roman" w:hAnsi="Times New Roman"/>
        </w:rPr>
        <w:t>Eq</w:t>
      </w:r>
      <w:r w:rsidR="009D54B0" w:rsidRPr="00692930">
        <w:rPr>
          <w:rFonts w:ascii="Times New Roman" w:hAnsi="Times New Roman"/>
        </w:rPr>
        <w:t xml:space="preserve">. 3. </w:t>
      </w:r>
      <w:r w:rsidR="00472882" w:rsidRPr="00692930">
        <w:rPr>
          <w:rFonts w:ascii="Times New Roman" w:hAnsi="Times New Roman"/>
        </w:rPr>
        <w:t xml:space="preserve">Data in panel (b) are </w:t>
      </w:r>
      <w:r w:rsidR="00472882" w:rsidRPr="00692930">
        <w:rPr>
          <w:rFonts w:ascii="Times New Roman" w:hAnsi="Times New Roman"/>
        </w:rPr>
        <w:lastRenderedPageBreak/>
        <w:t xml:space="preserve">merely a magnification of data in panel (a) for low current values. </w:t>
      </w:r>
      <w:r w:rsidR="009D54B0" w:rsidRPr="00692930">
        <w:rPr>
          <w:rFonts w:ascii="Times New Roman" w:hAnsi="Times New Roman"/>
        </w:rPr>
        <w:t>The data were extracted from the 3 sets</w:t>
      </w:r>
      <w:r w:rsidR="00B21F25" w:rsidRPr="00692930">
        <w:rPr>
          <w:rFonts w:ascii="Times New Roman" w:hAnsi="Times New Roman"/>
        </w:rPr>
        <w:t xml:space="preserve"> of galvanostatic curves shown in</w:t>
      </w:r>
      <w:r w:rsidR="009D54B0" w:rsidRPr="00692930">
        <w:rPr>
          <w:rFonts w:ascii="Times New Roman" w:hAnsi="Times New Roman"/>
        </w:rPr>
        <w:t xml:space="preserve"> Fig.</w:t>
      </w:r>
      <w:r w:rsidR="00472882" w:rsidRPr="00692930">
        <w:rPr>
          <w:rFonts w:ascii="Times New Roman" w:hAnsi="Times New Roman"/>
        </w:rPr>
        <w:t xml:space="preserve"> 1.</w:t>
      </w:r>
    </w:p>
    <w:p w:rsidR="00605637" w:rsidRPr="00692930" w:rsidRDefault="00605637" w:rsidP="008A3866">
      <w:pPr>
        <w:rPr>
          <w:rFonts w:ascii="Times New Roman" w:hAnsi="Times New Roman"/>
          <w:sz w:val="24"/>
          <w:szCs w:val="24"/>
        </w:rPr>
      </w:pPr>
    </w:p>
    <w:p w:rsidR="009D54B0" w:rsidRPr="00692930" w:rsidRDefault="009D54B0" w:rsidP="008A3866">
      <w:pPr>
        <w:rPr>
          <w:rFonts w:ascii="Times New Roman" w:hAnsi="Times New Roman"/>
          <w:bCs/>
          <w:sz w:val="24"/>
          <w:szCs w:val="24"/>
        </w:rPr>
      </w:pPr>
      <w:r w:rsidRPr="00692930">
        <w:rPr>
          <w:rFonts w:ascii="Times New Roman" w:hAnsi="Times New Roman"/>
          <w:sz w:val="24"/>
          <w:szCs w:val="24"/>
        </w:rPr>
        <w:t>Fig. 4</w:t>
      </w:r>
      <w:r w:rsidR="00B21F25" w:rsidRPr="00692930">
        <w:rPr>
          <w:rFonts w:ascii="Times New Roman" w:hAnsi="Times New Roman"/>
          <w:sz w:val="24"/>
          <w:szCs w:val="24"/>
        </w:rPr>
        <w:t xml:space="preserve"> reveals</w:t>
      </w:r>
      <w:r w:rsidRPr="00692930">
        <w:rPr>
          <w:rFonts w:ascii="Times New Roman" w:hAnsi="Times New Roman"/>
          <w:sz w:val="24"/>
          <w:szCs w:val="24"/>
        </w:rPr>
        <w:t xml:space="preserve"> that all 3 materials </w:t>
      </w:r>
      <w:r w:rsidR="00B21F25" w:rsidRPr="00692930">
        <w:rPr>
          <w:rFonts w:ascii="Times New Roman" w:hAnsi="Times New Roman"/>
          <w:sz w:val="24"/>
          <w:szCs w:val="24"/>
        </w:rPr>
        <w:t xml:space="preserve">compared in this study </w:t>
      </w:r>
      <w:r w:rsidRPr="00692930">
        <w:rPr>
          <w:rFonts w:ascii="Times New Roman" w:hAnsi="Times New Roman"/>
          <w:sz w:val="24"/>
          <w:szCs w:val="24"/>
        </w:rPr>
        <w:t xml:space="preserve">exhibit quite symmetric </w:t>
      </w:r>
      <w:r w:rsidRPr="00692930">
        <w:rPr>
          <w:rFonts w:ascii="Times New Roman" w:hAnsi="Times New Roman"/>
          <w:bCs/>
          <w:i/>
          <w:iCs/>
          <w:sz w:val="24"/>
          <w:szCs w:val="24"/>
        </w:rPr>
        <w:t>I</w:t>
      </w:r>
      <w:r w:rsidRPr="00692930">
        <w:rPr>
          <w:rFonts w:ascii="Times New Roman" w:hAnsi="Times New Roman"/>
          <w:bCs/>
          <w:iCs/>
          <w:sz w:val="24"/>
          <w:szCs w:val="24"/>
          <w:vertAlign w:val="subscript"/>
        </w:rPr>
        <w:t>m</w:t>
      </w:r>
      <w:r w:rsidRPr="00692930">
        <w:rPr>
          <w:rFonts w:ascii="Times New Roman" w:hAnsi="Times New Roman"/>
          <w:bCs/>
          <w:sz w:val="24"/>
          <w:szCs w:val="24"/>
        </w:rPr>
        <w:t>-</w:t>
      </w:r>
      <m:oMath>
        <m:sSub>
          <m:sSubPr>
            <m:ctrlPr>
              <w:rPr>
                <w:rFonts w:ascii="Cambria Math" w:hAnsi="Cambria Math"/>
                <w:i/>
                <w:sz w:val="24"/>
                <w:szCs w:val="24"/>
              </w:rPr>
            </m:ctrlPr>
          </m:sSubPr>
          <m:e>
            <m:r>
              <w:rPr>
                <w:rFonts w:ascii="Cambria Math" w:hAnsi="Cambria Math"/>
                <w:i/>
                <w:sz w:val="24"/>
                <w:szCs w:val="24"/>
              </w:rPr>
              <w:sym w:font="Symbol" w:char="F068"/>
            </m:r>
          </m:e>
          <m:sub>
            <m:r>
              <m:rPr>
                <m:nor/>
              </m:rPr>
              <w:rPr>
                <w:rFonts w:ascii="Cambria Math" w:hAnsi="Cambria Math"/>
                <w:sz w:val="24"/>
                <w:szCs w:val="24"/>
              </w:rPr>
              <m:t>total</m:t>
            </m:r>
          </m:sub>
        </m:sSub>
      </m:oMath>
      <w:r w:rsidRPr="00692930">
        <w:rPr>
          <w:rFonts w:ascii="Times New Roman" w:hAnsi="Times New Roman"/>
          <w:bCs/>
          <w:sz w:val="24"/>
          <w:szCs w:val="24"/>
        </w:rPr>
        <w:t xml:space="preserve"> characteristics of increasing </w:t>
      </w:r>
      <w:r w:rsidRPr="00692930">
        <w:rPr>
          <w:rFonts w:ascii="Times New Roman" w:hAnsi="Times New Roman"/>
          <w:bCs/>
          <w:iCs/>
          <w:sz w:val="24"/>
          <w:szCs w:val="24"/>
        </w:rPr>
        <w:t>current with increased</w:t>
      </w:r>
      <w:r w:rsidRPr="00692930">
        <w:rPr>
          <w:rFonts w:ascii="Times New Roman" w:hAnsi="Times New Roman"/>
          <w:bCs/>
          <w:sz w:val="24"/>
          <w:szCs w:val="24"/>
        </w:rPr>
        <w:t xml:space="preserve"> overpotential. We find that for all the measured current densities the overpotential </w:t>
      </w:r>
      <w:r w:rsidRPr="00692930">
        <w:rPr>
          <w:rFonts w:ascii="Times New Roman" w:hAnsi="Times New Roman"/>
          <w:sz w:val="24"/>
          <w:szCs w:val="24"/>
        </w:rPr>
        <w:t>(</w:t>
      </w:r>
      <m:oMath>
        <m:sSub>
          <m:sSubPr>
            <m:ctrlPr>
              <w:rPr>
                <w:rFonts w:ascii="Cambria Math" w:hAnsi="Cambria Math"/>
                <w:i/>
                <w:sz w:val="24"/>
                <w:szCs w:val="24"/>
              </w:rPr>
            </m:ctrlPr>
          </m:sSubPr>
          <m:e>
            <m:r>
              <w:rPr>
                <w:rFonts w:ascii="Cambria Math" w:hAnsi="Cambria Math"/>
                <w:i/>
                <w:sz w:val="24"/>
                <w:szCs w:val="24"/>
              </w:rPr>
              <w:sym w:font="Symbol" w:char="F068"/>
            </m:r>
          </m:e>
          <m:sub>
            <m:r>
              <m:rPr>
                <m:nor/>
              </m:rPr>
              <w:rPr>
                <w:rFonts w:ascii="Cambria Math" w:hAnsi="Cambria Math"/>
                <w:sz w:val="24"/>
                <w:szCs w:val="24"/>
              </w:rPr>
              <m:t>total</m:t>
            </m:r>
          </m:sub>
        </m:sSub>
      </m:oMath>
      <w:r w:rsidRPr="00692930">
        <w:rPr>
          <w:rFonts w:ascii="Times New Roman" w:hAnsi="Times New Roman"/>
          <w:sz w:val="24"/>
          <w:szCs w:val="24"/>
        </w:rPr>
        <w:t>)</w:t>
      </w:r>
      <w:r w:rsidRPr="00692930">
        <w:rPr>
          <w:rFonts w:ascii="Times New Roman" w:hAnsi="Times New Roman"/>
          <w:bCs/>
          <w:sz w:val="24"/>
          <w:szCs w:val="24"/>
        </w:rPr>
        <w:t xml:space="preserve"> increases in the order: LCO </w:t>
      </w:r>
      <w:r w:rsidRPr="00692930">
        <w:rPr>
          <w:rFonts w:ascii="Times New Roman" w:hAnsi="Times New Roman"/>
          <w:bCs/>
          <w:sz w:val="24"/>
          <w:szCs w:val="24"/>
        </w:rPr>
        <w:sym w:font="Symbol" w:char="F03C"/>
      </w:r>
      <w:r w:rsidRPr="00692930">
        <w:rPr>
          <w:rFonts w:ascii="Times New Roman" w:hAnsi="Times New Roman"/>
          <w:bCs/>
          <w:sz w:val="24"/>
          <w:szCs w:val="24"/>
        </w:rPr>
        <w:t xml:space="preserve"> LFP </w:t>
      </w:r>
      <w:r w:rsidRPr="00692930">
        <w:rPr>
          <w:rFonts w:ascii="Times New Roman" w:hAnsi="Times New Roman"/>
          <w:bCs/>
          <w:sz w:val="24"/>
          <w:szCs w:val="24"/>
        </w:rPr>
        <w:sym w:font="Symbol" w:char="F03C"/>
      </w:r>
      <w:r w:rsidRPr="00692930">
        <w:rPr>
          <w:rFonts w:ascii="Times New Roman" w:hAnsi="Times New Roman"/>
          <w:bCs/>
          <w:sz w:val="24"/>
          <w:szCs w:val="24"/>
        </w:rPr>
        <w:t xml:space="preserve"> LMP. Further we can clearly see that LMP differs from the other two materials in having a much larger hysteresis at the lowest C-rate (close to 200 mV at C/20). </w:t>
      </w:r>
      <w:r w:rsidR="00105831" w:rsidRPr="00692930">
        <w:rPr>
          <w:rFonts w:ascii="Times New Roman" w:hAnsi="Times New Roman"/>
          <w:bCs/>
          <w:sz w:val="24"/>
          <w:szCs w:val="24"/>
        </w:rPr>
        <w:t xml:space="preserve">A closer inspection of the results shows that the curves for </w:t>
      </w:r>
      <w:r w:rsidRPr="00692930">
        <w:rPr>
          <w:rFonts w:ascii="Times New Roman" w:hAnsi="Times New Roman"/>
          <w:bCs/>
          <w:sz w:val="24"/>
          <w:szCs w:val="24"/>
        </w:rPr>
        <w:t xml:space="preserve">LFP and LMP </w:t>
      </w:r>
      <w:r w:rsidR="00105831" w:rsidRPr="00692930">
        <w:rPr>
          <w:rFonts w:ascii="Times New Roman" w:hAnsi="Times New Roman"/>
          <w:bCs/>
          <w:sz w:val="24"/>
          <w:szCs w:val="24"/>
        </w:rPr>
        <w:t>are bent</w:t>
      </w:r>
      <w:r w:rsidRPr="00692930">
        <w:rPr>
          <w:rFonts w:ascii="Times New Roman" w:hAnsi="Times New Roman"/>
          <w:bCs/>
          <w:sz w:val="24"/>
          <w:szCs w:val="24"/>
        </w:rPr>
        <w:t xml:space="preserve"> forming </w:t>
      </w:r>
      <w:r w:rsidR="00105831" w:rsidRPr="00692930">
        <w:rPr>
          <w:rFonts w:ascii="Times New Roman" w:hAnsi="Times New Roman"/>
          <w:bCs/>
          <w:sz w:val="24"/>
          <w:szCs w:val="24"/>
        </w:rPr>
        <w:t>a “U-shape”</w:t>
      </w:r>
      <w:r w:rsidRPr="00692930">
        <w:rPr>
          <w:rFonts w:ascii="Times New Roman" w:hAnsi="Times New Roman"/>
          <w:bCs/>
          <w:sz w:val="24"/>
          <w:szCs w:val="24"/>
        </w:rPr>
        <w:t xml:space="preserve">. In other words – LFP and LMP based cells show </w:t>
      </w:r>
      <w:r w:rsidR="00105831" w:rsidRPr="00692930">
        <w:rPr>
          <w:rFonts w:ascii="Times New Roman" w:hAnsi="Times New Roman"/>
          <w:bCs/>
          <w:sz w:val="24"/>
          <w:szCs w:val="24"/>
        </w:rPr>
        <w:t xml:space="preserve">a </w:t>
      </w:r>
      <w:r w:rsidRPr="00692930">
        <w:rPr>
          <w:rFonts w:ascii="Times New Roman" w:hAnsi="Times New Roman"/>
          <w:bCs/>
          <w:sz w:val="24"/>
          <w:szCs w:val="24"/>
        </w:rPr>
        <w:t>non-linear c</w:t>
      </w:r>
      <w:r w:rsidR="00105831" w:rsidRPr="00692930">
        <w:rPr>
          <w:rFonts w:ascii="Times New Roman" w:hAnsi="Times New Roman"/>
          <w:bCs/>
          <w:sz w:val="24"/>
          <w:szCs w:val="24"/>
        </w:rPr>
        <w:t>urrent-overpotential dependency</w:t>
      </w:r>
      <w:r w:rsidRPr="00692930">
        <w:rPr>
          <w:rFonts w:ascii="Times New Roman" w:hAnsi="Times New Roman"/>
          <w:bCs/>
          <w:sz w:val="24"/>
          <w:szCs w:val="24"/>
        </w:rPr>
        <w:t xml:space="preserve">.  </w:t>
      </w:r>
      <w:r w:rsidR="00BF5676" w:rsidRPr="00692930">
        <w:rPr>
          <w:rFonts w:ascii="Times New Roman" w:hAnsi="Times New Roman"/>
          <w:bCs/>
          <w:sz w:val="24"/>
          <w:szCs w:val="24"/>
        </w:rPr>
        <w:t>P</w:t>
      </w:r>
      <w:r w:rsidR="00105831" w:rsidRPr="00692930">
        <w:rPr>
          <w:rFonts w:ascii="Times New Roman" w:hAnsi="Times New Roman"/>
          <w:sz w:val="24"/>
          <w:szCs w:val="24"/>
        </w:rPr>
        <w:t>erforming further analy</w:t>
      </w:r>
      <w:r w:rsidR="00BF5676" w:rsidRPr="00692930">
        <w:rPr>
          <w:rFonts w:ascii="Times New Roman" w:hAnsi="Times New Roman"/>
          <w:sz w:val="24"/>
          <w:szCs w:val="24"/>
        </w:rPr>
        <w:t>ses</w:t>
      </w:r>
      <w:r w:rsidR="00105831" w:rsidRPr="00692930">
        <w:rPr>
          <w:rFonts w:ascii="Times New Roman" w:hAnsi="Times New Roman"/>
          <w:sz w:val="24"/>
          <w:szCs w:val="24"/>
        </w:rPr>
        <w:t xml:space="preserve"> </w:t>
      </w:r>
      <w:r w:rsidR="00BF5676" w:rsidRPr="00692930">
        <w:rPr>
          <w:rFonts w:ascii="Times New Roman" w:hAnsi="Times New Roman"/>
          <w:sz w:val="24"/>
          <w:szCs w:val="24"/>
        </w:rPr>
        <w:t>(see below) in which we quantify</w:t>
      </w:r>
      <w:r w:rsidR="00105831" w:rsidRPr="00692930">
        <w:rPr>
          <w:rFonts w:ascii="Times New Roman" w:hAnsi="Times New Roman"/>
          <w:sz w:val="24"/>
          <w:szCs w:val="24"/>
        </w:rPr>
        <w:t xml:space="preserve"> the resistances of the </w:t>
      </w:r>
      <w:r w:rsidR="00BF5676" w:rsidRPr="00692930">
        <w:rPr>
          <w:rFonts w:ascii="Times New Roman" w:hAnsi="Times New Roman"/>
          <w:sz w:val="24"/>
          <w:szCs w:val="24"/>
        </w:rPr>
        <w:t xml:space="preserve">measured </w:t>
      </w:r>
      <w:r w:rsidR="00105831" w:rsidRPr="00692930">
        <w:rPr>
          <w:rFonts w:ascii="Times New Roman" w:hAnsi="Times New Roman"/>
          <w:sz w:val="24"/>
          <w:szCs w:val="24"/>
        </w:rPr>
        <w:t>cells</w:t>
      </w:r>
      <w:r w:rsidR="00BF5676" w:rsidRPr="00692930">
        <w:rPr>
          <w:rFonts w:ascii="Times New Roman" w:hAnsi="Times New Roman"/>
          <w:sz w:val="24"/>
          <w:szCs w:val="24"/>
        </w:rPr>
        <w:t>, we show that such ben</w:t>
      </w:r>
      <w:r w:rsidR="009345BF" w:rsidRPr="00692930">
        <w:rPr>
          <w:rFonts w:ascii="Times New Roman" w:hAnsi="Times New Roman"/>
          <w:sz w:val="24"/>
          <w:szCs w:val="24"/>
        </w:rPr>
        <w:t>ding is an inherent property of</w:t>
      </w:r>
      <w:r w:rsidR="00105831" w:rsidRPr="00692930">
        <w:rPr>
          <w:rFonts w:ascii="Times New Roman" w:hAnsi="Times New Roman"/>
          <w:sz w:val="24"/>
          <w:szCs w:val="24"/>
        </w:rPr>
        <w:t xml:space="preserve"> </w:t>
      </w:r>
      <w:r w:rsidR="00BF5676" w:rsidRPr="00692930">
        <w:rPr>
          <w:rFonts w:ascii="Times New Roman" w:hAnsi="Times New Roman"/>
          <w:bCs/>
          <w:sz w:val="24"/>
          <w:szCs w:val="24"/>
        </w:rPr>
        <w:t>LFP and LMP (</w:t>
      </w:r>
      <w:r w:rsidR="00221909" w:rsidRPr="00692930">
        <w:rPr>
          <w:rFonts w:ascii="Times New Roman" w:hAnsi="Times New Roman"/>
          <w:bCs/>
          <w:sz w:val="24"/>
          <w:szCs w:val="24"/>
        </w:rPr>
        <w:t>and probably</w:t>
      </w:r>
      <w:r w:rsidR="00BF5676" w:rsidRPr="00692930">
        <w:rPr>
          <w:rFonts w:ascii="Times New Roman" w:hAnsi="Times New Roman"/>
          <w:bCs/>
          <w:sz w:val="24"/>
          <w:szCs w:val="24"/>
        </w:rPr>
        <w:t xml:space="preserve"> many other insertion materials).</w:t>
      </w:r>
    </w:p>
    <w:p w:rsidR="009D54B0" w:rsidRPr="00692930" w:rsidRDefault="009D54B0" w:rsidP="008A3866">
      <w:pPr>
        <w:rPr>
          <w:rFonts w:ascii="Times New Roman" w:hAnsi="Times New Roman"/>
          <w:sz w:val="24"/>
          <w:szCs w:val="24"/>
        </w:rPr>
      </w:pPr>
    </w:p>
    <w:p w:rsidR="009D54B0" w:rsidRPr="00692930" w:rsidRDefault="005D0538" w:rsidP="008A3866">
      <w:pPr>
        <w:ind w:firstLine="0"/>
        <w:rPr>
          <w:rFonts w:ascii="Times New Roman" w:hAnsi="Times New Roman"/>
          <w:sz w:val="24"/>
          <w:szCs w:val="24"/>
        </w:rPr>
      </w:pPr>
      <w:r w:rsidRPr="00692930">
        <w:rPr>
          <w:rFonts w:ascii="Times New Roman" w:hAnsi="Times New Roman"/>
          <w:b/>
          <w:sz w:val="24"/>
          <w:szCs w:val="24"/>
        </w:rPr>
        <w:t xml:space="preserve">3.3 </w:t>
      </w:r>
      <w:r w:rsidR="009D54B0" w:rsidRPr="00692930">
        <w:rPr>
          <w:rFonts w:ascii="Times New Roman" w:hAnsi="Times New Roman"/>
          <w:b/>
          <w:sz w:val="24"/>
          <w:szCs w:val="24"/>
        </w:rPr>
        <w:t xml:space="preserve">Total resistance of the cell, </w:t>
      </w:r>
      <w:r w:rsidR="009D54B0" w:rsidRPr="00692930">
        <w:rPr>
          <w:rFonts w:ascii="Times New Roman" w:hAnsi="Times New Roman"/>
          <w:b/>
          <w:i/>
          <w:sz w:val="24"/>
          <w:szCs w:val="24"/>
        </w:rPr>
        <w:t>R</w:t>
      </w:r>
      <w:r w:rsidR="009D54B0" w:rsidRPr="00692930">
        <w:rPr>
          <w:rFonts w:ascii="Times New Roman" w:hAnsi="Times New Roman"/>
          <w:b/>
          <w:sz w:val="24"/>
          <w:szCs w:val="24"/>
          <w:vertAlign w:val="subscript"/>
        </w:rPr>
        <w:t xml:space="preserve">total, </w:t>
      </w:r>
      <w:r w:rsidR="009D54B0" w:rsidRPr="00692930">
        <w:rPr>
          <w:rFonts w:ascii="Times New Roman" w:hAnsi="Times New Roman"/>
          <w:b/>
          <w:sz w:val="24"/>
          <w:szCs w:val="24"/>
        </w:rPr>
        <w:t>and the “activation</w:t>
      </w:r>
      <w:r w:rsidR="003C225B" w:rsidRPr="00692930">
        <w:rPr>
          <w:rFonts w:ascii="Times New Roman" w:hAnsi="Times New Roman"/>
          <w:b/>
          <w:sz w:val="24"/>
          <w:szCs w:val="24"/>
        </w:rPr>
        <w:t>”</w:t>
      </w:r>
      <w:r w:rsidR="009D54B0" w:rsidRPr="00692930">
        <w:rPr>
          <w:rFonts w:ascii="Times New Roman" w:hAnsi="Times New Roman"/>
          <w:b/>
          <w:sz w:val="24"/>
          <w:szCs w:val="24"/>
        </w:rPr>
        <w:t xml:space="preserve"> phenomenon</w:t>
      </w:r>
    </w:p>
    <w:p w:rsidR="009D54B0" w:rsidRPr="00692930" w:rsidRDefault="009D54B0" w:rsidP="005D0538">
      <w:pPr>
        <w:ind w:firstLine="708"/>
        <w:rPr>
          <w:rFonts w:ascii="Times New Roman" w:hAnsi="Times New Roman"/>
          <w:sz w:val="24"/>
          <w:szCs w:val="24"/>
        </w:rPr>
      </w:pPr>
      <w:r w:rsidRPr="00692930">
        <w:rPr>
          <w:rFonts w:ascii="Times New Roman" w:hAnsi="Times New Roman"/>
          <w:sz w:val="24"/>
          <w:szCs w:val="24"/>
        </w:rPr>
        <w:t xml:space="preserve">We define the total resistance of the cell, </w:t>
      </w:r>
      <m:oMath>
        <m:sSub>
          <m:sSubPr>
            <m:ctrlPr>
              <w:rPr>
                <w:rFonts w:ascii="Cambria Math" w:hAnsi="Cambria Math"/>
                <w:i/>
                <w:sz w:val="24"/>
                <w:szCs w:val="24"/>
              </w:rPr>
            </m:ctrlPr>
          </m:sSubPr>
          <m:e>
            <m:r>
              <w:rPr>
                <w:rFonts w:ascii="Cambria Math" w:hAnsi="Cambria Math"/>
                <w:sz w:val="24"/>
                <w:szCs w:val="24"/>
              </w:rPr>
              <m:t>R</m:t>
            </m:r>
          </m:e>
          <m:sub>
            <m:r>
              <m:rPr>
                <m:nor/>
              </m:rPr>
              <w:rPr>
                <w:rFonts w:ascii="Cambria Math" w:hAnsi="Cambria Math"/>
                <w:sz w:val="24"/>
                <w:szCs w:val="24"/>
              </w:rPr>
              <m:t>total</m:t>
            </m:r>
          </m:sub>
        </m:sSub>
      </m:oMath>
      <w:r w:rsidRPr="00692930">
        <w:rPr>
          <w:rFonts w:ascii="Times New Roman" w:hAnsi="Times New Roman"/>
          <w:sz w:val="24"/>
          <w:szCs w:val="24"/>
        </w:rPr>
        <w:t xml:space="preserve">, </w:t>
      </w:r>
      <w:r w:rsidR="001E3111" w:rsidRPr="00692930">
        <w:rPr>
          <w:rFonts w:ascii="Times New Roman" w:hAnsi="Times New Roman"/>
          <w:sz w:val="24"/>
          <w:szCs w:val="24"/>
        </w:rPr>
        <w:t>as follows</w:t>
      </w:r>
      <w:r w:rsidRPr="00692930">
        <w:rPr>
          <w:rFonts w:ascii="Times New Roman" w:hAnsi="Times New Roman"/>
          <w:sz w:val="24"/>
          <w:szCs w:val="24"/>
        </w:rPr>
        <w:t>:</w:t>
      </w:r>
    </w:p>
    <w:p w:rsidR="00223FC7" w:rsidRPr="00692930" w:rsidRDefault="00223FC7" w:rsidP="008A3866">
      <w:pPr>
        <w:rPr>
          <w:rFonts w:ascii="Times New Roman" w:hAnsi="Times New Roman"/>
          <w:sz w:val="24"/>
          <w:szCs w:val="24"/>
        </w:rPr>
      </w:pPr>
    </w:p>
    <w:p w:rsidR="009D54B0" w:rsidRPr="00692930" w:rsidRDefault="00223FC7" w:rsidP="008A3866">
      <w:pPr>
        <w:rPr>
          <w:rFonts w:ascii="Times New Roman" w:hAnsi="Times New Roman"/>
          <w:sz w:val="24"/>
          <w:szCs w:val="24"/>
        </w:rPr>
      </w:pPr>
      <w:r w:rsidRPr="00692930">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R</m:t>
            </m:r>
          </m:e>
          <m:sub>
            <m:r>
              <m:rPr>
                <m:nor/>
              </m:rPr>
              <w:rPr>
                <w:rFonts w:ascii="Cambria Math" w:hAnsi="Cambria Math"/>
                <w:sz w:val="24"/>
                <w:szCs w:val="24"/>
              </w:rPr>
              <m:t>total</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i/>
                    <w:sz w:val="24"/>
                    <w:szCs w:val="24"/>
                  </w:rPr>
                  <w:sym w:font="Symbol" w:char="F068"/>
                </m:r>
              </m:e>
              <m:sub>
                <m:r>
                  <m:rPr>
                    <m:nor/>
                  </m:rPr>
                  <w:rPr>
                    <w:rFonts w:ascii="Cambria Math" w:hAnsi="Cambria Math"/>
                    <w:sz w:val="24"/>
                    <w:szCs w:val="24"/>
                  </w:rPr>
                  <m:t>total</m:t>
                </m:r>
              </m:sub>
            </m:sSub>
          </m:num>
          <m:den>
            <m:sSub>
              <m:sSubPr>
                <m:ctrlPr>
                  <w:rPr>
                    <w:rFonts w:ascii="Cambria Math" w:hAnsi="Cambria Math"/>
                    <w:i/>
                    <w:sz w:val="24"/>
                    <w:szCs w:val="24"/>
                  </w:rPr>
                </m:ctrlPr>
              </m:sSubPr>
              <m:e>
                <m:r>
                  <w:rPr>
                    <w:rFonts w:ascii="Cambria Math" w:hAnsi="Cambria Math"/>
                    <w:sz w:val="24"/>
                    <w:szCs w:val="24"/>
                  </w:rPr>
                  <m:t>I</m:t>
                </m:r>
              </m:e>
              <m:sub>
                <m:r>
                  <m:rPr>
                    <m:nor/>
                  </m:rPr>
                  <w:rPr>
                    <w:rFonts w:ascii="Cambria Math" w:hAnsi="Cambria Math"/>
                    <w:sz w:val="24"/>
                    <w:szCs w:val="24"/>
                  </w:rPr>
                  <m:t>meas</m:t>
                </m:r>
              </m:sub>
            </m:sSub>
          </m:den>
        </m:f>
      </m:oMath>
      <w:r w:rsidR="009345BF" w:rsidRPr="00692930">
        <w:rPr>
          <w:rFonts w:ascii="Times New Roman" w:hAnsi="Times New Roman"/>
          <w:sz w:val="24"/>
          <w:szCs w:val="24"/>
        </w:rPr>
        <w:t>;</w:t>
      </w:r>
      <w:r w:rsidR="001E3111" w:rsidRPr="00692930">
        <w:rPr>
          <w:rFonts w:ascii="Times New Roman" w:hAnsi="Times New Roman"/>
          <w:sz w:val="24"/>
          <w:szCs w:val="24"/>
        </w:rPr>
        <w:t xml:space="preserve"> </w:t>
      </w:r>
      <w:r w:rsidRPr="00692930">
        <w:rPr>
          <w:rFonts w:ascii="Times New Roman" w:hAnsi="Times New Roman"/>
          <w:sz w:val="24"/>
          <w:szCs w:val="24"/>
        </w:rPr>
        <w:t xml:space="preserve">              </w:t>
      </w:r>
      <w:r w:rsidR="0094205E" w:rsidRPr="00692930">
        <w:rPr>
          <w:rFonts w:ascii="Times New Roman" w:hAnsi="Times New Roman"/>
          <w:sz w:val="24"/>
          <w:szCs w:val="24"/>
        </w:rPr>
        <w:t xml:space="preserve">                </w:t>
      </w:r>
      <w:r w:rsidRPr="00692930">
        <w:rPr>
          <w:rFonts w:ascii="Times New Roman" w:hAnsi="Times New Roman"/>
          <w:sz w:val="24"/>
          <w:szCs w:val="24"/>
        </w:rPr>
        <w:t xml:space="preserve">             </w:t>
      </w:r>
      <w:r w:rsidR="009D54B0" w:rsidRPr="00692930">
        <w:rPr>
          <w:rFonts w:ascii="Times New Roman" w:hAnsi="Times New Roman"/>
          <w:sz w:val="24"/>
          <w:szCs w:val="24"/>
        </w:rPr>
        <w:t xml:space="preserve"> </w:t>
      </w:r>
      <w:r w:rsidR="002B49B0" w:rsidRPr="00692930">
        <w:rPr>
          <w:rFonts w:ascii="Times New Roman" w:hAnsi="Times New Roman"/>
          <w:sz w:val="24"/>
          <w:szCs w:val="24"/>
        </w:rPr>
        <w:t>(4)</w:t>
      </w:r>
    </w:p>
    <w:p w:rsidR="003C225B" w:rsidRPr="00692930" w:rsidRDefault="009D54B0" w:rsidP="008A3866">
      <w:pPr>
        <w:ind w:firstLine="0"/>
        <w:rPr>
          <w:rFonts w:ascii="Times New Roman" w:hAnsi="Times New Roman"/>
          <w:sz w:val="24"/>
          <w:szCs w:val="24"/>
        </w:rPr>
      </w:pPr>
      <w:r w:rsidRPr="00692930">
        <w:rPr>
          <w:rFonts w:ascii="Times New Roman" w:hAnsi="Times New Roman"/>
          <w:sz w:val="24"/>
          <w:szCs w:val="24"/>
        </w:rPr>
        <w:t xml:space="preserve">where </w:t>
      </w:r>
      <m:oMath>
        <m:sSub>
          <m:sSubPr>
            <m:ctrlPr>
              <w:rPr>
                <w:rFonts w:ascii="Cambria Math" w:hAnsi="Cambria Math"/>
                <w:i/>
                <w:sz w:val="24"/>
                <w:szCs w:val="24"/>
              </w:rPr>
            </m:ctrlPr>
          </m:sSubPr>
          <m:e>
            <m:r>
              <w:rPr>
                <w:rFonts w:ascii="Cambria Math" w:hAnsi="Cambria Math"/>
                <w:sz w:val="24"/>
                <w:szCs w:val="24"/>
              </w:rPr>
              <m:t>I</m:t>
            </m:r>
          </m:e>
          <m:sub>
            <m:r>
              <m:rPr>
                <m:nor/>
              </m:rPr>
              <w:rPr>
                <w:rFonts w:ascii="Cambria Math" w:hAnsi="Cambria Math"/>
                <w:sz w:val="24"/>
                <w:szCs w:val="24"/>
              </w:rPr>
              <m:t>meas.</m:t>
            </m:r>
          </m:sub>
        </m:sSub>
      </m:oMath>
      <w:r w:rsidRPr="00692930">
        <w:rPr>
          <w:rFonts w:ascii="Times New Roman" w:hAnsi="Times New Roman"/>
          <w:sz w:val="24"/>
          <w:szCs w:val="24"/>
          <w:vertAlign w:val="subscript"/>
        </w:rPr>
        <w:t xml:space="preserve"> </w:t>
      </w:r>
      <w:r w:rsidRPr="00692930">
        <w:rPr>
          <w:rFonts w:ascii="Times New Roman" w:hAnsi="Times New Roman"/>
          <w:sz w:val="24"/>
          <w:szCs w:val="24"/>
        </w:rPr>
        <w:t xml:space="preserve">is the </w:t>
      </w:r>
      <w:r w:rsidR="00223FC7" w:rsidRPr="00692930">
        <w:rPr>
          <w:rFonts w:ascii="Times New Roman" w:hAnsi="Times New Roman"/>
          <w:sz w:val="24"/>
          <w:szCs w:val="24"/>
        </w:rPr>
        <w:t>measured</w:t>
      </w:r>
      <w:r w:rsidRPr="00692930">
        <w:rPr>
          <w:rFonts w:ascii="Times New Roman" w:hAnsi="Times New Roman"/>
          <w:sz w:val="24"/>
          <w:szCs w:val="24"/>
        </w:rPr>
        <w:t xml:space="preserve"> value of current</w:t>
      </w:r>
      <w:r w:rsidR="009345BF" w:rsidRPr="00692930">
        <w:rPr>
          <w:rFonts w:ascii="Times New Roman" w:hAnsi="Times New Roman"/>
          <w:sz w:val="24"/>
          <w:szCs w:val="24"/>
        </w:rPr>
        <w:t xml:space="preserve"> in galvanostatic experi</w:t>
      </w:r>
      <w:r w:rsidR="001E3111" w:rsidRPr="00692930">
        <w:rPr>
          <w:rFonts w:ascii="Times New Roman" w:hAnsi="Times New Roman"/>
          <w:sz w:val="24"/>
          <w:szCs w:val="24"/>
        </w:rPr>
        <w:t>ment</w:t>
      </w:r>
      <w:r w:rsidRPr="00692930">
        <w:rPr>
          <w:rFonts w:ascii="Times New Roman" w:hAnsi="Times New Roman"/>
          <w:sz w:val="24"/>
          <w:szCs w:val="24"/>
        </w:rPr>
        <w:t xml:space="preserve">. Normalized total resistance of the cell, </w:t>
      </w:r>
      <m:oMath>
        <m:sSub>
          <m:sSubPr>
            <m:ctrlPr>
              <w:rPr>
                <w:rFonts w:ascii="Cambria Math" w:hAnsi="Cambria Math"/>
                <w:i/>
                <w:sz w:val="24"/>
                <w:szCs w:val="24"/>
              </w:rPr>
            </m:ctrlPr>
          </m:sSubPr>
          <m:e>
            <m:r>
              <w:rPr>
                <w:rFonts w:ascii="Cambria Math" w:hAnsi="Cambria Math"/>
                <w:sz w:val="24"/>
                <w:szCs w:val="24"/>
              </w:rPr>
              <m:t>R</m:t>
            </m:r>
          </m:e>
          <m:sub>
            <m:r>
              <m:rPr>
                <m:nor/>
              </m:rPr>
              <w:rPr>
                <w:rFonts w:ascii="Cambria Math" w:hAnsi="Cambria Math"/>
                <w:sz w:val="24"/>
                <w:szCs w:val="24"/>
              </w:rPr>
              <m:t>total</m:t>
            </m:r>
          </m:sub>
        </m:sSub>
        <m:sSub>
          <m:sSubPr>
            <m:ctrlPr>
              <w:rPr>
                <w:rFonts w:ascii="Cambria Math" w:hAnsi="Cambria Math"/>
                <w:i/>
                <w:sz w:val="24"/>
                <w:szCs w:val="24"/>
              </w:rPr>
            </m:ctrlPr>
          </m:sSubPr>
          <m:e>
            <m:r>
              <w:rPr>
                <w:rFonts w:ascii="Cambria Math" w:hAnsi="Cambria Math"/>
                <w:sz w:val="24"/>
                <w:szCs w:val="24"/>
              </w:rPr>
              <m:t>∙m</m:t>
            </m:r>
          </m:e>
          <m:sub>
            <m:r>
              <m:rPr>
                <m:nor/>
              </m:rPr>
              <w:rPr>
                <w:rFonts w:ascii="Cambria Math" w:hAnsi="Cambria Math"/>
                <w:sz w:val="24"/>
                <w:szCs w:val="24"/>
              </w:rPr>
              <m:t>act</m:t>
            </m:r>
          </m:sub>
        </m:sSub>
      </m:oMath>
      <w:r w:rsidRPr="00692930">
        <w:rPr>
          <w:rFonts w:ascii="Times New Roman" w:hAnsi="Times New Roman"/>
          <w:sz w:val="24"/>
          <w:szCs w:val="24"/>
        </w:rPr>
        <w:t xml:space="preserve">, is obtained simply by multiplying </w:t>
      </w:r>
      <m:oMath>
        <m:sSub>
          <m:sSubPr>
            <m:ctrlPr>
              <w:rPr>
                <w:rFonts w:ascii="Cambria Math" w:hAnsi="Cambria Math"/>
                <w:i/>
                <w:sz w:val="24"/>
                <w:szCs w:val="24"/>
              </w:rPr>
            </m:ctrlPr>
          </m:sSubPr>
          <m:e>
            <m:r>
              <w:rPr>
                <w:rFonts w:ascii="Cambria Math" w:hAnsi="Cambria Math"/>
                <w:sz w:val="24"/>
                <w:szCs w:val="24"/>
              </w:rPr>
              <m:t>R</m:t>
            </m:r>
          </m:e>
          <m:sub>
            <m:r>
              <m:rPr>
                <m:nor/>
              </m:rPr>
              <w:rPr>
                <w:rFonts w:ascii="Cambria Math" w:hAnsi="Cambria Math"/>
                <w:sz w:val="24"/>
                <w:szCs w:val="24"/>
              </w:rPr>
              <m:t>total</m:t>
            </m:r>
          </m:sub>
        </m:sSub>
      </m:oMath>
      <w:r w:rsidR="0094205E" w:rsidRPr="00692930">
        <w:rPr>
          <w:rFonts w:ascii="Times New Roman" w:hAnsi="Times New Roman"/>
          <w:sz w:val="24"/>
          <w:szCs w:val="24"/>
        </w:rPr>
        <w:t xml:space="preserve"> </w:t>
      </w:r>
      <w:r w:rsidRPr="00692930">
        <w:rPr>
          <w:rFonts w:ascii="Times New Roman" w:hAnsi="Times New Roman"/>
          <w:sz w:val="24"/>
          <w:szCs w:val="24"/>
        </w:rPr>
        <w:t>with the mass of the active material in the electrode (</w:t>
      </w:r>
      <m:oMath>
        <m:sSub>
          <m:sSubPr>
            <m:ctrlPr>
              <w:rPr>
                <w:rFonts w:ascii="Cambria Math" w:hAnsi="Cambria Math"/>
                <w:i/>
                <w:sz w:val="24"/>
                <w:szCs w:val="24"/>
              </w:rPr>
            </m:ctrlPr>
          </m:sSubPr>
          <m:e>
            <m:r>
              <w:rPr>
                <w:rFonts w:ascii="Cambria Math" w:hAnsi="Cambria Math"/>
                <w:sz w:val="24"/>
                <w:szCs w:val="24"/>
              </w:rPr>
              <m:t>m</m:t>
            </m:r>
          </m:e>
          <m:sub>
            <m:r>
              <m:rPr>
                <m:nor/>
              </m:rPr>
              <w:rPr>
                <w:rFonts w:ascii="Cambria Math" w:hAnsi="Cambria Math"/>
                <w:sz w:val="24"/>
                <w:szCs w:val="24"/>
              </w:rPr>
              <m:t>act</m:t>
            </m:r>
          </m:sub>
        </m:sSub>
      </m:oMath>
      <w:r w:rsidRPr="00692930">
        <w:rPr>
          <w:rFonts w:ascii="Times New Roman" w:hAnsi="Times New Roman"/>
          <w:sz w:val="24"/>
          <w:szCs w:val="24"/>
        </w:rPr>
        <w:t xml:space="preserve">) and has </w:t>
      </w:r>
      <w:r w:rsidR="001E3111" w:rsidRPr="00692930">
        <w:rPr>
          <w:rFonts w:ascii="Times New Roman" w:hAnsi="Times New Roman"/>
          <w:sz w:val="24"/>
          <w:szCs w:val="24"/>
        </w:rPr>
        <w:t xml:space="preserve">the unit of </w:t>
      </w:r>
      <w:r w:rsidRPr="00692930">
        <w:rPr>
          <w:rFonts w:ascii="Times New Roman" w:hAnsi="Times New Roman"/>
          <w:sz w:val="24"/>
          <w:szCs w:val="24"/>
        </w:rPr>
        <w:sym w:font="Symbol" w:char="F057"/>
      </w:r>
      <w:r w:rsidRPr="00692930">
        <w:rPr>
          <w:rFonts w:ascii="Times New Roman" w:hAnsi="Times New Roman"/>
          <w:sz w:val="24"/>
          <w:szCs w:val="24"/>
        </w:rPr>
        <w:sym w:font="Symbol" w:char="F0D7"/>
      </w:r>
      <w:r w:rsidRPr="00692930">
        <w:rPr>
          <w:rFonts w:ascii="Times New Roman" w:hAnsi="Times New Roman"/>
          <w:sz w:val="24"/>
          <w:szCs w:val="24"/>
        </w:rPr>
        <w:t xml:space="preserve">g. </w:t>
      </w:r>
    </w:p>
    <w:p w:rsidR="009D54B0" w:rsidRPr="00692930" w:rsidRDefault="001E3111" w:rsidP="008A3866">
      <w:pPr>
        <w:rPr>
          <w:rFonts w:ascii="Times New Roman" w:hAnsi="Times New Roman"/>
          <w:sz w:val="24"/>
          <w:szCs w:val="24"/>
        </w:rPr>
      </w:pPr>
      <w:r w:rsidRPr="00692930">
        <w:rPr>
          <w:rFonts w:ascii="Times New Roman" w:hAnsi="Times New Roman"/>
          <w:bCs/>
          <w:sz w:val="24"/>
          <w:szCs w:val="24"/>
        </w:rPr>
        <w:t xml:space="preserve">The total resistances corresponding to </w:t>
      </w:r>
      <w:r w:rsidR="009D54B0" w:rsidRPr="00692930">
        <w:rPr>
          <w:rFonts w:ascii="Times New Roman" w:hAnsi="Times New Roman"/>
          <w:bCs/>
          <w:sz w:val="24"/>
          <w:szCs w:val="24"/>
        </w:rPr>
        <w:t xml:space="preserve">the </w:t>
      </w:r>
      <w:r w:rsidRPr="00692930">
        <w:rPr>
          <w:rFonts w:ascii="Times New Roman" w:hAnsi="Times New Roman"/>
          <w:bCs/>
          <w:sz w:val="24"/>
          <w:szCs w:val="24"/>
        </w:rPr>
        <w:t>current-o</w:t>
      </w:r>
      <w:r w:rsidR="009D54B0" w:rsidRPr="00692930">
        <w:rPr>
          <w:rFonts w:ascii="Times New Roman" w:hAnsi="Times New Roman"/>
          <w:bCs/>
          <w:sz w:val="24"/>
          <w:szCs w:val="24"/>
        </w:rPr>
        <w:t xml:space="preserve">verpotential </w:t>
      </w:r>
      <w:r w:rsidRPr="00692930">
        <w:rPr>
          <w:rFonts w:ascii="Times New Roman" w:hAnsi="Times New Roman"/>
          <w:bCs/>
          <w:sz w:val="24"/>
          <w:szCs w:val="24"/>
        </w:rPr>
        <w:t>characte</w:t>
      </w:r>
      <w:r w:rsidR="00CD16DA" w:rsidRPr="00692930">
        <w:rPr>
          <w:rFonts w:ascii="Times New Roman" w:hAnsi="Times New Roman"/>
          <w:bCs/>
          <w:sz w:val="24"/>
          <w:szCs w:val="24"/>
        </w:rPr>
        <w:t>r</w:t>
      </w:r>
      <w:r w:rsidRPr="00692930">
        <w:rPr>
          <w:rFonts w:ascii="Times New Roman" w:hAnsi="Times New Roman"/>
          <w:bCs/>
          <w:sz w:val="24"/>
          <w:szCs w:val="24"/>
        </w:rPr>
        <w:t xml:space="preserve">istics </w:t>
      </w:r>
      <w:r w:rsidRPr="00692930">
        <w:rPr>
          <w:rFonts w:ascii="Times New Roman" w:hAnsi="Times New Roman"/>
          <w:sz w:val="24"/>
          <w:szCs w:val="24"/>
        </w:rPr>
        <w:t>shown i</w:t>
      </w:r>
      <w:r w:rsidR="009D54B0" w:rsidRPr="00692930">
        <w:rPr>
          <w:rFonts w:ascii="Times New Roman" w:hAnsi="Times New Roman"/>
          <w:sz w:val="24"/>
          <w:szCs w:val="24"/>
        </w:rPr>
        <w:t xml:space="preserve">n Fig. 4 </w:t>
      </w:r>
      <w:r w:rsidRPr="00692930">
        <w:rPr>
          <w:rFonts w:ascii="Times New Roman" w:hAnsi="Times New Roman"/>
          <w:sz w:val="24"/>
          <w:szCs w:val="24"/>
        </w:rPr>
        <w:t>are presented i</w:t>
      </w:r>
      <w:r w:rsidR="009D54B0" w:rsidRPr="00692930">
        <w:rPr>
          <w:rFonts w:ascii="Times New Roman" w:hAnsi="Times New Roman"/>
          <w:sz w:val="24"/>
          <w:szCs w:val="24"/>
        </w:rPr>
        <w:t>n Fig. 5</w:t>
      </w:r>
      <w:r w:rsidR="00CD16DA" w:rsidRPr="00692930">
        <w:rPr>
          <w:rFonts w:ascii="Times New Roman" w:hAnsi="Times New Roman"/>
          <w:sz w:val="24"/>
          <w:szCs w:val="24"/>
        </w:rPr>
        <w:t>. For the cases of LMP- and LFP-</w:t>
      </w:r>
      <w:r w:rsidR="009D54B0" w:rsidRPr="00692930">
        <w:rPr>
          <w:rFonts w:ascii="Times New Roman" w:hAnsi="Times New Roman"/>
          <w:sz w:val="24"/>
          <w:szCs w:val="24"/>
        </w:rPr>
        <w:t xml:space="preserve">based cells we can observe </w:t>
      </w:r>
      <w:r w:rsidR="00CD16DA" w:rsidRPr="00692930">
        <w:rPr>
          <w:rFonts w:ascii="Times New Roman" w:hAnsi="Times New Roman"/>
          <w:sz w:val="24"/>
          <w:szCs w:val="24"/>
        </w:rPr>
        <w:t xml:space="preserve">a </w:t>
      </w:r>
      <w:r w:rsidR="009D54B0" w:rsidRPr="00692930">
        <w:rPr>
          <w:rFonts w:ascii="Times New Roman" w:hAnsi="Times New Roman"/>
          <w:sz w:val="24"/>
          <w:szCs w:val="24"/>
        </w:rPr>
        <w:t xml:space="preserve">very </w:t>
      </w:r>
      <w:r w:rsidR="00CD16DA" w:rsidRPr="00692930">
        <w:rPr>
          <w:rFonts w:ascii="Times New Roman" w:hAnsi="Times New Roman"/>
          <w:sz w:val="24"/>
          <w:szCs w:val="24"/>
        </w:rPr>
        <w:t>pronounced</w:t>
      </w:r>
      <w:r w:rsidR="009D54B0" w:rsidRPr="00692930">
        <w:rPr>
          <w:rFonts w:ascii="Times New Roman" w:hAnsi="Times New Roman"/>
          <w:sz w:val="24"/>
          <w:szCs w:val="24"/>
        </w:rPr>
        <w:t xml:space="preserve"> phenomenon: the total resistance of the cell decreases </w:t>
      </w:r>
      <w:r w:rsidR="00CD16DA" w:rsidRPr="00692930">
        <w:rPr>
          <w:rFonts w:ascii="Times New Roman" w:hAnsi="Times New Roman"/>
          <w:sz w:val="24"/>
          <w:szCs w:val="24"/>
        </w:rPr>
        <w:t xml:space="preserve">very much </w:t>
      </w:r>
      <w:r w:rsidR="009D54B0" w:rsidRPr="00692930">
        <w:rPr>
          <w:rFonts w:ascii="Times New Roman" w:hAnsi="Times New Roman"/>
          <w:sz w:val="24"/>
          <w:szCs w:val="24"/>
        </w:rPr>
        <w:t>with the increasing current d</w:t>
      </w:r>
      <w:r w:rsidR="00CD16DA" w:rsidRPr="00692930">
        <w:rPr>
          <w:rFonts w:ascii="Times New Roman" w:hAnsi="Times New Roman"/>
          <w:sz w:val="24"/>
          <w:szCs w:val="24"/>
        </w:rPr>
        <w:t>ensity (or, equivalently, C-rate</w:t>
      </w:r>
      <w:r w:rsidR="009D54B0" w:rsidRPr="00692930">
        <w:rPr>
          <w:rFonts w:ascii="Times New Roman" w:hAnsi="Times New Roman"/>
          <w:sz w:val="24"/>
          <w:szCs w:val="24"/>
        </w:rPr>
        <w:t xml:space="preserve">). </w:t>
      </w:r>
      <w:r w:rsidR="004A057C" w:rsidRPr="00692930">
        <w:rPr>
          <w:rFonts w:ascii="Times New Roman" w:hAnsi="Times New Roman"/>
          <w:sz w:val="24"/>
          <w:szCs w:val="24"/>
        </w:rPr>
        <w:t>In the case of</w:t>
      </w:r>
      <w:r w:rsidR="004743BD" w:rsidRPr="00692930">
        <w:rPr>
          <w:rFonts w:ascii="Times New Roman" w:hAnsi="Times New Roman"/>
          <w:sz w:val="24"/>
          <w:szCs w:val="24"/>
        </w:rPr>
        <w:t xml:space="preserve"> LFP-</w:t>
      </w:r>
      <w:r w:rsidR="009D54B0" w:rsidRPr="00692930">
        <w:rPr>
          <w:rFonts w:ascii="Times New Roman" w:hAnsi="Times New Roman"/>
          <w:sz w:val="24"/>
          <w:szCs w:val="24"/>
        </w:rPr>
        <w:t xml:space="preserve">based </w:t>
      </w:r>
      <w:r w:rsidR="00221909" w:rsidRPr="00692930">
        <w:rPr>
          <w:rFonts w:ascii="Times New Roman" w:hAnsi="Times New Roman"/>
          <w:sz w:val="24"/>
          <w:szCs w:val="24"/>
        </w:rPr>
        <w:t xml:space="preserve">electrode we briefly </w:t>
      </w:r>
      <w:r w:rsidR="004A057C" w:rsidRPr="00692930">
        <w:rPr>
          <w:rFonts w:ascii="Times New Roman" w:hAnsi="Times New Roman"/>
          <w:sz w:val="24"/>
          <w:szCs w:val="24"/>
        </w:rPr>
        <w:t>commented on this feature</w:t>
      </w:r>
      <w:r w:rsidR="004743BD" w:rsidRPr="00692930">
        <w:rPr>
          <w:rFonts w:ascii="Times New Roman" w:hAnsi="Times New Roman"/>
          <w:sz w:val="24"/>
          <w:szCs w:val="24"/>
        </w:rPr>
        <w:t xml:space="preserve"> </w:t>
      </w:r>
      <w:r w:rsidR="00221909" w:rsidRPr="00692930">
        <w:rPr>
          <w:rFonts w:ascii="Times New Roman" w:hAnsi="Times New Roman"/>
          <w:sz w:val="24"/>
          <w:szCs w:val="24"/>
        </w:rPr>
        <w:t>some time ago</w:t>
      </w:r>
      <w:r w:rsidR="009D54B0" w:rsidRPr="00692930">
        <w:rPr>
          <w:rFonts w:ascii="Times New Roman" w:hAnsi="Times New Roman"/>
          <w:sz w:val="24"/>
          <w:szCs w:val="24"/>
        </w:rPr>
        <w:t xml:space="preserve"> </w:t>
      </w:r>
      <w:r w:rsidR="002D7E08" w:rsidRPr="00692930">
        <w:rPr>
          <w:rFonts w:ascii="Times New Roman" w:hAnsi="Times New Roman"/>
          <w:sz w:val="24"/>
          <w:szCs w:val="24"/>
        </w:rPr>
        <w:t>and termed it an “activation” phenomenon.</w:t>
      </w:r>
      <w:r w:rsidR="008872AC"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"10.1039/b618822b", "ISBN" : "1463-9076", "ISSN" : "1463-9076", "PMID" : "17415493", "abstract" : "We try to identify the rate-determining step of electrochemical kinetics of a LiFePO(4)-carbon composite electrode by varying the mass of electrode and, additionally, by varying the charge-discharge current in a wide range. It is shown that the reversible capacity is almost independent of electrode mass at currents lower than ca. 1 C (170 mAh g(-1)). At higher currents, however, the reversible capacity starts to drop significantly. The electrode resistance determined from the corresponding polarization voltage shows inverse proportionality with mass at currents smaller than 1 C. At higher currents the electrode resistance is almost independent of electrode mass. We conclude that at lower currents (below 1 C) the main transport step is related to the active particles themselves (either to incorporation reaction or solid state diffusion of Li). At higher currents the contribution of electronic and ionic transport towards the active particles becomes substantial and should be taken into account when designing high-rate insertion electrodes.", "author" : [ { "dropping-particle" : "", "family" : "Gaberscek", "given" : "Miran", "non-dropping-particle" : "", "parse-names" : false, "suffix" : "" }, { "dropping-particle" : "", "family" : "K\u00fczma", "given" : "Mirjana", "non-dropping-particle" : "", "parse-names" : false, "suffix" : "" }, { "dropping-particle" : "", "family" : "Jamnik", "given" : "Janez", "non-dropping-particle" : "", "parse-names" : false, "suffix" : "" } ], "container-title" : "Physical chemistry chemical physics : PCCP", "id" : "ITEM-1", "issued" : { "date-parts" : [ [ "2007" ] ] }, "page" : "1815-1820", "title" : "Electrochemical kinetics of porous, carbon-decorated LiFePO4 cathodes: separation of wiring effects from solid state diffusion.", "type" : "article-journal", "volume" : "9" }, "uris" : [ "http://www.mendeley.com/documents/?uuid=e2fd3038-33d6-4d95-9418-2121237f52a2" ] } ], "mendeley" : { "formattedCitation" : "&lt;sup&gt;41&lt;/sup&gt;", "plainTextFormattedCitation" : "41", "previouslyFormattedCitation" : "&lt;sup&gt;41&lt;/sup&gt;" }, "properties" : { "noteIndex" : 0 }, "schema" : "https://github.com/citation-style-language/schema/raw/master/csl-citation.json" }</w:instrText>
      </w:r>
      <w:r w:rsidR="008872AC"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41</w:t>
      </w:r>
      <w:r w:rsidR="008872AC" w:rsidRPr="00692930">
        <w:rPr>
          <w:rFonts w:ascii="Times New Roman" w:hAnsi="Times New Roman"/>
          <w:sz w:val="24"/>
          <w:szCs w:val="24"/>
        </w:rPr>
        <w:fldChar w:fldCharType="end"/>
      </w:r>
      <w:r w:rsidR="009D54B0" w:rsidRPr="00692930">
        <w:rPr>
          <w:rFonts w:ascii="Times New Roman" w:hAnsi="Times New Roman"/>
          <w:sz w:val="24"/>
          <w:szCs w:val="24"/>
        </w:rPr>
        <w:t xml:space="preserve"> </w:t>
      </w:r>
      <w:r w:rsidR="00221909" w:rsidRPr="00692930">
        <w:rPr>
          <w:rFonts w:ascii="Times New Roman" w:hAnsi="Times New Roman"/>
          <w:sz w:val="24"/>
          <w:szCs w:val="24"/>
        </w:rPr>
        <w:t xml:space="preserve">Later on, </w:t>
      </w:r>
      <w:r w:rsidR="009D54B0" w:rsidRPr="00692930">
        <w:rPr>
          <w:rFonts w:ascii="Times New Roman" w:hAnsi="Times New Roman"/>
          <w:sz w:val="24"/>
          <w:szCs w:val="24"/>
        </w:rPr>
        <w:t>Lestriez et al</w:t>
      </w:r>
      <w:r w:rsidR="00EA41E1" w:rsidRPr="00692930">
        <w:rPr>
          <w:rFonts w:ascii="Times New Roman" w:hAnsi="Times New Roman"/>
          <w:sz w:val="24"/>
          <w:szCs w:val="24"/>
        </w:rPr>
        <w:t>.</w:t>
      </w:r>
      <w:r w:rsidR="00FB7C55"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"10.1149/1.3497353", "ISBN" : "0013-4651", "ISSN" : "00134651", "abstract" : "Thedifferent contributions to the polarization of a LiFePO4 electrode areexperimentally discriminated in this work. The electrode total resistance isdominated at high rate by the contribution of the electronicand the ionic wires, the former being more important inthe case of electrodes with low compaction, while the latterbeing more important in the case of electrodes with highcompaction. A porosity in the 35%\u201340% range allows to minimizethe electrode polarization. At low rate, the electrode resistance isdominated by the resistance to lithium insertion into the activemass and follows the predictions of M. Gaberscek and J.Jamnik [Solid State Ionics, 177, 2647 (2006)]. We show herethat the resistance to lithium insertion decreases with the increaseof the specific current, a feature that suggests an increaseof the active particle conductivity with rate. The easy-handling methodologydescribed in this work should enable a more rational optimizationof the electrode formulation and processing conditions for better electrochemicalperformance. \u00a92010 The Electrochemical Society", "author" : [ { "dropping-particle" : "", "family" : "Fongy", "given" : "C.", "non-dropping-particle" : "", "parse-names" : false, "suffix" : "" }, { "dropping-particle" : "", "family" : "Jouanneau", "given" : "S.", "non-dropping-particle" : "", "parse-names" : false, "suffix" : "" }, { "dropping-particle" : "", "family" : "Guyomard", "given" : "D.", "non-dropping-particle" : "", "parse-names" : false, "suffix" : "" }, { "dropping-particle" : "", "family" : "Badot", "given" : "J. C.", "non-dropping-particle" : "", "parse-names" : false, "suffix" : "" }, { "dropping-particle" : "", "family" : "Lestriez", "given" : "B.", "non-dropping-particle" : "", "parse-names" : false, "suffix" : "" } ], "container-title" : "Journal of The Electrochemical Society", "id" : "ITEM-1", "issued" : { "date-parts" : [ [ "2010" ] ] }, "page" : "A1347", "title" : "Electronic and Ionic Wirings Versus the Insertion Reaction Contributions to the Polarization in LiFePO4 Composite Electrodes", "type" : "article-journal", "volume" : "157" }, "uris" : [ "http://www.mendeley.com/documents/?uuid=1cb5c6ab-6bb0-4745-988e-2a1355397938", "http://www.mendeley.com/documents/?uuid=92c3e201-8d97-4952-9ea2-bd7f3387699a" ] } ], "mendeley" : { "formattedCitation" : "&lt;sup&gt;42&lt;/sup&gt;", "plainTextFormattedCitation" : "42", "previouslyFormattedCitation" : "&lt;sup&gt;42&lt;/sup&gt;" }, "properties" : { "noteIndex" : 0 }, "schema" : "https://github.com/citation-style-language/schema/raw/master/csl-citation.json" }</w:instrText>
      </w:r>
      <w:r w:rsidR="00FB7C55"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42</w:t>
      </w:r>
      <w:r w:rsidR="00FB7C55" w:rsidRPr="00692930">
        <w:rPr>
          <w:rFonts w:ascii="Times New Roman" w:hAnsi="Times New Roman"/>
          <w:sz w:val="24"/>
          <w:szCs w:val="24"/>
        </w:rPr>
        <w:fldChar w:fldCharType="end"/>
      </w:r>
      <w:r w:rsidR="009D54B0" w:rsidRPr="00692930">
        <w:rPr>
          <w:rFonts w:ascii="Times New Roman" w:hAnsi="Times New Roman"/>
          <w:sz w:val="24"/>
          <w:szCs w:val="24"/>
        </w:rPr>
        <w:t xml:space="preserve"> </w:t>
      </w:r>
      <w:r w:rsidR="00221909" w:rsidRPr="00692930">
        <w:rPr>
          <w:rFonts w:ascii="Times New Roman" w:hAnsi="Times New Roman"/>
          <w:sz w:val="24"/>
          <w:szCs w:val="24"/>
        </w:rPr>
        <w:t xml:space="preserve">performed a more </w:t>
      </w:r>
      <w:r w:rsidR="002070E8" w:rsidRPr="00692930">
        <w:rPr>
          <w:rFonts w:ascii="Times New Roman" w:hAnsi="Times New Roman"/>
          <w:sz w:val="24"/>
          <w:szCs w:val="24"/>
        </w:rPr>
        <w:t>systematic analysis</w:t>
      </w:r>
      <w:r w:rsidR="00B847C2" w:rsidRPr="00692930">
        <w:rPr>
          <w:rFonts w:ascii="Times New Roman" w:hAnsi="Times New Roman"/>
          <w:sz w:val="24"/>
          <w:szCs w:val="24"/>
        </w:rPr>
        <w:t xml:space="preserve"> of </w:t>
      </w:r>
      <w:r w:rsidR="00221909" w:rsidRPr="00692930">
        <w:rPr>
          <w:rFonts w:ascii="Times New Roman" w:hAnsi="Times New Roman"/>
          <w:sz w:val="24"/>
          <w:szCs w:val="24"/>
        </w:rPr>
        <w:t xml:space="preserve">the </w:t>
      </w:r>
      <w:r w:rsidR="00B847C2" w:rsidRPr="00692930">
        <w:rPr>
          <w:rFonts w:ascii="Times New Roman" w:hAnsi="Times New Roman"/>
          <w:sz w:val="24"/>
          <w:szCs w:val="24"/>
        </w:rPr>
        <w:t>measured galvanostatic curves</w:t>
      </w:r>
      <w:r w:rsidR="002070E8" w:rsidRPr="00692930">
        <w:rPr>
          <w:rFonts w:ascii="Times New Roman" w:hAnsi="Times New Roman"/>
          <w:sz w:val="24"/>
          <w:szCs w:val="24"/>
        </w:rPr>
        <w:t xml:space="preserve"> </w:t>
      </w:r>
      <w:r w:rsidR="006043FB" w:rsidRPr="00692930">
        <w:rPr>
          <w:rFonts w:ascii="Times New Roman" w:hAnsi="Times New Roman"/>
          <w:sz w:val="24"/>
          <w:szCs w:val="24"/>
        </w:rPr>
        <w:t xml:space="preserve">of LFP electrodes </w:t>
      </w:r>
      <w:r w:rsidR="00221909" w:rsidRPr="00692930">
        <w:rPr>
          <w:rFonts w:ascii="Times New Roman" w:hAnsi="Times New Roman"/>
          <w:sz w:val="24"/>
          <w:szCs w:val="24"/>
        </w:rPr>
        <w:t xml:space="preserve">and confirmed </w:t>
      </w:r>
      <w:r w:rsidR="00B847C2" w:rsidRPr="00692930">
        <w:rPr>
          <w:rFonts w:ascii="Times New Roman" w:hAnsi="Times New Roman"/>
          <w:sz w:val="24"/>
          <w:szCs w:val="24"/>
        </w:rPr>
        <w:t>the</w:t>
      </w:r>
      <w:r w:rsidR="006043FB" w:rsidRPr="00692930">
        <w:rPr>
          <w:rFonts w:ascii="Times New Roman" w:hAnsi="Times New Roman"/>
          <w:sz w:val="24"/>
          <w:szCs w:val="24"/>
        </w:rPr>
        <w:t xml:space="preserve"> existence of the </w:t>
      </w:r>
      <w:r w:rsidR="00B847C2" w:rsidRPr="00692930">
        <w:rPr>
          <w:rFonts w:ascii="Times New Roman" w:hAnsi="Times New Roman"/>
          <w:sz w:val="24"/>
          <w:szCs w:val="24"/>
        </w:rPr>
        <w:t>phenomenon</w:t>
      </w:r>
      <w:r w:rsidR="002070E8" w:rsidRPr="00692930">
        <w:rPr>
          <w:rFonts w:ascii="Times New Roman" w:hAnsi="Times New Roman"/>
          <w:sz w:val="24"/>
          <w:szCs w:val="24"/>
        </w:rPr>
        <w:t xml:space="preserve">. </w:t>
      </w:r>
      <w:r w:rsidR="004A057C" w:rsidRPr="00692930">
        <w:rPr>
          <w:rFonts w:ascii="Times New Roman" w:hAnsi="Times New Roman"/>
          <w:sz w:val="24"/>
          <w:szCs w:val="24"/>
        </w:rPr>
        <w:t>T</w:t>
      </w:r>
      <w:r w:rsidR="002070E8" w:rsidRPr="00692930">
        <w:rPr>
          <w:rFonts w:ascii="Times New Roman" w:hAnsi="Times New Roman"/>
          <w:sz w:val="24"/>
          <w:szCs w:val="24"/>
        </w:rPr>
        <w:t xml:space="preserve">hey have </w:t>
      </w:r>
      <w:r w:rsidR="004A057C" w:rsidRPr="00692930">
        <w:rPr>
          <w:rFonts w:ascii="Times New Roman" w:hAnsi="Times New Roman"/>
          <w:sz w:val="24"/>
          <w:szCs w:val="24"/>
        </w:rPr>
        <w:t xml:space="preserve">also observed a similar non-linear characteristic </w:t>
      </w:r>
      <w:r w:rsidR="002070E8" w:rsidRPr="00692930">
        <w:rPr>
          <w:rFonts w:ascii="Times New Roman" w:hAnsi="Times New Roman"/>
          <w:sz w:val="24"/>
          <w:szCs w:val="24"/>
        </w:rPr>
        <w:t xml:space="preserve">for the case of </w:t>
      </w:r>
      <w:r w:rsidR="002070E8" w:rsidRPr="00692930">
        <w:rPr>
          <w:rFonts w:ascii="Times New Roman" w:hAnsi="Times New Roman"/>
          <w:sz w:val="24"/>
          <w:szCs w:val="24"/>
          <w:lang w:eastAsia="sl-SI"/>
        </w:rPr>
        <w:t>nano-sized Si-based negative electrode</w:t>
      </w:r>
      <w:r w:rsidR="002D7E08" w:rsidRPr="00692930">
        <w:rPr>
          <w:rFonts w:ascii="Times New Roman" w:hAnsi="Times New Roman"/>
          <w:sz w:val="24"/>
          <w:szCs w:val="24"/>
          <w:lang w:eastAsia="sl-SI"/>
        </w:rPr>
        <w:t>.</w:t>
      </w:r>
      <w:r w:rsidR="00FB7C55" w:rsidRPr="00692930">
        <w:rPr>
          <w:rFonts w:ascii="Times New Roman" w:hAnsi="Times New Roman"/>
          <w:sz w:val="24"/>
          <w:szCs w:val="24"/>
          <w:lang w:eastAsia="sl-SI"/>
        </w:rPr>
        <w:fldChar w:fldCharType="begin" w:fldLock="1"/>
      </w:r>
      <w:r w:rsidR="00750EA2">
        <w:rPr>
          <w:rFonts w:ascii="Times New Roman" w:hAnsi="Times New Roman"/>
          <w:sz w:val="24"/>
          <w:szCs w:val="24"/>
          <w:lang w:eastAsia="sl-SI"/>
        </w:rPr>
        <w:instrText>ADDIN CSL_CITATION { "citationItems" : [ { "id" : "ITEM-1", "itemData" : { "DOI" : "10.1039/c1jm10213c", "ISBN" : "0959-9428", "ISSN" : "0959-9428", "abstract" : "Understanding the failure mechanism of silicon based negative electrodes for lithium ion batteries is essential for solving the problem of low coulombic efficiency and capacity fading on cycling and to further implement this new very energetic material in commercial cells. To reach this goal, several techniques are used here: post mortem 7 Li MAS NMR and SEM, electrochemical impedance spectroscopy (EIS) and three-electrode-based electrochemical analysis. 7 Li MASNMRanalyses of the charged batteries demonstrate that the major part of the lithium lost during the charge of batteries is not trapped in LixSi alloys but instead at the surface of the Si particles, likely as a degradation product of the liquid electrolyte. Observed by SEM, a dead electrode has a thick \u2018\u2018SEI\u2019\u2019 layer at its surface. EIS and incremental capacity analyses demonstrate that the growth of this layer is responsible for the failure of the electrode through a continuous decrease of its active surface area associated with a rise of the electrode polarization. It is demonstrated that the main cause of capacity fade of Si-based negative electrodes is the liquid electrolyte degradation in the case of nano Si-particles formulated with the carboxymethyl cellulose (CMC) binder. This degradation results in the formation of a blocking layer on the active mass, which further inhibits lithium diffusion through the composite electrode.", "author" : [ { "dropping-particle" : "", "family" : "Oumellal", "given" : "Y.", "non-dropping-particle" : "", "parse-names" : false, "suffix" : "" }, { "dropping-particle" : "", "family" : "Delpuech", "given" : "N.", "non-dropping-particle" : "", "parse-names" : false, "suffix" : "" }, { "dropping-particle" : "", "family" : "Mazouzi", "given" : "D.", "non-dropping-particle" : "", "parse-names" : false, "suffix" : "" }, { "dropping-particle" : "", "family" : "Dupr\u00e9", "given" : "N.", "non-dropping-particle" : "", "parse-names" : false, "suffix" : "" }, { "dropping-particle" : "", "family" : "Gaubicher", "given" : "J.", "non-dropping-particle" : "", "parse-names" : false, "suffix" : "" }, { "dropping-particle" : "", "family" : "Moreau", "given" : "P.", "non-dropping-particle" : "", "parse-names" : false, "suffix" : "" }, { "dropping-particle" : "", "family" : "Soudan", "given" : "P.", "non-dropping-particle" : "", "parse-names" : false, "suffix" : "" }, { "dropping-particle" : "", "family" : "Lestriez", "given" : "B.", "non-dropping-particle" : "", "parse-names" : false, "suffix" : "" }, { "dropping-particle" : "", "family" : "Guyomard", "given" : "D.", "non-dropping-particle" : "", "parse-names" : false, "suffix" : "" } ], "container-title" : "Journal of Materials Chemistry", "id" : "ITEM-1", "issue" : "Cmc", "issued" : { "date-parts" : [ [ "2011" ] ] }, "page" : "6201", "title" : "The failure mechanism of nano-sized Si-based negative electrodes for lithium ion batteries", "type" : "article-journal", "volume" : "21" }, "uris" : [ "http://www.mendeley.com/documents/?uuid=c4746b1f-0c13-4317-a621-0328765b48e3", "http://www.mendeley.com/documents/?uuid=b1671a79-5551-4c16-8059-da192a7a4ac5" ] } ], "mendeley" : { "formattedCitation" : "&lt;sup&gt;43&lt;/sup&gt;", "plainTextFormattedCitation" : "43", "previouslyFormattedCitation" : "&lt;sup&gt;43&lt;/sup&gt;" }, "properties" : { "noteIndex" : 0 }, "schema" : "https://github.com/citation-style-language/schema/raw/master/csl-citation.json" }</w:instrText>
      </w:r>
      <w:r w:rsidR="00FB7C55" w:rsidRPr="00692930">
        <w:rPr>
          <w:rFonts w:ascii="Times New Roman" w:hAnsi="Times New Roman"/>
          <w:sz w:val="24"/>
          <w:szCs w:val="24"/>
          <w:lang w:eastAsia="sl-SI"/>
        </w:rPr>
        <w:fldChar w:fldCharType="separate"/>
      </w:r>
      <w:r w:rsidR="007D65EC" w:rsidRPr="007D65EC">
        <w:rPr>
          <w:rFonts w:ascii="Times New Roman" w:hAnsi="Times New Roman"/>
          <w:noProof/>
          <w:sz w:val="24"/>
          <w:szCs w:val="24"/>
          <w:vertAlign w:val="superscript"/>
          <w:lang w:eastAsia="sl-SI"/>
        </w:rPr>
        <w:t>43</w:t>
      </w:r>
      <w:r w:rsidR="00FB7C55" w:rsidRPr="00692930">
        <w:rPr>
          <w:rFonts w:ascii="Times New Roman" w:hAnsi="Times New Roman"/>
          <w:sz w:val="24"/>
          <w:szCs w:val="24"/>
          <w:lang w:eastAsia="sl-SI"/>
        </w:rPr>
        <w:fldChar w:fldCharType="end"/>
      </w:r>
    </w:p>
    <w:p w:rsidR="009D54B0" w:rsidRPr="00692930" w:rsidRDefault="00143183" w:rsidP="00143183">
      <w:pPr>
        <w:ind w:firstLine="0"/>
        <w:jc w:val="center"/>
        <w:rPr>
          <w:rFonts w:ascii="Times New Roman" w:hAnsi="Times New Roman"/>
          <w:b/>
          <w:color w:val="FF0000"/>
          <w:sz w:val="24"/>
          <w:szCs w:val="24"/>
        </w:rPr>
      </w:pPr>
      <w:r w:rsidRPr="00692930">
        <w:rPr>
          <w:rFonts w:ascii="Times New Roman" w:hAnsi="Times New Roman"/>
          <w:b/>
          <w:noProof/>
          <w:color w:val="FF0000"/>
          <w:sz w:val="24"/>
          <w:szCs w:val="24"/>
          <w:lang w:val="sl-SI" w:eastAsia="sl-SI"/>
        </w:rPr>
        <w:lastRenderedPageBreak/>
        <w:drawing>
          <wp:inline distT="0" distB="0" distL="0" distR="0" wp14:anchorId="07180E3C" wp14:editId="40E6C6F9">
            <wp:extent cx="3627120" cy="268528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27120" cy="2685288"/>
                    </a:xfrm>
                    <a:prstGeom prst="rect">
                      <a:avLst/>
                    </a:prstGeom>
                  </pic:spPr>
                </pic:pic>
              </a:graphicData>
            </a:graphic>
          </wp:inline>
        </w:drawing>
      </w:r>
    </w:p>
    <w:p w:rsidR="009D54B0" w:rsidRPr="00692930" w:rsidRDefault="00927137" w:rsidP="008A3866">
      <w:pPr>
        <w:ind w:firstLine="0"/>
        <w:rPr>
          <w:rFonts w:ascii="Times New Roman" w:hAnsi="Times New Roman"/>
        </w:rPr>
      </w:pPr>
      <w:r w:rsidRPr="00692930">
        <w:rPr>
          <w:rFonts w:ascii="Times New Roman" w:hAnsi="Times New Roman"/>
          <w:b/>
        </w:rPr>
        <w:t>Figure</w:t>
      </w:r>
      <w:r w:rsidR="009D54B0" w:rsidRPr="00692930">
        <w:rPr>
          <w:rFonts w:ascii="Times New Roman" w:hAnsi="Times New Roman"/>
          <w:b/>
        </w:rPr>
        <w:t xml:space="preserve"> 5.</w:t>
      </w:r>
      <w:r w:rsidR="009D54B0" w:rsidRPr="00692930">
        <w:rPr>
          <w:rFonts w:ascii="Times New Roman" w:hAnsi="Times New Roman"/>
        </w:rPr>
        <w:t xml:space="preserve"> </w:t>
      </w:r>
      <w:r w:rsidR="004743BD" w:rsidRPr="00692930">
        <w:rPr>
          <w:rFonts w:ascii="Times New Roman" w:hAnsi="Times New Roman"/>
        </w:rPr>
        <w:t>T</w:t>
      </w:r>
      <w:r w:rsidR="009D54B0" w:rsidRPr="00692930">
        <w:rPr>
          <w:rFonts w:ascii="Times New Roman" w:hAnsi="Times New Roman"/>
        </w:rPr>
        <w:t xml:space="preserve">otal resistance of cell, </w:t>
      </w:r>
      <w:r w:rsidR="009D54B0" w:rsidRPr="00692930">
        <w:rPr>
          <w:rFonts w:ascii="Times New Roman" w:hAnsi="Times New Roman"/>
          <w:i/>
          <w:sz w:val="24"/>
          <w:szCs w:val="24"/>
        </w:rPr>
        <w:t>R</w:t>
      </w:r>
      <w:r w:rsidR="009D54B0" w:rsidRPr="00692930">
        <w:rPr>
          <w:rFonts w:ascii="Times New Roman" w:hAnsi="Times New Roman"/>
          <w:sz w:val="24"/>
          <w:szCs w:val="24"/>
          <w:vertAlign w:val="subscript"/>
        </w:rPr>
        <w:t>total</w:t>
      </w:r>
      <w:r w:rsidR="009D54B0" w:rsidRPr="00692930">
        <w:rPr>
          <w:rFonts w:ascii="Times New Roman" w:hAnsi="Times New Roman"/>
          <w:sz w:val="24"/>
          <w:szCs w:val="24"/>
        </w:rPr>
        <w:t>,</w:t>
      </w:r>
      <w:r w:rsidR="009D54B0" w:rsidRPr="00692930">
        <w:rPr>
          <w:rFonts w:ascii="Times New Roman" w:hAnsi="Times New Roman"/>
        </w:rPr>
        <w:t xml:space="preserve"> </w:t>
      </w:r>
      <w:r w:rsidR="004743BD" w:rsidRPr="00692930">
        <w:rPr>
          <w:rFonts w:ascii="Times New Roman" w:hAnsi="Times New Roman"/>
          <w:bCs/>
        </w:rPr>
        <w:t>for</w:t>
      </w:r>
      <w:r w:rsidR="009D54B0" w:rsidRPr="00692930">
        <w:rPr>
          <w:rFonts w:ascii="Times New Roman" w:hAnsi="Times New Roman"/>
          <w:bCs/>
        </w:rPr>
        <w:t xml:space="preserve"> LMP</w:t>
      </w:r>
      <w:r w:rsidR="004743BD" w:rsidRPr="00692930">
        <w:rPr>
          <w:rFonts w:ascii="Times New Roman" w:hAnsi="Times New Roman"/>
          <w:bCs/>
        </w:rPr>
        <w:t>-</w:t>
      </w:r>
      <w:r w:rsidR="009D54B0" w:rsidRPr="00692930">
        <w:rPr>
          <w:rFonts w:ascii="Times New Roman" w:hAnsi="Times New Roman"/>
          <w:bCs/>
        </w:rPr>
        <w:t xml:space="preserve"> (green), LFP</w:t>
      </w:r>
      <w:r w:rsidR="004743BD" w:rsidRPr="00692930">
        <w:rPr>
          <w:rFonts w:ascii="Times New Roman" w:hAnsi="Times New Roman"/>
          <w:bCs/>
        </w:rPr>
        <w:t>-</w:t>
      </w:r>
      <w:r w:rsidR="009D54B0" w:rsidRPr="00692930">
        <w:rPr>
          <w:rFonts w:ascii="Times New Roman" w:hAnsi="Times New Roman"/>
          <w:bCs/>
        </w:rPr>
        <w:t xml:space="preserve"> (red) and LCO</w:t>
      </w:r>
      <w:r w:rsidR="004743BD" w:rsidRPr="00692930">
        <w:rPr>
          <w:rFonts w:ascii="Times New Roman" w:hAnsi="Times New Roman"/>
          <w:bCs/>
        </w:rPr>
        <w:t>-</w:t>
      </w:r>
      <w:r w:rsidR="009D54B0" w:rsidRPr="00692930">
        <w:rPr>
          <w:rFonts w:ascii="Times New Roman" w:hAnsi="Times New Roman"/>
          <w:bCs/>
        </w:rPr>
        <w:t xml:space="preserve"> (blue)</w:t>
      </w:r>
      <w:r w:rsidR="009D54B0" w:rsidRPr="00692930">
        <w:rPr>
          <w:rFonts w:ascii="Times New Roman" w:hAnsi="Times New Roman"/>
        </w:rPr>
        <w:t xml:space="preserve"> based cells obtained using </w:t>
      </w:r>
      <w:r w:rsidR="004743BD" w:rsidRPr="00692930">
        <w:rPr>
          <w:rFonts w:ascii="Times New Roman" w:hAnsi="Times New Roman"/>
        </w:rPr>
        <w:t>E</w:t>
      </w:r>
      <w:r w:rsidR="009D54B0" w:rsidRPr="00692930">
        <w:rPr>
          <w:rFonts w:ascii="Times New Roman" w:hAnsi="Times New Roman"/>
        </w:rPr>
        <w:t>q. 4</w:t>
      </w:r>
      <w:r w:rsidR="004743BD" w:rsidRPr="00692930">
        <w:rPr>
          <w:rFonts w:ascii="Times New Roman" w:hAnsi="Times New Roman"/>
        </w:rPr>
        <w:t>.</w:t>
      </w:r>
      <w:r w:rsidR="009D54B0" w:rsidRPr="00692930">
        <w:rPr>
          <w:rFonts w:ascii="Times New Roman" w:hAnsi="Times New Roman"/>
        </w:rPr>
        <w:t xml:space="preserve"> </w:t>
      </w:r>
      <w:r w:rsidR="004743BD" w:rsidRPr="00692930">
        <w:rPr>
          <w:rFonts w:ascii="Times New Roman" w:hAnsi="Times New Roman"/>
        </w:rPr>
        <w:t>The</w:t>
      </w:r>
      <w:r w:rsidR="009D54B0" w:rsidRPr="00692930">
        <w:rPr>
          <w:rFonts w:ascii="Times New Roman" w:hAnsi="Times New Roman"/>
        </w:rPr>
        <w:t xml:space="preserve"> </w:t>
      </w:r>
      <w:r w:rsidR="009D54B0" w:rsidRPr="00692930">
        <w:rPr>
          <w:rFonts w:ascii="Times New Roman" w:hAnsi="Times New Roman"/>
          <w:bCs/>
        </w:rPr>
        <w:t>overpotential</w:t>
      </w:r>
      <w:r w:rsidR="009D54B0" w:rsidRPr="00692930">
        <w:rPr>
          <w:rFonts w:ascii="Times New Roman" w:hAnsi="Times New Roman"/>
        </w:rPr>
        <w:t xml:space="preserve"> </w:t>
      </w:r>
      <w:r w:rsidR="004743BD" w:rsidRPr="00692930">
        <w:rPr>
          <w:rFonts w:ascii="Times New Roman" w:hAnsi="Times New Roman"/>
        </w:rPr>
        <w:t xml:space="preserve">values were </w:t>
      </w:r>
      <w:r w:rsidR="009D54B0" w:rsidRPr="00692930">
        <w:rPr>
          <w:rFonts w:ascii="Times New Roman" w:hAnsi="Times New Roman"/>
        </w:rPr>
        <w:t xml:space="preserve">extracted </w:t>
      </w:r>
      <w:r w:rsidR="004743BD" w:rsidRPr="00692930">
        <w:rPr>
          <w:rFonts w:ascii="Times New Roman" w:hAnsi="Times New Roman"/>
        </w:rPr>
        <w:t>using</w:t>
      </w:r>
      <w:r w:rsidR="009D54B0" w:rsidRPr="00692930">
        <w:rPr>
          <w:rFonts w:ascii="Times New Roman" w:hAnsi="Times New Roman"/>
        </w:rPr>
        <w:t xml:space="preserve"> </w:t>
      </w:r>
      <w:r w:rsidR="009D54B0" w:rsidRPr="00692930">
        <w:rPr>
          <w:rFonts w:ascii="Times New Roman" w:hAnsi="Times New Roman"/>
          <w:bCs/>
        </w:rPr>
        <w:t xml:space="preserve">the </w:t>
      </w:r>
      <w:r w:rsidR="009D54B0" w:rsidRPr="00692930">
        <w:rPr>
          <w:rFonts w:ascii="Times New Roman" w:hAnsi="Times New Roman"/>
        </w:rPr>
        <w:t>inflection point criteria (</w:t>
      </w:r>
      <w:r w:rsidR="004743BD" w:rsidRPr="00692930">
        <w:rPr>
          <w:rFonts w:ascii="Times New Roman" w:hAnsi="Times New Roman"/>
        </w:rPr>
        <w:t>see</w:t>
      </w:r>
      <w:r w:rsidR="009D54B0" w:rsidRPr="00692930">
        <w:rPr>
          <w:rFonts w:ascii="Times New Roman" w:hAnsi="Times New Roman"/>
        </w:rPr>
        <w:t xml:space="preserve"> </w:t>
      </w:r>
      <w:r w:rsidR="004743BD" w:rsidRPr="00692930">
        <w:rPr>
          <w:rFonts w:ascii="Times New Roman" w:hAnsi="Times New Roman"/>
        </w:rPr>
        <w:t xml:space="preserve">also </w:t>
      </w:r>
      <w:r w:rsidR="009D54B0" w:rsidRPr="00692930">
        <w:rPr>
          <w:rFonts w:ascii="Times New Roman" w:hAnsi="Times New Roman"/>
        </w:rPr>
        <w:t>data shown in Fig. 4).</w:t>
      </w:r>
      <w:r w:rsidR="009D54B0" w:rsidRPr="00692930">
        <w:rPr>
          <w:rFonts w:ascii="Times New Roman" w:hAnsi="Times New Roman"/>
          <w:color w:val="0000FF"/>
        </w:rPr>
        <w:t xml:space="preserve"> </w:t>
      </w:r>
      <w:r w:rsidR="009D54B0" w:rsidRPr="00692930">
        <w:rPr>
          <w:rFonts w:ascii="Times New Roman" w:hAnsi="Times New Roman"/>
        </w:rPr>
        <w:t>In order to compare different electrodes the resistances were mass-normalized</w:t>
      </w:r>
      <w:r w:rsidR="009D54B0" w:rsidRPr="00692930">
        <w:rPr>
          <w:rFonts w:ascii="Times New Roman" w:hAnsi="Times New Roman"/>
          <w:i/>
        </w:rPr>
        <w:t xml:space="preserve"> R</w:t>
      </w:r>
      <w:r w:rsidR="009D54B0" w:rsidRPr="00692930">
        <w:rPr>
          <w:rFonts w:ascii="Times New Roman" w:hAnsi="Times New Roman"/>
          <w:i/>
          <w:vertAlign w:val="subscript"/>
        </w:rPr>
        <w:t>total</w:t>
      </w:r>
      <w:r w:rsidR="009D54B0" w:rsidRPr="00692930">
        <w:rPr>
          <w:rFonts w:ascii="Times New Roman" w:hAnsi="Times New Roman"/>
        </w:rPr>
        <w:sym w:font="Symbol" w:char="F0D7"/>
      </w:r>
      <w:r w:rsidR="009D54B0" w:rsidRPr="00692930">
        <w:rPr>
          <w:rFonts w:ascii="Times New Roman" w:hAnsi="Times New Roman"/>
          <w:i/>
        </w:rPr>
        <w:t>m</w:t>
      </w:r>
      <w:r w:rsidR="004743BD" w:rsidRPr="00692930">
        <w:rPr>
          <w:rFonts w:ascii="Times New Roman" w:hAnsi="Times New Roman"/>
          <w:i/>
          <w:vertAlign w:val="subscript"/>
        </w:rPr>
        <w:t>act</w:t>
      </w:r>
      <w:r w:rsidR="009D54B0" w:rsidRPr="00692930">
        <w:rPr>
          <w:rFonts w:ascii="Times New Roman" w:hAnsi="Times New Roman"/>
        </w:rPr>
        <w:t xml:space="preserve">, where </w:t>
      </w:r>
      <w:r w:rsidR="009D54B0" w:rsidRPr="00692930">
        <w:rPr>
          <w:rFonts w:ascii="Times New Roman" w:hAnsi="Times New Roman"/>
          <w:i/>
        </w:rPr>
        <w:t>m</w:t>
      </w:r>
      <w:r w:rsidR="004743BD" w:rsidRPr="00692930">
        <w:rPr>
          <w:rFonts w:ascii="Times New Roman" w:hAnsi="Times New Roman"/>
          <w:i/>
          <w:vertAlign w:val="subscript"/>
        </w:rPr>
        <w:t>act</w:t>
      </w:r>
      <w:r w:rsidR="009D54B0" w:rsidRPr="00692930">
        <w:rPr>
          <w:rFonts w:ascii="Times New Roman" w:hAnsi="Times New Roman"/>
        </w:rPr>
        <w:t xml:space="preserve"> is the mass of active material. The obtained values of </w:t>
      </w:r>
      <w:r w:rsidR="009D54B0" w:rsidRPr="00692930">
        <w:rPr>
          <w:rFonts w:ascii="Times New Roman" w:hAnsi="Times New Roman"/>
          <w:i/>
        </w:rPr>
        <w:t>R</w:t>
      </w:r>
      <w:r w:rsidR="009D54B0" w:rsidRPr="00692930">
        <w:rPr>
          <w:rFonts w:ascii="Times New Roman" w:hAnsi="Times New Roman"/>
          <w:i/>
          <w:vertAlign w:val="subscript"/>
        </w:rPr>
        <w:t>total</w:t>
      </w:r>
      <w:r w:rsidR="009D54B0" w:rsidRPr="00692930">
        <w:rPr>
          <w:rFonts w:ascii="Times New Roman" w:hAnsi="Times New Roman"/>
        </w:rPr>
        <w:sym w:font="Symbol" w:char="F0D7"/>
      </w:r>
      <w:r w:rsidR="009D54B0" w:rsidRPr="00692930">
        <w:rPr>
          <w:rFonts w:ascii="Times New Roman" w:hAnsi="Times New Roman"/>
          <w:i/>
        </w:rPr>
        <w:t>m</w:t>
      </w:r>
      <w:r w:rsidR="009D54B0" w:rsidRPr="00692930">
        <w:rPr>
          <w:rFonts w:ascii="Times New Roman" w:hAnsi="Times New Roman"/>
          <w:i/>
          <w:vertAlign w:val="subscript"/>
        </w:rPr>
        <w:t>act</w:t>
      </w:r>
      <w:r w:rsidR="009D54B0" w:rsidRPr="00692930">
        <w:rPr>
          <w:rFonts w:ascii="Times New Roman" w:hAnsi="Times New Roman"/>
        </w:rPr>
        <w:t xml:space="preserve"> for charge and discharge are denoted with (+) and (–)</w:t>
      </w:r>
      <w:r w:rsidR="004743BD" w:rsidRPr="00692930">
        <w:rPr>
          <w:rFonts w:ascii="Times New Roman" w:hAnsi="Times New Roman"/>
        </w:rPr>
        <w:t>,</w:t>
      </w:r>
      <w:r w:rsidR="009D54B0" w:rsidRPr="00692930">
        <w:rPr>
          <w:rFonts w:ascii="Times New Roman" w:hAnsi="Times New Roman"/>
        </w:rPr>
        <w:t xml:space="preserve"> respectively.</w:t>
      </w:r>
    </w:p>
    <w:p w:rsidR="003C225B" w:rsidRPr="00692930" w:rsidRDefault="003C225B" w:rsidP="008A3866">
      <w:pPr>
        <w:rPr>
          <w:rFonts w:ascii="Times New Roman" w:hAnsi="Times New Roman"/>
          <w:szCs w:val="24"/>
        </w:rPr>
      </w:pPr>
    </w:p>
    <w:p w:rsidR="00907ED3" w:rsidRPr="00692930" w:rsidRDefault="004A057C" w:rsidP="008A3866">
      <w:pPr>
        <w:rPr>
          <w:rFonts w:ascii="Times New Roman" w:hAnsi="Times New Roman"/>
          <w:sz w:val="24"/>
          <w:szCs w:val="24"/>
        </w:rPr>
      </w:pPr>
      <w:r w:rsidRPr="00692930">
        <w:rPr>
          <w:rFonts w:ascii="Times New Roman" w:hAnsi="Times New Roman"/>
          <w:sz w:val="24"/>
          <w:szCs w:val="24"/>
        </w:rPr>
        <w:t xml:space="preserve">However, </w:t>
      </w:r>
      <w:r w:rsidR="003C225B" w:rsidRPr="00692930">
        <w:rPr>
          <w:rFonts w:ascii="Times New Roman" w:hAnsi="Times New Roman"/>
          <w:sz w:val="24"/>
          <w:szCs w:val="24"/>
        </w:rPr>
        <w:t xml:space="preserve">Fig. 5 </w:t>
      </w:r>
      <w:r w:rsidRPr="00692930">
        <w:rPr>
          <w:rFonts w:ascii="Times New Roman" w:hAnsi="Times New Roman"/>
          <w:sz w:val="24"/>
          <w:szCs w:val="24"/>
        </w:rPr>
        <w:t xml:space="preserve">also </w:t>
      </w:r>
      <w:r w:rsidR="003C225B" w:rsidRPr="00692930">
        <w:rPr>
          <w:rFonts w:ascii="Times New Roman" w:hAnsi="Times New Roman"/>
          <w:sz w:val="24"/>
          <w:szCs w:val="24"/>
        </w:rPr>
        <w:t>reveals that</w:t>
      </w:r>
      <w:r w:rsidR="00ED467E" w:rsidRPr="00692930">
        <w:rPr>
          <w:rFonts w:ascii="Times New Roman" w:hAnsi="Times New Roman"/>
          <w:sz w:val="24"/>
          <w:szCs w:val="24"/>
        </w:rPr>
        <w:t>,</w:t>
      </w:r>
      <w:r w:rsidR="003C225B" w:rsidRPr="00692930">
        <w:rPr>
          <w:rFonts w:ascii="Times New Roman" w:hAnsi="Times New Roman"/>
          <w:sz w:val="24"/>
          <w:szCs w:val="24"/>
        </w:rPr>
        <w:t xml:space="preserve"> i</w:t>
      </w:r>
      <w:r w:rsidR="004743BD" w:rsidRPr="00692930">
        <w:rPr>
          <w:rFonts w:ascii="Times New Roman" w:hAnsi="Times New Roman"/>
          <w:sz w:val="24"/>
          <w:szCs w:val="24"/>
        </w:rPr>
        <w:t xml:space="preserve">n contrast to LMP and LFP, </w:t>
      </w:r>
      <w:r w:rsidR="009D54B0" w:rsidRPr="00692930">
        <w:rPr>
          <w:rFonts w:ascii="Times New Roman" w:hAnsi="Times New Roman"/>
          <w:sz w:val="24"/>
          <w:szCs w:val="24"/>
        </w:rPr>
        <w:t xml:space="preserve">the resistance of the </w:t>
      </w:r>
      <w:r w:rsidR="004743BD" w:rsidRPr="00692930">
        <w:rPr>
          <w:rFonts w:ascii="Times New Roman" w:hAnsi="Times New Roman"/>
          <w:sz w:val="24"/>
          <w:szCs w:val="24"/>
        </w:rPr>
        <w:t xml:space="preserve">LCO-based </w:t>
      </w:r>
      <w:r w:rsidR="009D54B0" w:rsidRPr="00692930">
        <w:rPr>
          <w:rFonts w:ascii="Times New Roman" w:hAnsi="Times New Roman"/>
          <w:sz w:val="24"/>
          <w:szCs w:val="24"/>
        </w:rPr>
        <w:t xml:space="preserve">electrode </w:t>
      </w:r>
      <w:r w:rsidR="004743BD" w:rsidRPr="00692930">
        <w:rPr>
          <w:rFonts w:ascii="Times New Roman" w:hAnsi="Times New Roman"/>
          <w:sz w:val="24"/>
          <w:szCs w:val="24"/>
        </w:rPr>
        <w:t>is relatively in</w:t>
      </w:r>
      <w:r w:rsidR="009D54B0" w:rsidRPr="00692930">
        <w:rPr>
          <w:rFonts w:ascii="Times New Roman" w:hAnsi="Times New Roman"/>
          <w:sz w:val="24"/>
          <w:szCs w:val="24"/>
        </w:rPr>
        <w:t xml:space="preserve">dependent of the current density; in other </w:t>
      </w:r>
      <w:r w:rsidR="00917F1D" w:rsidRPr="00692930">
        <w:rPr>
          <w:rFonts w:ascii="Times New Roman" w:hAnsi="Times New Roman"/>
          <w:sz w:val="24"/>
          <w:szCs w:val="24"/>
        </w:rPr>
        <w:t xml:space="preserve">words, </w:t>
      </w:r>
      <w:r w:rsidR="00A32EA5" w:rsidRPr="00692930">
        <w:rPr>
          <w:rFonts w:ascii="Times New Roman" w:hAnsi="Times New Roman"/>
          <w:sz w:val="24"/>
          <w:szCs w:val="24"/>
        </w:rPr>
        <w:t xml:space="preserve">the current-overpotential curve </w:t>
      </w:r>
      <w:r w:rsidR="00917F1D" w:rsidRPr="00692930">
        <w:rPr>
          <w:rFonts w:ascii="Times New Roman" w:hAnsi="Times New Roman"/>
          <w:sz w:val="24"/>
          <w:szCs w:val="24"/>
        </w:rPr>
        <w:t xml:space="preserve">(see Fig. 4) </w:t>
      </w:r>
      <w:r w:rsidR="00A32EA5" w:rsidRPr="00692930">
        <w:rPr>
          <w:rFonts w:ascii="Times New Roman" w:hAnsi="Times New Roman"/>
          <w:sz w:val="24"/>
          <w:szCs w:val="24"/>
        </w:rPr>
        <w:t xml:space="preserve">is </w:t>
      </w:r>
      <w:r w:rsidR="009D54B0" w:rsidRPr="00692930">
        <w:rPr>
          <w:rFonts w:ascii="Times New Roman" w:hAnsi="Times New Roman"/>
          <w:sz w:val="24"/>
          <w:szCs w:val="24"/>
        </w:rPr>
        <w:t xml:space="preserve">close to linear. </w:t>
      </w:r>
      <w:r w:rsidR="00A32EA5" w:rsidRPr="00692930">
        <w:rPr>
          <w:rFonts w:ascii="Times New Roman" w:hAnsi="Times New Roman"/>
          <w:sz w:val="24"/>
          <w:szCs w:val="24"/>
        </w:rPr>
        <w:t>One could say</w:t>
      </w:r>
      <w:r w:rsidR="00917F1D" w:rsidRPr="00692930">
        <w:rPr>
          <w:rFonts w:ascii="Times New Roman" w:hAnsi="Times New Roman"/>
          <w:sz w:val="24"/>
          <w:szCs w:val="24"/>
        </w:rPr>
        <w:t xml:space="preserve"> that</w:t>
      </w:r>
      <w:r w:rsidR="00A32EA5" w:rsidRPr="00692930">
        <w:rPr>
          <w:rFonts w:ascii="Times New Roman" w:hAnsi="Times New Roman"/>
          <w:sz w:val="24"/>
          <w:szCs w:val="24"/>
        </w:rPr>
        <w:t>, in a first approximation, the LCO-</w:t>
      </w:r>
      <w:r w:rsidR="001D7235" w:rsidRPr="00692930">
        <w:rPr>
          <w:rFonts w:ascii="Times New Roman" w:hAnsi="Times New Roman"/>
          <w:sz w:val="24"/>
          <w:szCs w:val="24"/>
        </w:rPr>
        <w:t xml:space="preserve">based </w:t>
      </w:r>
      <w:r w:rsidR="00A32EA5" w:rsidRPr="00692930">
        <w:rPr>
          <w:rFonts w:ascii="Times New Roman" w:hAnsi="Times New Roman"/>
          <w:sz w:val="24"/>
          <w:szCs w:val="24"/>
        </w:rPr>
        <w:t xml:space="preserve">cell is linear by nature and follows </w:t>
      </w:r>
      <w:r w:rsidR="00917F1D" w:rsidRPr="00692930">
        <w:rPr>
          <w:rFonts w:ascii="Times New Roman" w:hAnsi="Times New Roman"/>
          <w:sz w:val="24"/>
          <w:szCs w:val="24"/>
        </w:rPr>
        <w:t xml:space="preserve">more or less </w:t>
      </w:r>
      <w:r w:rsidR="00A32EA5" w:rsidRPr="00692930">
        <w:rPr>
          <w:rFonts w:ascii="Times New Roman" w:hAnsi="Times New Roman"/>
          <w:sz w:val="24"/>
          <w:szCs w:val="24"/>
        </w:rPr>
        <w:t>the Ohm’</w:t>
      </w:r>
      <w:r w:rsidR="00917F1D" w:rsidRPr="00692930">
        <w:rPr>
          <w:rFonts w:ascii="Times New Roman" w:hAnsi="Times New Roman"/>
          <w:sz w:val="24"/>
          <w:szCs w:val="24"/>
        </w:rPr>
        <w:t>s law;</w:t>
      </w:r>
      <w:r w:rsidR="00A32EA5" w:rsidRPr="00692930">
        <w:rPr>
          <w:rFonts w:ascii="Times New Roman" w:hAnsi="Times New Roman"/>
          <w:sz w:val="24"/>
          <w:szCs w:val="24"/>
        </w:rPr>
        <w:t xml:space="preserve"> </w:t>
      </w:r>
      <w:r w:rsidR="00917F1D" w:rsidRPr="00692930">
        <w:rPr>
          <w:rFonts w:ascii="Times New Roman" w:hAnsi="Times New Roman"/>
          <w:sz w:val="24"/>
          <w:szCs w:val="24"/>
        </w:rPr>
        <w:t xml:space="preserve">when measured galvanostatically, a 10 fold increase of </w:t>
      </w:r>
      <w:r w:rsidR="009D54B0" w:rsidRPr="00692930">
        <w:rPr>
          <w:rFonts w:ascii="Times New Roman" w:hAnsi="Times New Roman"/>
          <w:sz w:val="24"/>
          <w:szCs w:val="24"/>
        </w:rPr>
        <w:t xml:space="preserve">current </w:t>
      </w:r>
      <w:r w:rsidR="00917F1D" w:rsidRPr="00692930">
        <w:rPr>
          <w:rFonts w:ascii="Times New Roman" w:hAnsi="Times New Roman"/>
          <w:sz w:val="24"/>
          <w:szCs w:val="24"/>
        </w:rPr>
        <w:t xml:space="preserve">(C-rate) will thus result in a </w:t>
      </w:r>
      <w:r w:rsidR="009D54B0" w:rsidRPr="00692930">
        <w:rPr>
          <w:rFonts w:ascii="Times New Roman" w:hAnsi="Times New Roman"/>
          <w:sz w:val="24"/>
          <w:szCs w:val="24"/>
        </w:rPr>
        <w:t>10-</w:t>
      </w:r>
      <w:r w:rsidR="00917F1D" w:rsidRPr="00692930">
        <w:rPr>
          <w:rFonts w:ascii="Times New Roman" w:hAnsi="Times New Roman"/>
          <w:sz w:val="24"/>
          <w:szCs w:val="24"/>
        </w:rPr>
        <w:t xml:space="preserve">fold increase of </w:t>
      </w:r>
      <w:r w:rsidR="009D54B0" w:rsidRPr="00692930">
        <w:rPr>
          <w:rFonts w:ascii="Times New Roman" w:hAnsi="Times New Roman"/>
          <w:sz w:val="24"/>
          <w:szCs w:val="24"/>
        </w:rPr>
        <w:t>overpotential (or voltage hysteresis)</w:t>
      </w:r>
      <w:r w:rsidR="00917F1D" w:rsidRPr="00692930">
        <w:rPr>
          <w:rFonts w:ascii="Times New Roman" w:hAnsi="Times New Roman"/>
          <w:sz w:val="24"/>
          <w:szCs w:val="24"/>
        </w:rPr>
        <w:t>.</w:t>
      </w:r>
      <w:r w:rsidR="009D54B0" w:rsidRPr="00692930">
        <w:rPr>
          <w:rFonts w:ascii="Times New Roman" w:hAnsi="Times New Roman"/>
          <w:sz w:val="24"/>
          <w:szCs w:val="24"/>
        </w:rPr>
        <w:t xml:space="preserve"> </w:t>
      </w:r>
      <w:r w:rsidR="00917F1D" w:rsidRPr="00692930">
        <w:rPr>
          <w:rFonts w:ascii="Times New Roman" w:hAnsi="Times New Roman"/>
          <w:sz w:val="24"/>
          <w:szCs w:val="24"/>
        </w:rPr>
        <w:t xml:space="preserve">In the case of LFP and LMP, however, there is a major deviation from Ohm’s law: a 10 fold increase in current (C-rate) will result in much less than 10-fold overpotential increase. </w:t>
      </w:r>
      <w:r w:rsidR="006043FB" w:rsidRPr="00692930">
        <w:rPr>
          <w:rFonts w:ascii="Times New Roman" w:hAnsi="Times New Roman"/>
          <w:sz w:val="24"/>
          <w:szCs w:val="24"/>
        </w:rPr>
        <w:t xml:space="preserve">It seems that this </w:t>
      </w:r>
      <w:r w:rsidR="009D54B0" w:rsidRPr="00692930">
        <w:rPr>
          <w:rFonts w:ascii="Times New Roman" w:hAnsi="Times New Roman"/>
          <w:sz w:val="24"/>
          <w:szCs w:val="24"/>
        </w:rPr>
        <w:t xml:space="preserve">electrode </w:t>
      </w:r>
      <w:r w:rsidR="006043FB" w:rsidRPr="00692930">
        <w:rPr>
          <w:rFonts w:ascii="Times New Roman" w:hAnsi="Times New Roman"/>
          <w:sz w:val="24"/>
          <w:szCs w:val="24"/>
        </w:rPr>
        <w:t>“</w:t>
      </w:r>
      <w:r w:rsidR="009D54B0" w:rsidRPr="00692930">
        <w:rPr>
          <w:rFonts w:ascii="Times New Roman" w:hAnsi="Times New Roman"/>
          <w:sz w:val="24"/>
          <w:szCs w:val="24"/>
        </w:rPr>
        <w:t xml:space="preserve">activation” </w:t>
      </w:r>
      <w:r w:rsidR="00917F1D" w:rsidRPr="00692930">
        <w:rPr>
          <w:rFonts w:ascii="Times New Roman" w:hAnsi="Times New Roman"/>
          <w:sz w:val="24"/>
          <w:szCs w:val="24"/>
        </w:rPr>
        <w:t xml:space="preserve">at higher rates </w:t>
      </w:r>
      <w:r w:rsidR="009D54B0" w:rsidRPr="00692930">
        <w:rPr>
          <w:rFonts w:ascii="Times New Roman" w:hAnsi="Times New Roman"/>
          <w:sz w:val="24"/>
          <w:szCs w:val="24"/>
        </w:rPr>
        <w:t xml:space="preserve">is even more expressed </w:t>
      </w:r>
      <w:r w:rsidR="00917F1D" w:rsidRPr="00692930">
        <w:rPr>
          <w:rFonts w:ascii="Times New Roman" w:hAnsi="Times New Roman"/>
          <w:sz w:val="24"/>
          <w:szCs w:val="24"/>
        </w:rPr>
        <w:t xml:space="preserve">for LMP. </w:t>
      </w:r>
    </w:p>
    <w:p w:rsidR="00907ED3" w:rsidRPr="00692930" w:rsidRDefault="00907ED3" w:rsidP="006A62DB">
      <w:pPr>
        <w:rPr>
          <w:rFonts w:ascii="Times New Roman" w:eastAsiaTheme="minorHAnsi" w:hAnsi="Times New Roman"/>
          <w:sz w:val="24"/>
          <w:szCs w:val="24"/>
        </w:rPr>
      </w:pPr>
      <w:r w:rsidRPr="00692930">
        <w:rPr>
          <w:rFonts w:ascii="Times New Roman" w:hAnsi="Times New Roman"/>
          <w:sz w:val="24"/>
          <w:szCs w:val="24"/>
        </w:rPr>
        <w:t xml:space="preserve">The origin of electrode “activation” is </w:t>
      </w:r>
      <w:r w:rsidR="00673D4F" w:rsidRPr="00692930">
        <w:rPr>
          <w:rFonts w:ascii="Times New Roman" w:hAnsi="Times New Roman"/>
          <w:sz w:val="24"/>
          <w:szCs w:val="24"/>
        </w:rPr>
        <w:t>s</w:t>
      </w:r>
      <w:r w:rsidR="004E617A" w:rsidRPr="00692930">
        <w:rPr>
          <w:rFonts w:ascii="Times New Roman" w:hAnsi="Times New Roman"/>
          <w:sz w:val="24"/>
          <w:szCs w:val="24"/>
        </w:rPr>
        <w:t>t</w:t>
      </w:r>
      <w:r w:rsidR="00673D4F" w:rsidRPr="00692930">
        <w:rPr>
          <w:rFonts w:ascii="Times New Roman" w:hAnsi="Times New Roman"/>
          <w:sz w:val="24"/>
          <w:szCs w:val="24"/>
        </w:rPr>
        <w:t>ill poor</w:t>
      </w:r>
      <w:r w:rsidR="004A057C" w:rsidRPr="00692930">
        <w:rPr>
          <w:rFonts w:ascii="Times New Roman" w:hAnsi="Times New Roman"/>
          <w:sz w:val="24"/>
          <w:szCs w:val="24"/>
        </w:rPr>
        <w:t xml:space="preserve">ly </w:t>
      </w:r>
      <w:r w:rsidRPr="00692930">
        <w:rPr>
          <w:rFonts w:ascii="Times New Roman" w:hAnsi="Times New Roman"/>
          <w:sz w:val="24"/>
          <w:szCs w:val="24"/>
        </w:rPr>
        <w:t>understood. It might be correlated to the variable rate of the internal charge redistribution during charg</w:t>
      </w:r>
      <w:r w:rsidR="002D7E08" w:rsidRPr="00692930">
        <w:rPr>
          <w:rFonts w:ascii="Times New Roman" w:hAnsi="Times New Roman"/>
          <w:sz w:val="24"/>
          <w:szCs w:val="24"/>
        </w:rPr>
        <w:t>e/discharge at different rates,</w:t>
      </w:r>
      <w:r w:rsidR="000872EE"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"10.1021/nl3031899", "ISBN" : "1530-6984", "ISSN" : "15306984", "PMID" : "23362838", "abstract" : "The intercalation pathway of lithium iron phosphate (LFP) in the positive electrode of a lithium-ion battery was probed at the \u223c40 nm length scale using oxidation-state-sensitive X-ray microscopy. Combined with morphological observations of the same exact locations using transmission electron microscopy, we quantified the local state-of-charge of approximately 450 individual LFP particles over nearly the entire thickness of the porous electrode. With the electrode charged to 50% state-of-charge in 0.5 h, we observed that the overwhelming majority of particles were either almost completely delithiated or lithiated. Specifically, only \u223c2% of individual particles were at an intermediate state-of-charge. From this small fraction of particles that were actively undergoing delithiation, we conclude that the time needed to charge a particle is \u223c1/50 the time needed to charge the entire particle ensemble. Surprisingly, we observed a very weak correlation between the sequence of delithiation and the particle size, contrary to the common expectation that smaller particles delithiate before larger ones. Our quantitative results unambiguously confirm the mosaic (particle-by-particle) pathway of intercalation and suggest that the rate-limiting process of charging is initiating the phase transformation by, for example, a nucleation-like event. Therefore, strategies for further enhancing the performance of LFP electrodes should not focus on increasing the phase-boundary velocity but on the rate of phase-transformation initiation.", "author" : [ { "dropping-particle" : "", "family" : "Chueh", "given" : "William C.", "non-dropping-particle" : "", "parse-names" : false, "suffix" : "" }, { "dropping-particle" : "", "family" : "Gabaly", "given" : "Farid", "non-dropping-particle" : "El", "parse-names" : false, "suffix" : "" }, { "dropping-particle" : "", "family" : "Sugar", "given" : "Joshua D.", "non-dropping-particle" : "", "parse-names" : false, "suffix" : "" }, { "dropping-particle" : "", "family" : "Bartelt", "given" : "Norman C.", "non-dropping-particle" : "", "parse-names" : false, "suffix" : "" }, { "dropping-particle" : "", "family" : "McDaniel", "given" : "Anthony H.", "non-dropping-particle" : "", "parse-names" : false, "suffix" : "" }, { "dropping-particle" : "", "family" : "Fenton", "given" : "Kyle R.", "non-dropping-particle" : "", "parse-names" : false, "suffix" : "" }, { "dropping-particle" : "", "family" : "Zavadil", "given" : "Kevin R.", "non-dropping-particle" : "", "parse-names" : false, "suffix" : "" }, { "dropping-particle" : "", "family" : "Tyliszczak", "given" : "Tolek", "non-dropping-particle" : "", "parse-names" : false, "suffix" : "" }, { "dropping-particle" : "", "family" : "Lai", "given" : "Wei", "non-dropping-particle" : "", "parse-names" : false, "suffix" : "" }, { "dropping-particle" : "", "family" : "McCarty", "given" : "Kevin F.", "non-dropping-particle" : "", "parse-names" : false, "suffix" : "" } ], "container-title" : "Nano Letters", "id" : "ITEM-1", "issue" : "3", "issued" : { "date-parts" : [ [ "2013" ] ] }, "page" : "866-872", "title" : "Intercalation pathway in many-particle LiFePO4 electrode revealed by nanoscale state-of-charge mapping", "type" : "article-journal", "volume" : "13" }, "uris" : [ "http://www.mendeley.com/documents/?uuid=333dc300-64d7-4640-963c-7a96c51db4fa" ] }, { "id" : "ITEM-2", "itemData" : { "DOI" : "10.1038/nmat4084", "ISBN" : "1476-1122", "abstract" : "Many battery electrodes contain ensembles of nanoparticles that phase-separate on (de)intercalation. In such electrodes, the fraction of actively intercalating particles directly impacts cycle life: a vanishing population concentrates the current in a small number of particles, leading to current hotspots. Reports of the active particle population in the phase-separating electrode lithium iron phosphate (LiFePO4; LFP) vary widely, ranging from near 0% (particle-by-particle) to 100% (concurrent intercalation). Using synchrotron-based X-ray microscopy, we probed the individual state-of-charge for over 3,000 LFP particles. We observed that the active population depends strongly on the cycling current, exhibiting particle-by-particle-like behaviour at low rates and increasingly concurrent behaviour at high rates, consistent with our phase-field porous electrode simulations. Contrary to intuition, the current density, or current per active internal surface area, is nearly invariant with the global electrode cycling rate. Rather, the electrode accommodates higher current by increasing the active particle population. This behaviour results from thermodynamic transformation barriers in LFP, and such a phenomenon probably extends to other phase-separating battery materials. We propose that modifying the transformation barrier and exchange current density can increase the active population and thus the current homogeneity. This could introduce new paradigms to enhance the cycle life of phase-separating battery electrodes.", "author" : [ { "dropping-particle" : "", "family" : "Li", "given" : "Yiyang", "non-dropping-particle" : "", "parse-names" : false, "suffix" : "" }, { "dropping-particle" : "", "family" : "Gabaly", "given" : "Farid", "non-dropping-particle" : "El", "parse-names" : false, "suffix" : "" }, { "dropping-particle" : "", "family" : "Ferguson", "given" : "Todd R", "non-dropping-particle" : "", "parse-names" : false, "suffix" : "" }, { "dropping-particle" : "", "family" : "Smith", "given" : "Raymond B", "non-dropping-particle" : "", "parse-names" : false, "suffix" : "" }, { "dropping-particle" : "", "family" : "Bartelt", "given" : "Norman C", "non-dropping-particle" : "", "parse-names" : false, "suffix" : "" }, { "dropping-particle" : "", "family" : "Sugar", "given" : "Joshua D", "non-dropping-particle" : "", "parse-names" : false, "suffix" : "" }, { "dropping-particle" : "", "family" : "Fenton", "given" : "Kyle R", "non-dropping-particle" : "", "parse-names" : false, "suffix" : "" }, { "dropping-particle" : "", "family" : "Cogswell", "given" : "Daniel a", "non-dropping-particle" : "", "parse-names" : false, "suffix" : "" }, { "dropping-particle" : "", "family" : "Kilcoyne", "given" : "a L David", "non-dropping-particle" : "", "parse-names" : false, "suffix" : "" }, { "dropping-particle" : "", "family" : "Tyliszczak", "given" : "Tolek", "non-dropping-particle" : "", "parse-names" : false, "suffix" : "" }, { "dropping-particle" : "", "family" : "Bazant", "given" : "Martin Z", "non-dropping-particle" : "", "parse-names" : false, "suffix" : "" }, { "dropping-particle" : "", "family" : "Chueh", "given" : "William C", "non-dropping-particle" : "", "parse-names" : false, "suffix" : "" } ], "container-title" : "Nature Materials", "id" : "ITEM-2", "issue" : "September", "issued" : { "date-parts" : [ [ "2014" ] ] }, "page" : "1149-1156", "title" : "Current-induced transition from particle-by-particle to concurrent intercalation in phase-separating battery electrodes", "type" : "article-journal", "volume" : "13" }, "uris" : [ "http://www.mendeley.com/documents/?uuid=0729ebfb-040c-4996-8deb-d0a049a686e7" ] } ], "mendeley" : { "formattedCitation" : "&lt;sup&gt;44,45&lt;/sup&gt;", "plainTextFormattedCitation" : "44,45", "previouslyFormattedCitation" : "&lt;sup&gt;44,45&lt;/sup&gt;" }, "properties" : { "noteIndex" : 0 }, "schema" : "https://github.com/citation-style-language/schema/raw/master/csl-citation.json" }</w:instrText>
      </w:r>
      <w:r w:rsidR="000872EE"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44,45</w:t>
      </w:r>
      <w:r w:rsidR="000872EE" w:rsidRPr="00692930">
        <w:rPr>
          <w:rFonts w:ascii="Times New Roman" w:hAnsi="Times New Roman"/>
          <w:sz w:val="24"/>
          <w:szCs w:val="24"/>
        </w:rPr>
        <w:fldChar w:fldCharType="end"/>
      </w:r>
      <w:r w:rsidRPr="00692930">
        <w:rPr>
          <w:rFonts w:ascii="Times New Roman" w:hAnsi="Times New Roman"/>
          <w:sz w:val="24"/>
          <w:szCs w:val="24"/>
        </w:rPr>
        <w:t xml:space="preserve"> but other options cannot be excluded. </w:t>
      </w:r>
      <w:r w:rsidR="004A057C" w:rsidRPr="00692930">
        <w:rPr>
          <w:rFonts w:ascii="Times New Roman" w:hAnsi="Times New Roman"/>
          <w:sz w:val="24"/>
          <w:szCs w:val="24"/>
        </w:rPr>
        <w:t xml:space="preserve">For example, it has been shown theoretically and confirmed experimentally that at very low </w:t>
      </w:r>
      <w:r w:rsidRPr="00692930">
        <w:rPr>
          <w:rFonts w:ascii="Times New Roman" w:hAnsi="Times New Roman"/>
          <w:sz w:val="24"/>
          <w:szCs w:val="24"/>
        </w:rPr>
        <w:t>current</w:t>
      </w:r>
      <w:r w:rsidR="004A057C" w:rsidRPr="00692930">
        <w:rPr>
          <w:rFonts w:ascii="Times New Roman" w:hAnsi="Times New Roman"/>
          <w:sz w:val="24"/>
          <w:szCs w:val="24"/>
        </w:rPr>
        <w:t xml:space="preserve">s </w:t>
      </w:r>
      <w:r w:rsidR="00673D4F" w:rsidRPr="00692930">
        <w:rPr>
          <w:rFonts w:ascii="Times New Roman" w:hAnsi="Times New Roman"/>
          <w:sz w:val="24"/>
          <w:szCs w:val="24"/>
        </w:rPr>
        <w:t xml:space="preserve">active </w:t>
      </w:r>
      <w:r w:rsidRPr="00692930">
        <w:rPr>
          <w:rFonts w:ascii="Times New Roman" w:hAnsi="Times New Roman"/>
          <w:sz w:val="24"/>
          <w:szCs w:val="24"/>
        </w:rPr>
        <w:t xml:space="preserve">particles </w:t>
      </w:r>
      <w:r w:rsidR="004A057C" w:rsidRPr="00692930">
        <w:rPr>
          <w:rFonts w:ascii="Times New Roman" w:hAnsi="Times New Roman"/>
          <w:sz w:val="24"/>
          <w:szCs w:val="24"/>
        </w:rPr>
        <w:t>tend to phase-transform in a particle-by-</w:t>
      </w:r>
      <w:r w:rsidRPr="00692930">
        <w:rPr>
          <w:rFonts w:ascii="Times New Roman" w:hAnsi="Times New Roman"/>
          <w:sz w:val="24"/>
          <w:szCs w:val="24"/>
        </w:rPr>
        <w:t xml:space="preserve">particle </w:t>
      </w:r>
      <w:r w:rsidR="004A057C" w:rsidRPr="00692930">
        <w:rPr>
          <w:rFonts w:ascii="Times New Roman" w:hAnsi="Times New Roman"/>
          <w:sz w:val="24"/>
          <w:szCs w:val="24"/>
        </w:rPr>
        <w:t>fashion</w:t>
      </w:r>
      <w:r w:rsidR="002D7E08" w:rsidRPr="00692930">
        <w:rPr>
          <w:rFonts w:ascii="Times New Roman" w:hAnsi="Times New Roman"/>
          <w:sz w:val="24"/>
          <w:szCs w:val="24"/>
        </w:rPr>
        <w:t>.</w:t>
      </w:r>
      <w:r w:rsidR="00F90240"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"10.1038/nmat2730", "ISBN" : "1476-1122", "ISSN" : "1476-1122", "PMID" : "20383130", "abstract" : "Lithium batteries are considered the key storage devices for most emerging green technologies such as wind and solar technologies or hybrid and plug-in electric vehicles. Despite the tremendous recent advances in battery research, surprisingly, several fundamental issues of increasing practical importance have not been adequately tackled. One such issue concerns the energy efficiency. Generally, charging of 10(10)-10(17) electrode particles constituting a modern battery electrode proceeds at (much) higher voltages than discharging. Most importantly, the hysteresis between the charge and discharge voltage seems not to disappear as the charging/discharging current vanishes. Herein we present, for the first time, a general explanation of the occurrence of inherent hysteretic behaviour in insertion storage systems containing multiple particles. In a broader sense, the model also predicts the existence of apparent equilibria in battery electrodes, the sequential particle-by-particle charging/discharging mechanism and the disappearance of two-phase behaviour at special experimental conditions.", "author" : [ { "dropping-particle" : "", "family" : "Dreyer", "given" : "Wolfgang", "non-dropping-particle" : "", "parse-names" : false, "suffix" : "" }, { "dropping-particle" : "", "family" : "Jamnik", "given" : "Janko", "non-dropping-particle" : "", "parse-names" : false, "suffix" : "" }, { "dropping-particle" : "", "family" : "Guhlke", "given" : "Clemens", "non-dropping-particle" : "", "parse-names" : false, "suffix" : "" }, { "dropping-particle" : "", "family" : "Huth", "given" : "Robert", "non-dropping-particle" : "", "parse-names" : false, "suffix" : "" }, { "dropping-particle" : "", "family" : "Moskon", "given" : "Joze", "non-dropping-particle" : "", "parse-names" : false, "suffix" : "" }, { "dropping-particle" : "", "family" : "Gaberscek", "given" : "Miran", "non-dropping-particle" : "", "parse-names" : false, "suffix" : "" } ], "container-title" : "Nature materials", "id" : "ITEM-1", "issue" : "April", "issued" : { "date-parts" : [ [ "2010" ] ] }, "page" : "448-453", "title" : "The thermodynamic origin of hysteresis in insertion batteries", "type" : "article-journal", "volume" : "9" }, "uris" : [ "http://www.mendeley.com/documents/?uuid=bf18f55e-cc89-450b-84ac-a7198a785f39" ] } ], "mendeley" : { "formattedCitation" : "&lt;sup&gt;40&lt;/sup&gt;", "plainTextFormattedCitation" : "40", "previouslyFormattedCitation" : "&lt;sup&gt;40&lt;/sup&gt;" }, "properties" : { "noteIndex" : 0 }, "schema" : "https://github.com/citation-style-language/schema/raw/master/csl-citation.json" }</w:instrText>
      </w:r>
      <w:r w:rsidR="00F90240"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40</w:t>
      </w:r>
      <w:r w:rsidR="00F90240" w:rsidRPr="00692930">
        <w:rPr>
          <w:rFonts w:ascii="Times New Roman" w:hAnsi="Times New Roman"/>
          <w:sz w:val="24"/>
          <w:szCs w:val="24"/>
        </w:rPr>
        <w:fldChar w:fldCharType="end"/>
      </w:r>
      <w:r w:rsidR="00F90240" w:rsidRPr="00692930">
        <w:rPr>
          <w:rFonts w:ascii="Times New Roman" w:hAnsi="Times New Roman"/>
          <w:sz w:val="24"/>
          <w:szCs w:val="24"/>
          <w:vertAlign w:val="superscript"/>
        </w:rPr>
        <w:t>,</w:t>
      </w:r>
      <w:r w:rsidR="00B076D7"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"10.1038/nmat2230", "ISBN" : "1476-1122", "ISSN" : "1476-1122", "PMID" : "18641656", "abstract" : "Lithium iron phosphate is one of the most promising positive-electrode materials for the next generation of lithium-ion batteries that will be used in electric and plug-in hybrid vehicles. Lithium deintercalation (intercalation) proceeds through a two-phase reaction between compositions very close to LiFePO(4) and FePO(4). As both endmember phases are very poor ionic and electronic conductors, it is difficult to understand the intercalation mechanism at the microscopic scale. Here, we report a characterization of electrochemically deintercalated nanomaterials by X-ray diffraction and electron microscopy that shows the coexistence of fully intercalated and fully deintercalated individual particles. This result indicates that the growth reaction is considerably faster than its nucleation. The reaction mechanism is described by a 'domino-cascade model' and is explained by the existence of structural constraints occurring just at the reaction interface: the minimization of the elastic energy enhances the deintercalation (intercalation) process that occurs as a wave moving through the entire crystal. This model opens new perspectives in the search for new electrode materials even with poor ionic and electronic conductivities.", "author" : [ { "dropping-particle" : "", "family" : "Delmas", "given" : "C", "non-dropping-particle" : "", "parse-names" : false, "suffix" : "" }, { "dropping-particle" : "", "family" : "Maccario", "given" : "M", "non-dropping-particle" : "", "parse-names" : false, "suffix" : "" }, { "dropping-particle" : "", "family" : "Croguennec", "given" : "L", "non-dropping-particle" : "", "parse-names" : false, "suffix" : "" }, { "dropping-particle" : "", "family" : "Cras", "given" : "F", "non-dropping-particle" : "Le", "parse-names" : false, "suffix" : "" }, { "dropping-particle" : "", "family" : "Weill", "given" : "F", "non-dropping-particle" : "", "parse-names" : false, "suffix" : "" } ], "container-title" : "Nature materials", "id" : "ITEM-1", "issue" : "8", "issued" : { "date-parts" : [ [ "2008" ] ] }, "page" : "665-671", "title" : "Lithium deintercalation in LiFePO4 nanoparticles via a domino-cascade model.", "type" : "article-journal", "volume" : "7" }, "uris" : [ "http://www.mendeley.com/documents/?uuid=0bfdab70-61de-4317-8f64-414b01cdad2d" ] }, { "id" : "ITEM-2", "itemData" : { "DOI" : "10.1021/cm201783z", "author" : [ { "dropping-particle" : "", "family" : "Brunetti", "given" : "G", "non-dropping-particle" : "", "parse-names" : false, "suffix" : "" }, { "dropping-particle" : "", "family" : "Robert", "given" : "D", "non-dropping-particle" : "", "parse-names" : false, "suffix" : "" }, { "dropping-particle" : "", "family" : "Bayle-Guillemaud", "given" : "P", "non-dropping-particle" : "", "parse-names" : false, "suffix" : "" }, { "dropping-particle" : "", "family" : "Ouvi", "given" : "J L", "non-dropping-particle" : "", "parse-names" : false, "suffix" : "" }, { "dropping-particle" : "", "family" : "Rauch", "given" : "E F", "non-dropping-particle" : "", "parse-names" : false, "suffix" : "" }, { "dropping-particle" : "", "family" : "Martin", "given" : "J F", "non-dropping-particle" : "", "parse-names" : false, "suffix" : "" }, { "dropping-particle" : "", "family" : "Colin", "given" : "J F", "non-dropping-particle" : "", "parse-names" : false, "suffix" : "" }, { "dropping-particle" : "", "family" : "Bertin", "given" : "F", "non-dropping-particle" : "", "parse-names" : false, "suffix" : "" }, { "dropping-particle" : "", "family" : "Cayron", "given" : "C", "non-dropping-particle" : "", "parse-names" : false, "suffix" : "" } ], "container-title" : "Chem. Mater.", "id" : "ITEM-2", "issued" : { "date-parts" : [ [ "2011" ] ] }, "page" : "4515-4524", "title" : "Confirmation of the Domino-Cascade Model by LiFePO4 / FePO4 Precession Electron Diffraction", "type" : "article-journal", "volume" : "23" }, "uris" : [ "http://www.mendeley.com/documents/?uuid=39c0d15d-828b-4269-bd93-45e78f604c19" ] }, { "id" : "ITEM-3", "itemData" : { "DOI" : "10.1016/j.jpowsour.2013.08.003", "ISSN" : "03787753", "abstract" : "We demonstrate an ex situ method for analyzing the chemistry of battery electrode particles after electrochemical cycling using the transmission electron microscope (TEM). The arrangement of particles during our analysis is the same as when the particles are being cycled. We start by sectioning LiFePO4 battery electrodes using an ultramicrotome. We then show that mapping of the Fe2+ and Fe3+ oxidation state using energy-filtered TEM (EFTEM) and multivariate statistical analysis techniques can be used to determine the spatial distribution of Li in the particles. This approach is validated by comparison with scanning transmission X-ray microscopy (STXM) analysis of the same samples [Chueh et al. Nanoletters, 13 (3) (2013) 866-72]. EFTEM uses a parallel electron beam and reduces the electron-beam dose (and potential beam-induced damage) to the sample when compared to alternate techniques that use a focused probe (e.g. STEM-EELS). Our analysis confirms that under the charging conditions of the analyzed battery, mixed phase particles are rare and thus Li intercalation is limited by the nucleation of new phases. ?? 2013 Elsevier B.V. All rights reserved.", "author" : [ { "dropping-particle" : "", "family" : "Sugar", "given" : "Joshua D.", "non-dropping-particle" : "", "parse-names" : false, "suffix" : "" }, { "dropping-particle" : "", "family" : "Gabaly", "given" : "Farid", "non-dropping-particle" : "El", "parse-names" : false, "suffix" : "" }, { "dropping-particle" : "", "family" : "Chueh", "given" : "William C.", "non-dropping-particle" : "", "parse-names" : false, "suffix" : "" }, { "dropping-particle" : "", "family" : "Fenton", "given" : "Kyle R.", "non-dropping-particle" : "", "parse-names" : false, "suffix" : "" }, { "dropping-particle" : "", "family" : "Tyliszczak", "given" : "Tolek", "non-dropping-particle" : "", "parse-names" : false, "suffix" : "" }, { "dropping-particle" : "", "family" : "Kotula", "given" : "Paul G.", "non-dropping-particle" : "", "parse-names" : false, "suffix" : "" }, { "dropping-particle" : "", "family" : "Bartelt", "given" : "Norman C.", "non-dropping-particle" : "", "parse-names" : false, "suffix" : "" } ], "container-title" : "Journal of Power Sources", "id" : "ITEM-3", "issued" : { "date-parts" : [ [ "2014" ] ] }, "page" : "512-521", "publisher" : "Elsevier B.V", "title" : "High-resolution chemical analysis on cycled LiFePO4 battery electrodes using energy-filtered transmission electron microscopy", "type" : "article-journal", "volume" : "246" }, "uris" : [ "http://www.mendeley.com/documents/?uuid=e45b1c31-d34e-4e0c-b131-ec9223b3e79c" ] }, { "id" : "ITEM-4", "itemData" : { "DOI" : "10.1021/nl3031899", "ISBN" : "1530-6984", "ISSN" : "15306984", "PMID" : "23362838", "abstract" : "The intercalation pathway of lithium iron phosphate (LFP) in the positive electrode of a lithium-ion battery was probed at the \u223c40 nm length scale using oxidation-state-sensitive X-ray microscopy. Combined with morphological observations of the same exact locations using transmission electron microscopy, we quantified the local state-of-charge of approximately 450 individual LFP particles over nearly the entire thickness of the porous electrode. With the electrode charged to 50% state-of-charge in 0.5 h, we observed that the overwhelming majority of particles were either almost completely delithiated or lithiated. Specifically, only \u223c2% of individual particles were at an intermediate state-of-charge. From this small fraction of particles that were actively undergoing delithiation, we conclude that the time needed to charge a particle is \u223c1/50 the time needed to charge the entire particle ensemble. Surprisingly, we observed a very weak correlation between the sequence of delithiation and the particle size, contrary to the common expectation that smaller particles delithiate before larger ones. Our quantitative results unambiguously confirm the mosaic (particle-by-particle) pathway of intercalation and suggest that the rate-limiting process of charging is initiating the phase transformation by, for example, a nucleation-like event. Therefore, strategies for further enhancing the performance of LFP electrodes should not focus on increasing the phase-boundary velocity but on the rate of phase-transformation initiation.", "author" : [ { "dropping-particle" : "", "family" : "Chueh", "given" : "William C.", "non-dropping-particle" : "", "parse-names" : false, "suffix" : "" }, { "dropping-particle" : "", "family" : "Gabaly", "given" : "Farid", "non-dropping-particle" : "El", "parse-names" : false, "suffix" : "" }, { "dropping-particle" : "", "family" : "Sugar", "given" : "Joshua D.", "non-dropping-particle" : "", "parse-names" : false, "suffix" : "" }, { "dropping-particle" : "", "family" : "Bartelt", "given" : "Norman C.", "non-dropping-particle" : "", "parse-names" : false, "suffix" : "" }, { "dropping-particle" : "", "family" : "McDaniel", "given" : "Anthony H.", "non-dropping-particle" : "", "parse-names" : false, "suffix" : "" }, { "dropping-particle" : "", "family" : "Fenton", "given" : "Kyle R.", "non-dropping-particle" : "", "parse-names" : false, "suffix" : "" }, { "dropping-particle" : "", "family" : "Zavadil", "given" : "Kevin R.", "non-dropping-particle" : "", "parse-names" : false, "suffix" : "" }, { "dropping-particle" : "", "family" : "Tyliszczak", "given" : "Tolek", "non-dropping-particle" : "", "parse-names" : false, "suffix" : "" }, { "dropping-particle" : "", "family" : "Lai", "given" : "Wei", "non-dropping-particle" : "", "parse-names" : false, "suffix" : "" }, { "dropping-particle" : "", "family" : "McCarty", "given" : "Kevin F.", "non-dropping-particle" : "", "parse-names" : false, "suffix" : "" } ], "container-title" : "Nano Letters", "id" : "ITEM-4", "issue" : "3", "issued" : { "date-parts" : [ [ "2013" ] ] }, "page" : "866-872", "title" : "Intercalation pathway in many-particle LiFePO4 electrode revealed by nanoscale state-of-charge mapping", "type" : "article-journal", "volume" : "13" }, "uris" : [ "http://www.mendeley.com/documents/?uuid=333dc300-64d7-4640-963c-7a96c51db4fa" ] } ], "mendeley" : { "formattedCitation" : "&lt;sup&gt;44,46\u201348&lt;/sup&gt;", "plainTextFormattedCitation" : "44,46\u201348", "previouslyFormattedCitation" : "&lt;sup&gt;44,46\u201348&lt;/sup&gt;" }, "properties" : { "noteIndex" : 0 }, "schema" : "https://github.com/citation-style-language/schema/raw/master/csl-citation.json" }</w:instrText>
      </w:r>
      <w:r w:rsidR="00B076D7"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44,46–48</w:t>
      </w:r>
      <w:r w:rsidR="00B076D7" w:rsidRPr="00692930">
        <w:rPr>
          <w:rFonts w:ascii="Times New Roman" w:hAnsi="Times New Roman"/>
          <w:sz w:val="24"/>
          <w:szCs w:val="24"/>
        </w:rPr>
        <w:fldChar w:fldCharType="end"/>
      </w:r>
      <w:r w:rsidR="004A057C" w:rsidRPr="00692930">
        <w:rPr>
          <w:rFonts w:ascii="Times New Roman" w:hAnsi="Times New Roman"/>
          <w:sz w:val="24"/>
          <w:szCs w:val="24"/>
        </w:rPr>
        <w:t xml:space="preserve"> </w:t>
      </w:r>
      <w:r w:rsidR="00673D4F" w:rsidRPr="00692930">
        <w:rPr>
          <w:rFonts w:ascii="Times New Roman" w:hAnsi="Times New Roman"/>
          <w:sz w:val="24"/>
          <w:szCs w:val="24"/>
        </w:rPr>
        <w:t>This</w:t>
      </w:r>
      <w:r w:rsidR="004A057C" w:rsidRPr="00692930">
        <w:rPr>
          <w:rFonts w:ascii="Times New Roman" w:hAnsi="Times New Roman"/>
          <w:sz w:val="24"/>
          <w:szCs w:val="24"/>
        </w:rPr>
        <w:t xml:space="preserve"> means that a very small </w:t>
      </w:r>
      <w:r w:rsidR="00673D4F" w:rsidRPr="00692930">
        <w:rPr>
          <w:rFonts w:ascii="Times New Roman" w:hAnsi="Times New Roman"/>
          <w:sz w:val="24"/>
          <w:szCs w:val="24"/>
        </w:rPr>
        <w:t>fraction</w:t>
      </w:r>
      <w:r w:rsidR="004A057C" w:rsidRPr="00692930">
        <w:rPr>
          <w:rFonts w:ascii="Times New Roman" w:hAnsi="Times New Roman"/>
          <w:sz w:val="24"/>
          <w:szCs w:val="24"/>
        </w:rPr>
        <w:t xml:space="preserve"> of active material is in fact “active” at any given time during charge/discharge</w:t>
      </w:r>
      <w:r w:rsidRPr="00692930">
        <w:rPr>
          <w:rFonts w:ascii="Times New Roman" w:hAnsi="Times New Roman"/>
          <w:sz w:val="24"/>
          <w:szCs w:val="24"/>
        </w:rPr>
        <w:t xml:space="preserve"> </w:t>
      </w:r>
      <w:r w:rsidR="00673D4F" w:rsidRPr="00692930">
        <w:rPr>
          <w:rFonts w:ascii="Times New Roman" w:eastAsiaTheme="minorHAnsi" w:hAnsi="Times New Roman"/>
          <w:sz w:val="24"/>
          <w:szCs w:val="24"/>
        </w:rPr>
        <w:t>A</w:t>
      </w:r>
      <w:r w:rsidRPr="00692930">
        <w:rPr>
          <w:rFonts w:ascii="Times New Roman" w:eastAsiaTheme="minorHAnsi" w:hAnsi="Times New Roman"/>
          <w:sz w:val="24"/>
          <w:szCs w:val="24"/>
        </w:rPr>
        <w:t xml:space="preserve"> </w:t>
      </w:r>
      <w:r w:rsidR="00673D4F" w:rsidRPr="00692930">
        <w:rPr>
          <w:rFonts w:ascii="Times New Roman" w:eastAsiaTheme="minorHAnsi" w:hAnsi="Times New Roman"/>
          <w:sz w:val="24"/>
          <w:szCs w:val="24"/>
        </w:rPr>
        <w:t xml:space="preserve">more </w:t>
      </w:r>
      <w:r w:rsidRPr="00692930">
        <w:rPr>
          <w:rFonts w:ascii="Times New Roman" w:eastAsiaTheme="minorHAnsi" w:hAnsi="Times New Roman"/>
          <w:sz w:val="24"/>
          <w:szCs w:val="24"/>
        </w:rPr>
        <w:t xml:space="preserve">general </w:t>
      </w:r>
      <w:r w:rsidRPr="00692930">
        <w:rPr>
          <w:rFonts w:ascii="Times New Roman" w:eastAsiaTheme="minorHAnsi" w:hAnsi="Times New Roman"/>
          <w:bCs/>
          <w:sz w:val="24"/>
          <w:szCs w:val="24"/>
        </w:rPr>
        <w:t>simulation</w:t>
      </w:r>
      <w:r w:rsidRPr="00692930">
        <w:rPr>
          <w:rFonts w:ascii="Times New Roman" w:eastAsiaTheme="minorHAnsi" w:hAnsi="Times New Roman"/>
          <w:sz w:val="24"/>
          <w:szCs w:val="24"/>
        </w:rPr>
        <w:t xml:space="preserve"> of porous insertion electrodes </w:t>
      </w:r>
      <w:r w:rsidR="00673D4F" w:rsidRPr="00692930">
        <w:rPr>
          <w:rFonts w:ascii="Times New Roman" w:eastAsiaTheme="minorHAnsi" w:hAnsi="Times New Roman"/>
          <w:sz w:val="24"/>
          <w:szCs w:val="24"/>
        </w:rPr>
        <w:t xml:space="preserve">has </w:t>
      </w:r>
      <w:r w:rsidRPr="00692930">
        <w:rPr>
          <w:rFonts w:ascii="Times-Roman" w:hAnsi="Times-Roman" w:cs="Times-Roman"/>
          <w:sz w:val="24"/>
          <w:szCs w:val="24"/>
        </w:rPr>
        <w:t xml:space="preserve">suggested that the </w:t>
      </w:r>
      <w:r w:rsidR="00673D4F" w:rsidRPr="00692930">
        <w:rPr>
          <w:rFonts w:ascii="Times-Roman" w:hAnsi="Times-Roman" w:cs="Times-Roman"/>
          <w:sz w:val="24"/>
          <w:szCs w:val="24"/>
        </w:rPr>
        <w:t>fraction</w:t>
      </w:r>
      <w:r w:rsidRPr="00692930">
        <w:rPr>
          <w:rFonts w:ascii="Times-Roman" w:hAnsi="Times-Roman" w:cs="Times-Roman"/>
          <w:sz w:val="24"/>
          <w:szCs w:val="24"/>
        </w:rPr>
        <w:t xml:space="preserve"> of </w:t>
      </w:r>
      <w:r w:rsidR="00673D4F" w:rsidRPr="00692930">
        <w:rPr>
          <w:rFonts w:ascii="Times-Roman" w:hAnsi="Times-Roman" w:cs="Times-Roman"/>
          <w:sz w:val="24"/>
          <w:szCs w:val="24"/>
        </w:rPr>
        <w:t>such “</w:t>
      </w:r>
      <w:r w:rsidRPr="00692930">
        <w:rPr>
          <w:rFonts w:ascii="Times-Roman" w:hAnsi="Times-Roman" w:cs="Times-Roman"/>
          <w:sz w:val="24"/>
          <w:szCs w:val="24"/>
        </w:rPr>
        <w:t>active</w:t>
      </w:r>
      <w:r w:rsidR="00673D4F" w:rsidRPr="00692930">
        <w:rPr>
          <w:rFonts w:ascii="Times-Roman" w:hAnsi="Times-Roman" w:cs="Times-Roman"/>
          <w:sz w:val="24"/>
          <w:szCs w:val="24"/>
        </w:rPr>
        <w:t>”</w:t>
      </w:r>
      <w:r w:rsidRPr="00692930">
        <w:rPr>
          <w:rFonts w:ascii="Times-Roman" w:hAnsi="Times-Roman" w:cs="Times-Roman"/>
          <w:sz w:val="24"/>
          <w:szCs w:val="24"/>
        </w:rPr>
        <w:t xml:space="preserve"> particles in the electrode scales with the current (charge/discharge rate)</w:t>
      </w:r>
      <w:r w:rsidR="006A62DB" w:rsidRPr="00692930">
        <w:rPr>
          <w:rFonts w:ascii="Times-Roman" w:hAnsi="Times-Roman" w:cs="Times-Roman"/>
          <w:sz w:val="24"/>
          <w:szCs w:val="24"/>
        </w:rPr>
        <w:t>.</w:t>
      </w:r>
      <w:r w:rsidR="000872EE" w:rsidRPr="00692930">
        <w:rPr>
          <w:rFonts w:ascii="Times New Roman" w:eastAsiaTheme="minorHAnsi" w:hAnsi="Times New Roman"/>
          <w:sz w:val="24"/>
          <w:szCs w:val="24"/>
        </w:rPr>
        <w:fldChar w:fldCharType="begin" w:fldLock="1"/>
      </w:r>
      <w:r w:rsidR="00750EA2">
        <w:rPr>
          <w:rFonts w:ascii="Times New Roman" w:eastAsiaTheme="minorHAnsi" w:hAnsi="Times New Roman"/>
          <w:sz w:val="24"/>
          <w:szCs w:val="24"/>
        </w:rPr>
        <w:instrText>ADDIN CSL_CITATION { "citationItems" : [ { "id" : "ITEM-1", "itemData" : { "DOI" : "10.1149/2.048212jes", "ISBN" : "0013-4651", "ISSN" : "0013-4651", "author" : [ { "dropping-particle" : "", "family" : "Ferguson", "given" : "T. R.", "non-dropping-particle" : "", "parse-names" : false, "suffix" : "" }, { "dropping-particle" : "", "family" : "Bazant", "given" : "M. Z.", "non-dropping-particle" : "", "parse-names" : false, "suffix" : "" } ], "container-title" : "Journal of the Electrochemical Society", "id" : "ITEM-1", "issue" : "12", "issued" : { "date-parts" : [ [ "2012" ] ] }, "page" : "A1967-A1985", "title" : "Nonequilibrium Thermodynamics of Porous Electrodes", "type" : "article-journal", "volume" : "159" }, "uris" : [ "http://www.mendeley.com/documents/?uuid=51ec1dac-2df6-442b-a7f9-a43004004a65" ] } ], "mendeley" : { "formattedCitation" : "&lt;sup&gt;49&lt;/sup&gt;", "plainTextFormattedCitation" : "49", "previouslyFormattedCitation" : "&lt;sup&gt;49&lt;/sup&gt;" }, "properties" : { "noteIndex" : 0 }, "schema" : "https://github.com/citation-style-language/schema/raw/master/csl-citation.json" }</w:instrText>
      </w:r>
      <w:r w:rsidR="000872EE" w:rsidRPr="00692930">
        <w:rPr>
          <w:rFonts w:ascii="Times New Roman" w:eastAsiaTheme="minorHAnsi" w:hAnsi="Times New Roman"/>
          <w:sz w:val="24"/>
          <w:szCs w:val="24"/>
        </w:rPr>
        <w:fldChar w:fldCharType="separate"/>
      </w:r>
      <w:r w:rsidR="007D65EC" w:rsidRPr="007D65EC">
        <w:rPr>
          <w:rFonts w:ascii="Times New Roman" w:eastAsiaTheme="minorHAnsi" w:hAnsi="Times New Roman"/>
          <w:noProof/>
          <w:sz w:val="24"/>
          <w:szCs w:val="24"/>
          <w:vertAlign w:val="superscript"/>
        </w:rPr>
        <w:t>49</w:t>
      </w:r>
      <w:r w:rsidR="000872EE" w:rsidRPr="00692930">
        <w:rPr>
          <w:rFonts w:ascii="Times New Roman" w:eastAsiaTheme="minorHAnsi" w:hAnsi="Times New Roman"/>
          <w:sz w:val="24"/>
          <w:szCs w:val="24"/>
        </w:rPr>
        <w:fldChar w:fldCharType="end"/>
      </w:r>
      <w:r w:rsidRPr="00692930">
        <w:rPr>
          <w:rFonts w:ascii="Times-Roman" w:hAnsi="Times-Roman" w:cs="Times-Roman"/>
          <w:sz w:val="24"/>
          <w:szCs w:val="24"/>
        </w:rPr>
        <w:t xml:space="preserve"> </w:t>
      </w:r>
      <w:r w:rsidRPr="00692930">
        <w:rPr>
          <w:rFonts w:ascii="Times New Roman" w:hAnsi="Times New Roman"/>
          <w:sz w:val="24"/>
          <w:szCs w:val="24"/>
        </w:rPr>
        <w:t xml:space="preserve">Similarly </w:t>
      </w:r>
      <w:r w:rsidR="00AC7E57" w:rsidRPr="00692930">
        <w:rPr>
          <w:rFonts w:ascii="Times New Roman" w:hAnsi="Times New Roman"/>
          <w:sz w:val="24"/>
          <w:szCs w:val="24"/>
        </w:rPr>
        <w:t xml:space="preserve">it has </w:t>
      </w:r>
      <w:r w:rsidR="00AC7E57" w:rsidRPr="00692930">
        <w:rPr>
          <w:rFonts w:ascii="Times New Roman" w:hAnsi="Times New Roman"/>
          <w:sz w:val="24"/>
          <w:szCs w:val="24"/>
        </w:rPr>
        <w:lastRenderedPageBreak/>
        <w:t>been shown</w:t>
      </w:r>
      <w:r w:rsidRPr="00692930">
        <w:rPr>
          <w:rFonts w:ascii="Times New Roman" w:hAnsi="Times New Roman"/>
          <w:sz w:val="24"/>
          <w:szCs w:val="24"/>
        </w:rPr>
        <w:t xml:space="preserve"> that imposing higher overpotentials during</w:t>
      </w:r>
      <w:r w:rsidRPr="00692930">
        <w:rPr>
          <w:rFonts w:ascii="Times New Roman" w:eastAsiaTheme="minorHAnsi" w:hAnsi="Times New Roman"/>
          <w:sz w:val="24"/>
          <w:szCs w:val="24"/>
        </w:rPr>
        <w:t xml:space="preserve"> high current rate experiments induces more particles to undergo phase transformations at similar times during charge/discharge</w:t>
      </w:r>
      <w:r w:rsidR="006A62DB" w:rsidRPr="00692930">
        <w:rPr>
          <w:rFonts w:ascii="Times New Roman" w:eastAsiaTheme="minorHAnsi" w:hAnsi="Times New Roman"/>
          <w:sz w:val="24"/>
          <w:szCs w:val="24"/>
        </w:rPr>
        <w:t>.</w:t>
      </w:r>
      <w:r w:rsidR="00DC274D" w:rsidRPr="00692930">
        <w:rPr>
          <w:rFonts w:ascii="Times New Roman" w:eastAsiaTheme="minorHAnsi" w:hAnsi="Times New Roman"/>
          <w:sz w:val="24"/>
          <w:szCs w:val="24"/>
        </w:rPr>
        <w:fldChar w:fldCharType="begin" w:fldLock="1"/>
      </w:r>
      <w:r w:rsidR="00750EA2">
        <w:rPr>
          <w:rFonts w:ascii="Times New Roman" w:eastAsiaTheme="minorHAnsi" w:hAnsi="Times New Roman"/>
          <w:sz w:val="24"/>
          <w:szCs w:val="24"/>
        </w:rPr>
        <w:instrText>ADDIN CSL_CITATION { "citationItems" : [ { "id" : "ITEM-1", "itemData" : { "DOI" : "10.1149/2.029305jes", "ISBN" : "0013-4651", "ISSN" : "0013-4651", "abstract" : "With the ever-growing public and now commercial sentiment supporting the widespread adoption of low and zero-emission vehicles, it is unsurprising that Li-ion batteries which currently assume the bulk of the cost of electrified vehicles (a significant proportion coming from cost of battery materials) have become prolific not only in the primary research literature but have also entered the general public consciousness. Since the initial work in 1997, over 2000 research publications have been authored on lithium iron phosphate (LiFePO4), one of only a handful of commercially viable Li-ion battery cathode materials currently used in electrified vehicles. Despite the sheer quantity of research devoted to the subject and the well-demonstrated excellent battery performance of LiFePO4, what is surprising are the number of apparent discrepancies and ensuing contention in the literature regarding its (de)lithiation kinetics. This Review forgoes re-summarizing the well-accepted materials properties of LiFePO4 and instead seeks to address headlong the specific areas of dispute in the field, specifically by considering how the thermodynamics and kinetics of Li intercalation are modified from the bulk to single-particle to multi-particle scales, shedding light on what makes LiFePO4 such a unique material and ideally shaping future discourse of LiFePO4 research.", "author" : [ { "dropping-particle" : "", "family" : "Malik", "given" : "Rahul", "non-dropping-particle" : "", "parse-names" : false, "suffix" : "" }, { "dropping-particle" : "", "family" : "Abdellahi", "given" : "Aziz", "non-dropping-particle" : "", "parse-names" : false, "suffix" : "" }, { "dropping-particle" : "", "family" : "Ceder", "given" : "Gerbrand", "non-dropping-particle" : "", "parse-names" : false, "suffix" : "" } ], "container-title" : "Journal of The Electrochemical Society", "id" : "ITEM-1", "issue" : "5", "issued" : { "date-parts" : [ [ "2013" ] ] }, "page" : "A3179-A3197", "title" : "A Critical Review of the Li Insertion Mechanisms in LiFePO4 Electrodes", "type" : "article-journal", "volume" : "160" }, "uris" : [ "http://www.mendeley.com/documents/?uuid=2029b484-798a-491b-b2ed-05a20cb9ffc2" ] } ], "mendeley" : { "formattedCitation" : "&lt;sup&gt;50&lt;/sup&gt;", "plainTextFormattedCitation" : "50", "previouslyFormattedCitation" : "&lt;sup&gt;50&lt;/sup&gt;" }, "properties" : { "noteIndex" : 0 }, "schema" : "https://github.com/citation-style-language/schema/raw/master/csl-citation.json" }</w:instrText>
      </w:r>
      <w:r w:rsidR="00DC274D" w:rsidRPr="00692930">
        <w:rPr>
          <w:rFonts w:ascii="Times New Roman" w:eastAsiaTheme="minorHAnsi" w:hAnsi="Times New Roman"/>
          <w:sz w:val="24"/>
          <w:szCs w:val="24"/>
        </w:rPr>
        <w:fldChar w:fldCharType="separate"/>
      </w:r>
      <w:r w:rsidR="007D65EC" w:rsidRPr="007D65EC">
        <w:rPr>
          <w:rFonts w:ascii="Times New Roman" w:eastAsiaTheme="minorHAnsi" w:hAnsi="Times New Roman"/>
          <w:noProof/>
          <w:sz w:val="24"/>
          <w:szCs w:val="24"/>
          <w:vertAlign w:val="superscript"/>
        </w:rPr>
        <w:t>50</w:t>
      </w:r>
      <w:r w:rsidR="00DC274D" w:rsidRPr="00692930">
        <w:rPr>
          <w:rFonts w:ascii="Times New Roman" w:eastAsiaTheme="minorHAnsi" w:hAnsi="Times New Roman"/>
          <w:sz w:val="24"/>
          <w:szCs w:val="24"/>
        </w:rPr>
        <w:fldChar w:fldCharType="end"/>
      </w:r>
      <w:r w:rsidR="00DC274D" w:rsidRPr="00692930">
        <w:rPr>
          <w:rFonts w:ascii="Times New Roman" w:eastAsiaTheme="minorHAnsi" w:hAnsi="Times New Roman"/>
          <w:sz w:val="24"/>
          <w:szCs w:val="24"/>
          <w:vertAlign w:val="superscript"/>
        </w:rPr>
        <w:t>,</w:t>
      </w:r>
      <w:r w:rsidR="00DC274D" w:rsidRPr="00692930">
        <w:rPr>
          <w:rFonts w:ascii="Times New Roman" w:eastAsiaTheme="minorHAnsi" w:hAnsi="Times New Roman"/>
          <w:sz w:val="24"/>
          <w:szCs w:val="24"/>
        </w:rPr>
        <w:fldChar w:fldCharType="begin" w:fldLock="1"/>
      </w:r>
      <w:r w:rsidR="00750EA2">
        <w:rPr>
          <w:rFonts w:ascii="Times New Roman" w:eastAsiaTheme="minorHAnsi" w:hAnsi="Times New Roman"/>
          <w:sz w:val="24"/>
          <w:szCs w:val="24"/>
        </w:rPr>
        <w:instrText>ADDIN CSL_CITATION { "citationItems" : [ { "id" : "ITEM-1", "itemData" : { "DOI" : "10.1016/j.electacta.2014.06.029", "ISSN" : "00134686", "abstract" : "Elucidating the role of interparticle Li transport and multi-particle (de)lithiation kinetics in nanoparticulate two-phase electrode materials such as LiFePO4 is a challenging task because of the small temporal and spatial scale associated with the process. Often, the relevant processes that determine the kinetics of (dis)charging an electrode are assumed to be exclusively those associated with Li transport to and from the counter-electrode, without a consideration of interactions between particles. However, the redistribution of Li between nanoparticles can have a strong influence on the overall cell rate performance. Using a continuum model to simulate the lithiation kinetics of a porous aggregate of LiFePO4 nanoparticles, we demonstrate the impact of cell architecture (in terms of ionic and electronic connectivities between active particles) and cycling rate on the multi-particle (de)lithiation kinetics. Specifically, the connectivity between particles is shown to have a strong effect on \"interparticle phase separation,\" a process by which active particles undergo additional cycling (charge during the overall discharge) and amplified reaction rates. We show that interparticle phase separation can be reduced or eliminated by improving (\"homogenizing\") the connectivity between particles. Extensive comparisons to experimental literature and insights toward improving the performance of nanoparticulate electrodes are also provided. \u00a9 2014 Elsevier Ltd.", "author" : [ { "dropping-particle" : "", "family" : "Orvananos", "given" : "Bernardo", "non-dropping-particle" : "", "parse-names" : false, "suffix" : "" }, { "dropping-particle" : "", "family" : "Malik", "given" : "Rahul", "non-dropping-particle" : "", "parse-names" : false, "suffix" : "" }, { "dropping-particle" : "", "family" : "Yu", "given" : "Hui Chia", "non-dropping-particle" : "", "parse-names" : false, "suffix" : "" }, { "dropping-particle" : "", "family" : "Abdellahi", "given" : "Aziz", "non-dropping-particle" : "", "parse-names" : false, "suffix" : "" }, { "dropping-particle" : "", "family" : "Grey", "given" : "Clare P.", "non-dropping-particle" : "", "parse-names" : false, "suffix" : "" }, { "dropping-particle" : "", "family" : "Ceder", "given" : "Gerbrand", "non-dropping-particle" : "", "parse-names" : false, "suffix" : "" }, { "dropping-particle" : "", "family" : "Thornton", "given" : "Katsuyo", "non-dropping-particle" : "", "parse-names" : false, "suffix" : "" } ], "container-title" : "Electrochimica Acta", "id" : "ITEM-1", "issued" : { "date-parts" : [ [ "2014" ] ] }, "page" : "245-257", "publisher" : "Elsevier Ltd", "title" : "Architecture dependence on the dynamics of nano-liFePO4 electrodes", "type" : "article-journal", "volume" : "137" }, "uris" : [ "http://www.mendeley.com/documents/?uuid=9844687d-da82-4779-b082-48b447c8bf80" ] } ], "mendeley" : { "formattedCitation" : "&lt;sup&gt;51&lt;/sup&gt;", "plainTextFormattedCitation" : "51", "previouslyFormattedCitation" : "&lt;sup&gt;51&lt;/sup&gt;" }, "properties" : { "noteIndex" : 0 }, "schema" : "https://github.com/citation-style-language/schema/raw/master/csl-citation.json" }</w:instrText>
      </w:r>
      <w:r w:rsidR="00DC274D" w:rsidRPr="00692930">
        <w:rPr>
          <w:rFonts w:ascii="Times New Roman" w:eastAsiaTheme="minorHAnsi" w:hAnsi="Times New Roman"/>
          <w:sz w:val="24"/>
          <w:szCs w:val="24"/>
        </w:rPr>
        <w:fldChar w:fldCharType="separate"/>
      </w:r>
      <w:r w:rsidR="007D65EC" w:rsidRPr="007D65EC">
        <w:rPr>
          <w:rFonts w:ascii="Times New Roman" w:eastAsiaTheme="minorHAnsi" w:hAnsi="Times New Roman"/>
          <w:noProof/>
          <w:sz w:val="24"/>
          <w:szCs w:val="24"/>
          <w:vertAlign w:val="superscript"/>
        </w:rPr>
        <w:t>51</w:t>
      </w:r>
      <w:r w:rsidR="00DC274D" w:rsidRPr="00692930">
        <w:rPr>
          <w:rFonts w:ascii="Times New Roman" w:eastAsiaTheme="minorHAnsi" w:hAnsi="Times New Roman"/>
          <w:sz w:val="24"/>
          <w:szCs w:val="24"/>
        </w:rPr>
        <w:fldChar w:fldCharType="end"/>
      </w:r>
      <w:r w:rsidRPr="00692930">
        <w:rPr>
          <w:rFonts w:ascii="Times New Roman" w:eastAsiaTheme="minorHAnsi" w:hAnsi="Times New Roman"/>
          <w:sz w:val="24"/>
          <w:szCs w:val="24"/>
        </w:rPr>
        <w:t xml:space="preserve"> </w:t>
      </w:r>
      <w:r w:rsidR="00AC7E57" w:rsidRPr="00692930">
        <w:rPr>
          <w:rFonts w:ascii="Times New Roman" w:eastAsiaTheme="minorHAnsi" w:hAnsi="Times New Roman"/>
          <w:sz w:val="24"/>
          <w:szCs w:val="24"/>
        </w:rPr>
        <w:t xml:space="preserve">On the experimental level, </w:t>
      </w:r>
      <w:r w:rsidRPr="00692930">
        <w:rPr>
          <w:rFonts w:ascii="Times New Roman" w:hAnsi="Times New Roman"/>
          <w:sz w:val="24"/>
          <w:szCs w:val="24"/>
        </w:rPr>
        <w:t>extensive experimental observation of LiFePO</w:t>
      </w:r>
      <w:r w:rsidRPr="00692930">
        <w:rPr>
          <w:rFonts w:ascii="Times New Roman" w:hAnsi="Times New Roman"/>
          <w:sz w:val="24"/>
          <w:szCs w:val="24"/>
          <w:vertAlign w:val="subscript"/>
        </w:rPr>
        <w:t>4</w:t>
      </w:r>
      <w:r w:rsidRPr="00692930">
        <w:rPr>
          <w:rFonts w:ascii="Times New Roman" w:hAnsi="Times New Roman"/>
          <w:sz w:val="24"/>
          <w:szCs w:val="24"/>
        </w:rPr>
        <w:t xml:space="preserve"> based electrodes using</w:t>
      </w:r>
      <w:r w:rsidRPr="00692930">
        <w:rPr>
          <w:rFonts w:ascii="Times New Roman" w:hAnsi="Times New Roman"/>
          <w:bCs/>
          <w:sz w:val="24"/>
          <w:szCs w:val="24"/>
        </w:rPr>
        <w:t xml:space="preserve"> synchrotron </w:t>
      </w:r>
      <w:r w:rsidRPr="00692930">
        <w:rPr>
          <w:rFonts w:ascii="Times New Roman" w:hAnsi="Times New Roman"/>
          <w:sz w:val="24"/>
          <w:szCs w:val="24"/>
        </w:rPr>
        <w:t>Scanning Transmission X-Ray Microscopy (STXM)</w:t>
      </w:r>
      <w:r w:rsidR="006A62DB" w:rsidRPr="00692930">
        <w:rPr>
          <w:rFonts w:ascii="Times New Roman" w:hAnsi="Times New Roman"/>
          <w:sz w:val="24"/>
          <w:szCs w:val="24"/>
        </w:rPr>
        <w:t xml:space="preserve"> has confirmed that the </w:t>
      </w:r>
      <w:r w:rsidR="006A62DB" w:rsidRPr="00692930">
        <w:rPr>
          <w:rFonts w:ascii="Times New Roman" w:hAnsi="Times New Roman"/>
          <w:bCs/>
          <w:sz w:val="24"/>
          <w:szCs w:val="24"/>
        </w:rPr>
        <w:t>fraction of the phase-transforming particles depends on C-rate.</w:t>
      </w:r>
      <w:r w:rsidR="00DC274D"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"10.1038/nmat4084", "ISBN" : "1476-1122", "abstract" : "Many battery electrodes contain ensembles of nanoparticles that phase-separate on (de)intercalation. In such electrodes, the fraction of actively intercalating particles directly impacts cycle life: a vanishing population concentrates the current in a small number of particles, leading to current hotspots. Reports of the active particle population in the phase-separating electrode lithium iron phosphate (LiFePO4; LFP) vary widely, ranging from near 0% (particle-by-particle) to 100% (concurrent intercalation). Using synchrotron-based X-ray microscopy, we probed the individual state-of-charge for over 3,000 LFP particles. We observed that the active population depends strongly on the cycling current, exhibiting particle-by-particle-like behaviour at low rates and increasingly concurrent behaviour at high rates, consistent with our phase-field porous electrode simulations. Contrary to intuition, the current density, or current per active internal surface area, is nearly invariant with the global electrode cycling rate. Rather, the electrode accommodates higher current by increasing the active particle population. This behaviour results from thermodynamic transformation barriers in LFP, and such a phenomenon probably extends to other phase-separating battery materials. We propose that modifying the transformation barrier and exchange current density can increase the active population and thus the current homogeneity. This could introduce new paradigms to enhance the cycle life of phase-separating battery electrodes.", "author" : [ { "dropping-particle" : "", "family" : "Li", "given" : "Yiyang", "non-dropping-particle" : "", "parse-names" : false, "suffix" : "" }, { "dropping-particle" : "", "family" : "Gabaly", "given" : "Farid", "non-dropping-particle" : "El", "parse-names" : false, "suffix" : "" }, { "dropping-particle" : "", "family" : "Ferguson", "given" : "Todd R", "non-dropping-particle" : "", "parse-names" : false, "suffix" : "" }, { "dropping-particle" : "", "family" : "Smith", "given" : "Raymond B", "non-dropping-particle" : "", "parse-names" : false, "suffix" : "" }, { "dropping-particle" : "", "family" : "Bartelt", "given" : "Norman C", "non-dropping-particle" : "", "parse-names" : false, "suffix" : "" }, { "dropping-particle" : "", "family" : "Sugar", "given" : "Joshua D", "non-dropping-particle" : "", "parse-names" : false, "suffix" : "" }, { "dropping-particle" : "", "family" : "Fenton", "given" : "Kyle R", "non-dropping-particle" : "", "parse-names" : false, "suffix" : "" }, { "dropping-particle" : "", "family" : "Cogswell", "given" : "Daniel a", "non-dropping-particle" : "", "parse-names" : false, "suffix" : "" }, { "dropping-particle" : "", "family" : "Kilcoyne", "given" : "a L David", "non-dropping-particle" : "", "parse-names" : false, "suffix" : "" }, { "dropping-particle" : "", "family" : "Tyliszczak", "given" : "Tolek", "non-dropping-particle" : "", "parse-names" : false, "suffix" : "" }, { "dropping-particle" : "", "family" : "Bazant", "given" : "Martin Z", "non-dropping-particle" : "", "parse-names" : false, "suffix" : "" }, { "dropping-particle" : "", "family" : "Chueh", "given" : "William C", "non-dropping-particle" : "", "parse-names" : false, "suffix" : "" } ], "container-title" : "Nature Materials", "id" : "ITEM-1", "issue" : "September", "issued" : { "date-parts" : [ [ "2014" ] ] }, "page" : "1149-1156", "title" : "Current-induced transition from particle-by-particle to concurrent intercalation in phase-separating battery electrodes", "type" : "article-journal", "volume" : "13" }, "uris" : [ "http://www.mendeley.com/documents/?uuid=0729ebfb-040c-4996-8deb-d0a049a686e7" ] } ], "mendeley" : { "formattedCitation" : "&lt;sup&gt;45&lt;/sup&gt;", "plainTextFormattedCitation" : "45", "previouslyFormattedCitation" : "&lt;sup&gt;45&lt;/sup&gt;" }, "properties" : { "noteIndex" : 0 }, "schema" : "https://github.com/citation-style-language/schema/raw/master/csl-citation.json" }</w:instrText>
      </w:r>
      <w:r w:rsidR="00DC274D"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45</w:t>
      </w:r>
      <w:r w:rsidR="00DC274D" w:rsidRPr="00692930">
        <w:rPr>
          <w:rFonts w:ascii="Times New Roman" w:hAnsi="Times New Roman"/>
          <w:sz w:val="24"/>
          <w:szCs w:val="24"/>
        </w:rPr>
        <w:fldChar w:fldCharType="end"/>
      </w:r>
      <w:r w:rsidR="00AC7E57" w:rsidRPr="00692930">
        <w:rPr>
          <w:rFonts w:ascii="Times New Roman" w:hAnsi="Times New Roman"/>
          <w:sz w:val="24"/>
          <w:szCs w:val="24"/>
        </w:rPr>
        <w:t xml:space="preserve"> </w:t>
      </w:r>
      <w:r w:rsidRPr="00692930">
        <w:rPr>
          <w:rFonts w:ascii="Times New Roman" w:eastAsiaTheme="minorHAnsi" w:hAnsi="Times New Roman"/>
          <w:bCs/>
          <w:sz w:val="24"/>
          <w:szCs w:val="24"/>
        </w:rPr>
        <w:t xml:space="preserve">It </w:t>
      </w:r>
      <w:r w:rsidR="00AC7E57" w:rsidRPr="00692930">
        <w:rPr>
          <w:rFonts w:ascii="Times New Roman" w:eastAsiaTheme="minorHAnsi" w:hAnsi="Times New Roman"/>
          <w:bCs/>
          <w:sz w:val="24"/>
          <w:szCs w:val="24"/>
        </w:rPr>
        <w:t>has been</w:t>
      </w:r>
      <w:r w:rsidRPr="00692930">
        <w:rPr>
          <w:rFonts w:ascii="Times New Roman" w:eastAsiaTheme="minorHAnsi" w:hAnsi="Times New Roman"/>
          <w:bCs/>
          <w:sz w:val="24"/>
          <w:szCs w:val="24"/>
        </w:rPr>
        <w:t xml:space="preserve"> suggested that the electrode accommodates </w:t>
      </w:r>
      <w:r w:rsidR="00AC7E57" w:rsidRPr="00692930">
        <w:rPr>
          <w:rFonts w:ascii="Times New Roman" w:eastAsiaTheme="minorHAnsi" w:hAnsi="Times New Roman"/>
          <w:bCs/>
          <w:sz w:val="24"/>
          <w:szCs w:val="24"/>
        </w:rPr>
        <w:t xml:space="preserve">the </w:t>
      </w:r>
      <w:r w:rsidRPr="00692930">
        <w:rPr>
          <w:rFonts w:ascii="Times New Roman" w:eastAsiaTheme="minorHAnsi" w:hAnsi="Times New Roman"/>
          <w:bCs/>
          <w:sz w:val="24"/>
          <w:szCs w:val="24"/>
        </w:rPr>
        <w:t>higher current by increasing the active particle population</w:t>
      </w:r>
      <w:r w:rsidR="006A62DB" w:rsidRPr="00692930">
        <w:rPr>
          <w:rFonts w:ascii="Times New Roman" w:eastAsiaTheme="minorHAnsi" w:hAnsi="Times New Roman"/>
          <w:bCs/>
          <w:sz w:val="24"/>
          <w:szCs w:val="24"/>
        </w:rPr>
        <w:t>.</w:t>
      </w:r>
      <w:r w:rsidR="00DC274D"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"10.1038/nmat4084", "ISBN" : "1476-1122", "abstract" : "Many battery electrodes contain ensembles of nanoparticles that phase-separate on (de)intercalation. In such electrodes, the fraction of actively intercalating particles directly impacts cycle life: a vanishing population concentrates the current in a small number of particles, leading to current hotspots. Reports of the active particle population in the phase-separating electrode lithium iron phosphate (LiFePO4; LFP) vary widely, ranging from near 0% (particle-by-particle) to 100% (concurrent intercalation). Using synchrotron-based X-ray microscopy, we probed the individual state-of-charge for over 3,000 LFP particles. We observed that the active population depends strongly on the cycling current, exhibiting particle-by-particle-like behaviour at low rates and increasingly concurrent behaviour at high rates, consistent with our phase-field porous electrode simulations. Contrary to intuition, the current density, or current per active internal surface area, is nearly invariant with the global electrode cycling rate. Rather, the electrode accommodates higher current by increasing the active particle population. This behaviour results from thermodynamic transformation barriers in LFP, and such a phenomenon probably extends to other phase-separating battery materials. We propose that modifying the transformation barrier and exchange current density can increase the active population and thus the current homogeneity. This could introduce new paradigms to enhance the cycle life of phase-separating battery electrodes.", "author" : [ { "dropping-particle" : "", "family" : "Li", "given" : "Yiyang", "non-dropping-particle" : "", "parse-names" : false, "suffix" : "" }, { "dropping-particle" : "", "family" : "Gabaly", "given" : "Farid", "non-dropping-particle" : "El", "parse-names" : false, "suffix" : "" }, { "dropping-particle" : "", "family" : "Ferguson", "given" : "Todd R", "non-dropping-particle" : "", "parse-names" : false, "suffix" : "" }, { "dropping-particle" : "", "family" : "Smith", "given" : "Raymond B", "non-dropping-particle" : "", "parse-names" : false, "suffix" : "" }, { "dropping-particle" : "", "family" : "Bartelt", "given" : "Norman C", "non-dropping-particle" : "", "parse-names" : false, "suffix" : "" }, { "dropping-particle" : "", "family" : "Sugar", "given" : "Joshua D", "non-dropping-particle" : "", "parse-names" : false, "suffix" : "" }, { "dropping-particle" : "", "family" : "Fenton", "given" : "Kyle R", "non-dropping-particle" : "", "parse-names" : false, "suffix" : "" }, { "dropping-particle" : "", "family" : "Cogswell", "given" : "Daniel a", "non-dropping-particle" : "", "parse-names" : false, "suffix" : "" }, { "dropping-particle" : "", "family" : "Kilcoyne", "given" : "a L David", "non-dropping-particle" : "", "parse-names" : false, "suffix" : "" }, { "dropping-particle" : "", "family" : "Tyliszczak", "given" : "Tolek", "non-dropping-particle" : "", "parse-names" : false, "suffix" : "" }, { "dropping-particle" : "", "family" : "Bazant", "given" : "Martin Z", "non-dropping-particle" : "", "parse-names" : false, "suffix" : "" }, { "dropping-particle" : "", "family" : "Chueh", "given" : "William C", "non-dropping-particle" : "", "parse-names" : false, "suffix" : "" } ], "container-title" : "Nature Materials", "id" : "ITEM-1", "issue" : "September", "issued" : { "date-parts" : [ [ "2014" ] ] }, "page" : "1149-1156", "title" : "Current-induced transition from particle-by-particle to concurrent intercalation in phase-separating battery electrodes", "type" : "article-journal", "volume" : "13" }, "uris" : [ "http://www.mendeley.com/documents/?uuid=0729ebfb-040c-4996-8deb-d0a049a686e7" ] } ], "mendeley" : { "formattedCitation" : "&lt;sup&gt;45&lt;/sup&gt;", "plainTextFormattedCitation" : "45", "previouslyFormattedCitation" : "&lt;sup&gt;45&lt;/sup&gt;" }, "properties" : { "noteIndex" : 0 }, "schema" : "https://github.com/citation-style-language/schema/raw/master/csl-citation.json" }</w:instrText>
      </w:r>
      <w:r w:rsidR="00DC274D"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45</w:t>
      </w:r>
      <w:r w:rsidR="00DC274D" w:rsidRPr="00692930">
        <w:rPr>
          <w:rFonts w:ascii="Times New Roman" w:hAnsi="Times New Roman"/>
          <w:sz w:val="24"/>
          <w:szCs w:val="24"/>
        </w:rPr>
        <w:fldChar w:fldCharType="end"/>
      </w:r>
      <w:r w:rsidRPr="00692930">
        <w:rPr>
          <w:rFonts w:ascii="Times New Roman" w:eastAsiaTheme="minorHAnsi" w:hAnsi="Times New Roman"/>
          <w:bCs/>
          <w:sz w:val="24"/>
          <w:szCs w:val="24"/>
        </w:rPr>
        <w:t xml:space="preserve"> </w:t>
      </w:r>
      <w:r w:rsidR="00AC7E57" w:rsidRPr="00692930">
        <w:rPr>
          <w:rFonts w:ascii="Times New Roman" w:hAnsi="Times New Roman"/>
          <w:sz w:val="24"/>
          <w:szCs w:val="24"/>
        </w:rPr>
        <w:t>Finally,</w:t>
      </w:r>
      <w:r w:rsidRPr="00692930">
        <w:rPr>
          <w:rFonts w:ascii="Times New Roman" w:hAnsi="Times New Roman"/>
          <w:sz w:val="24"/>
          <w:szCs w:val="24"/>
        </w:rPr>
        <w:t xml:space="preserve"> </w:t>
      </w:r>
      <w:r w:rsidRPr="00692930">
        <w:rPr>
          <w:rFonts w:ascii="Times New Roman" w:hAnsi="Times New Roman"/>
          <w:i/>
          <w:sz w:val="24"/>
          <w:szCs w:val="24"/>
        </w:rPr>
        <w:t>in-situ</w:t>
      </w:r>
      <w:r w:rsidRPr="00692930">
        <w:rPr>
          <w:rFonts w:ascii="Times New Roman" w:hAnsi="Times New Roman"/>
          <w:sz w:val="24"/>
          <w:szCs w:val="24"/>
        </w:rPr>
        <w:t xml:space="preserve"> </w:t>
      </w:r>
      <w:r w:rsidRPr="00692930">
        <w:rPr>
          <w:rFonts w:ascii="Times New Roman" w:hAnsi="Times New Roman"/>
          <w:sz w:val="24"/>
          <w:szCs w:val="24"/>
          <w:lang w:eastAsia="sl-SI"/>
        </w:rPr>
        <w:t>XRD studies with high temporal resolution during</w:t>
      </w:r>
      <w:r w:rsidRPr="00692930">
        <w:rPr>
          <w:rFonts w:ascii="Times New Roman" w:hAnsi="Times New Roman"/>
          <w:sz w:val="24"/>
          <w:szCs w:val="24"/>
        </w:rPr>
        <w:t xml:space="preserve"> </w:t>
      </w:r>
      <w:r w:rsidRPr="00692930">
        <w:rPr>
          <w:rFonts w:ascii="Times New Roman" w:hAnsi="Times New Roman"/>
          <w:sz w:val="24"/>
          <w:szCs w:val="24"/>
          <w:lang w:eastAsia="sl-SI"/>
        </w:rPr>
        <w:t>high-rate galvanostatic cycling</w:t>
      </w:r>
      <w:r w:rsidR="006A62DB" w:rsidRPr="00692930">
        <w:rPr>
          <w:rFonts w:ascii="Times New Roman" w:hAnsi="Times New Roman"/>
          <w:sz w:val="24"/>
          <w:szCs w:val="24"/>
          <w:lang w:eastAsia="sl-SI"/>
        </w:rPr>
        <w:t xml:space="preserve"> have revealed the formation of a nonequilibrium solid solution phase(s), Li</w:t>
      </w:r>
      <w:r w:rsidR="006A62DB" w:rsidRPr="00692930">
        <w:rPr>
          <w:rFonts w:ascii="Times New Roman" w:hAnsi="Times New Roman"/>
          <w:i/>
          <w:iCs/>
          <w:sz w:val="24"/>
          <w:szCs w:val="24"/>
          <w:vertAlign w:val="subscript"/>
          <w:lang w:eastAsia="sl-SI"/>
        </w:rPr>
        <w:t>x</w:t>
      </w:r>
      <w:r w:rsidR="006A62DB" w:rsidRPr="00692930">
        <w:rPr>
          <w:rFonts w:ascii="Times New Roman" w:hAnsi="Times New Roman"/>
          <w:sz w:val="24"/>
          <w:szCs w:val="24"/>
          <w:lang w:eastAsia="sl-SI"/>
        </w:rPr>
        <w:t>FePO</w:t>
      </w:r>
      <w:r w:rsidR="006A62DB" w:rsidRPr="00692930">
        <w:rPr>
          <w:rFonts w:ascii="Times New Roman" w:hAnsi="Times New Roman"/>
          <w:sz w:val="24"/>
          <w:szCs w:val="24"/>
          <w:vertAlign w:val="subscript"/>
          <w:lang w:eastAsia="sl-SI"/>
        </w:rPr>
        <w:t>4</w:t>
      </w:r>
      <w:r w:rsidR="006A62DB" w:rsidRPr="00692930">
        <w:rPr>
          <w:rFonts w:ascii="Times New Roman" w:hAnsi="Times New Roman"/>
          <w:sz w:val="24"/>
          <w:szCs w:val="24"/>
          <w:lang w:eastAsia="sl-SI"/>
        </w:rPr>
        <w:t xml:space="preserve"> (0 &lt; </w:t>
      </w:r>
      <w:r w:rsidR="006A62DB" w:rsidRPr="00692930">
        <w:rPr>
          <w:rFonts w:ascii="Times New Roman" w:hAnsi="Times New Roman"/>
          <w:i/>
          <w:iCs/>
          <w:sz w:val="24"/>
          <w:szCs w:val="24"/>
          <w:lang w:eastAsia="sl-SI"/>
        </w:rPr>
        <w:t xml:space="preserve">x </w:t>
      </w:r>
      <w:r w:rsidR="006A62DB" w:rsidRPr="00692930">
        <w:rPr>
          <w:rFonts w:ascii="Times New Roman" w:hAnsi="Times New Roman"/>
          <w:sz w:val="24"/>
          <w:szCs w:val="24"/>
          <w:lang w:eastAsia="sl-SI"/>
        </w:rPr>
        <w:t>&lt; 1), where</w:t>
      </w:r>
      <w:r w:rsidR="006A62DB" w:rsidRPr="00692930">
        <w:rPr>
          <w:rFonts w:ascii="Times New Roman" w:eastAsiaTheme="minorHAnsi" w:hAnsi="Times New Roman"/>
          <w:sz w:val="24"/>
          <w:szCs w:val="24"/>
        </w:rPr>
        <w:t xml:space="preserve"> the distribution of solid solution compositions </w:t>
      </w:r>
      <w:r w:rsidR="006A62DB" w:rsidRPr="00692930">
        <w:rPr>
          <w:rFonts w:ascii="Times New Roman" w:hAnsi="Times New Roman"/>
          <w:sz w:val="24"/>
          <w:szCs w:val="24"/>
          <w:lang w:eastAsia="sl-SI"/>
        </w:rPr>
        <w:t>span the entire composition range between two thermodynamic phases, LiFePO</w:t>
      </w:r>
      <w:r w:rsidR="006A62DB" w:rsidRPr="00692930">
        <w:rPr>
          <w:rFonts w:ascii="Times New Roman" w:hAnsi="Times New Roman"/>
          <w:sz w:val="24"/>
          <w:szCs w:val="24"/>
          <w:vertAlign w:val="subscript"/>
          <w:lang w:eastAsia="sl-SI"/>
        </w:rPr>
        <w:t>4</w:t>
      </w:r>
      <w:r w:rsidR="006A62DB" w:rsidRPr="00692930">
        <w:rPr>
          <w:rFonts w:ascii="Times New Roman" w:hAnsi="Times New Roman"/>
          <w:sz w:val="24"/>
          <w:szCs w:val="24"/>
          <w:lang w:eastAsia="sl-SI"/>
        </w:rPr>
        <w:t xml:space="preserve"> and FePO</w:t>
      </w:r>
      <w:r w:rsidR="006A62DB" w:rsidRPr="00692930">
        <w:rPr>
          <w:rFonts w:ascii="Times New Roman" w:hAnsi="Times New Roman"/>
          <w:sz w:val="24"/>
          <w:szCs w:val="24"/>
          <w:vertAlign w:val="subscript"/>
          <w:lang w:eastAsia="sl-SI"/>
        </w:rPr>
        <w:t>4</w:t>
      </w:r>
      <w:r w:rsidR="006A62DB" w:rsidRPr="00692930">
        <w:rPr>
          <w:rFonts w:ascii="Times New Roman" w:hAnsi="Times New Roman"/>
          <w:sz w:val="24"/>
          <w:szCs w:val="24"/>
          <w:lang w:eastAsia="sl-SI"/>
        </w:rPr>
        <w:t>.</w:t>
      </w:r>
      <w:r w:rsidR="00DC274D"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"10.1021/nl404285y", "ISBN" : "1530-6984; 1530-6992", "ISSN" : "15306992", "PMID" : "24707878", "abstract" : "The impact of ultrahigh (dis)charge rates on the phase transition mechanism in LiFePO4 Li-ion electrodes is revealed by in situ synchrotron diffraction. At high rates the solubility limits in both phases increase dramatically, causing a fraction of the electrode to bypass the first-order phase transition. The small transforming fraction demonstrates that nucleation rates are consequently not limiting the transformation rate. In combination with the small fraction of the electrode that transforms at high rates, this indicates that higher performances may be achieved by further optimizing the ionic/electronic transport in LiFePO4 electrodes.", "author" : [ { "dropping-particle" : "", "family" : "Zhang", "given" : "Xiaoyu", "non-dropping-particle" : "", "parse-names" : false, "suffix" : "" }, { "dropping-particle" : "", "family" : "Hulzen", "given" : "Martijn", "non-dropping-particle" : "Van", "parse-names" : false, "suffix" : "" }, { "dropping-particle" : "", "family" : "Singh", "given" : "Deepak P.", "non-dropping-particle" : "", "parse-names" : false, "suffix" : "" }, { "dropping-particle" : "", "family" : "Brownrigg", "given" : "Alex", "non-dropping-particle" : "", "parse-names" : false, "suffix" : "" }, { "dropping-particle" : "", "family" : "Wright", "given" : "Jonathan P.", "non-dropping-particle" : "", "parse-names" : false, "suffix" : "" }, { "dropping-particle" : "", "family" : "Dijk", "given" : "Niels H.", "non-dropping-particle" : "Van", "parse-names" : false, "suffix" : "" }, { "dropping-particle" : "", "family" : "Wagemaker", "given" : "Marnix", "non-dropping-particle" : "", "parse-names" : false, "suffix" : "" } ], "container-title" : "Nano Letters", "id" : "ITEM-1", "issue" : "5", "issued" : { "date-parts" : [ [ "2014" ] ] }, "page" : "2279-2285", "title" : "Rate-induced solubility and suppression of the first-order phase transition in olivine LiFePO4", "type" : "article-journal", "volume" : "14" }, "uris" : [ "http://www.mendeley.com/documents/?uuid=5856daa5-3889-42fb-a0ea-1ba5029dbf62" ] }, { "id" : "ITEM-2", "itemData" : { "DOI" : "10.1126/science.1255819", "ISSN" : "0036-8075", "author" : [ { "dropping-particle" : "", "family" : "Liu", "given" : "Hao", "non-dropping-particle" : "", "parse-names" : false, "suffix" : "" }, { "dropping-particle" : "", "family" : "Strobridge", "given" : "Fiona C.", "non-dropping-particle" : "", "parse-names" : false, "suffix" : "" }, { "dropping-particle" : "", "family" : "Borkiewicz", "given" : "Olaf J.", "non-dropping-particle" : "", "parse-names" : false, "suffix" : "" }, { "dropping-particle" : "", "family" : "Wiaderek", "given" : "Kamila M.", "non-dropping-particle" : "", "parse-names" : false, "suffix" : "" }, { "dropping-particle" : "", "family" : "Chapman", "given" : "Karena W.", "non-dropping-particle" : "", "parse-names" : false, "suffix" : "" }, { "dropping-particle" : "", "family" : "Chupas", "given" : "Peter J.", "non-dropping-particle" : "", "parse-names" : false, "suffix" : "" }, { "dropping-particle" : "", "family" : "Grey", "given" : "Clare P.", "non-dropping-particle" : "", "parse-names" : false, "suffix" : "" } ], "container-title" : "Science", "id" : "ITEM-2", "issue" : "6191", "issued" : { "date-parts" : [ [ "2014" ] ] }, "page" : "1451-1452", "title" : "Capturing metastable structures during high-rate cycling of LiFePO4 nanoparticle electrodes", "type" : "article-journal", "volume" : "344" }, "uris" : [ "http://www.mendeley.com/documents/?uuid=c2f6ce62-a455-4808-a26f-ae54048da514", "http://www.mendeley.com/documents/?uuid=47902dfd-99e3-4121-80bc-6832cccf5808" ] } ], "mendeley" : { "formattedCitation" : "&lt;sup&gt;52,53&lt;/sup&gt;", "plainTextFormattedCitation" : "52,53", "previouslyFormattedCitation" : "&lt;sup&gt;52,53&lt;/sup&gt;" }, "properties" : { "noteIndex" : 0 }, "schema" : "https://github.com/citation-style-language/schema/raw/master/csl-citation.json" }</w:instrText>
      </w:r>
      <w:r w:rsidR="00DC274D"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52,53</w:t>
      </w:r>
      <w:r w:rsidR="00DC274D" w:rsidRPr="00692930">
        <w:rPr>
          <w:rFonts w:ascii="Times New Roman" w:hAnsi="Times New Roman"/>
          <w:sz w:val="24"/>
          <w:szCs w:val="24"/>
        </w:rPr>
        <w:fldChar w:fldCharType="end"/>
      </w:r>
      <w:r w:rsidRPr="00692930">
        <w:rPr>
          <w:rFonts w:ascii="Times New Roman" w:hAnsi="Times New Roman"/>
          <w:sz w:val="24"/>
          <w:szCs w:val="24"/>
          <w:lang w:eastAsia="sl-SI"/>
        </w:rPr>
        <w:t xml:space="preserve"> </w:t>
      </w:r>
      <w:r w:rsidR="00AC7E57" w:rsidRPr="00692930">
        <w:rPr>
          <w:rFonts w:ascii="Times New Roman" w:eastAsiaTheme="minorHAnsi" w:hAnsi="Times New Roman"/>
          <w:sz w:val="24"/>
          <w:szCs w:val="24"/>
        </w:rPr>
        <w:t xml:space="preserve">Thus, </w:t>
      </w:r>
      <w:r w:rsidRPr="00692930">
        <w:rPr>
          <w:rFonts w:ascii="Times New Roman" w:hAnsi="Times New Roman"/>
          <w:sz w:val="24"/>
          <w:szCs w:val="24"/>
        </w:rPr>
        <w:t xml:space="preserve">at high global current densities (e.g. 5C and higher) the </w:t>
      </w:r>
      <w:r w:rsidRPr="00692930">
        <w:rPr>
          <w:rFonts w:ascii="Times New Roman" w:hAnsi="Times New Roman"/>
          <w:sz w:val="24"/>
          <w:szCs w:val="24"/>
          <w:lang w:eastAsia="sl-SI"/>
        </w:rPr>
        <w:t>fraction of the LFP electrode that reacts simultaneously via nonequilibrium solid solution increases with the</w:t>
      </w:r>
      <w:r w:rsidRPr="00692930">
        <w:rPr>
          <w:rFonts w:ascii="Times New Roman" w:hAnsi="Times New Roman"/>
          <w:sz w:val="24"/>
          <w:szCs w:val="24"/>
        </w:rPr>
        <w:t xml:space="preserve"> increasing</w:t>
      </w:r>
      <w:r w:rsidRPr="00692930">
        <w:rPr>
          <w:rFonts w:ascii="Times New Roman" w:hAnsi="Times New Roman"/>
          <w:sz w:val="24"/>
          <w:szCs w:val="24"/>
          <w:lang w:eastAsia="sl-SI"/>
        </w:rPr>
        <w:t xml:space="preserve"> C-rate</w:t>
      </w:r>
      <w:r w:rsidR="006A62DB" w:rsidRPr="00692930">
        <w:rPr>
          <w:rFonts w:ascii="Times New Roman" w:hAnsi="Times New Roman"/>
          <w:sz w:val="24"/>
          <w:szCs w:val="24"/>
          <w:lang w:eastAsia="sl-SI"/>
        </w:rPr>
        <w:t>.</w:t>
      </w:r>
      <w:r w:rsidR="000C6327" w:rsidRPr="00692930">
        <w:rPr>
          <w:rFonts w:ascii="Times New Roman" w:hAnsi="Times New Roman"/>
          <w:sz w:val="24"/>
          <w:szCs w:val="24"/>
        </w:rPr>
        <w:fldChar w:fldCharType="begin" w:fldLock="1"/>
      </w:r>
      <w:r w:rsidR="00750EA2">
        <w:rPr>
          <w:rFonts w:ascii="Times New Roman" w:hAnsi="Times New Roman"/>
          <w:sz w:val="24"/>
          <w:szCs w:val="24"/>
        </w:rPr>
        <w:instrText>ADDIN CSL_CITATION { "citationItems" : [ { "id" : "ITEM-1", "itemData" : { "DOI" : "10.1021/nl404285y", "ISBN" : "1530-6984; 1530-6992", "ISSN" : "15306992", "PMID" : "24707878", "abstract" : "The impact of ultrahigh (dis)charge rates on the phase transition mechanism in LiFePO4 Li-ion electrodes is revealed by in situ synchrotron diffraction. At high rates the solubility limits in both phases increase dramatically, causing a fraction of the electrode to bypass the first-order phase transition. The small transforming fraction demonstrates that nucleation rates are consequently not limiting the transformation rate. In combination with the small fraction of the electrode that transforms at high rates, this indicates that higher performances may be achieved by further optimizing the ionic/electronic transport in LiFePO4 electrodes.", "author" : [ { "dropping-particle" : "", "family" : "Zhang", "given" : "Xiaoyu", "non-dropping-particle" : "", "parse-names" : false, "suffix" : "" }, { "dropping-particle" : "", "family" : "Hulzen", "given" : "Martijn", "non-dropping-particle" : "Van", "parse-names" : false, "suffix" : "" }, { "dropping-particle" : "", "family" : "Singh", "given" : "Deepak P.", "non-dropping-particle" : "", "parse-names" : false, "suffix" : "" }, { "dropping-particle" : "", "family" : "Brownrigg", "given" : "Alex", "non-dropping-particle" : "", "parse-names" : false, "suffix" : "" }, { "dropping-particle" : "", "family" : "Wright", "given" : "Jonathan P.", "non-dropping-particle" : "", "parse-names" : false, "suffix" : "" }, { "dropping-particle" : "", "family" : "Dijk", "given" : "Niels H.", "non-dropping-particle" : "Van", "parse-names" : false, "suffix" : "" }, { "dropping-particle" : "", "family" : "Wagemaker", "given" : "Marnix", "non-dropping-particle" : "", "parse-names" : false, "suffix" : "" } ], "container-title" : "Nano Letters", "id" : "ITEM-1", "issue" : "5", "issued" : { "date-parts" : [ [ "2014" ] ] }, "page" : "2279-2285", "title" : "Rate-induced solubility and suppression of the first-order phase transition in olivine LiFePO4", "type" : "article-journal", "volume" : "14" }, "uris" : [ "http://www.mendeley.com/documents/?uuid=5856daa5-3889-42fb-a0ea-1ba5029dbf62" ] }, { "id" : "ITEM-2", "itemData" : { "DOI" : "10.1126/science.1255819", "ISSN" : "0036-8075", "author" : [ { "dropping-particle" : "", "family" : "Liu", "given" : "Hao", "non-dropping-particle" : "", "parse-names" : false, "suffix" : "" }, { "dropping-particle" : "", "family" : "Strobridge", "given" : "Fiona C.", "non-dropping-particle" : "", "parse-names" : false, "suffix" : "" }, { "dropping-particle" : "", "family" : "Borkiewicz", "given" : "Olaf J.", "non-dropping-particle" : "", "parse-names" : false, "suffix" : "" }, { "dropping-particle" : "", "family" : "Wiaderek", "given" : "Kamila M.", "non-dropping-particle" : "", "parse-names" : false, "suffix" : "" }, { "dropping-particle" : "", "family" : "Chapman", "given" : "Karena W.", "non-dropping-particle" : "", "parse-names" : false, "suffix" : "" }, { "dropping-particle" : "", "family" : "Chupas", "given" : "Peter J.", "non-dropping-particle" : "", "parse-names" : false, "suffix" : "" }, { "dropping-particle" : "", "family" : "Grey", "given" : "Clare P.", "non-dropping-particle" : "", "parse-names" : false, "suffix" : "" } ], "container-title" : "Science", "id" : "ITEM-2", "issue" : "6191", "issued" : { "date-parts" : [ [ "2014" ] ] }, "page" : "1451-1452", "title" : "Capturing metastable structures during high-rate cycling of LiFePO4 nanoparticle electrodes", "type" : "article-journal", "volume" : "344" }, "uris" : [ "http://www.mendeley.com/documents/?uuid=47902dfd-99e3-4121-80bc-6832cccf5808", "http://www.mendeley.com/documents/?uuid=c2f6ce62-a455-4808-a26f-ae54048da514", "http://www.mendeley.com/documents/?uuid=5466335c-38c3-4c28-913c-23e99f00ee74" ] } ], "mendeley" : { "formattedCitation" : "&lt;sup&gt;52,53&lt;/sup&gt;", "plainTextFormattedCitation" : "52,53", "previouslyFormattedCitation" : "&lt;sup&gt;52,53&lt;/sup&gt;" }, "properties" : { "noteIndex" : 0 }, "schema" : "https://github.com/citation-style-language/schema/raw/master/csl-citation.json" }</w:instrText>
      </w:r>
      <w:r w:rsidR="000C6327" w:rsidRPr="00692930">
        <w:rPr>
          <w:rFonts w:ascii="Times New Roman" w:hAnsi="Times New Roman"/>
          <w:sz w:val="24"/>
          <w:szCs w:val="24"/>
        </w:rPr>
        <w:fldChar w:fldCharType="separate"/>
      </w:r>
      <w:r w:rsidR="007D65EC" w:rsidRPr="007D65EC">
        <w:rPr>
          <w:rFonts w:ascii="Times New Roman" w:hAnsi="Times New Roman"/>
          <w:noProof/>
          <w:sz w:val="24"/>
          <w:szCs w:val="24"/>
          <w:vertAlign w:val="superscript"/>
        </w:rPr>
        <w:t>52,53</w:t>
      </w:r>
      <w:r w:rsidR="000C6327" w:rsidRPr="00692930">
        <w:rPr>
          <w:rFonts w:ascii="Times New Roman" w:hAnsi="Times New Roman"/>
          <w:sz w:val="24"/>
          <w:szCs w:val="24"/>
        </w:rPr>
        <w:fldChar w:fldCharType="end"/>
      </w:r>
      <w:r w:rsidRPr="00692930">
        <w:rPr>
          <w:rFonts w:ascii="Times New Roman" w:eastAsiaTheme="minorHAnsi" w:hAnsi="Times New Roman"/>
          <w:bCs/>
          <w:sz w:val="24"/>
          <w:szCs w:val="24"/>
        </w:rPr>
        <w:t xml:space="preserve"> </w:t>
      </w:r>
    </w:p>
    <w:p w:rsidR="00AC7E57" w:rsidRPr="00692930" w:rsidRDefault="00AC7E57" w:rsidP="008A3866">
      <w:pPr>
        <w:rPr>
          <w:rFonts w:ascii="Times New Roman" w:hAnsi="Times New Roman"/>
          <w:sz w:val="24"/>
          <w:szCs w:val="24"/>
          <w:lang w:eastAsia="sl-SI"/>
        </w:rPr>
      </w:pPr>
      <w:r w:rsidRPr="00692930">
        <w:rPr>
          <w:rFonts w:ascii="Times New Roman" w:hAnsi="Times New Roman"/>
          <w:sz w:val="24"/>
          <w:szCs w:val="24"/>
          <w:lang w:eastAsia="sl-SI"/>
        </w:rPr>
        <w:t>In terms of the present results it is important to conclude that any of the mechanisms independently proposed in the above reports could be responsible for the observed current-voltage non-linearity</w:t>
      </w:r>
      <w:r w:rsidR="00B076D7" w:rsidRPr="00692930">
        <w:rPr>
          <w:rFonts w:ascii="Times New Roman" w:hAnsi="Times New Roman"/>
          <w:sz w:val="24"/>
          <w:szCs w:val="24"/>
          <w:lang w:eastAsia="sl-SI"/>
        </w:rPr>
        <w:t xml:space="preserve"> (“activation” phenomenon). Namely, if we assume that the fraction of active particles </w:t>
      </w:r>
      <w:r w:rsidR="00B20949" w:rsidRPr="00692930">
        <w:rPr>
          <w:rFonts w:ascii="Times New Roman" w:hAnsi="Times New Roman"/>
          <w:sz w:val="24"/>
          <w:szCs w:val="24"/>
          <w:lang w:eastAsia="sl-SI"/>
        </w:rPr>
        <w:t xml:space="preserve">indeed </w:t>
      </w:r>
      <w:r w:rsidR="00B076D7" w:rsidRPr="00692930">
        <w:rPr>
          <w:rFonts w:ascii="Times New Roman" w:hAnsi="Times New Roman"/>
          <w:sz w:val="24"/>
          <w:szCs w:val="24"/>
          <w:lang w:eastAsia="sl-SI"/>
        </w:rPr>
        <w:t xml:space="preserve">increases with C-rate (overpotential) then the results of Fig. 5 can be explained </w:t>
      </w:r>
      <w:r w:rsidR="00B20949" w:rsidRPr="00692930">
        <w:rPr>
          <w:rFonts w:ascii="Times New Roman" w:hAnsi="Times New Roman"/>
          <w:sz w:val="24"/>
          <w:szCs w:val="24"/>
          <w:lang w:eastAsia="sl-SI"/>
        </w:rPr>
        <w:t xml:space="preserve">straightforwardly. Even more, in this case </w:t>
      </w:r>
      <w:r w:rsidR="00B076D7" w:rsidRPr="00692930">
        <w:rPr>
          <w:rFonts w:ascii="Times New Roman" w:hAnsi="Times New Roman"/>
          <w:sz w:val="24"/>
          <w:szCs w:val="24"/>
          <w:lang w:eastAsia="sl-SI"/>
        </w:rPr>
        <w:t xml:space="preserve">the </w:t>
      </w:r>
      <w:r w:rsidR="00B20949" w:rsidRPr="00692930">
        <w:rPr>
          <w:rFonts w:ascii="Times New Roman" w:hAnsi="Times New Roman"/>
          <w:sz w:val="24"/>
          <w:szCs w:val="24"/>
          <w:lang w:eastAsia="sl-SI"/>
        </w:rPr>
        <w:t>curves</w:t>
      </w:r>
      <w:r w:rsidR="00B076D7" w:rsidRPr="00692930">
        <w:rPr>
          <w:rFonts w:ascii="Times New Roman" w:hAnsi="Times New Roman"/>
          <w:sz w:val="24"/>
          <w:szCs w:val="24"/>
          <w:lang w:eastAsia="sl-SI"/>
        </w:rPr>
        <w:t xml:space="preserve"> shown in Figure 5 could directly serve for estimation of the fraction of “active” particles at any given current (overpotential). </w:t>
      </w:r>
      <w:r w:rsidR="00B20949" w:rsidRPr="00692930">
        <w:rPr>
          <w:rFonts w:ascii="Times New Roman" w:hAnsi="Times New Roman"/>
          <w:sz w:val="24"/>
          <w:szCs w:val="24"/>
          <w:lang w:eastAsia="sl-SI"/>
        </w:rPr>
        <w:t xml:space="preserve">Finally, if it is true that the current-voltage characteristic is non-linear due to increasing fraction of active particles, then certainly this is a new, previously unreported origin of current-voltage non-linearity in electrochemistry. </w:t>
      </w:r>
    </w:p>
    <w:p w:rsidR="00AC7E57" w:rsidRPr="00692930" w:rsidRDefault="00AC7E57" w:rsidP="008A3866">
      <w:pPr>
        <w:rPr>
          <w:rFonts w:ascii="Times New Roman" w:hAnsi="Times New Roman"/>
          <w:sz w:val="24"/>
          <w:szCs w:val="24"/>
        </w:rPr>
      </w:pPr>
    </w:p>
    <w:p w:rsidR="00B20949" w:rsidRPr="00692930" w:rsidRDefault="005D0538" w:rsidP="005D0538">
      <w:pPr>
        <w:ind w:firstLine="0"/>
        <w:rPr>
          <w:rFonts w:ascii="Times New Roman" w:hAnsi="Times New Roman"/>
          <w:b/>
          <w:sz w:val="24"/>
          <w:szCs w:val="24"/>
        </w:rPr>
      </w:pPr>
      <w:r w:rsidRPr="00692930">
        <w:rPr>
          <w:rFonts w:ascii="Times New Roman" w:hAnsi="Times New Roman"/>
          <w:b/>
          <w:sz w:val="24"/>
          <w:szCs w:val="24"/>
        </w:rPr>
        <w:t xml:space="preserve">4. </w:t>
      </w:r>
      <w:r w:rsidR="00B20949" w:rsidRPr="00692930">
        <w:rPr>
          <w:rFonts w:ascii="Times New Roman" w:hAnsi="Times New Roman"/>
          <w:b/>
          <w:sz w:val="24"/>
          <w:szCs w:val="24"/>
        </w:rPr>
        <w:t>Conclusion</w:t>
      </w:r>
    </w:p>
    <w:p w:rsidR="0056485E" w:rsidRPr="00692930" w:rsidRDefault="0056485E" w:rsidP="008A3866">
      <w:pPr>
        <w:rPr>
          <w:rFonts w:ascii="Times New Roman" w:hAnsi="Times New Roman"/>
          <w:b/>
          <w:sz w:val="24"/>
          <w:szCs w:val="24"/>
        </w:rPr>
      </w:pPr>
    </w:p>
    <w:p w:rsidR="009D54B0" w:rsidRPr="00692930" w:rsidRDefault="00195344" w:rsidP="008A3866">
      <w:pPr>
        <w:rPr>
          <w:rFonts w:ascii="Times New Roman" w:hAnsi="Times New Roman"/>
          <w:color w:val="00B0F0"/>
          <w:sz w:val="24"/>
          <w:szCs w:val="24"/>
        </w:rPr>
      </w:pPr>
      <w:r w:rsidRPr="00692930">
        <w:rPr>
          <w:rFonts w:ascii="Times New Roman" w:hAnsi="Times New Roman"/>
          <w:sz w:val="24"/>
          <w:szCs w:val="24"/>
        </w:rPr>
        <w:t>Although the electrochemical behaviour of LMP is relatively poor at low current densities (C-rates)</w:t>
      </w:r>
      <w:r w:rsidR="00551268" w:rsidRPr="00692930">
        <w:rPr>
          <w:rFonts w:ascii="Times New Roman" w:hAnsi="Times New Roman"/>
          <w:sz w:val="24"/>
          <w:szCs w:val="24"/>
        </w:rPr>
        <w:t>,</w:t>
      </w:r>
      <w:r w:rsidRPr="00692930">
        <w:rPr>
          <w:rFonts w:ascii="Times New Roman" w:hAnsi="Times New Roman"/>
          <w:sz w:val="24"/>
          <w:szCs w:val="24"/>
        </w:rPr>
        <w:t xml:space="preserve"> it becomes su</w:t>
      </w:r>
      <w:r w:rsidR="00692930" w:rsidRPr="00692930">
        <w:rPr>
          <w:rFonts w:ascii="Times New Roman" w:hAnsi="Times New Roman"/>
          <w:sz w:val="24"/>
          <w:szCs w:val="24"/>
        </w:rPr>
        <w:t>r</w:t>
      </w:r>
      <w:r w:rsidRPr="00692930">
        <w:rPr>
          <w:rFonts w:ascii="Times New Roman" w:hAnsi="Times New Roman"/>
          <w:sz w:val="24"/>
          <w:szCs w:val="24"/>
        </w:rPr>
        <w:t>prisingly good at higher rates</w:t>
      </w:r>
      <w:r w:rsidR="00261425" w:rsidRPr="00692930">
        <w:rPr>
          <w:rFonts w:ascii="Times New Roman" w:hAnsi="Times New Roman"/>
          <w:sz w:val="24"/>
          <w:szCs w:val="24"/>
        </w:rPr>
        <w:t>, at least in some aspects</w:t>
      </w:r>
      <w:r w:rsidRPr="00692930">
        <w:rPr>
          <w:rFonts w:ascii="Times New Roman" w:hAnsi="Times New Roman"/>
          <w:sz w:val="24"/>
          <w:szCs w:val="24"/>
        </w:rPr>
        <w:t xml:space="preserve">. </w:t>
      </w:r>
      <w:r w:rsidR="00551268" w:rsidRPr="00692930">
        <w:rPr>
          <w:rFonts w:ascii="Times New Roman" w:hAnsi="Times New Roman"/>
          <w:sz w:val="24"/>
          <w:szCs w:val="24"/>
        </w:rPr>
        <w:t>For example, at current rates above ca. 1.5 A/g t</w:t>
      </w:r>
      <w:r w:rsidRPr="00692930">
        <w:rPr>
          <w:rFonts w:ascii="Times New Roman" w:hAnsi="Times New Roman"/>
          <w:sz w:val="24"/>
          <w:szCs w:val="24"/>
        </w:rPr>
        <w:t xml:space="preserve">he </w:t>
      </w:r>
      <w:r w:rsidR="00551268" w:rsidRPr="00692930">
        <w:rPr>
          <w:rFonts w:ascii="Times New Roman" w:hAnsi="Times New Roman"/>
          <w:sz w:val="24"/>
          <w:szCs w:val="24"/>
        </w:rPr>
        <w:t xml:space="preserve">energy </w:t>
      </w:r>
      <w:r w:rsidRPr="00692930">
        <w:rPr>
          <w:rFonts w:ascii="Times New Roman" w:hAnsi="Times New Roman"/>
          <w:sz w:val="24"/>
          <w:szCs w:val="24"/>
        </w:rPr>
        <w:t xml:space="preserve">efficiency </w:t>
      </w:r>
      <w:r w:rsidR="00261425" w:rsidRPr="00692930">
        <w:rPr>
          <w:rFonts w:ascii="Times New Roman" w:hAnsi="Times New Roman"/>
          <w:sz w:val="24"/>
          <w:szCs w:val="24"/>
        </w:rPr>
        <w:t xml:space="preserve">of LMP </w:t>
      </w:r>
      <w:r w:rsidRPr="00692930">
        <w:rPr>
          <w:rFonts w:ascii="Times New Roman" w:hAnsi="Times New Roman"/>
          <w:sz w:val="24"/>
          <w:szCs w:val="24"/>
        </w:rPr>
        <w:t xml:space="preserve">becomes even higher than that of LFP </w:t>
      </w:r>
      <w:r w:rsidR="00551268" w:rsidRPr="00692930">
        <w:rPr>
          <w:rFonts w:ascii="Times New Roman" w:hAnsi="Times New Roman"/>
          <w:sz w:val="24"/>
          <w:szCs w:val="24"/>
        </w:rPr>
        <w:t xml:space="preserve">and gradually approaches </w:t>
      </w:r>
      <w:r w:rsidR="00261425" w:rsidRPr="00692930">
        <w:rPr>
          <w:rFonts w:ascii="Times New Roman" w:hAnsi="Times New Roman"/>
          <w:sz w:val="24"/>
          <w:szCs w:val="24"/>
        </w:rPr>
        <w:t xml:space="preserve">to </w:t>
      </w:r>
      <w:r w:rsidR="00551268" w:rsidRPr="00692930">
        <w:rPr>
          <w:rFonts w:ascii="Times New Roman" w:hAnsi="Times New Roman"/>
          <w:sz w:val="24"/>
          <w:szCs w:val="24"/>
        </w:rPr>
        <w:t>that of LCO</w:t>
      </w:r>
      <w:r w:rsidRPr="00692930">
        <w:rPr>
          <w:rFonts w:ascii="Times New Roman" w:hAnsi="Times New Roman"/>
          <w:sz w:val="24"/>
          <w:szCs w:val="24"/>
        </w:rPr>
        <w:t xml:space="preserve">. We showed that this may be </w:t>
      </w:r>
      <w:r w:rsidR="00551268" w:rsidRPr="00692930">
        <w:rPr>
          <w:rFonts w:ascii="Times New Roman" w:hAnsi="Times New Roman"/>
          <w:sz w:val="24"/>
          <w:szCs w:val="24"/>
        </w:rPr>
        <w:t xml:space="preserve">strongly </w:t>
      </w:r>
      <w:r w:rsidRPr="00692930">
        <w:rPr>
          <w:rFonts w:ascii="Times New Roman" w:hAnsi="Times New Roman"/>
          <w:sz w:val="24"/>
          <w:szCs w:val="24"/>
        </w:rPr>
        <w:t>correlated to the nature of overvoltage-current characterist</w:t>
      </w:r>
      <w:r w:rsidR="00551268" w:rsidRPr="00692930">
        <w:rPr>
          <w:rFonts w:ascii="Times New Roman" w:hAnsi="Times New Roman"/>
          <w:sz w:val="24"/>
          <w:szCs w:val="24"/>
        </w:rPr>
        <w:t>ic</w:t>
      </w:r>
      <w:r w:rsidR="00560613" w:rsidRPr="00692930">
        <w:rPr>
          <w:rFonts w:ascii="Times New Roman" w:hAnsi="Times New Roman"/>
          <w:sz w:val="24"/>
          <w:szCs w:val="24"/>
        </w:rPr>
        <w:t xml:space="preserve">. Whereas in LCO this relationship is more or less linear, it deviates from linearity in both olivines. </w:t>
      </w:r>
      <w:r w:rsidR="00261425" w:rsidRPr="00692930">
        <w:rPr>
          <w:rFonts w:ascii="Times New Roman" w:hAnsi="Times New Roman"/>
          <w:sz w:val="24"/>
          <w:szCs w:val="24"/>
        </w:rPr>
        <w:t>This</w:t>
      </w:r>
      <w:r w:rsidR="00551268" w:rsidRPr="00692930">
        <w:rPr>
          <w:rFonts w:ascii="Times New Roman" w:hAnsi="Times New Roman"/>
          <w:sz w:val="24"/>
          <w:szCs w:val="24"/>
        </w:rPr>
        <w:t xml:space="preserve"> non-linearity </w:t>
      </w:r>
      <w:r w:rsidR="00261425" w:rsidRPr="00692930">
        <w:rPr>
          <w:rFonts w:ascii="Times New Roman" w:hAnsi="Times New Roman"/>
          <w:sz w:val="24"/>
          <w:szCs w:val="24"/>
        </w:rPr>
        <w:t>can be</w:t>
      </w:r>
      <w:r w:rsidR="00551268" w:rsidRPr="00692930">
        <w:rPr>
          <w:rFonts w:ascii="Times New Roman" w:hAnsi="Times New Roman"/>
          <w:sz w:val="24"/>
          <w:szCs w:val="24"/>
        </w:rPr>
        <w:t xml:space="preserve"> seen as an </w:t>
      </w:r>
      <w:r w:rsidR="00261425" w:rsidRPr="00692930">
        <w:rPr>
          <w:rFonts w:ascii="Times New Roman" w:hAnsi="Times New Roman"/>
          <w:sz w:val="24"/>
          <w:szCs w:val="24"/>
        </w:rPr>
        <w:t xml:space="preserve">increasing </w:t>
      </w:r>
      <w:r w:rsidR="00551268" w:rsidRPr="00692930">
        <w:rPr>
          <w:rFonts w:ascii="Times New Roman" w:hAnsi="Times New Roman"/>
          <w:sz w:val="24"/>
          <w:szCs w:val="24"/>
        </w:rPr>
        <w:t xml:space="preserve">activation of active material </w:t>
      </w:r>
      <w:r w:rsidR="00261425" w:rsidRPr="00692930">
        <w:rPr>
          <w:rFonts w:ascii="Times New Roman" w:hAnsi="Times New Roman"/>
          <w:sz w:val="24"/>
          <w:szCs w:val="24"/>
        </w:rPr>
        <w:t xml:space="preserve">with increasing current </w:t>
      </w:r>
      <w:r w:rsidR="00551268" w:rsidRPr="00692930">
        <w:rPr>
          <w:rFonts w:ascii="Times New Roman" w:hAnsi="Times New Roman"/>
          <w:sz w:val="24"/>
          <w:szCs w:val="24"/>
        </w:rPr>
        <w:t>rates</w:t>
      </w:r>
      <w:r w:rsidR="00261425" w:rsidRPr="00692930">
        <w:rPr>
          <w:rFonts w:ascii="Times New Roman" w:hAnsi="Times New Roman"/>
          <w:sz w:val="24"/>
          <w:szCs w:val="24"/>
        </w:rPr>
        <w:t>.</w:t>
      </w:r>
      <w:r w:rsidR="00551268" w:rsidRPr="00692930">
        <w:rPr>
          <w:rFonts w:ascii="Times New Roman" w:hAnsi="Times New Roman"/>
          <w:sz w:val="24"/>
          <w:szCs w:val="24"/>
        </w:rPr>
        <w:t xml:space="preserve"> </w:t>
      </w:r>
      <w:r w:rsidR="00261425" w:rsidRPr="00692930">
        <w:rPr>
          <w:rFonts w:ascii="Times New Roman" w:hAnsi="Times New Roman"/>
          <w:sz w:val="24"/>
          <w:szCs w:val="24"/>
        </w:rPr>
        <w:t>In LMP the</w:t>
      </w:r>
      <w:r w:rsidR="00551268" w:rsidRPr="00692930">
        <w:rPr>
          <w:rFonts w:ascii="Times New Roman" w:hAnsi="Times New Roman"/>
          <w:sz w:val="24"/>
          <w:szCs w:val="24"/>
        </w:rPr>
        <w:t xml:space="preserve"> activation is particularly strong which explains </w:t>
      </w:r>
      <w:r w:rsidR="00560613" w:rsidRPr="00692930">
        <w:rPr>
          <w:rFonts w:ascii="Times New Roman" w:hAnsi="Times New Roman"/>
          <w:sz w:val="24"/>
          <w:szCs w:val="24"/>
        </w:rPr>
        <w:t>its</w:t>
      </w:r>
      <w:r w:rsidR="00551268" w:rsidRPr="00692930">
        <w:rPr>
          <w:rFonts w:ascii="Times New Roman" w:hAnsi="Times New Roman"/>
          <w:sz w:val="24"/>
          <w:szCs w:val="24"/>
        </w:rPr>
        <w:t xml:space="preserve"> good efficiency </w:t>
      </w:r>
      <w:r w:rsidR="00261425" w:rsidRPr="00692930">
        <w:rPr>
          <w:rFonts w:ascii="Times New Roman" w:hAnsi="Times New Roman"/>
          <w:sz w:val="24"/>
          <w:szCs w:val="24"/>
        </w:rPr>
        <w:t>and the slowly increasing polarization</w:t>
      </w:r>
      <w:r w:rsidR="00551268" w:rsidRPr="00692930">
        <w:rPr>
          <w:rFonts w:ascii="Times New Roman" w:hAnsi="Times New Roman"/>
          <w:sz w:val="24"/>
          <w:szCs w:val="24"/>
        </w:rPr>
        <w:t xml:space="preserve"> at higher rates. One reason for the activation phenomenon </w:t>
      </w:r>
      <w:r w:rsidR="00560613" w:rsidRPr="00692930">
        <w:rPr>
          <w:rFonts w:ascii="Times New Roman" w:hAnsi="Times New Roman"/>
          <w:sz w:val="24"/>
          <w:szCs w:val="24"/>
        </w:rPr>
        <w:t xml:space="preserve">in certain insertion materials </w:t>
      </w:r>
      <w:r w:rsidR="00551268" w:rsidRPr="00692930">
        <w:rPr>
          <w:rFonts w:ascii="Times New Roman" w:hAnsi="Times New Roman"/>
          <w:sz w:val="24"/>
          <w:szCs w:val="24"/>
        </w:rPr>
        <w:t xml:space="preserve">could be the increase of fraction of particles that is actually </w:t>
      </w:r>
      <w:r w:rsidR="00551268" w:rsidRPr="00692930">
        <w:rPr>
          <w:rFonts w:ascii="Times New Roman" w:hAnsi="Times New Roman"/>
          <w:sz w:val="24"/>
          <w:szCs w:val="24"/>
        </w:rPr>
        <w:lastRenderedPageBreak/>
        <w:t>undergoing phase transformation</w:t>
      </w:r>
      <w:r w:rsidR="00261425" w:rsidRPr="00692930">
        <w:rPr>
          <w:rFonts w:ascii="Times New Roman" w:hAnsi="Times New Roman"/>
          <w:sz w:val="24"/>
          <w:szCs w:val="24"/>
        </w:rPr>
        <w:t xml:space="preserve"> at given moment</w:t>
      </w:r>
      <w:r w:rsidR="00551268" w:rsidRPr="00692930">
        <w:rPr>
          <w:rFonts w:ascii="Times New Roman" w:hAnsi="Times New Roman"/>
          <w:sz w:val="24"/>
          <w:szCs w:val="24"/>
        </w:rPr>
        <w:t xml:space="preserve">. </w:t>
      </w:r>
      <w:r w:rsidR="00560613" w:rsidRPr="00692930">
        <w:rPr>
          <w:rFonts w:ascii="Times New Roman" w:hAnsi="Times New Roman"/>
          <w:sz w:val="24"/>
          <w:szCs w:val="24"/>
        </w:rPr>
        <w:t xml:space="preserve">If so, this is a different kind of non-linearity than typically observed in electrochemical systems (the non-linearity </w:t>
      </w:r>
      <w:r w:rsidR="00381A1C" w:rsidRPr="00692930">
        <w:rPr>
          <w:rFonts w:ascii="Times New Roman" w:hAnsi="Times New Roman"/>
          <w:sz w:val="24"/>
          <w:szCs w:val="24"/>
        </w:rPr>
        <w:t xml:space="preserve">related to the well known Butler-Volmer equation). </w:t>
      </w:r>
      <w:r w:rsidR="00261425" w:rsidRPr="00692930">
        <w:rPr>
          <w:rFonts w:ascii="Times New Roman" w:hAnsi="Times New Roman"/>
          <w:sz w:val="24"/>
          <w:szCs w:val="24"/>
        </w:rPr>
        <w:t>This hypothesis, however, still n</w:t>
      </w:r>
      <w:r w:rsidR="0056485E" w:rsidRPr="00692930">
        <w:rPr>
          <w:rFonts w:ascii="Times New Roman" w:hAnsi="Times New Roman"/>
          <w:sz w:val="24"/>
          <w:szCs w:val="24"/>
        </w:rPr>
        <w:t>eeds an experimental verification.</w:t>
      </w:r>
    </w:p>
    <w:p w:rsidR="00551268" w:rsidRPr="00692930" w:rsidRDefault="00551268" w:rsidP="008A3866">
      <w:pPr>
        <w:rPr>
          <w:rFonts w:ascii="Times New Roman" w:hAnsi="Times New Roman"/>
          <w:color w:val="00B0F0"/>
          <w:sz w:val="24"/>
          <w:szCs w:val="24"/>
        </w:rPr>
      </w:pPr>
    </w:p>
    <w:p w:rsidR="00551268" w:rsidRPr="00692930" w:rsidRDefault="005D0538" w:rsidP="005D0538">
      <w:pPr>
        <w:ind w:firstLine="0"/>
        <w:rPr>
          <w:rFonts w:ascii="Times New Roman" w:hAnsi="Times New Roman"/>
          <w:b/>
          <w:sz w:val="24"/>
          <w:szCs w:val="24"/>
        </w:rPr>
      </w:pPr>
      <w:r w:rsidRPr="00692930">
        <w:rPr>
          <w:rFonts w:ascii="Times New Roman" w:hAnsi="Times New Roman"/>
          <w:b/>
          <w:sz w:val="24"/>
          <w:szCs w:val="24"/>
        </w:rPr>
        <w:t xml:space="preserve">5. </w:t>
      </w:r>
      <w:r w:rsidR="00551268" w:rsidRPr="00692930">
        <w:rPr>
          <w:rFonts w:ascii="Times New Roman" w:hAnsi="Times New Roman"/>
          <w:b/>
          <w:sz w:val="24"/>
          <w:szCs w:val="24"/>
        </w:rPr>
        <w:t>References</w:t>
      </w:r>
    </w:p>
    <w:p w:rsidR="00750EA2" w:rsidRPr="00750EA2" w:rsidRDefault="001B72FD"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692930">
        <w:fldChar w:fldCharType="begin" w:fldLock="1"/>
      </w:r>
      <w:r w:rsidRPr="00692930">
        <w:instrText xml:space="preserve">ADDIN Mendeley Bibliography CSL_BIBLIOGRAPHY </w:instrText>
      </w:r>
      <w:r w:rsidRPr="00692930">
        <w:fldChar w:fldCharType="separate"/>
      </w:r>
      <w:r w:rsidR="00750EA2" w:rsidRPr="00750EA2">
        <w:rPr>
          <w:rFonts w:ascii="Times New Roman" w:hAnsi="Times New Roman"/>
          <w:noProof/>
          <w:sz w:val="24"/>
          <w:szCs w:val="24"/>
        </w:rPr>
        <w:t>1.</w:t>
      </w:r>
      <w:r w:rsidR="00750EA2" w:rsidRPr="00750EA2">
        <w:rPr>
          <w:rFonts w:ascii="Times New Roman" w:hAnsi="Times New Roman"/>
          <w:noProof/>
          <w:sz w:val="24"/>
          <w:szCs w:val="24"/>
        </w:rPr>
        <w:tab/>
        <w:t>A. K. Padhi, K. S. Nan</w:t>
      </w:r>
      <w:r w:rsidR="00A904E4">
        <w:rPr>
          <w:rFonts w:ascii="Times New Roman" w:hAnsi="Times New Roman"/>
          <w:noProof/>
          <w:sz w:val="24"/>
          <w:szCs w:val="24"/>
        </w:rPr>
        <w:t>jundaswamy and J. B. Goodenough,</w:t>
      </w:r>
      <w:r w:rsidR="00750EA2" w:rsidRPr="00750EA2">
        <w:rPr>
          <w:rFonts w:ascii="Times New Roman" w:hAnsi="Times New Roman"/>
          <w:noProof/>
          <w:sz w:val="24"/>
          <w:szCs w:val="24"/>
        </w:rPr>
        <w:t xml:space="preserve"> </w:t>
      </w:r>
      <w:r w:rsidR="00750EA2" w:rsidRPr="00750EA2">
        <w:rPr>
          <w:rFonts w:ascii="Times New Roman" w:hAnsi="Times New Roman"/>
          <w:i/>
          <w:iCs/>
          <w:noProof/>
          <w:sz w:val="24"/>
          <w:szCs w:val="24"/>
        </w:rPr>
        <w:t>J. Electrochem. Soc.</w:t>
      </w:r>
      <w:r w:rsidR="00750EA2" w:rsidRPr="00750EA2">
        <w:rPr>
          <w:rFonts w:ascii="Times New Roman" w:hAnsi="Times New Roman"/>
          <w:noProof/>
          <w:sz w:val="24"/>
          <w:szCs w:val="24"/>
        </w:rPr>
        <w:t xml:space="preserve"> </w:t>
      </w:r>
      <w:r w:rsidR="00750EA2" w:rsidRPr="00750EA2">
        <w:rPr>
          <w:rFonts w:ascii="Times New Roman" w:hAnsi="Times New Roman"/>
          <w:b/>
          <w:bCs/>
          <w:noProof/>
          <w:sz w:val="24"/>
          <w:szCs w:val="24"/>
        </w:rPr>
        <w:t>1997</w:t>
      </w:r>
      <w:r w:rsidR="00750EA2" w:rsidRPr="00750EA2">
        <w:rPr>
          <w:rFonts w:ascii="Times New Roman" w:hAnsi="Times New Roman"/>
          <w:noProof/>
          <w:sz w:val="24"/>
          <w:szCs w:val="24"/>
        </w:rPr>
        <w:t xml:space="preserve">, </w:t>
      </w:r>
      <w:r w:rsidR="00750EA2" w:rsidRPr="00750EA2">
        <w:rPr>
          <w:rFonts w:ascii="Times New Roman" w:hAnsi="Times New Roman"/>
          <w:i/>
          <w:iCs/>
          <w:noProof/>
          <w:sz w:val="24"/>
          <w:szCs w:val="24"/>
        </w:rPr>
        <w:t>144</w:t>
      </w:r>
      <w:r w:rsidR="00750EA2" w:rsidRPr="00750EA2">
        <w:rPr>
          <w:rFonts w:ascii="Times New Roman" w:hAnsi="Times New Roman"/>
          <w:noProof/>
          <w:sz w:val="24"/>
          <w:szCs w:val="24"/>
        </w:rPr>
        <w:t>, 1188–1194.</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2.</w:t>
      </w:r>
      <w:r w:rsidRPr="00750EA2">
        <w:rPr>
          <w:rFonts w:ascii="Times New Roman" w:hAnsi="Times New Roman"/>
          <w:noProof/>
          <w:sz w:val="24"/>
          <w:szCs w:val="24"/>
        </w:rPr>
        <w:tab/>
        <w:t>C. Delacourt, P. Poizot, M. Morcrette, J</w:t>
      </w:r>
      <w:r w:rsidR="00A904E4">
        <w:rPr>
          <w:rFonts w:ascii="Times New Roman" w:hAnsi="Times New Roman"/>
          <w:noProof/>
          <w:sz w:val="24"/>
          <w:szCs w:val="24"/>
        </w:rPr>
        <w:t>.-M. Tarascon and C. Masquelier,</w:t>
      </w:r>
      <w:r w:rsidRPr="00750EA2">
        <w:rPr>
          <w:rFonts w:ascii="Times New Roman" w:hAnsi="Times New Roman"/>
          <w:noProof/>
          <w:sz w:val="24"/>
          <w:szCs w:val="24"/>
        </w:rPr>
        <w:t xml:space="preserve"> </w:t>
      </w:r>
      <w:r w:rsidRPr="00750EA2">
        <w:rPr>
          <w:rFonts w:ascii="Times New Roman" w:hAnsi="Times New Roman"/>
          <w:i/>
          <w:iCs/>
          <w:noProof/>
          <w:sz w:val="24"/>
          <w:szCs w:val="24"/>
        </w:rPr>
        <w:t>Chem. Mater.</w:t>
      </w:r>
      <w:r w:rsidRPr="00750EA2">
        <w:rPr>
          <w:rFonts w:ascii="Times New Roman" w:hAnsi="Times New Roman"/>
          <w:noProof/>
          <w:sz w:val="24"/>
          <w:szCs w:val="24"/>
        </w:rPr>
        <w:t xml:space="preserve"> </w:t>
      </w:r>
      <w:r w:rsidRPr="00750EA2">
        <w:rPr>
          <w:rFonts w:ascii="Times New Roman" w:hAnsi="Times New Roman"/>
          <w:b/>
          <w:bCs/>
          <w:noProof/>
          <w:sz w:val="24"/>
          <w:szCs w:val="24"/>
        </w:rPr>
        <w:t>2004</w:t>
      </w:r>
      <w:r w:rsidRPr="00750EA2">
        <w:rPr>
          <w:rFonts w:ascii="Times New Roman" w:hAnsi="Times New Roman"/>
          <w:noProof/>
          <w:sz w:val="24"/>
          <w:szCs w:val="24"/>
        </w:rPr>
        <w:t xml:space="preserve">, </w:t>
      </w:r>
      <w:r w:rsidRPr="00750EA2">
        <w:rPr>
          <w:rFonts w:ascii="Times New Roman" w:hAnsi="Times New Roman"/>
          <w:i/>
          <w:iCs/>
          <w:noProof/>
          <w:sz w:val="24"/>
          <w:szCs w:val="24"/>
        </w:rPr>
        <w:t>16</w:t>
      </w:r>
      <w:r w:rsidRPr="00750EA2">
        <w:rPr>
          <w:rFonts w:ascii="Times New Roman" w:hAnsi="Times New Roman"/>
          <w:noProof/>
          <w:sz w:val="24"/>
          <w:szCs w:val="24"/>
        </w:rPr>
        <w:t>, 93–99.</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3.</w:t>
      </w:r>
      <w:r w:rsidRPr="00750EA2">
        <w:rPr>
          <w:rFonts w:ascii="Times New Roman" w:hAnsi="Times New Roman"/>
          <w:noProof/>
          <w:sz w:val="24"/>
          <w:szCs w:val="24"/>
        </w:rPr>
        <w:tab/>
        <w:t>C. Delacourt, L. Laffont, R. Bouchet, C. Wurm, J.-B. Leriche, M. Morcrette, J</w:t>
      </w:r>
      <w:r w:rsidR="00A904E4">
        <w:rPr>
          <w:rFonts w:ascii="Times New Roman" w:hAnsi="Times New Roman"/>
          <w:noProof/>
          <w:sz w:val="24"/>
          <w:szCs w:val="24"/>
        </w:rPr>
        <w:t>.-M. Tarascon and C. Masquelier,</w:t>
      </w:r>
      <w:r w:rsidRPr="00750EA2">
        <w:rPr>
          <w:rFonts w:ascii="Times New Roman" w:hAnsi="Times New Roman"/>
          <w:noProof/>
          <w:sz w:val="24"/>
          <w:szCs w:val="24"/>
        </w:rPr>
        <w:t xml:space="preserve"> </w:t>
      </w:r>
      <w:r w:rsidRPr="00750EA2">
        <w:rPr>
          <w:rFonts w:ascii="Times New Roman" w:hAnsi="Times New Roman"/>
          <w:i/>
          <w:iCs/>
          <w:noProof/>
          <w:sz w:val="24"/>
          <w:szCs w:val="24"/>
        </w:rPr>
        <w:t>J. Electrochem. Soc.</w:t>
      </w:r>
      <w:r w:rsidRPr="00750EA2">
        <w:rPr>
          <w:rFonts w:ascii="Times New Roman" w:hAnsi="Times New Roman"/>
          <w:noProof/>
          <w:sz w:val="24"/>
          <w:szCs w:val="24"/>
        </w:rPr>
        <w:t xml:space="preserve"> </w:t>
      </w:r>
      <w:r w:rsidRPr="00750EA2">
        <w:rPr>
          <w:rFonts w:ascii="Times New Roman" w:hAnsi="Times New Roman"/>
          <w:b/>
          <w:bCs/>
          <w:noProof/>
          <w:sz w:val="24"/>
          <w:szCs w:val="24"/>
        </w:rPr>
        <w:t>2005</w:t>
      </w:r>
      <w:r w:rsidRPr="00750EA2">
        <w:rPr>
          <w:rFonts w:ascii="Times New Roman" w:hAnsi="Times New Roman"/>
          <w:noProof/>
          <w:sz w:val="24"/>
          <w:szCs w:val="24"/>
        </w:rPr>
        <w:t xml:space="preserve">, </w:t>
      </w:r>
      <w:r w:rsidRPr="00750EA2">
        <w:rPr>
          <w:rFonts w:ascii="Times New Roman" w:hAnsi="Times New Roman"/>
          <w:i/>
          <w:iCs/>
          <w:noProof/>
          <w:sz w:val="24"/>
          <w:szCs w:val="24"/>
        </w:rPr>
        <w:t>152</w:t>
      </w:r>
      <w:r w:rsidRPr="00750EA2">
        <w:rPr>
          <w:rFonts w:ascii="Times New Roman" w:hAnsi="Times New Roman"/>
          <w:noProof/>
          <w:sz w:val="24"/>
          <w:szCs w:val="24"/>
        </w:rPr>
        <w:t>, A9</w:t>
      </w:r>
      <w:r w:rsidRPr="00B22F57">
        <w:rPr>
          <w:rFonts w:ascii="Times New Roman" w:hAnsi="Times New Roman"/>
          <w:noProof/>
          <w:sz w:val="24"/>
          <w:szCs w:val="24"/>
        </w:rPr>
        <w:t>13</w:t>
      </w:r>
      <w:r w:rsidR="00B22F57" w:rsidRPr="00750EA2">
        <w:rPr>
          <w:rFonts w:ascii="Times New Roman" w:hAnsi="Times New Roman"/>
          <w:noProof/>
          <w:sz w:val="24"/>
          <w:szCs w:val="24"/>
        </w:rPr>
        <w:t>–</w:t>
      </w:r>
      <w:r w:rsidR="00B22F57" w:rsidRPr="00B22F57">
        <w:rPr>
          <w:rStyle w:val="slug-pages"/>
          <w:rFonts w:ascii="Times New Roman" w:hAnsi="Times New Roman"/>
          <w:iCs/>
          <w:sz w:val="24"/>
          <w:szCs w:val="24"/>
        </w:rPr>
        <w:t>A921</w:t>
      </w:r>
      <w:r w:rsidRPr="00B22F57">
        <w:rPr>
          <w:rFonts w:ascii="Times New Roman" w:hAnsi="Times New Roman"/>
          <w:noProof/>
          <w:sz w:val="24"/>
          <w:szCs w:val="24"/>
        </w:rPr>
        <w:t>.</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4.</w:t>
      </w:r>
      <w:r w:rsidRPr="00750EA2">
        <w:rPr>
          <w:rFonts w:ascii="Times New Roman" w:hAnsi="Times New Roman"/>
          <w:noProof/>
          <w:sz w:val="24"/>
          <w:szCs w:val="24"/>
        </w:rPr>
        <w:tab/>
        <w:t>R. Dominko, M. Bele, M. Gaberscek, M. Remskar, D. Hanzel, J. M. Go</w:t>
      </w:r>
      <w:r w:rsidR="00A904E4">
        <w:rPr>
          <w:rFonts w:ascii="Times New Roman" w:hAnsi="Times New Roman"/>
          <w:noProof/>
          <w:sz w:val="24"/>
          <w:szCs w:val="24"/>
        </w:rPr>
        <w:t>upil, S. Pejovnik and J. Jamnik,</w:t>
      </w:r>
      <w:r w:rsidRPr="00750EA2">
        <w:rPr>
          <w:rFonts w:ascii="Times New Roman" w:hAnsi="Times New Roman"/>
          <w:noProof/>
          <w:sz w:val="24"/>
          <w:szCs w:val="24"/>
        </w:rPr>
        <w:t xml:space="preserve"> </w:t>
      </w:r>
      <w:r w:rsidRPr="00750EA2">
        <w:rPr>
          <w:rFonts w:ascii="Times New Roman" w:hAnsi="Times New Roman"/>
          <w:i/>
          <w:iCs/>
          <w:noProof/>
          <w:sz w:val="24"/>
          <w:szCs w:val="24"/>
        </w:rPr>
        <w:t>J. Power Sources</w:t>
      </w:r>
      <w:r w:rsidRPr="00750EA2">
        <w:rPr>
          <w:rFonts w:ascii="Times New Roman" w:hAnsi="Times New Roman"/>
          <w:noProof/>
          <w:sz w:val="24"/>
          <w:szCs w:val="24"/>
        </w:rPr>
        <w:t xml:space="preserve"> </w:t>
      </w:r>
      <w:r w:rsidRPr="00750EA2">
        <w:rPr>
          <w:rFonts w:ascii="Times New Roman" w:hAnsi="Times New Roman"/>
          <w:b/>
          <w:bCs/>
          <w:noProof/>
          <w:sz w:val="24"/>
          <w:szCs w:val="24"/>
        </w:rPr>
        <w:t>2006</w:t>
      </w:r>
      <w:r w:rsidRPr="00750EA2">
        <w:rPr>
          <w:rFonts w:ascii="Times New Roman" w:hAnsi="Times New Roman"/>
          <w:noProof/>
          <w:sz w:val="24"/>
          <w:szCs w:val="24"/>
        </w:rPr>
        <w:t xml:space="preserve">, </w:t>
      </w:r>
      <w:r w:rsidRPr="00750EA2">
        <w:rPr>
          <w:rFonts w:ascii="Times New Roman" w:hAnsi="Times New Roman"/>
          <w:i/>
          <w:iCs/>
          <w:noProof/>
          <w:sz w:val="24"/>
          <w:szCs w:val="24"/>
        </w:rPr>
        <w:t>153</w:t>
      </w:r>
      <w:r w:rsidRPr="00750EA2">
        <w:rPr>
          <w:rFonts w:ascii="Times New Roman" w:hAnsi="Times New Roman"/>
          <w:noProof/>
          <w:sz w:val="24"/>
          <w:szCs w:val="24"/>
        </w:rPr>
        <w:t>, 274–280.</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5.</w:t>
      </w:r>
      <w:r w:rsidRPr="00750EA2">
        <w:rPr>
          <w:rFonts w:ascii="Times New Roman" w:hAnsi="Times New Roman"/>
          <w:noProof/>
          <w:sz w:val="24"/>
          <w:szCs w:val="24"/>
        </w:rPr>
        <w:tab/>
        <w:t>A. Yamada, M. Hosoya, S. C. Chung, Y. Kudo, K. Hinokuma, K. Y. Liu and Y. Nishi</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Power Sources</w:t>
      </w:r>
      <w:r w:rsidRPr="00750EA2">
        <w:rPr>
          <w:rFonts w:ascii="Times New Roman" w:hAnsi="Times New Roman"/>
          <w:noProof/>
          <w:sz w:val="24"/>
          <w:szCs w:val="24"/>
        </w:rPr>
        <w:t xml:space="preserve"> </w:t>
      </w:r>
      <w:r w:rsidRPr="00750EA2">
        <w:rPr>
          <w:rFonts w:ascii="Times New Roman" w:hAnsi="Times New Roman"/>
          <w:b/>
          <w:bCs/>
          <w:noProof/>
          <w:sz w:val="24"/>
          <w:szCs w:val="24"/>
        </w:rPr>
        <w:t>2003</w:t>
      </w:r>
      <w:r w:rsidRPr="00750EA2">
        <w:rPr>
          <w:rFonts w:ascii="Times New Roman" w:hAnsi="Times New Roman"/>
          <w:noProof/>
          <w:sz w:val="24"/>
          <w:szCs w:val="24"/>
        </w:rPr>
        <w:t xml:space="preserve">, </w:t>
      </w:r>
      <w:r w:rsidRPr="00750EA2">
        <w:rPr>
          <w:rFonts w:ascii="Times New Roman" w:hAnsi="Times New Roman"/>
          <w:i/>
          <w:iCs/>
          <w:noProof/>
          <w:sz w:val="24"/>
          <w:szCs w:val="24"/>
        </w:rPr>
        <w:t>119-121</w:t>
      </w:r>
      <w:r w:rsidRPr="00750EA2">
        <w:rPr>
          <w:rFonts w:ascii="Times New Roman" w:hAnsi="Times New Roman"/>
          <w:noProof/>
          <w:sz w:val="24"/>
          <w:szCs w:val="24"/>
        </w:rPr>
        <w:t>, 232–238.</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6.</w:t>
      </w:r>
      <w:r w:rsidRPr="00750EA2">
        <w:rPr>
          <w:rFonts w:ascii="Times New Roman" w:hAnsi="Times New Roman"/>
          <w:noProof/>
          <w:sz w:val="24"/>
          <w:szCs w:val="24"/>
        </w:rPr>
        <w:tab/>
        <w:t>S. K. Martha, J. Grinblat, O. Haik, E. Zinigrad, T. Drezen, J. H. Miners, I. Exnar, A. Kay, B. Markovsky and D. Aurbach</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Angew. Chemie - Int. Ed.</w:t>
      </w:r>
      <w:r w:rsidRPr="00750EA2">
        <w:rPr>
          <w:rFonts w:ascii="Times New Roman" w:hAnsi="Times New Roman"/>
          <w:noProof/>
          <w:sz w:val="24"/>
          <w:szCs w:val="24"/>
        </w:rPr>
        <w:t xml:space="preserve"> </w:t>
      </w:r>
      <w:r w:rsidRPr="00750EA2">
        <w:rPr>
          <w:rFonts w:ascii="Times New Roman" w:hAnsi="Times New Roman"/>
          <w:b/>
          <w:bCs/>
          <w:noProof/>
          <w:sz w:val="24"/>
          <w:szCs w:val="24"/>
        </w:rPr>
        <w:t>2009</w:t>
      </w:r>
      <w:r w:rsidRPr="00750EA2">
        <w:rPr>
          <w:rFonts w:ascii="Times New Roman" w:hAnsi="Times New Roman"/>
          <w:noProof/>
          <w:sz w:val="24"/>
          <w:szCs w:val="24"/>
        </w:rPr>
        <w:t xml:space="preserve">, </w:t>
      </w:r>
      <w:r w:rsidRPr="00750EA2">
        <w:rPr>
          <w:rFonts w:ascii="Times New Roman" w:hAnsi="Times New Roman"/>
          <w:i/>
          <w:iCs/>
          <w:noProof/>
          <w:sz w:val="24"/>
          <w:szCs w:val="24"/>
        </w:rPr>
        <w:t>48</w:t>
      </w:r>
      <w:r w:rsidRPr="00750EA2">
        <w:rPr>
          <w:rFonts w:ascii="Times New Roman" w:hAnsi="Times New Roman"/>
          <w:noProof/>
          <w:sz w:val="24"/>
          <w:szCs w:val="24"/>
        </w:rPr>
        <w:t>, 8559–8563.</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7.</w:t>
      </w:r>
      <w:r w:rsidRPr="00750EA2">
        <w:rPr>
          <w:rFonts w:ascii="Times New Roman" w:hAnsi="Times New Roman"/>
          <w:noProof/>
          <w:sz w:val="24"/>
          <w:szCs w:val="24"/>
        </w:rPr>
        <w:tab/>
        <w:t>G. Li, H. Azuma and M. Tohda</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Electrochem. Solid-State Lett.</w:t>
      </w:r>
      <w:r w:rsidRPr="00750EA2">
        <w:rPr>
          <w:rFonts w:ascii="Times New Roman" w:hAnsi="Times New Roman"/>
          <w:noProof/>
          <w:sz w:val="24"/>
          <w:szCs w:val="24"/>
        </w:rPr>
        <w:t xml:space="preserve"> </w:t>
      </w:r>
      <w:r w:rsidRPr="00750EA2">
        <w:rPr>
          <w:rFonts w:ascii="Times New Roman" w:hAnsi="Times New Roman"/>
          <w:b/>
          <w:bCs/>
          <w:noProof/>
          <w:sz w:val="24"/>
          <w:szCs w:val="24"/>
        </w:rPr>
        <w:t>2002</w:t>
      </w:r>
      <w:r w:rsidRPr="00750EA2">
        <w:rPr>
          <w:rFonts w:ascii="Times New Roman" w:hAnsi="Times New Roman"/>
          <w:noProof/>
          <w:sz w:val="24"/>
          <w:szCs w:val="24"/>
        </w:rPr>
        <w:t xml:space="preserve">, </w:t>
      </w:r>
      <w:r w:rsidRPr="00750EA2">
        <w:rPr>
          <w:rFonts w:ascii="Times New Roman" w:hAnsi="Times New Roman"/>
          <w:i/>
          <w:iCs/>
          <w:noProof/>
          <w:sz w:val="24"/>
          <w:szCs w:val="24"/>
        </w:rPr>
        <w:t>5</w:t>
      </w:r>
      <w:r w:rsidRPr="00750EA2">
        <w:rPr>
          <w:rFonts w:ascii="Times New Roman" w:hAnsi="Times New Roman"/>
          <w:noProof/>
          <w:sz w:val="24"/>
          <w:szCs w:val="24"/>
        </w:rPr>
        <w:t>, A135</w:t>
      </w:r>
      <w:r w:rsidR="004145DB" w:rsidRPr="00750EA2">
        <w:rPr>
          <w:rFonts w:ascii="Times New Roman" w:hAnsi="Times New Roman"/>
          <w:noProof/>
          <w:sz w:val="24"/>
          <w:szCs w:val="24"/>
        </w:rPr>
        <w:t>–</w:t>
      </w:r>
      <w:r w:rsidR="004145DB">
        <w:rPr>
          <w:rFonts w:ascii="Times New Roman" w:hAnsi="Times New Roman"/>
          <w:noProof/>
          <w:sz w:val="24"/>
          <w:szCs w:val="24"/>
        </w:rPr>
        <w:t>A137</w:t>
      </w:r>
      <w:r w:rsidRPr="00750EA2">
        <w:rPr>
          <w:rFonts w:ascii="Times New Roman" w:hAnsi="Times New Roman"/>
          <w:noProof/>
          <w:sz w:val="24"/>
          <w:szCs w:val="24"/>
        </w:rPr>
        <w:t>.</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8.</w:t>
      </w:r>
      <w:r w:rsidRPr="00750EA2">
        <w:rPr>
          <w:rFonts w:ascii="Times New Roman" w:hAnsi="Times New Roman"/>
          <w:noProof/>
          <w:sz w:val="24"/>
          <w:szCs w:val="24"/>
        </w:rPr>
        <w:tab/>
        <w:t>M. Gaberscek, R. Dominko and J. Jamnik</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Electrochem. commun.</w:t>
      </w:r>
      <w:r w:rsidRPr="00750EA2">
        <w:rPr>
          <w:rFonts w:ascii="Times New Roman" w:hAnsi="Times New Roman"/>
          <w:noProof/>
          <w:sz w:val="24"/>
          <w:szCs w:val="24"/>
        </w:rPr>
        <w:t xml:space="preserve"> </w:t>
      </w:r>
      <w:r w:rsidRPr="00750EA2">
        <w:rPr>
          <w:rFonts w:ascii="Times New Roman" w:hAnsi="Times New Roman"/>
          <w:b/>
          <w:bCs/>
          <w:noProof/>
          <w:sz w:val="24"/>
          <w:szCs w:val="24"/>
        </w:rPr>
        <w:t>2007</w:t>
      </w:r>
      <w:r w:rsidRPr="00750EA2">
        <w:rPr>
          <w:rFonts w:ascii="Times New Roman" w:hAnsi="Times New Roman"/>
          <w:noProof/>
          <w:sz w:val="24"/>
          <w:szCs w:val="24"/>
        </w:rPr>
        <w:t xml:space="preserve">, </w:t>
      </w:r>
      <w:r w:rsidRPr="00750EA2">
        <w:rPr>
          <w:rFonts w:ascii="Times New Roman" w:hAnsi="Times New Roman"/>
          <w:i/>
          <w:iCs/>
          <w:noProof/>
          <w:sz w:val="24"/>
          <w:szCs w:val="24"/>
        </w:rPr>
        <w:t>9</w:t>
      </w:r>
      <w:r w:rsidRPr="00750EA2">
        <w:rPr>
          <w:rFonts w:ascii="Times New Roman" w:hAnsi="Times New Roman"/>
          <w:noProof/>
          <w:sz w:val="24"/>
          <w:szCs w:val="24"/>
        </w:rPr>
        <w:t>, 2778–2783.</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9.</w:t>
      </w:r>
      <w:r w:rsidRPr="00750EA2">
        <w:rPr>
          <w:rFonts w:ascii="Times New Roman" w:hAnsi="Times New Roman"/>
          <w:noProof/>
          <w:sz w:val="24"/>
          <w:szCs w:val="24"/>
        </w:rPr>
        <w:tab/>
        <w:t>T. Drezen, N. H. Kwon, P. Bowen, I. Teerlinck, M. Isono and I. Exnar</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Power Sources</w:t>
      </w:r>
      <w:r w:rsidRPr="00750EA2">
        <w:rPr>
          <w:rFonts w:ascii="Times New Roman" w:hAnsi="Times New Roman"/>
          <w:noProof/>
          <w:sz w:val="24"/>
          <w:szCs w:val="24"/>
        </w:rPr>
        <w:t xml:space="preserve"> </w:t>
      </w:r>
      <w:r w:rsidRPr="00750EA2">
        <w:rPr>
          <w:rFonts w:ascii="Times New Roman" w:hAnsi="Times New Roman"/>
          <w:b/>
          <w:bCs/>
          <w:noProof/>
          <w:sz w:val="24"/>
          <w:szCs w:val="24"/>
        </w:rPr>
        <w:t>2007</w:t>
      </w:r>
      <w:r w:rsidRPr="00750EA2">
        <w:rPr>
          <w:rFonts w:ascii="Times New Roman" w:hAnsi="Times New Roman"/>
          <w:noProof/>
          <w:sz w:val="24"/>
          <w:szCs w:val="24"/>
        </w:rPr>
        <w:t xml:space="preserve">, </w:t>
      </w:r>
      <w:r w:rsidRPr="00750EA2">
        <w:rPr>
          <w:rFonts w:ascii="Times New Roman" w:hAnsi="Times New Roman"/>
          <w:i/>
          <w:iCs/>
          <w:noProof/>
          <w:sz w:val="24"/>
          <w:szCs w:val="24"/>
        </w:rPr>
        <w:t>174</w:t>
      </w:r>
      <w:r w:rsidRPr="00750EA2">
        <w:rPr>
          <w:rFonts w:ascii="Times New Roman" w:hAnsi="Times New Roman"/>
          <w:noProof/>
          <w:sz w:val="24"/>
          <w:szCs w:val="24"/>
        </w:rPr>
        <w:t>, 949–953.</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10.</w:t>
      </w:r>
      <w:r w:rsidRPr="00750EA2">
        <w:rPr>
          <w:rFonts w:ascii="Times New Roman" w:hAnsi="Times New Roman"/>
          <w:noProof/>
          <w:sz w:val="24"/>
          <w:szCs w:val="24"/>
        </w:rPr>
        <w:tab/>
        <w:t>D. Wang, H. Buqa, M. Crouzet, G. Deghenghi, T. Drezen, I. Exnar, N. H. Kwon, J. H. Miners, L. Poletto and M. Grätzel</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Power Sources</w:t>
      </w:r>
      <w:r w:rsidRPr="00750EA2">
        <w:rPr>
          <w:rFonts w:ascii="Times New Roman" w:hAnsi="Times New Roman"/>
          <w:noProof/>
          <w:sz w:val="24"/>
          <w:szCs w:val="24"/>
        </w:rPr>
        <w:t xml:space="preserve"> </w:t>
      </w:r>
      <w:r w:rsidRPr="00750EA2">
        <w:rPr>
          <w:rFonts w:ascii="Times New Roman" w:hAnsi="Times New Roman"/>
          <w:b/>
          <w:bCs/>
          <w:noProof/>
          <w:sz w:val="24"/>
          <w:szCs w:val="24"/>
        </w:rPr>
        <w:t>2009</w:t>
      </w:r>
      <w:r w:rsidRPr="00750EA2">
        <w:rPr>
          <w:rFonts w:ascii="Times New Roman" w:hAnsi="Times New Roman"/>
          <w:noProof/>
          <w:sz w:val="24"/>
          <w:szCs w:val="24"/>
        </w:rPr>
        <w:t xml:space="preserve">, </w:t>
      </w:r>
      <w:r w:rsidRPr="00750EA2">
        <w:rPr>
          <w:rFonts w:ascii="Times New Roman" w:hAnsi="Times New Roman"/>
          <w:i/>
          <w:iCs/>
          <w:noProof/>
          <w:sz w:val="24"/>
          <w:szCs w:val="24"/>
        </w:rPr>
        <w:t>189</w:t>
      </w:r>
      <w:r w:rsidRPr="00750EA2">
        <w:rPr>
          <w:rFonts w:ascii="Times New Roman" w:hAnsi="Times New Roman"/>
          <w:noProof/>
          <w:sz w:val="24"/>
          <w:szCs w:val="24"/>
        </w:rPr>
        <w:t>, 624–628.</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11.</w:t>
      </w:r>
      <w:r w:rsidRPr="00750EA2">
        <w:rPr>
          <w:rFonts w:ascii="Times New Roman" w:hAnsi="Times New Roman"/>
          <w:noProof/>
          <w:sz w:val="24"/>
          <w:szCs w:val="24"/>
        </w:rPr>
        <w:tab/>
        <w:t>S. K. Martha, B. Markovsky, J. Grinblat, Y. Gofer, O. Haik, E. Zinigrad, D. Aurbach, T. Drezen, D. Wang, G. Deghenghi and I. Exnar</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Electrochem. Soc.</w:t>
      </w:r>
      <w:r w:rsidRPr="00750EA2">
        <w:rPr>
          <w:rFonts w:ascii="Times New Roman" w:hAnsi="Times New Roman"/>
          <w:noProof/>
          <w:sz w:val="24"/>
          <w:szCs w:val="24"/>
        </w:rPr>
        <w:t xml:space="preserve"> </w:t>
      </w:r>
      <w:r w:rsidRPr="00750EA2">
        <w:rPr>
          <w:rFonts w:ascii="Times New Roman" w:hAnsi="Times New Roman"/>
          <w:b/>
          <w:bCs/>
          <w:noProof/>
          <w:sz w:val="24"/>
          <w:szCs w:val="24"/>
        </w:rPr>
        <w:t>2009</w:t>
      </w:r>
      <w:r w:rsidRPr="00750EA2">
        <w:rPr>
          <w:rFonts w:ascii="Times New Roman" w:hAnsi="Times New Roman"/>
          <w:noProof/>
          <w:sz w:val="24"/>
          <w:szCs w:val="24"/>
        </w:rPr>
        <w:t xml:space="preserve">, </w:t>
      </w:r>
      <w:r w:rsidRPr="00750EA2">
        <w:rPr>
          <w:rFonts w:ascii="Times New Roman" w:hAnsi="Times New Roman"/>
          <w:i/>
          <w:iCs/>
          <w:noProof/>
          <w:sz w:val="24"/>
          <w:szCs w:val="24"/>
        </w:rPr>
        <w:t>156</w:t>
      </w:r>
      <w:r w:rsidRPr="00750EA2">
        <w:rPr>
          <w:rFonts w:ascii="Times New Roman" w:hAnsi="Times New Roman"/>
          <w:noProof/>
          <w:sz w:val="24"/>
          <w:szCs w:val="24"/>
        </w:rPr>
        <w:t>, A541</w:t>
      </w:r>
      <w:r w:rsidR="004145DB" w:rsidRPr="00750EA2">
        <w:rPr>
          <w:rFonts w:ascii="Times New Roman" w:hAnsi="Times New Roman"/>
          <w:noProof/>
          <w:sz w:val="24"/>
          <w:szCs w:val="24"/>
        </w:rPr>
        <w:t>–</w:t>
      </w:r>
      <w:r w:rsidR="004145DB">
        <w:rPr>
          <w:rFonts w:ascii="Times New Roman" w:hAnsi="Times New Roman"/>
          <w:noProof/>
          <w:sz w:val="24"/>
          <w:szCs w:val="24"/>
        </w:rPr>
        <w:t>A552</w:t>
      </w:r>
      <w:r w:rsidRPr="00750EA2">
        <w:rPr>
          <w:rFonts w:ascii="Times New Roman" w:hAnsi="Times New Roman"/>
          <w:noProof/>
          <w:sz w:val="24"/>
          <w:szCs w:val="24"/>
        </w:rPr>
        <w:t>.</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12.</w:t>
      </w:r>
      <w:r w:rsidRPr="00750EA2">
        <w:rPr>
          <w:rFonts w:ascii="Times New Roman" w:hAnsi="Times New Roman"/>
          <w:noProof/>
          <w:sz w:val="24"/>
          <w:szCs w:val="24"/>
        </w:rPr>
        <w:tab/>
        <w:t>S. M. Oh, S. W. Oh, C. S. Yoon, B. Scrosati, K. Amine and Y. K. Sun</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Adv. Funct. Mater.</w:t>
      </w:r>
      <w:r w:rsidRPr="00750EA2">
        <w:rPr>
          <w:rFonts w:ascii="Times New Roman" w:hAnsi="Times New Roman"/>
          <w:noProof/>
          <w:sz w:val="24"/>
          <w:szCs w:val="24"/>
        </w:rPr>
        <w:t xml:space="preserve"> </w:t>
      </w:r>
      <w:r w:rsidRPr="00750EA2">
        <w:rPr>
          <w:rFonts w:ascii="Times New Roman" w:hAnsi="Times New Roman"/>
          <w:b/>
          <w:bCs/>
          <w:noProof/>
          <w:sz w:val="24"/>
          <w:szCs w:val="24"/>
        </w:rPr>
        <w:t>2010</w:t>
      </w:r>
      <w:r w:rsidRPr="00750EA2">
        <w:rPr>
          <w:rFonts w:ascii="Times New Roman" w:hAnsi="Times New Roman"/>
          <w:noProof/>
          <w:sz w:val="24"/>
          <w:szCs w:val="24"/>
        </w:rPr>
        <w:t xml:space="preserve">, </w:t>
      </w:r>
      <w:r w:rsidRPr="00750EA2">
        <w:rPr>
          <w:rFonts w:ascii="Times New Roman" w:hAnsi="Times New Roman"/>
          <w:i/>
          <w:iCs/>
          <w:noProof/>
          <w:sz w:val="24"/>
          <w:szCs w:val="24"/>
        </w:rPr>
        <w:t>20</w:t>
      </w:r>
      <w:r w:rsidRPr="00750EA2">
        <w:rPr>
          <w:rFonts w:ascii="Times New Roman" w:hAnsi="Times New Roman"/>
          <w:noProof/>
          <w:sz w:val="24"/>
          <w:szCs w:val="24"/>
        </w:rPr>
        <w:t>, 3260–3265.</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13.</w:t>
      </w:r>
      <w:r w:rsidRPr="00750EA2">
        <w:rPr>
          <w:rFonts w:ascii="Times New Roman" w:hAnsi="Times New Roman"/>
          <w:noProof/>
          <w:sz w:val="24"/>
          <w:szCs w:val="24"/>
        </w:rPr>
        <w:tab/>
        <w:t>D. Choi, D. Wang, I. T. Bae, J. Xiao, Z. Nie, W. Wang, V. V. Viswanathan, Y. J. Lee, J. G. Zhang, G. L. Graff, Z. Yang and J. Liu</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Nano Lett.</w:t>
      </w:r>
      <w:r w:rsidRPr="00750EA2">
        <w:rPr>
          <w:rFonts w:ascii="Times New Roman" w:hAnsi="Times New Roman"/>
          <w:noProof/>
          <w:sz w:val="24"/>
          <w:szCs w:val="24"/>
        </w:rPr>
        <w:t xml:space="preserve"> </w:t>
      </w:r>
      <w:r w:rsidRPr="00750EA2">
        <w:rPr>
          <w:rFonts w:ascii="Times New Roman" w:hAnsi="Times New Roman"/>
          <w:b/>
          <w:bCs/>
          <w:noProof/>
          <w:sz w:val="24"/>
          <w:szCs w:val="24"/>
        </w:rPr>
        <w:t>2010</w:t>
      </w:r>
      <w:r w:rsidRPr="00750EA2">
        <w:rPr>
          <w:rFonts w:ascii="Times New Roman" w:hAnsi="Times New Roman"/>
          <w:noProof/>
          <w:sz w:val="24"/>
          <w:szCs w:val="24"/>
        </w:rPr>
        <w:t xml:space="preserve">, </w:t>
      </w:r>
      <w:r w:rsidRPr="00750EA2">
        <w:rPr>
          <w:rFonts w:ascii="Times New Roman" w:hAnsi="Times New Roman"/>
          <w:i/>
          <w:iCs/>
          <w:noProof/>
          <w:sz w:val="24"/>
          <w:szCs w:val="24"/>
        </w:rPr>
        <w:t>10</w:t>
      </w:r>
      <w:r w:rsidRPr="00750EA2">
        <w:rPr>
          <w:rFonts w:ascii="Times New Roman" w:hAnsi="Times New Roman"/>
          <w:noProof/>
          <w:sz w:val="24"/>
          <w:szCs w:val="24"/>
        </w:rPr>
        <w:t>, 2799–2805.</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14.</w:t>
      </w:r>
      <w:r w:rsidRPr="00750EA2">
        <w:rPr>
          <w:rFonts w:ascii="Times New Roman" w:hAnsi="Times New Roman"/>
          <w:noProof/>
          <w:sz w:val="24"/>
          <w:szCs w:val="24"/>
        </w:rPr>
        <w:tab/>
        <w:t>J. Kim, Y.-U. Park, D.-H. Seo, J. Kim, S.-W. Kim and K. Kang</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Electrochem. Soc.</w:t>
      </w:r>
      <w:r w:rsidRPr="00750EA2">
        <w:rPr>
          <w:rFonts w:ascii="Times New Roman" w:hAnsi="Times New Roman"/>
          <w:noProof/>
          <w:sz w:val="24"/>
          <w:szCs w:val="24"/>
        </w:rPr>
        <w:t xml:space="preserve"> </w:t>
      </w:r>
      <w:r w:rsidRPr="00750EA2">
        <w:rPr>
          <w:rFonts w:ascii="Times New Roman" w:hAnsi="Times New Roman"/>
          <w:b/>
          <w:bCs/>
          <w:noProof/>
          <w:sz w:val="24"/>
          <w:szCs w:val="24"/>
        </w:rPr>
        <w:t>2011</w:t>
      </w:r>
      <w:r w:rsidRPr="00750EA2">
        <w:rPr>
          <w:rFonts w:ascii="Times New Roman" w:hAnsi="Times New Roman"/>
          <w:noProof/>
          <w:sz w:val="24"/>
          <w:szCs w:val="24"/>
        </w:rPr>
        <w:t xml:space="preserve">, </w:t>
      </w:r>
      <w:r w:rsidRPr="00750EA2">
        <w:rPr>
          <w:rFonts w:ascii="Times New Roman" w:hAnsi="Times New Roman"/>
          <w:i/>
          <w:iCs/>
          <w:noProof/>
          <w:sz w:val="24"/>
          <w:szCs w:val="24"/>
        </w:rPr>
        <w:t>158</w:t>
      </w:r>
      <w:r w:rsidRPr="00750EA2">
        <w:rPr>
          <w:rFonts w:ascii="Times New Roman" w:hAnsi="Times New Roman"/>
          <w:noProof/>
          <w:sz w:val="24"/>
          <w:szCs w:val="24"/>
        </w:rPr>
        <w:t>, A250</w:t>
      </w:r>
      <w:r w:rsidR="004145DB" w:rsidRPr="00750EA2">
        <w:rPr>
          <w:rFonts w:ascii="Times New Roman" w:hAnsi="Times New Roman"/>
          <w:noProof/>
          <w:sz w:val="24"/>
          <w:szCs w:val="24"/>
        </w:rPr>
        <w:t>–</w:t>
      </w:r>
      <w:r w:rsidR="004145DB">
        <w:rPr>
          <w:rFonts w:ascii="Times New Roman" w:hAnsi="Times New Roman"/>
          <w:noProof/>
          <w:sz w:val="24"/>
          <w:szCs w:val="24"/>
        </w:rPr>
        <w:t>A254</w:t>
      </w:r>
      <w:r w:rsidRPr="00750EA2">
        <w:rPr>
          <w:rFonts w:ascii="Times New Roman" w:hAnsi="Times New Roman"/>
          <w:noProof/>
          <w:sz w:val="24"/>
          <w:szCs w:val="24"/>
        </w:rPr>
        <w:t>.</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15.</w:t>
      </w:r>
      <w:r w:rsidRPr="00750EA2">
        <w:rPr>
          <w:rFonts w:ascii="Times New Roman" w:hAnsi="Times New Roman"/>
          <w:noProof/>
          <w:sz w:val="24"/>
          <w:szCs w:val="24"/>
        </w:rPr>
        <w:tab/>
        <w:t>D. Rangappa, K. Sone, Y. Zhou, T. Kudo and I. Honma</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Mater. Chem.</w:t>
      </w:r>
      <w:r w:rsidRPr="00750EA2">
        <w:rPr>
          <w:rFonts w:ascii="Times New Roman" w:hAnsi="Times New Roman"/>
          <w:noProof/>
          <w:sz w:val="24"/>
          <w:szCs w:val="24"/>
        </w:rPr>
        <w:t xml:space="preserve"> </w:t>
      </w:r>
      <w:r w:rsidRPr="00750EA2">
        <w:rPr>
          <w:rFonts w:ascii="Times New Roman" w:hAnsi="Times New Roman"/>
          <w:b/>
          <w:bCs/>
          <w:noProof/>
          <w:sz w:val="24"/>
          <w:szCs w:val="24"/>
        </w:rPr>
        <w:t>2011</w:t>
      </w:r>
      <w:r w:rsidRPr="00750EA2">
        <w:rPr>
          <w:rFonts w:ascii="Times New Roman" w:hAnsi="Times New Roman"/>
          <w:noProof/>
          <w:sz w:val="24"/>
          <w:szCs w:val="24"/>
        </w:rPr>
        <w:t xml:space="preserve">, </w:t>
      </w:r>
      <w:r w:rsidRPr="00750EA2">
        <w:rPr>
          <w:rFonts w:ascii="Times New Roman" w:hAnsi="Times New Roman"/>
          <w:i/>
          <w:iCs/>
          <w:noProof/>
          <w:sz w:val="24"/>
          <w:szCs w:val="24"/>
        </w:rPr>
        <w:t>21</w:t>
      </w:r>
      <w:r w:rsidRPr="00750EA2">
        <w:rPr>
          <w:rFonts w:ascii="Times New Roman" w:hAnsi="Times New Roman"/>
          <w:noProof/>
          <w:sz w:val="24"/>
          <w:szCs w:val="24"/>
        </w:rPr>
        <w:t>, 158</w:t>
      </w:r>
      <w:r w:rsidRPr="005519A9">
        <w:rPr>
          <w:rFonts w:ascii="Times New Roman" w:hAnsi="Times New Roman"/>
          <w:noProof/>
          <w:sz w:val="24"/>
          <w:szCs w:val="24"/>
        </w:rPr>
        <w:t>13</w:t>
      </w:r>
      <w:r w:rsidR="005519A9" w:rsidRPr="005519A9">
        <w:rPr>
          <w:rFonts w:ascii="Times New Roman" w:hAnsi="Times New Roman"/>
          <w:noProof/>
          <w:sz w:val="24"/>
          <w:szCs w:val="24"/>
        </w:rPr>
        <w:t>–</w:t>
      </w:r>
      <w:r w:rsidR="005519A9" w:rsidRPr="005519A9">
        <w:rPr>
          <w:rFonts w:ascii="Times New Roman" w:hAnsi="Times New Roman"/>
          <w:sz w:val="24"/>
          <w:szCs w:val="24"/>
        </w:rPr>
        <w:t>15818</w:t>
      </w:r>
      <w:r w:rsidRPr="005519A9">
        <w:rPr>
          <w:rFonts w:ascii="Times New Roman" w:hAnsi="Times New Roman"/>
          <w:noProof/>
          <w:sz w:val="24"/>
          <w:szCs w:val="24"/>
        </w:rPr>
        <w:t>.</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16.</w:t>
      </w:r>
      <w:r w:rsidRPr="00750EA2">
        <w:rPr>
          <w:rFonts w:ascii="Times New Roman" w:hAnsi="Times New Roman"/>
          <w:noProof/>
          <w:sz w:val="24"/>
          <w:szCs w:val="24"/>
        </w:rPr>
        <w:tab/>
        <w:t>M. Pivko, M. Bele, E. Tchernychova, N. Z. Logar, R. Dominko and M. Gaberscek</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Chem. Mater.</w:t>
      </w:r>
      <w:r w:rsidRPr="00750EA2">
        <w:rPr>
          <w:rFonts w:ascii="Times New Roman" w:hAnsi="Times New Roman"/>
          <w:noProof/>
          <w:sz w:val="24"/>
          <w:szCs w:val="24"/>
        </w:rPr>
        <w:t xml:space="preserve"> </w:t>
      </w:r>
      <w:r w:rsidRPr="00750EA2">
        <w:rPr>
          <w:rFonts w:ascii="Times New Roman" w:hAnsi="Times New Roman"/>
          <w:b/>
          <w:bCs/>
          <w:noProof/>
          <w:sz w:val="24"/>
          <w:szCs w:val="24"/>
        </w:rPr>
        <w:t>2012</w:t>
      </w:r>
      <w:r w:rsidRPr="00750EA2">
        <w:rPr>
          <w:rFonts w:ascii="Times New Roman" w:hAnsi="Times New Roman"/>
          <w:noProof/>
          <w:sz w:val="24"/>
          <w:szCs w:val="24"/>
        </w:rPr>
        <w:t xml:space="preserve">, </w:t>
      </w:r>
      <w:r w:rsidRPr="00750EA2">
        <w:rPr>
          <w:rFonts w:ascii="Times New Roman" w:hAnsi="Times New Roman"/>
          <w:i/>
          <w:iCs/>
          <w:noProof/>
          <w:sz w:val="24"/>
          <w:szCs w:val="24"/>
        </w:rPr>
        <w:t>24</w:t>
      </w:r>
      <w:r w:rsidRPr="00750EA2">
        <w:rPr>
          <w:rFonts w:ascii="Times New Roman" w:hAnsi="Times New Roman"/>
          <w:noProof/>
          <w:sz w:val="24"/>
          <w:szCs w:val="24"/>
        </w:rPr>
        <w:t>, 1041–1047.</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17.</w:t>
      </w:r>
      <w:r w:rsidRPr="00750EA2">
        <w:rPr>
          <w:rFonts w:ascii="Times New Roman" w:hAnsi="Times New Roman"/>
          <w:noProof/>
          <w:sz w:val="24"/>
          <w:szCs w:val="24"/>
        </w:rPr>
        <w:tab/>
        <w:t>N. Ravet, J. B. Goodenough, S. Besner, M. Simoneau, P. Hovington and M. Armand</w:t>
      </w:r>
      <w:r w:rsidR="00A904E4">
        <w:rPr>
          <w:rFonts w:ascii="Times New Roman" w:hAnsi="Times New Roman"/>
          <w:noProof/>
          <w:sz w:val="24"/>
          <w:szCs w:val="24"/>
        </w:rPr>
        <w:t>,</w:t>
      </w:r>
      <w:r w:rsidRPr="00750EA2">
        <w:rPr>
          <w:rFonts w:ascii="Times New Roman" w:hAnsi="Times New Roman"/>
          <w:noProof/>
          <w:sz w:val="24"/>
          <w:szCs w:val="24"/>
        </w:rPr>
        <w:t xml:space="preserve"> </w:t>
      </w:r>
      <w:r w:rsidR="009F16E4" w:rsidRPr="00F32544">
        <w:rPr>
          <w:rFonts w:ascii="Times New Roman" w:hAnsi="Times New Roman"/>
          <w:iCs/>
          <w:noProof/>
          <w:sz w:val="24"/>
          <w:szCs w:val="24"/>
        </w:rPr>
        <w:t xml:space="preserve">Abstr. 127, </w:t>
      </w:r>
      <w:r w:rsidR="009F16E4">
        <w:rPr>
          <w:rFonts w:ascii="Times New Roman" w:hAnsi="Times New Roman"/>
          <w:iCs/>
          <w:noProof/>
          <w:sz w:val="24"/>
          <w:szCs w:val="24"/>
        </w:rPr>
        <w:t xml:space="preserve">The Electrochemical Society and the Electrochemical Society of Japan </w:t>
      </w:r>
      <w:r w:rsidR="009F16E4">
        <w:rPr>
          <w:rFonts w:ascii="Times New Roman" w:hAnsi="Times New Roman"/>
          <w:iCs/>
          <w:noProof/>
          <w:sz w:val="24"/>
          <w:szCs w:val="24"/>
        </w:rPr>
        <w:lastRenderedPageBreak/>
        <w:t xml:space="preserve">Meeting Abstracts, </w:t>
      </w:r>
      <w:r w:rsidR="009F16E4" w:rsidRPr="00F32544">
        <w:rPr>
          <w:rFonts w:ascii="Times New Roman" w:hAnsi="Times New Roman"/>
          <w:i/>
          <w:iCs/>
          <w:noProof/>
          <w:sz w:val="24"/>
          <w:szCs w:val="24"/>
        </w:rPr>
        <w:t>99-2</w:t>
      </w:r>
      <w:r w:rsidR="009F16E4">
        <w:rPr>
          <w:rFonts w:ascii="Times New Roman" w:hAnsi="Times New Roman"/>
          <w:iCs/>
          <w:noProof/>
          <w:sz w:val="24"/>
          <w:szCs w:val="24"/>
        </w:rPr>
        <w:t>, Honolulu, Hawaii,</w:t>
      </w:r>
      <w:r w:rsidR="009F16E4" w:rsidRPr="00F32544">
        <w:rPr>
          <w:rFonts w:ascii="Times New Roman" w:hAnsi="Times New Roman"/>
          <w:noProof/>
          <w:sz w:val="24"/>
          <w:szCs w:val="24"/>
        </w:rPr>
        <w:t xml:space="preserve"> </w:t>
      </w:r>
      <w:r w:rsidR="009F16E4" w:rsidRPr="00F32544">
        <w:rPr>
          <w:rFonts w:ascii="Times New Roman" w:hAnsi="Times New Roman"/>
          <w:b/>
          <w:bCs/>
          <w:noProof/>
          <w:sz w:val="24"/>
          <w:szCs w:val="24"/>
        </w:rPr>
        <w:t>1999</w:t>
      </w:r>
      <w:r w:rsidR="009F16E4">
        <w:rPr>
          <w:rFonts w:ascii="Times New Roman" w:hAnsi="Times New Roman"/>
          <w:noProof/>
          <w:sz w:val="24"/>
          <w:szCs w:val="24"/>
        </w:rPr>
        <w:t>.</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18.</w:t>
      </w:r>
      <w:r w:rsidRPr="00750EA2">
        <w:rPr>
          <w:rFonts w:ascii="Times New Roman" w:hAnsi="Times New Roman"/>
          <w:noProof/>
          <w:sz w:val="24"/>
          <w:szCs w:val="24"/>
        </w:rPr>
        <w:tab/>
        <w:t>H. Huang, S.-C. Yin and L. F. Nazar</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Electrochem. Solid-State Lett.</w:t>
      </w:r>
      <w:r w:rsidRPr="00750EA2">
        <w:rPr>
          <w:rFonts w:ascii="Times New Roman" w:hAnsi="Times New Roman"/>
          <w:noProof/>
          <w:sz w:val="24"/>
          <w:szCs w:val="24"/>
        </w:rPr>
        <w:t xml:space="preserve"> </w:t>
      </w:r>
      <w:r w:rsidRPr="00750EA2">
        <w:rPr>
          <w:rFonts w:ascii="Times New Roman" w:hAnsi="Times New Roman"/>
          <w:b/>
          <w:bCs/>
          <w:noProof/>
          <w:sz w:val="24"/>
          <w:szCs w:val="24"/>
        </w:rPr>
        <w:t>2001</w:t>
      </w:r>
      <w:r w:rsidRPr="00750EA2">
        <w:rPr>
          <w:rFonts w:ascii="Times New Roman" w:hAnsi="Times New Roman"/>
          <w:noProof/>
          <w:sz w:val="24"/>
          <w:szCs w:val="24"/>
        </w:rPr>
        <w:t xml:space="preserve">, </w:t>
      </w:r>
      <w:r w:rsidRPr="00750EA2">
        <w:rPr>
          <w:rFonts w:ascii="Times New Roman" w:hAnsi="Times New Roman"/>
          <w:i/>
          <w:iCs/>
          <w:noProof/>
          <w:sz w:val="24"/>
          <w:szCs w:val="24"/>
        </w:rPr>
        <w:t>4</w:t>
      </w:r>
      <w:r w:rsidRPr="00750EA2">
        <w:rPr>
          <w:rFonts w:ascii="Times New Roman" w:hAnsi="Times New Roman"/>
          <w:noProof/>
          <w:sz w:val="24"/>
          <w:szCs w:val="24"/>
        </w:rPr>
        <w:t>, A170</w:t>
      </w:r>
      <w:r w:rsidR="008C0689" w:rsidRPr="00750EA2">
        <w:rPr>
          <w:rFonts w:ascii="Times New Roman" w:hAnsi="Times New Roman"/>
          <w:noProof/>
          <w:sz w:val="24"/>
          <w:szCs w:val="24"/>
        </w:rPr>
        <w:t>–</w:t>
      </w:r>
      <w:r w:rsidR="008C0689">
        <w:rPr>
          <w:rFonts w:ascii="Times New Roman" w:hAnsi="Times New Roman"/>
          <w:noProof/>
          <w:sz w:val="24"/>
          <w:szCs w:val="24"/>
        </w:rPr>
        <w:t>A172</w:t>
      </w:r>
      <w:r w:rsidRPr="00750EA2">
        <w:rPr>
          <w:rFonts w:ascii="Times New Roman" w:hAnsi="Times New Roman"/>
          <w:noProof/>
          <w:sz w:val="24"/>
          <w:szCs w:val="24"/>
        </w:rPr>
        <w:t>.</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19.</w:t>
      </w:r>
      <w:r w:rsidRPr="00750EA2">
        <w:rPr>
          <w:rFonts w:ascii="Times New Roman" w:hAnsi="Times New Roman"/>
          <w:noProof/>
          <w:sz w:val="24"/>
          <w:szCs w:val="24"/>
        </w:rPr>
        <w:tab/>
        <w:t>A. Yamada, S. C. Chung and K. Hinokuma</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Electrochem. Soc.</w:t>
      </w:r>
      <w:r w:rsidRPr="00750EA2">
        <w:rPr>
          <w:rFonts w:ascii="Times New Roman" w:hAnsi="Times New Roman"/>
          <w:noProof/>
          <w:sz w:val="24"/>
          <w:szCs w:val="24"/>
        </w:rPr>
        <w:t xml:space="preserve"> </w:t>
      </w:r>
      <w:r w:rsidRPr="00750EA2">
        <w:rPr>
          <w:rFonts w:ascii="Times New Roman" w:hAnsi="Times New Roman"/>
          <w:b/>
          <w:bCs/>
          <w:noProof/>
          <w:sz w:val="24"/>
          <w:szCs w:val="24"/>
        </w:rPr>
        <w:t>2001</w:t>
      </w:r>
      <w:r w:rsidRPr="00750EA2">
        <w:rPr>
          <w:rFonts w:ascii="Times New Roman" w:hAnsi="Times New Roman"/>
          <w:noProof/>
          <w:sz w:val="24"/>
          <w:szCs w:val="24"/>
        </w:rPr>
        <w:t xml:space="preserve">, </w:t>
      </w:r>
      <w:r w:rsidRPr="00750EA2">
        <w:rPr>
          <w:rFonts w:ascii="Times New Roman" w:hAnsi="Times New Roman"/>
          <w:i/>
          <w:iCs/>
          <w:noProof/>
          <w:sz w:val="24"/>
          <w:szCs w:val="24"/>
        </w:rPr>
        <w:t>148</w:t>
      </w:r>
      <w:r w:rsidRPr="00750EA2">
        <w:rPr>
          <w:rFonts w:ascii="Times New Roman" w:hAnsi="Times New Roman"/>
          <w:noProof/>
          <w:sz w:val="24"/>
          <w:szCs w:val="24"/>
        </w:rPr>
        <w:t>, A224</w:t>
      </w:r>
      <w:r w:rsidR="008C0689" w:rsidRPr="00750EA2">
        <w:rPr>
          <w:rFonts w:ascii="Times New Roman" w:hAnsi="Times New Roman"/>
          <w:noProof/>
          <w:sz w:val="24"/>
          <w:szCs w:val="24"/>
        </w:rPr>
        <w:t>–</w:t>
      </w:r>
      <w:r w:rsidR="008C0689" w:rsidRPr="008C0689">
        <w:rPr>
          <w:i/>
          <w:iCs/>
        </w:rPr>
        <w:t xml:space="preserve"> </w:t>
      </w:r>
      <w:r w:rsidR="008C0689" w:rsidRPr="008C0689">
        <w:rPr>
          <w:rStyle w:val="slug-pages"/>
          <w:rFonts w:ascii="Times New Roman" w:hAnsi="Times New Roman"/>
          <w:iCs/>
          <w:sz w:val="24"/>
          <w:szCs w:val="24"/>
        </w:rPr>
        <w:t>A229</w:t>
      </w:r>
      <w:r w:rsidRPr="008C0689">
        <w:rPr>
          <w:rFonts w:ascii="Times New Roman" w:hAnsi="Times New Roman"/>
          <w:noProof/>
          <w:sz w:val="24"/>
          <w:szCs w:val="24"/>
        </w:rPr>
        <w:t>.</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20.</w:t>
      </w:r>
      <w:r w:rsidRPr="00750EA2">
        <w:rPr>
          <w:rFonts w:ascii="Times New Roman" w:hAnsi="Times New Roman"/>
          <w:noProof/>
          <w:sz w:val="24"/>
          <w:szCs w:val="24"/>
        </w:rPr>
        <w:tab/>
        <w:t>J. Chen and M. S. Whittingham</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Electrochem. commun.</w:t>
      </w:r>
      <w:r w:rsidRPr="00750EA2">
        <w:rPr>
          <w:rFonts w:ascii="Times New Roman" w:hAnsi="Times New Roman"/>
          <w:noProof/>
          <w:sz w:val="24"/>
          <w:szCs w:val="24"/>
        </w:rPr>
        <w:t xml:space="preserve"> </w:t>
      </w:r>
      <w:r w:rsidRPr="00750EA2">
        <w:rPr>
          <w:rFonts w:ascii="Times New Roman" w:hAnsi="Times New Roman"/>
          <w:b/>
          <w:bCs/>
          <w:noProof/>
          <w:sz w:val="24"/>
          <w:szCs w:val="24"/>
        </w:rPr>
        <w:t>2006</w:t>
      </w:r>
      <w:r w:rsidRPr="00750EA2">
        <w:rPr>
          <w:rFonts w:ascii="Times New Roman" w:hAnsi="Times New Roman"/>
          <w:noProof/>
          <w:sz w:val="24"/>
          <w:szCs w:val="24"/>
        </w:rPr>
        <w:t xml:space="preserve">, </w:t>
      </w:r>
      <w:r w:rsidRPr="00750EA2">
        <w:rPr>
          <w:rFonts w:ascii="Times New Roman" w:hAnsi="Times New Roman"/>
          <w:i/>
          <w:iCs/>
          <w:noProof/>
          <w:sz w:val="24"/>
          <w:szCs w:val="24"/>
        </w:rPr>
        <w:t>8</w:t>
      </w:r>
      <w:r w:rsidRPr="00750EA2">
        <w:rPr>
          <w:rFonts w:ascii="Times New Roman" w:hAnsi="Times New Roman"/>
          <w:noProof/>
          <w:sz w:val="24"/>
          <w:szCs w:val="24"/>
        </w:rPr>
        <w:t>, 855–858.</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21.</w:t>
      </w:r>
      <w:r w:rsidRPr="00750EA2">
        <w:rPr>
          <w:rFonts w:ascii="Times New Roman" w:hAnsi="Times New Roman"/>
          <w:noProof/>
          <w:sz w:val="24"/>
          <w:szCs w:val="24"/>
        </w:rPr>
        <w:tab/>
        <w:t>Z. Chen and J. R. Dahn</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Electrochem. Soc.</w:t>
      </w:r>
      <w:r w:rsidRPr="00750EA2">
        <w:rPr>
          <w:rFonts w:ascii="Times New Roman" w:hAnsi="Times New Roman"/>
          <w:noProof/>
          <w:sz w:val="24"/>
          <w:szCs w:val="24"/>
        </w:rPr>
        <w:t xml:space="preserve"> </w:t>
      </w:r>
      <w:r w:rsidRPr="00750EA2">
        <w:rPr>
          <w:rFonts w:ascii="Times New Roman" w:hAnsi="Times New Roman"/>
          <w:b/>
          <w:bCs/>
          <w:noProof/>
          <w:sz w:val="24"/>
          <w:szCs w:val="24"/>
        </w:rPr>
        <w:t>2002</w:t>
      </w:r>
      <w:r w:rsidRPr="00750EA2">
        <w:rPr>
          <w:rFonts w:ascii="Times New Roman" w:hAnsi="Times New Roman"/>
          <w:noProof/>
          <w:sz w:val="24"/>
          <w:szCs w:val="24"/>
        </w:rPr>
        <w:t xml:space="preserve">, </w:t>
      </w:r>
      <w:r w:rsidRPr="00750EA2">
        <w:rPr>
          <w:rFonts w:ascii="Times New Roman" w:hAnsi="Times New Roman"/>
          <w:i/>
          <w:iCs/>
          <w:noProof/>
          <w:sz w:val="24"/>
          <w:szCs w:val="24"/>
        </w:rPr>
        <w:t>149</w:t>
      </w:r>
      <w:r w:rsidRPr="00750EA2">
        <w:rPr>
          <w:rFonts w:ascii="Times New Roman" w:hAnsi="Times New Roman"/>
          <w:noProof/>
          <w:sz w:val="24"/>
          <w:szCs w:val="24"/>
        </w:rPr>
        <w:t>, A1</w:t>
      </w:r>
      <w:r w:rsidRPr="00277E4B">
        <w:rPr>
          <w:rFonts w:ascii="Times New Roman" w:hAnsi="Times New Roman"/>
          <w:noProof/>
          <w:sz w:val="24"/>
          <w:szCs w:val="24"/>
        </w:rPr>
        <w:t>184</w:t>
      </w:r>
      <w:r w:rsidR="00277E4B" w:rsidRPr="00277E4B">
        <w:rPr>
          <w:rFonts w:ascii="Times New Roman" w:hAnsi="Times New Roman"/>
          <w:noProof/>
          <w:sz w:val="24"/>
          <w:szCs w:val="24"/>
        </w:rPr>
        <w:t>–</w:t>
      </w:r>
      <w:r w:rsidR="00277E4B" w:rsidRPr="00277E4B">
        <w:rPr>
          <w:rStyle w:val="slug-pages"/>
          <w:rFonts w:ascii="Times New Roman" w:hAnsi="Times New Roman"/>
          <w:iCs/>
          <w:sz w:val="24"/>
          <w:szCs w:val="24"/>
        </w:rPr>
        <w:t>A1189</w:t>
      </w:r>
      <w:r w:rsidRPr="00277E4B">
        <w:rPr>
          <w:rFonts w:ascii="Times New Roman" w:hAnsi="Times New Roman"/>
          <w:noProof/>
          <w:sz w:val="24"/>
          <w:szCs w:val="24"/>
        </w:rPr>
        <w:t>.</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22.</w:t>
      </w:r>
      <w:r w:rsidRPr="00750EA2">
        <w:rPr>
          <w:rFonts w:ascii="Times New Roman" w:hAnsi="Times New Roman"/>
          <w:noProof/>
          <w:sz w:val="24"/>
          <w:szCs w:val="24"/>
        </w:rPr>
        <w:tab/>
        <w:t>S. Franger, F. Le Cras, C. Bourbon and H. Rouault</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Electrochem. Solid-State Lett.</w:t>
      </w:r>
      <w:r w:rsidRPr="00750EA2">
        <w:rPr>
          <w:rFonts w:ascii="Times New Roman" w:hAnsi="Times New Roman"/>
          <w:noProof/>
          <w:sz w:val="24"/>
          <w:szCs w:val="24"/>
        </w:rPr>
        <w:t xml:space="preserve"> </w:t>
      </w:r>
      <w:r w:rsidRPr="00750EA2">
        <w:rPr>
          <w:rFonts w:ascii="Times New Roman" w:hAnsi="Times New Roman"/>
          <w:b/>
          <w:bCs/>
          <w:noProof/>
          <w:sz w:val="24"/>
          <w:szCs w:val="24"/>
        </w:rPr>
        <w:t>2002</w:t>
      </w:r>
      <w:r w:rsidRPr="00750EA2">
        <w:rPr>
          <w:rFonts w:ascii="Times New Roman" w:hAnsi="Times New Roman"/>
          <w:noProof/>
          <w:sz w:val="24"/>
          <w:szCs w:val="24"/>
        </w:rPr>
        <w:t xml:space="preserve">, </w:t>
      </w:r>
      <w:r w:rsidRPr="00750EA2">
        <w:rPr>
          <w:rFonts w:ascii="Times New Roman" w:hAnsi="Times New Roman"/>
          <w:i/>
          <w:iCs/>
          <w:noProof/>
          <w:sz w:val="24"/>
          <w:szCs w:val="24"/>
        </w:rPr>
        <w:t>5</w:t>
      </w:r>
      <w:r w:rsidRPr="00750EA2">
        <w:rPr>
          <w:rFonts w:ascii="Times New Roman" w:hAnsi="Times New Roman"/>
          <w:noProof/>
          <w:sz w:val="24"/>
          <w:szCs w:val="24"/>
        </w:rPr>
        <w:t>, A231</w:t>
      </w:r>
      <w:r w:rsidR="00277E4B" w:rsidRPr="00277E4B">
        <w:rPr>
          <w:rFonts w:ascii="Times New Roman" w:hAnsi="Times New Roman"/>
          <w:noProof/>
          <w:sz w:val="24"/>
          <w:szCs w:val="24"/>
        </w:rPr>
        <w:t>–</w:t>
      </w:r>
      <w:r w:rsidR="00277E4B">
        <w:rPr>
          <w:rFonts w:ascii="Times New Roman" w:hAnsi="Times New Roman"/>
          <w:noProof/>
          <w:sz w:val="24"/>
          <w:szCs w:val="24"/>
        </w:rPr>
        <w:t>A233</w:t>
      </w:r>
      <w:r w:rsidRPr="00750EA2">
        <w:rPr>
          <w:rFonts w:ascii="Times New Roman" w:hAnsi="Times New Roman"/>
          <w:noProof/>
          <w:sz w:val="24"/>
          <w:szCs w:val="24"/>
        </w:rPr>
        <w:t>.</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23.</w:t>
      </w:r>
      <w:r w:rsidRPr="00750EA2">
        <w:rPr>
          <w:rFonts w:ascii="Times New Roman" w:hAnsi="Times New Roman"/>
          <w:noProof/>
          <w:sz w:val="24"/>
          <w:szCs w:val="24"/>
        </w:rPr>
        <w:tab/>
        <w:t>B. L. Cushing and J. B. Goodenough</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Solid State Sciences</w:t>
      </w:r>
      <w:r w:rsidRPr="00750EA2">
        <w:rPr>
          <w:rFonts w:ascii="Times New Roman" w:hAnsi="Times New Roman"/>
          <w:noProof/>
          <w:sz w:val="24"/>
          <w:szCs w:val="24"/>
        </w:rPr>
        <w:t xml:space="preserve"> </w:t>
      </w:r>
      <w:r w:rsidRPr="00750EA2">
        <w:rPr>
          <w:rFonts w:ascii="Times New Roman" w:hAnsi="Times New Roman"/>
          <w:b/>
          <w:bCs/>
          <w:noProof/>
          <w:sz w:val="24"/>
          <w:szCs w:val="24"/>
        </w:rPr>
        <w:t>2002</w:t>
      </w:r>
      <w:r w:rsidRPr="00750EA2">
        <w:rPr>
          <w:rFonts w:ascii="Times New Roman" w:hAnsi="Times New Roman"/>
          <w:noProof/>
          <w:sz w:val="24"/>
          <w:szCs w:val="24"/>
        </w:rPr>
        <w:t xml:space="preserve">, </w:t>
      </w:r>
      <w:r w:rsidRPr="00750EA2">
        <w:rPr>
          <w:rFonts w:ascii="Times New Roman" w:hAnsi="Times New Roman"/>
          <w:i/>
          <w:iCs/>
          <w:noProof/>
          <w:sz w:val="24"/>
          <w:szCs w:val="24"/>
        </w:rPr>
        <w:t>4</w:t>
      </w:r>
      <w:r w:rsidRPr="00750EA2">
        <w:rPr>
          <w:rFonts w:ascii="Times New Roman" w:hAnsi="Times New Roman"/>
          <w:noProof/>
          <w:sz w:val="24"/>
          <w:szCs w:val="24"/>
        </w:rPr>
        <w:t>, 1487–1493.</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24.</w:t>
      </w:r>
      <w:r w:rsidRPr="00750EA2">
        <w:rPr>
          <w:rFonts w:ascii="Times New Roman" w:hAnsi="Times New Roman"/>
          <w:noProof/>
          <w:sz w:val="24"/>
          <w:szCs w:val="24"/>
        </w:rPr>
        <w:tab/>
        <w:t>R. Dominko, M. Bele, M. Gaberscek, M. Remskar, D. Hanzel, S. Pejovnik and J. Jamnik</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Electrochem. Soc.</w:t>
      </w:r>
      <w:r w:rsidRPr="00750EA2">
        <w:rPr>
          <w:rFonts w:ascii="Times New Roman" w:hAnsi="Times New Roman"/>
          <w:noProof/>
          <w:sz w:val="24"/>
          <w:szCs w:val="24"/>
        </w:rPr>
        <w:t xml:space="preserve"> </w:t>
      </w:r>
      <w:r w:rsidRPr="00750EA2">
        <w:rPr>
          <w:rFonts w:ascii="Times New Roman" w:hAnsi="Times New Roman"/>
          <w:b/>
          <w:bCs/>
          <w:noProof/>
          <w:sz w:val="24"/>
          <w:szCs w:val="24"/>
        </w:rPr>
        <w:t>2005</w:t>
      </w:r>
      <w:r w:rsidRPr="00750EA2">
        <w:rPr>
          <w:rFonts w:ascii="Times New Roman" w:hAnsi="Times New Roman"/>
          <w:noProof/>
          <w:sz w:val="24"/>
          <w:szCs w:val="24"/>
        </w:rPr>
        <w:t xml:space="preserve">, </w:t>
      </w:r>
      <w:r w:rsidRPr="00750EA2">
        <w:rPr>
          <w:rFonts w:ascii="Times New Roman" w:hAnsi="Times New Roman"/>
          <w:i/>
          <w:iCs/>
          <w:noProof/>
          <w:sz w:val="24"/>
          <w:szCs w:val="24"/>
        </w:rPr>
        <w:t>152</w:t>
      </w:r>
      <w:r w:rsidRPr="00750EA2">
        <w:rPr>
          <w:rFonts w:ascii="Times New Roman" w:hAnsi="Times New Roman"/>
          <w:noProof/>
          <w:sz w:val="24"/>
          <w:szCs w:val="24"/>
        </w:rPr>
        <w:t>, A607</w:t>
      </w:r>
      <w:r w:rsidR="00277E4B" w:rsidRPr="00750EA2">
        <w:rPr>
          <w:rFonts w:ascii="Times New Roman" w:hAnsi="Times New Roman"/>
          <w:noProof/>
          <w:sz w:val="24"/>
          <w:szCs w:val="24"/>
        </w:rPr>
        <w:t>–</w:t>
      </w:r>
      <w:r w:rsidR="00277E4B">
        <w:rPr>
          <w:rFonts w:ascii="Times New Roman" w:hAnsi="Times New Roman"/>
          <w:noProof/>
          <w:sz w:val="24"/>
          <w:szCs w:val="24"/>
        </w:rPr>
        <w:t>A610</w:t>
      </w:r>
      <w:r w:rsidRPr="00750EA2">
        <w:rPr>
          <w:rFonts w:ascii="Times New Roman" w:hAnsi="Times New Roman"/>
          <w:noProof/>
          <w:sz w:val="24"/>
          <w:szCs w:val="24"/>
        </w:rPr>
        <w:t>.</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25.</w:t>
      </w:r>
      <w:r w:rsidRPr="00750EA2">
        <w:rPr>
          <w:rFonts w:ascii="Times New Roman" w:hAnsi="Times New Roman"/>
          <w:noProof/>
          <w:sz w:val="24"/>
          <w:szCs w:val="24"/>
        </w:rPr>
        <w:tab/>
        <w:t>R. Dominko, D. E. Conte, D. Hanzel, M. Gaberscek and J. Jamnik</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Power Sources</w:t>
      </w:r>
      <w:r w:rsidRPr="00750EA2">
        <w:rPr>
          <w:rFonts w:ascii="Times New Roman" w:hAnsi="Times New Roman"/>
          <w:noProof/>
          <w:sz w:val="24"/>
          <w:szCs w:val="24"/>
        </w:rPr>
        <w:t xml:space="preserve"> </w:t>
      </w:r>
      <w:r w:rsidRPr="00750EA2">
        <w:rPr>
          <w:rFonts w:ascii="Times New Roman" w:hAnsi="Times New Roman"/>
          <w:b/>
          <w:bCs/>
          <w:noProof/>
          <w:sz w:val="24"/>
          <w:szCs w:val="24"/>
        </w:rPr>
        <w:t>2008</w:t>
      </w:r>
      <w:r w:rsidRPr="00750EA2">
        <w:rPr>
          <w:rFonts w:ascii="Times New Roman" w:hAnsi="Times New Roman"/>
          <w:noProof/>
          <w:sz w:val="24"/>
          <w:szCs w:val="24"/>
        </w:rPr>
        <w:t xml:space="preserve">, </w:t>
      </w:r>
      <w:r w:rsidRPr="00750EA2">
        <w:rPr>
          <w:rFonts w:ascii="Times New Roman" w:hAnsi="Times New Roman"/>
          <w:i/>
          <w:iCs/>
          <w:noProof/>
          <w:sz w:val="24"/>
          <w:szCs w:val="24"/>
        </w:rPr>
        <w:t>178</w:t>
      </w:r>
      <w:r w:rsidRPr="00750EA2">
        <w:rPr>
          <w:rFonts w:ascii="Times New Roman" w:hAnsi="Times New Roman"/>
          <w:noProof/>
          <w:sz w:val="24"/>
          <w:szCs w:val="24"/>
        </w:rPr>
        <w:t>, 842–847.</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26.</w:t>
      </w:r>
      <w:r w:rsidRPr="00750EA2">
        <w:rPr>
          <w:rFonts w:ascii="Times New Roman" w:hAnsi="Times New Roman"/>
          <w:noProof/>
          <w:sz w:val="24"/>
          <w:szCs w:val="24"/>
        </w:rPr>
        <w:tab/>
        <w:t>M. Küzma, R. Dominko, A. Meden, D. Makovec, M. Bele, J. Jamnik and M. Gaberšček</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Power Sources</w:t>
      </w:r>
      <w:r w:rsidRPr="00750EA2">
        <w:rPr>
          <w:rFonts w:ascii="Times New Roman" w:hAnsi="Times New Roman"/>
          <w:noProof/>
          <w:sz w:val="24"/>
          <w:szCs w:val="24"/>
        </w:rPr>
        <w:t xml:space="preserve"> </w:t>
      </w:r>
      <w:r w:rsidRPr="00750EA2">
        <w:rPr>
          <w:rFonts w:ascii="Times New Roman" w:hAnsi="Times New Roman"/>
          <w:b/>
          <w:bCs/>
          <w:noProof/>
          <w:sz w:val="24"/>
          <w:szCs w:val="24"/>
        </w:rPr>
        <w:t>2009</w:t>
      </w:r>
      <w:r w:rsidRPr="00750EA2">
        <w:rPr>
          <w:rFonts w:ascii="Times New Roman" w:hAnsi="Times New Roman"/>
          <w:noProof/>
          <w:sz w:val="24"/>
          <w:szCs w:val="24"/>
        </w:rPr>
        <w:t xml:space="preserve">, </w:t>
      </w:r>
      <w:r w:rsidRPr="00750EA2">
        <w:rPr>
          <w:rFonts w:ascii="Times New Roman" w:hAnsi="Times New Roman"/>
          <w:i/>
          <w:iCs/>
          <w:noProof/>
          <w:sz w:val="24"/>
          <w:szCs w:val="24"/>
        </w:rPr>
        <w:t>189</w:t>
      </w:r>
      <w:r w:rsidRPr="00750EA2">
        <w:rPr>
          <w:rFonts w:ascii="Times New Roman" w:hAnsi="Times New Roman"/>
          <w:noProof/>
          <w:sz w:val="24"/>
          <w:szCs w:val="24"/>
        </w:rPr>
        <w:t>, 81–88.</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27.</w:t>
      </w:r>
      <w:r w:rsidRPr="00750EA2">
        <w:rPr>
          <w:rFonts w:ascii="Times New Roman" w:hAnsi="Times New Roman"/>
          <w:noProof/>
          <w:sz w:val="24"/>
          <w:szCs w:val="24"/>
        </w:rPr>
        <w:tab/>
        <w:t>Z. L. Gong, Y. X. Li, G. N. He, J. Li and Y. Yang</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Electrochem. Solid-State Lett.</w:t>
      </w:r>
      <w:r w:rsidRPr="00750EA2">
        <w:rPr>
          <w:rFonts w:ascii="Times New Roman" w:hAnsi="Times New Roman"/>
          <w:noProof/>
          <w:sz w:val="24"/>
          <w:szCs w:val="24"/>
        </w:rPr>
        <w:t xml:space="preserve"> </w:t>
      </w:r>
      <w:r w:rsidRPr="00750EA2">
        <w:rPr>
          <w:rFonts w:ascii="Times New Roman" w:hAnsi="Times New Roman"/>
          <w:b/>
          <w:bCs/>
          <w:noProof/>
          <w:sz w:val="24"/>
          <w:szCs w:val="24"/>
        </w:rPr>
        <w:t>2008</w:t>
      </w:r>
      <w:r w:rsidRPr="00750EA2">
        <w:rPr>
          <w:rFonts w:ascii="Times New Roman" w:hAnsi="Times New Roman"/>
          <w:noProof/>
          <w:sz w:val="24"/>
          <w:szCs w:val="24"/>
        </w:rPr>
        <w:t xml:space="preserve">, </w:t>
      </w:r>
      <w:r w:rsidRPr="00750EA2">
        <w:rPr>
          <w:rFonts w:ascii="Times New Roman" w:hAnsi="Times New Roman"/>
          <w:i/>
          <w:iCs/>
          <w:noProof/>
          <w:sz w:val="24"/>
          <w:szCs w:val="24"/>
        </w:rPr>
        <w:t>11</w:t>
      </w:r>
      <w:r w:rsidRPr="00750EA2">
        <w:rPr>
          <w:rFonts w:ascii="Times New Roman" w:hAnsi="Times New Roman"/>
          <w:noProof/>
          <w:sz w:val="24"/>
          <w:szCs w:val="24"/>
        </w:rPr>
        <w:t>, A60</w:t>
      </w:r>
      <w:r w:rsidR="00277E4B" w:rsidRPr="00750EA2">
        <w:rPr>
          <w:rFonts w:ascii="Times New Roman" w:hAnsi="Times New Roman"/>
          <w:noProof/>
          <w:sz w:val="24"/>
          <w:szCs w:val="24"/>
        </w:rPr>
        <w:t>–</w:t>
      </w:r>
      <w:r w:rsidR="00277E4B">
        <w:rPr>
          <w:rFonts w:ascii="Times New Roman" w:hAnsi="Times New Roman"/>
          <w:noProof/>
          <w:sz w:val="24"/>
          <w:szCs w:val="24"/>
        </w:rPr>
        <w:t>A63</w:t>
      </w:r>
      <w:r w:rsidRPr="00750EA2">
        <w:rPr>
          <w:rFonts w:ascii="Times New Roman" w:hAnsi="Times New Roman"/>
          <w:noProof/>
          <w:sz w:val="24"/>
          <w:szCs w:val="24"/>
        </w:rPr>
        <w:t>.</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28.</w:t>
      </w:r>
      <w:r w:rsidRPr="00750EA2">
        <w:rPr>
          <w:rFonts w:ascii="Times New Roman" w:hAnsi="Times New Roman"/>
          <w:noProof/>
          <w:sz w:val="24"/>
          <w:szCs w:val="24"/>
        </w:rPr>
        <w:tab/>
        <w:t>R. Dominko, M. Bele, J. M. Goupil, M. Gaberscek, D. Hanzel, I. Arcon and J. Jamnik</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Chem. Mater.</w:t>
      </w:r>
      <w:r w:rsidRPr="00750EA2">
        <w:rPr>
          <w:rFonts w:ascii="Times New Roman" w:hAnsi="Times New Roman"/>
          <w:noProof/>
          <w:sz w:val="24"/>
          <w:szCs w:val="24"/>
        </w:rPr>
        <w:t xml:space="preserve"> </w:t>
      </w:r>
      <w:r w:rsidRPr="00750EA2">
        <w:rPr>
          <w:rFonts w:ascii="Times New Roman" w:hAnsi="Times New Roman"/>
          <w:b/>
          <w:bCs/>
          <w:noProof/>
          <w:sz w:val="24"/>
          <w:szCs w:val="24"/>
        </w:rPr>
        <w:t>2007</w:t>
      </w:r>
      <w:r w:rsidRPr="00750EA2">
        <w:rPr>
          <w:rFonts w:ascii="Times New Roman" w:hAnsi="Times New Roman"/>
          <w:noProof/>
          <w:sz w:val="24"/>
          <w:szCs w:val="24"/>
        </w:rPr>
        <w:t xml:space="preserve">, </w:t>
      </w:r>
      <w:r w:rsidRPr="00750EA2">
        <w:rPr>
          <w:rFonts w:ascii="Times New Roman" w:hAnsi="Times New Roman"/>
          <w:i/>
          <w:iCs/>
          <w:noProof/>
          <w:sz w:val="24"/>
          <w:szCs w:val="24"/>
        </w:rPr>
        <w:t>19</w:t>
      </w:r>
      <w:r w:rsidRPr="00750EA2">
        <w:rPr>
          <w:rFonts w:ascii="Times New Roman" w:hAnsi="Times New Roman"/>
          <w:noProof/>
          <w:sz w:val="24"/>
          <w:szCs w:val="24"/>
        </w:rPr>
        <w:t>, 2960–2969.</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29.</w:t>
      </w:r>
      <w:r w:rsidRPr="00750EA2">
        <w:rPr>
          <w:rFonts w:ascii="Times New Roman" w:hAnsi="Times New Roman"/>
          <w:noProof/>
          <w:sz w:val="24"/>
          <w:szCs w:val="24"/>
        </w:rPr>
        <w:tab/>
        <w:t>J. Moskon, M. Pivko, I. Jerman, E. Tchernychova, N. Z. Logar, M. Zorko, V. S. Selih, R. Dominko and M. Gaberscek</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Power Sources</w:t>
      </w:r>
      <w:r w:rsidRPr="00750EA2">
        <w:rPr>
          <w:rFonts w:ascii="Times New Roman" w:hAnsi="Times New Roman"/>
          <w:noProof/>
          <w:sz w:val="24"/>
          <w:szCs w:val="24"/>
        </w:rPr>
        <w:t xml:space="preserve"> </w:t>
      </w:r>
      <w:r w:rsidRPr="00750EA2">
        <w:rPr>
          <w:rFonts w:ascii="Times New Roman" w:hAnsi="Times New Roman"/>
          <w:b/>
          <w:bCs/>
          <w:noProof/>
          <w:sz w:val="24"/>
          <w:szCs w:val="24"/>
        </w:rPr>
        <w:t>2016</w:t>
      </w:r>
      <w:r w:rsidRPr="00750EA2">
        <w:rPr>
          <w:rFonts w:ascii="Times New Roman" w:hAnsi="Times New Roman"/>
          <w:noProof/>
          <w:sz w:val="24"/>
          <w:szCs w:val="24"/>
        </w:rPr>
        <w:t xml:space="preserve">, </w:t>
      </w:r>
      <w:r w:rsidRPr="00750EA2">
        <w:rPr>
          <w:rFonts w:ascii="Times New Roman" w:hAnsi="Times New Roman"/>
          <w:i/>
          <w:iCs/>
          <w:noProof/>
          <w:sz w:val="24"/>
          <w:szCs w:val="24"/>
        </w:rPr>
        <w:t>303</w:t>
      </w:r>
      <w:r w:rsidRPr="00750EA2">
        <w:rPr>
          <w:rFonts w:ascii="Times New Roman" w:hAnsi="Times New Roman"/>
          <w:noProof/>
          <w:sz w:val="24"/>
          <w:szCs w:val="24"/>
        </w:rPr>
        <w:t>, 97–108.</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30.</w:t>
      </w:r>
      <w:r w:rsidRPr="00750EA2">
        <w:rPr>
          <w:rFonts w:ascii="Times New Roman" w:hAnsi="Times New Roman"/>
          <w:noProof/>
          <w:sz w:val="24"/>
          <w:szCs w:val="24"/>
        </w:rPr>
        <w:tab/>
        <w:t>D. Wang, C. Ouyang, T. Drézen, I. Exnar, A. Kay, N.-H. Kwon, P. Gouerec, J. H. Miners, M. Wang and M. Grätzel</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Electrochem. Soc.</w:t>
      </w:r>
      <w:r w:rsidRPr="00750EA2">
        <w:rPr>
          <w:rFonts w:ascii="Times New Roman" w:hAnsi="Times New Roman"/>
          <w:noProof/>
          <w:sz w:val="24"/>
          <w:szCs w:val="24"/>
        </w:rPr>
        <w:t xml:space="preserve"> </w:t>
      </w:r>
      <w:r w:rsidRPr="00750EA2">
        <w:rPr>
          <w:rFonts w:ascii="Times New Roman" w:hAnsi="Times New Roman"/>
          <w:b/>
          <w:bCs/>
          <w:noProof/>
          <w:sz w:val="24"/>
          <w:szCs w:val="24"/>
        </w:rPr>
        <w:t>2010</w:t>
      </w:r>
      <w:r w:rsidRPr="00750EA2">
        <w:rPr>
          <w:rFonts w:ascii="Times New Roman" w:hAnsi="Times New Roman"/>
          <w:noProof/>
          <w:sz w:val="24"/>
          <w:szCs w:val="24"/>
        </w:rPr>
        <w:t xml:space="preserve">, </w:t>
      </w:r>
      <w:r w:rsidRPr="00750EA2">
        <w:rPr>
          <w:rFonts w:ascii="Times New Roman" w:hAnsi="Times New Roman"/>
          <w:i/>
          <w:iCs/>
          <w:noProof/>
          <w:sz w:val="24"/>
          <w:szCs w:val="24"/>
        </w:rPr>
        <w:t>157</w:t>
      </w:r>
      <w:r w:rsidRPr="00750EA2">
        <w:rPr>
          <w:rFonts w:ascii="Times New Roman" w:hAnsi="Times New Roman"/>
          <w:noProof/>
          <w:sz w:val="24"/>
          <w:szCs w:val="24"/>
        </w:rPr>
        <w:t>, A225</w:t>
      </w:r>
      <w:r w:rsidR="00277E4B" w:rsidRPr="00750EA2">
        <w:rPr>
          <w:rFonts w:ascii="Times New Roman" w:hAnsi="Times New Roman"/>
          <w:noProof/>
          <w:sz w:val="24"/>
          <w:szCs w:val="24"/>
        </w:rPr>
        <w:t>–</w:t>
      </w:r>
      <w:r w:rsidR="00277E4B">
        <w:rPr>
          <w:rFonts w:ascii="Times New Roman" w:hAnsi="Times New Roman"/>
          <w:noProof/>
          <w:sz w:val="24"/>
          <w:szCs w:val="24"/>
        </w:rPr>
        <w:t>A229</w:t>
      </w:r>
      <w:r w:rsidRPr="00750EA2">
        <w:rPr>
          <w:rFonts w:ascii="Times New Roman" w:hAnsi="Times New Roman"/>
          <w:noProof/>
          <w:sz w:val="24"/>
          <w:szCs w:val="24"/>
        </w:rPr>
        <w:t>.</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31.</w:t>
      </w:r>
      <w:r w:rsidRPr="00750EA2">
        <w:rPr>
          <w:rFonts w:ascii="Times New Roman" w:hAnsi="Times New Roman"/>
          <w:noProof/>
          <w:sz w:val="24"/>
          <w:szCs w:val="24"/>
        </w:rPr>
        <w:tab/>
        <w:t>T. Shiratsuchi, S. Okada, T. Doi and J. I. Yamaki</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Electrochim. Acta</w:t>
      </w:r>
      <w:r w:rsidRPr="00750EA2">
        <w:rPr>
          <w:rFonts w:ascii="Times New Roman" w:hAnsi="Times New Roman"/>
          <w:noProof/>
          <w:sz w:val="24"/>
          <w:szCs w:val="24"/>
        </w:rPr>
        <w:t xml:space="preserve"> </w:t>
      </w:r>
      <w:r w:rsidRPr="00750EA2">
        <w:rPr>
          <w:rFonts w:ascii="Times New Roman" w:hAnsi="Times New Roman"/>
          <w:b/>
          <w:bCs/>
          <w:noProof/>
          <w:sz w:val="24"/>
          <w:szCs w:val="24"/>
        </w:rPr>
        <w:t>2009</w:t>
      </w:r>
      <w:r w:rsidRPr="00750EA2">
        <w:rPr>
          <w:rFonts w:ascii="Times New Roman" w:hAnsi="Times New Roman"/>
          <w:noProof/>
          <w:sz w:val="24"/>
          <w:szCs w:val="24"/>
        </w:rPr>
        <w:t xml:space="preserve">, </w:t>
      </w:r>
      <w:r w:rsidRPr="00750EA2">
        <w:rPr>
          <w:rFonts w:ascii="Times New Roman" w:hAnsi="Times New Roman"/>
          <w:i/>
          <w:iCs/>
          <w:noProof/>
          <w:sz w:val="24"/>
          <w:szCs w:val="24"/>
        </w:rPr>
        <w:t>54</w:t>
      </w:r>
      <w:r w:rsidRPr="00750EA2">
        <w:rPr>
          <w:rFonts w:ascii="Times New Roman" w:hAnsi="Times New Roman"/>
          <w:noProof/>
          <w:sz w:val="24"/>
          <w:szCs w:val="24"/>
        </w:rPr>
        <w:t>, 3145–3151.</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32.</w:t>
      </w:r>
      <w:r w:rsidRPr="00750EA2">
        <w:rPr>
          <w:rFonts w:ascii="Times New Roman" w:hAnsi="Times New Roman"/>
          <w:noProof/>
          <w:sz w:val="24"/>
          <w:szCs w:val="24"/>
        </w:rPr>
        <w:tab/>
        <w:t>H. Yoo, M. Jo, B. S. Jin, H. S. Kim and J. Cho</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Adv. Energy Mater.</w:t>
      </w:r>
      <w:r w:rsidRPr="00750EA2">
        <w:rPr>
          <w:rFonts w:ascii="Times New Roman" w:hAnsi="Times New Roman"/>
          <w:noProof/>
          <w:sz w:val="24"/>
          <w:szCs w:val="24"/>
        </w:rPr>
        <w:t xml:space="preserve"> </w:t>
      </w:r>
      <w:r w:rsidRPr="00750EA2">
        <w:rPr>
          <w:rFonts w:ascii="Times New Roman" w:hAnsi="Times New Roman"/>
          <w:b/>
          <w:bCs/>
          <w:noProof/>
          <w:sz w:val="24"/>
          <w:szCs w:val="24"/>
        </w:rPr>
        <w:t>2011</w:t>
      </w:r>
      <w:r w:rsidRPr="00750EA2">
        <w:rPr>
          <w:rFonts w:ascii="Times New Roman" w:hAnsi="Times New Roman"/>
          <w:noProof/>
          <w:sz w:val="24"/>
          <w:szCs w:val="24"/>
        </w:rPr>
        <w:t xml:space="preserve">, </w:t>
      </w:r>
      <w:r w:rsidRPr="00750EA2">
        <w:rPr>
          <w:rFonts w:ascii="Times New Roman" w:hAnsi="Times New Roman"/>
          <w:i/>
          <w:iCs/>
          <w:noProof/>
          <w:sz w:val="24"/>
          <w:szCs w:val="24"/>
        </w:rPr>
        <w:t>1</w:t>
      </w:r>
      <w:r w:rsidRPr="00750EA2">
        <w:rPr>
          <w:rFonts w:ascii="Times New Roman" w:hAnsi="Times New Roman"/>
          <w:noProof/>
          <w:sz w:val="24"/>
          <w:szCs w:val="24"/>
        </w:rPr>
        <w:t>, 347–351.</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33.</w:t>
      </w:r>
      <w:r w:rsidRPr="00750EA2">
        <w:rPr>
          <w:rFonts w:ascii="Times New Roman" w:hAnsi="Times New Roman"/>
          <w:noProof/>
          <w:sz w:val="24"/>
          <w:szCs w:val="24"/>
        </w:rPr>
        <w:tab/>
        <w:t>J. Syzdek, M. Marcinek and R. Kostecki</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Power Sources</w:t>
      </w:r>
      <w:r w:rsidRPr="00750EA2">
        <w:rPr>
          <w:rFonts w:ascii="Times New Roman" w:hAnsi="Times New Roman"/>
          <w:noProof/>
          <w:sz w:val="24"/>
          <w:szCs w:val="24"/>
        </w:rPr>
        <w:t xml:space="preserve"> </w:t>
      </w:r>
      <w:r w:rsidRPr="00750EA2">
        <w:rPr>
          <w:rFonts w:ascii="Times New Roman" w:hAnsi="Times New Roman"/>
          <w:b/>
          <w:bCs/>
          <w:noProof/>
          <w:sz w:val="24"/>
          <w:szCs w:val="24"/>
        </w:rPr>
        <w:t>2014</w:t>
      </w:r>
      <w:r w:rsidRPr="00750EA2">
        <w:rPr>
          <w:rFonts w:ascii="Times New Roman" w:hAnsi="Times New Roman"/>
          <w:noProof/>
          <w:sz w:val="24"/>
          <w:szCs w:val="24"/>
        </w:rPr>
        <w:t xml:space="preserve">, </w:t>
      </w:r>
      <w:r w:rsidRPr="00750EA2">
        <w:rPr>
          <w:rFonts w:ascii="Times New Roman" w:hAnsi="Times New Roman"/>
          <w:i/>
          <w:iCs/>
          <w:noProof/>
          <w:sz w:val="24"/>
          <w:szCs w:val="24"/>
        </w:rPr>
        <w:t>245</w:t>
      </w:r>
      <w:r w:rsidRPr="00750EA2">
        <w:rPr>
          <w:rFonts w:ascii="Times New Roman" w:hAnsi="Times New Roman"/>
          <w:noProof/>
          <w:sz w:val="24"/>
          <w:szCs w:val="24"/>
        </w:rPr>
        <w:t>, 739–744.</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34.</w:t>
      </w:r>
      <w:r w:rsidRPr="00750EA2">
        <w:rPr>
          <w:rFonts w:ascii="Times New Roman" w:hAnsi="Times New Roman"/>
          <w:noProof/>
          <w:sz w:val="24"/>
          <w:szCs w:val="24"/>
        </w:rPr>
        <w:tab/>
        <w:t>R. Amin, P. Balaya and J. Maier</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Electrochem. Solid-State Lett.</w:t>
      </w:r>
      <w:r w:rsidRPr="00750EA2">
        <w:rPr>
          <w:rFonts w:ascii="Times New Roman" w:hAnsi="Times New Roman"/>
          <w:noProof/>
          <w:sz w:val="24"/>
          <w:szCs w:val="24"/>
        </w:rPr>
        <w:t xml:space="preserve"> </w:t>
      </w:r>
      <w:r w:rsidRPr="00750EA2">
        <w:rPr>
          <w:rFonts w:ascii="Times New Roman" w:hAnsi="Times New Roman"/>
          <w:b/>
          <w:bCs/>
          <w:noProof/>
          <w:sz w:val="24"/>
          <w:szCs w:val="24"/>
        </w:rPr>
        <w:t>2007</w:t>
      </w:r>
      <w:r w:rsidRPr="00750EA2">
        <w:rPr>
          <w:rFonts w:ascii="Times New Roman" w:hAnsi="Times New Roman"/>
          <w:noProof/>
          <w:sz w:val="24"/>
          <w:szCs w:val="24"/>
        </w:rPr>
        <w:t xml:space="preserve">, </w:t>
      </w:r>
      <w:r w:rsidRPr="00750EA2">
        <w:rPr>
          <w:rFonts w:ascii="Times New Roman" w:hAnsi="Times New Roman"/>
          <w:i/>
          <w:iCs/>
          <w:noProof/>
          <w:sz w:val="24"/>
          <w:szCs w:val="24"/>
        </w:rPr>
        <w:t>10</w:t>
      </w:r>
      <w:r w:rsidRPr="00750EA2">
        <w:rPr>
          <w:rFonts w:ascii="Times New Roman" w:hAnsi="Times New Roman"/>
          <w:noProof/>
          <w:sz w:val="24"/>
          <w:szCs w:val="24"/>
        </w:rPr>
        <w:t>, A13</w:t>
      </w:r>
      <w:r w:rsidR="00E218E1" w:rsidRPr="00750EA2">
        <w:rPr>
          <w:rFonts w:ascii="Times New Roman" w:hAnsi="Times New Roman"/>
          <w:noProof/>
          <w:sz w:val="24"/>
          <w:szCs w:val="24"/>
        </w:rPr>
        <w:t>–</w:t>
      </w:r>
      <w:r w:rsidR="00E218E1">
        <w:rPr>
          <w:rFonts w:ascii="Times New Roman" w:hAnsi="Times New Roman"/>
          <w:noProof/>
          <w:sz w:val="24"/>
          <w:szCs w:val="24"/>
        </w:rPr>
        <w:t>A16</w:t>
      </w:r>
      <w:r w:rsidRPr="00750EA2">
        <w:rPr>
          <w:rFonts w:ascii="Times New Roman" w:hAnsi="Times New Roman"/>
          <w:noProof/>
          <w:sz w:val="24"/>
          <w:szCs w:val="24"/>
        </w:rPr>
        <w:t>.</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35.</w:t>
      </w:r>
      <w:r w:rsidRPr="00750EA2">
        <w:rPr>
          <w:rFonts w:ascii="Times New Roman" w:hAnsi="Times New Roman"/>
          <w:noProof/>
          <w:sz w:val="24"/>
          <w:szCs w:val="24"/>
        </w:rPr>
        <w:tab/>
        <w:t>M. Köhler, F. Berkemeier, T. Gallasch and G. Schmitz</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Power Sources</w:t>
      </w:r>
      <w:r w:rsidRPr="00750EA2">
        <w:rPr>
          <w:rFonts w:ascii="Times New Roman" w:hAnsi="Times New Roman"/>
          <w:noProof/>
          <w:sz w:val="24"/>
          <w:szCs w:val="24"/>
        </w:rPr>
        <w:t xml:space="preserve"> </w:t>
      </w:r>
      <w:r w:rsidRPr="00750EA2">
        <w:rPr>
          <w:rFonts w:ascii="Times New Roman" w:hAnsi="Times New Roman"/>
          <w:b/>
          <w:bCs/>
          <w:noProof/>
          <w:sz w:val="24"/>
          <w:szCs w:val="24"/>
        </w:rPr>
        <w:t>2013</w:t>
      </w:r>
      <w:r w:rsidRPr="00750EA2">
        <w:rPr>
          <w:rFonts w:ascii="Times New Roman" w:hAnsi="Times New Roman"/>
          <w:noProof/>
          <w:sz w:val="24"/>
          <w:szCs w:val="24"/>
        </w:rPr>
        <w:t xml:space="preserve">, </w:t>
      </w:r>
      <w:r w:rsidRPr="00750EA2">
        <w:rPr>
          <w:rFonts w:ascii="Times New Roman" w:hAnsi="Times New Roman"/>
          <w:i/>
          <w:iCs/>
          <w:noProof/>
          <w:sz w:val="24"/>
          <w:szCs w:val="24"/>
        </w:rPr>
        <w:t>236</w:t>
      </w:r>
      <w:r w:rsidRPr="00750EA2">
        <w:rPr>
          <w:rFonts w:ascii="Times New Roman" w:hAnsi="Times New Roman"/>
          <w:noProof/>
          <w:sz w:val="24"/>
          <w:szCs w:val="24"/>
        </w:rPr>
        <w:t>, 61–67.</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36.</w:t>
      </w:r>
      <w:r w:rsidRPr="00750EA2">
        <w:rPr>
          <w:rFonts w:ascii="Times New Roman" w:hAnsi="Times New Roman"/>
          <w:noProof/>
          <w:sz w:val="24"/>
          <w:szCs w:val="24"/>
        </w:rPr>
        <w:tab/>
        <w:t>P. P. Prosini, M. Lisi, D. Zane and M. Pasquali</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Solid State Ionics</w:t>
      </w:r>
      <w:r w:rsidRPr="00750EA2">
        <w:rPr>
          <w:rFonts w:ascii="Times New Roman" w:hAnsi="Times New Roman"/>
          <w:noProof/>
          <w:sz w:val="24"/>
          <w:szCs w:val="24"/>
        </w:rPr>
        <w:t xml:space="preserve"> </w:t>
      </w:r>
      <w:r w:rsidRPr="00750EA2">
        <w:rPr>
          <w:rFonts w:ascii="Times New Roman" w:hAnsi="Times New Roman"/>
          <w:b/>
          <w:bCs/>
          <w:noProof/>
          <w:sz w:val="24"/>
          <w:szCs w:val="24"/>
        </w:rPr>
        <w:t>2002</w:t>
      </w:r>
      <w:r w:rsidRPr="00750EA2">
        <w:rPr>
          <w:rFonts w:ascii="Times New Roman" w:hAnsi="Times New Roman"/>
          <w:noProof/>
          <w:sz w:val="24"/>
          <w:szCs w:val="24"/>
        </w:rPr>
        <w:t xml:space="preserve">, </w:t>
      </w:r>
      <w:r w:rsidRPr="00750EA2">
        <w:rPr>
          <w:rFonts w:ascii="Times New Roman" w:hAnsi="Times New Roman"/>
          <w:i/>
          <w:iCs/>
          <w:noProof/>
          <w:sz w:val="24"/>
          <w:szCs w:val="24"/>
        </w:rPr>
        <w:t>148</w:t>
      </w:r>
      <w:r w:rsidRPr="00750EA2">
        <w:rPr>
          <w:rFonts w:ascii="Times New Roman" w:hAnsi="Times New Roman"/>
          <w:noProof/>
          <w:sz w:val="24"/>
          <w:szCs w:val="24"/>
        </w:rPr>
        <w:t>, 45–51.</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37.</w:t>
      </w:r>
      <w:r w:rsidRPr="00750EA2">
        <w:rPr>
          <w:rFonts w:ascii="Times New Roman" w:hAnsi="Times New Roman"/>
          <w:noProof/>
          <w:sz w:val="24"/>
          <w:szCs w:val="24"/>
        </w:rPr>
        <w:tab/>
        <w:t>H. C. Dinh, S. Il Mho, Y. Kang and I. H. Yeo</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Power Sources</w:t>
      </w:r>
      <w:r w:rsidRPr="00750EA2">
        <w:rPr>
          <w:rFonts w:ascii="Times New Roman" w:hAnsi="Times New Roman"/>
          <w:noProof/>
          <w:sz w:val="24"/>
          <w:szCs w:val="24"/>
        </w:rPr>
        <w:t xml:space="preserve"> </w:t>
      </w:r>
      <w:r w:rsidRPr="00750EA2">
        <w:rPr>
          <w:rFonts w:ascii="Times New Roman" w:hAnsi="Times New Roman"/>
          <w:b/>
          <w:bCs/>
          <w:noProof/>
          <w:sz w:val="24"/>
          <w:szCs w:val="24"/>
        </w:rPr>
        <w:t>2013</w:t>
      </w:r>
      <w:r w:rsidRPr="00750EA2">
        <w:rPr>
          <w:rFonts w:ascii="Times New Roman" w:hAnsi="Times New Roman"/>
          <w:noProof/>
          <w:sz w:val="24"/>
          <w:szCs w:val="24"/>
        </w:rPr>
        <w:t xml:space="preserve">, </w:t>
      </w:r>
      <w:r w:rsidRPr="00750EA2">
        <w:rPr>
          <w:rFonts w:ascii="Times New Roman" w:hAnsi="Times New Roman"/>
          <w:i/>
          <w:iCs/>
          <w:noProof/>
          <w:sz w:val="24"/>
          <w:szCs w:val="24"/>
        </w:rPr>
        <w:t>244</w:t>
      </w:r>
      <w:r w:rsidRPr="00750EA2">
        <w:rPr>
          <w:rFonts w:ascii="Times New Roman" w:hAnsi="Times New Roman"/>
          <w:noProof/>
          <w:sz w:val="24"/>
          <w:szCs w:val="24"/>
        </w:rPr>
        <w:t>, 189–195.</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38.</w:t>
      </w:r>
      <w:r w:rsidRPr="00750EA2">
        <w:rPr>
          <w:rFonts w:ascii="Times New Roman" w:hAnsi="Times New Roman"/>
          <w:noProof/>
          <w:sz w:val="24"/>
          <w:szCs w:val="24"/>
        </w:rPr>
        <w:tab/>
        <w:t>D. Fujimoto, N. Kuwata, Y. Matsuda, J. Kawamura and F. Kang</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Thin Solid Films</w:t>
      </w:r>
      <w:r w:rsidRPr="00750EA2">
        <w:rPr>
          <w:rFonts w:ascii="Times New Roman" w:hAnsi="Times New Roman"/>
          <w:noProof/>
          <w:sz w:val="24"/>
          <w:szCs w:val="24"/>
        </w:rPr>
        <w:t xml:space="preserve"> </w:t>
      </w:r>
      <w:r w:rsidRPr="00750EA2">
        <w:rPr>
          <w:rFonts w:ascii="Times New Roman" w:hAnsi="Times New Roman"/>
          <w:b/>
          <w:bCs/>
          <w:noProof/>
          <w:sz w:val="24"/>
          <w:szCs w:val="24"/>
        </w:rPr>
        <w:t>2015</w:t>
      </w:r>
      <w:r w:rsidRPr="00750EA2">
        <w:rPr>
          <w:rFonts w:ascii="Times New Roman" w:hAnsi="Times New Roman"/>
          <w:noProof/>
          <w:sz w:val="24"/>
          <w:szCs w:val="24"/>
        </w:rPr>
        <w:t xml:space="preserve">, </w:t>
      </w:r>
      <w:r w:rsidRPr="00750EA2">
        <w:rPr>
          <w:rFonts w:ascii="Times New Roman" w:hAnsi="Times New Roman"/>
          <w:i/>
          <w:iCs/>
          <w:noProof/>
          <w:sz w:val="24"/>
          <w:szCs w:val="24"/>
        </w:rPr>
        <w:t>579</w:t>
      </w:r>
      <w:r w:rsidRPr="00750EA2">
        <w:rPr>
          <w:rFonts w:ascii="Times New Roman" w:hAnsi="Times New Roman"/>
          <w:noProof/>
          <w:sz w:val="24"/>
          <w:szCs w:val="24"/>
        </w:rPr>
        <w:t>, 81–88.</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39.</w:t>
      </w:r>
      <w:r w:rsidRPr="00750EA2">
        <w:rPr>
          <w:rFonts w:ascii="Times New Roman" w:hAnsi="Times New Roman"/>
          <w:noProof/>
          <w:sz w:val="24"/>
          <w:szCs w:val="24"/>
        </w:rPr>
        <w:tab/>
        <w:t>J. N. Reimers and J. R. Dahn</w:t>
      </w:r>
      <w:r w:rsidR="00A904E4">
        <w:rPr>
          <w:rFonts w:ascii="Times New Roman" w:hAnsi="Times New Roman"/>
          <w:noProof/>
          <w:sz w:val="24"/>
          <w:szCs w:val="24"/>
        </w:rPr>
        <w:t>,</w:t>
      </w:r>
      <w:r w:rsidRPr="00750EA2">
        <w:rPr>
          <w:rFonts w:ascii="Times New Roman" w:hAnsi="Times New Roman"/>
          <w:noProof/>
          <w:sz w:val="24"/>
          <w:szCs w:val="24"/>
        </w:rPr>
        <w:t xml:space="preserve"> </w:t>
      </w:r>
      <w:r w:rsidR="00E218E1" w:rsidRPr="00750EA2">
        <w:rPr>
          <w:rFonts w:ascii="Times New Roman" w:hAnsi="Times New Roman"/>
          <w:i/>
          <w:iCs/>
          <w:noProof/>
          <w:sz w:val="24"/>
          <w:szCs w:val="24"/>
        </w:rPr>
        <w:t>J. Electrochem. Soc.</w:t>
      </w:r>
      <w:r w:rsidRPr="00750EA2">
        <w:rPr>
          <w:rFonts w:ascii="Times New Roman" w:hAnsi="Times New Roman"/>
          <w:noProof/>
          <w:sz w:val="24"/>
          <w:szCs w:val="24"/>
        </w:rPr>
        <w:t xml:space="preserve"> </w:t>
      </w:r>
      <w:r w:rsidRPr="00750EA2">
        <w:rPr>
          <w:rFonts w:ascii="Times New Roman" w:hAnsi="Times New Roman"/>
          <w:b/>
          <w:bCs/>
          <w:noProof/>
          <w:sz w:val="24"/>
          <w:szCs w:val="24"/>
        </w:rPr>
        <w:t>1992</w:t>
      </w:r>
      <w:r w:rsidRPr="00750EA2">
        <w:rPr>
          <w:rFonts w:ascii="Times New Roman" w:hAnsi="Times New Roman"/>
          <w:noProof/>
          <w:sz w:val="24"/>
          <w:szCs w:val="24"/>
        </w:rPr>
        <w:t xml:space="preserve">, </w:t>
      </w:r>
      <w:r w:rsidRPr="00750EA2">
        <w:rPr>
          <w:rFonts w:ascii="Times New Roman" w:hAnsi="Times New Roman"/>
          <w:i/>
          <w:iCs/>
          <w:noProof/>
          <w:sz w:val="24"/>
          <w:szCs w:val="24"/>
        </w:rPr>
        <w:t>139</w:t>
      </w:r>
      <w:r w:rsidRPr="00750EA2">
        <w:rPr>
          <w:rFonts w:ascii="Times New Roman" w:hAnsi="Times New Roman"/>
          <w:noProof/>
          <w:sz w:val="24"/>
          <w:szCs w:val="24"/>
        </w:rPr>
        <w:t>, 2091</w:t>
      </w:r>
      <w:r w:rsidR="006D16AC" w:rsidRPr="00750EA2">
        <w:rPr>
          <w:rFonts w:ascii="Times New Roman" w:hAnsi="Times New Roman"/>
          <w:noProof/>
          <w:sz w:val="24"/>
          <w:szCs w:val="24"/>
        </w:rPr>
        <w:t>–</w:t>
      </w:r>
      <w:r w:rsidR="006D16AC">
        <w:rPr>
          <w:rFonts w:ascii="Times New Roman" w:hAnsi="Times New Roman"/>
          <w:noProof/>
          <w:sz w:val="24"/>
          <w:szCs w:val="24"/>
        </w:rPr>
        <w:t>2097</w:t>
      </w:r>
      <w:r w:rsidRPr="00750EA2">
        <w:rPr>
          <w:rFonts w:ascii="Times New Roman" w:hAnsi="Times New Roman"/>
          <w:noProof/>
          <w:sz w:val="24"/>
          <w:szCs w:val="24"/>
        </w:rPr>
        <w:t>.</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40.</w:t>
      </w:r>
      <w:r w:rsidRPr="00750EA2">
        <w:rPr>
          <w:rFonts w:ascii="Times New Roman" w:hAnsi="Times New Roman"/>
          <w:noProof/>
          <w:sz w:val="24"/>
          <w:szCs w:val="24"/>
        </w:rPr>
        <w:tab/>
        <w:t>W. Dreyer, J. Jamnik, C. Guhlke, R. Huth, J. Moskon and M. Gaberscek</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Nat. Mater.</w:t>
      </w:r>
      <w:r w:rsidRPr="00750EA2">
        <w:rPr>
          <w:rFonts w:ascii="Times New Roman" w:hAnsi="Times New Roman"/>
          <w:noProof/>
          <w:sz w:val="24"/>
          <w:szCs w:val="24"/>
        </w:rPr>
        <w:t xml:space="preserve"> </w:t>
      </w:r>
      <w:r w:rsidRPr="00750EA2">
        <w:rPr>
          <w:rFonts w:ascii="Times New Roman" w:hAnsi="Times New Roman"/>
          <w:b/>
          <w:bCs/>
          <w:noProof/>
          <w:sz w:val="24"/>
          <w:szCs w:val="24"/>
        </w:rPr>
        <w:t>2010</w:t>
      </w:r>
      <w:r w:rsidRPr="00750EA2">
        <w:rPr>
          <w:rFonts w:ascii="Times New Roman" w:hAnsi="Times New Roman"/>
          <w:noProof/>
          <w:sz w:val="24"/>
          <w:szCs w:val="24"/>
        </w:rPr>
        <w:t xml:space="preserve">, </w:t>
      </w:r>
      <w:r w:rsidRPr="00750EA2">
        <w:rPr>
          <w:rFonts w:ascii="Times New Roman" w:hAnsi="Times New Roman"/>
          <w:i/>
          <w:iCs/>
          <w:noProof/>
          <w:sz w:val="24"/>
          <w:szCs w:val="24"/>
        </w:rPr>
        <w:t>9</w:t>
      </w:r>
      <w:r w:rsidRPr="00750EA2">
        <w:rPr>
          <w:rFonts w:ascii="Times New Roman" w:hAnsi="Times New Roman"/>
          <w:noProof/>
          <w:sz w:val="24"/>
          <w:szCs w:val="24"/>
        </w:rPr>
        <w:t>, 448–453.</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lastRenderedPageBreak/>
        <w:t>41.</w:t>
      </w:r>
      <w:r w:rsidRPr="00750EA2">
        <w:rPr>
          <w:rFonts w:ascii="Times New Roman" w:hAnsi="Times New Roman"/>
          <w:noProof/>
          <w:sz w:val="24"/>
          <w:szCs w:val="24"/>
        </w:rPr>
        <w:tab/>
        <w:t>M. Gaberscek, M. Küzma and J. Jamnik</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Phys. Chem. Chem. Phys.</w:t>
      </w:r>
      <w:r w:rsidRPr="00750EA2">
        <w:rPr>
          <w:rFonts w:ascii="Times New Roman" w:hAnsi="Times New Roman"/>
          <w:noProof/>
          <w:sz w:val="24"/>
          <w:szCs w:val="24"/>
        </w:rPr>
        <w:t xml:space="preserve"> </w:t>
      </w:r>
      <w:r w:rsidRPr="00750EA2">
        <w:rPr>
          <w:rFonts w:ascii="Times New Roman" w:hAnsi="Times New Roman"/>
          <w:b/>
          <w:bCs/>
          <w:noProof/>
          <w:sz w:val="24"/>
          <w:szCs w:val="24"/>
        </w:rPr>
        <w:t>2007</w:t>
      </w:r>
      <w:r w:rsidRPr="00750EA2">
        <w:rPr>
          <w:rFonts w:ascii="Times New Roman" w:hAnsi="Times New Roman"/>
          <w:noProof/>
          <w:sz w:val="24"/>
          <w:szCs w:val="24"/>
        </w:rPr>
        <w:t xml:space="preserve">, </w:t>
      </w:r>
      <w:r w:rsidRPr="00750EA2">
        <w:rPr>
          <w:rFonts w:ascii="Times New Roman" w:hAnsi="Times New Roman"/>
          <w:i/>
          <w:iCs/>
          <w:noProof/>
          <w:sz w:val="24"/>
          <w:szCs w:val="24"/>
        </w:rPr>
        <w:t>9</w:t>
      </w:r>
      <w:r w:rsidRPr="00750EA2">
        <w:rPr>
          <w:rFonts w:ascii="Times New Roman" w:hAnsi="Times New Roman"/>
          <w:noProof/>
          <w:sz w:val="24"/>
          <w:szCs w:val="24"/>
        </w:rPr>
        <w:t>, 1815–1820.</w:t>
      </w:r>
    </w:p>
    <w:p w:rsidR="00750EA2" w:rsidRPr="00FA26CF"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42.</w:t>
      </w:r>
      <w:r w:rsidRPr="00750EA2">
        <w:rPr>
          <w:rFonts w:ascii="Times New Roman" w:hAnsi="Times New Roman"/>
          <w:noProof/>
          <w:sz w:val="24"/>
          <w:szCs w:val="24"/>
        </w:rPr>
        <w:tab/>
        <w:t>C. Fongy, S. Jouanneau, D. Guyomard, J. C. Badot and B. Lestriez</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Electrochem. Soc.</w:t>
      </w:r>
      <w:r w:rsidRPr="00750EA2">
        <w:rPr>
          <w:rFonts w:ascii="Times New Roman" w:hAnsi="Times New Roman"/>
          <w:noProof/>
          <w:sz w:val="24"/>
          <w:szCs w:val="24"/>
        </w:rPr>
        <w:t xml:space="preserve"> </w:t>
      </w:r>
      <w:r w:rsidRPr="00750EA2">
        <w:rPr>
          <w:rFonts w:ascii="Times New Roman" w:hAnsi="Times New Roman"/>
          <w:b/>
          <w:bCs/>
          <w:noProof/>
          <w:sz w:val="24"/>
          <w:szCs w:val="24"/>
        </w:rPr>
        <w:t>2010</w:t>
      </w:r>
      <w:r w:rsidRPr="00750EA2">
        <w:rPr>
          <w:rFonts w:ascii="Times New Roman" w:hAnsi="Times New Roman"/>
          <w:noProof/>
          <w:sz w:val="24"/>
          <w:szCs w:val="24"/>
        </w:rPr>
        <w:t xml:space="preserve">, </w:t>
      </w:r>
      <w:r w:rsidRPr="00750EA2">
        <w:rPr>
          <w:rFonts w:ascii="Times New Roman" w:hAnsi="Times New Roman"/>
          <w:i/>
          <w:iCs/>
          <w:noProof/>
          <w:sz w:val="24"/>
          <w:szCs w:val="24"/>
        </w:rPr>
        <w:t>157</w:t>
      </w:r>
      <w:r w:rsidRPr="00750EA2">
        <w:rPr>
          <w:rFonts w:ascii="Times New Roman" w:hAnsi="Times New Roman"/>
          <w:noProof/>
          <w:sz w:val="24"/>
          <w:szCs w:val="24"/>
        </w:rPr>
        <w:t>, A1347</w:t>
      </w:r>
      <w:r w:rsidR="00FA26CF" w:rsidRPr="00FA26CF">
        <w:rPr>
          <w:rFonts w:ascii="Times New Roman" w:hAnsi="Times New Roman"/>
          <w:noProof/>
          <w:sz w:val="24"/>
          <w:szCs w:val="24"/>
        </w:rPr>
        <w:t>–</w:t>
      </w:r>
      <w:r w:rsidR="00FA26CF" w:rsidRPr="00FA26CF">
        <w:rPr>
          <w:rStyle w:val="slug-pages"/>
          <w:rFonts w:ascii="Times New Roman" w:hAnsi="Times New Roman"/>
          <w:iCs/>
          <w:sz w:val="24"/>
          <w:szCs w:val="24"/>
        </w:rPr>
        <w:t>A1353</w:t>
      </w:r>
      <w:r w:rsidRPr="00FA26CF">
        <w:rPr>
          <w:rFonts w:ascii="Times New Roman" w:hAnsi="Times New Roman"/>
          <w:noProof/>
          <w:sz w:val="24"/>
          <w:szCs w:val="24"/>
        </w:rPr>
        <w:t>.</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43.</w:t>
      </w:r>
      <w:r w:rsidRPr="00750EA2">
        <w:rPr>
          <w:rFonts w:ascii="Times New Roman" w:hAnsi="Times New Roman"/>
          <w:noProof/>
          <w:sz w:val="24"/>
          <w:szCs w:val="24"/>
        </w:rPr>
        <w:tab/>
        <w:t>Y. Oumellal, N. Delpuech, D. Mazouzi, N. Dupré, J. Gaubicher, P. Moreau, P. Soudan, B. Lestriez and D. Guyomard</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Mater. Chem.</w:t>
      </w:r>
      <w:r w:rsidRPr="00750EA2">
        <w:rPr>
          <w:rFonts w:ascii="Times New Roman" w:hAnsi="Times New Roman"/>
          <w:noProof/>
          <w:sz w:val="24"/>
          <w:szCs w:val="24"/>
        </w:rPr>
        <w:t xml:space="preserve"> </w:t>
      </w:r>
      <w:r w:rsidRPr="00750EA2">
        <w:rPr>
          <w:rFonts w:ascii="Times New Roman" w:hAnsi="Times New Roman"/>
          <w:b/>
          <w:bCs/>
          <w:noProof/>
          <w:sz w:val="24"/>
          <w:szCs w:val="24"/>
        </w:rPr>
        <w:t>2011</w:t>
      </w:r>
      <w:r w:rsidRPr="00750EA2">
        <w:rPr>
          <w:rFonts w:ascii="Times New Roman" w:hAnsi="Times New Roman"/>
          <w:noProof/>
          <w:sz w:val="24"/>
          <w:szCs w:val="24"/>
        </w:rPr>
        <w:t xml:space="preserve">, </w:t>
      </w:r>
      <w:r w:rsidRPr="00750EA2">
        <w:rPr>
          <w:rFonts w:ascii="Times New Roman" w:hAnsi="Times New Roman"/>
          <w:i/>
          <w:iCs/>
          <w:noProof/>
          <w:sz w:val="24"/>
          <w:szCs w:val="24"/>
        </w:rPr>
        <w:t>21</w:t>
      </w:r>
      <w:r w:rsidRPr="00750EA2">
        <w:rPr>
          <w:rFonts w:ascii="Times New Roman" w:hAnsi="Times New Roman"/>
          <w:noProof/>
          <w:sz w:val="24"/>
          <w:szCs w:val="24"/>
        </w:rPr>
        <w:t>, 6201</w:t>
      </w:r>
      <w:r w:rsidR="00FA26CF" w:rsidRPr="00FA26CF">
        <w:rPr>
          <w:rFonts w:ascii="Times New Roman" w:hAnsi="Times New Roman"/>
          <w:noProof/>
          <w:sz w:val="24"/>
          <w:szCs w:val="24"/>
        </w:rPr>
        <w:t>–</w:t>
      </w:r>
      <w:r w:rsidR="00FA26CF">
        <w:rPr>
          <w:rFonts w:ascii="Times New Roman" w:hAnsi="Times New Roman"/>
          <w:noProof/>
          <w:sz w:val="24"/>
          <w:szCs w:val="24"/>
        </w:rPr>
        <w:t>6208</w:t>
      </w:r>
      <w:r w:rsidRPr="00750EA2">
        <w:rPr>
          <w:rFonts w:ascii="Times New Roman" w:hAnsi="Times New Roman"/>
          <w:noProof/>
          <w:sz w:val="24"/>
          <w:szCs w:val="24"/>
        </w:rPr>
        <w:t>.</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44.</w:t>
      </w:r>
      <w:r w:rsidRPr="00750EA2">
        <w:rPr>
          <w:rFonts w:ascii="Times New Roman" w:hAnsi="Times New Roman"/>
          <w:noProof/>
          <w:sz w:val="24"/>
          <w:szCs w:val="24"/>
        </w:rPr>
        <w:tab/>
        <w:t>W. C. Chueh, F. El Gabaly, J. D. Sugar, N. C. Bartelt, A. H. McDaniel, K. R. Fenton, K. R. Zavadil, T. Tyliszczak, W. Lai and K. F. McCarty</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Nano Lett.</w:t>
      </w:r>
      <w:r w:rsidRPr="00750EA2">
        <w:rPr>
          <w:rFonts w:ascii="Times New Roman" w:hAnsi="Times New Roman"/>
          <w:noProof/>
          <w:sz w:val="24"/>
          <w:szCs w:val="24"/>
        </w:rPr>
        <w:t xml:space="preserve"> </w:t>
      </w:r>
      <w:r w:rsidRPr="00750EA2">
        <w:rPr>
          <w:rFonts w:ascii="Times New Roman" w:hAnsi="Times New Roman"/>
          <w:b/>
          <w:bCs/>
          <w:noProof/>
          <w:sz w:val="24"/>
          <w:szCs w:val="24"/>
        </w:rPr>
        <w:t>2013</w:t>
      </w:r>
      <w:r w:rsidRPr="00750EA2">
        <w:rPr>
          <w:rFonts w:ascii="Times New Roman" w:hAnsi="Times New Roman"/>
          <w:noProof/>
          <w:sz w:val="24"/>
          <w:szCs w:val="24"/>
        </w:rPr>
        <w:t xml:space="preserve">, </w:t>
      </w:r>
      <w:r w:rsidRPr="00750EA2">
        <w:rPr>
          <w:rFonts w:ascii="Times New Roman" w:hAnsi="Times New Roman"/>
          <w:i/>
          <w:iCs/>
          <w:noProof/>
          <w:sz w:val="24"/>
          <w:szCs w:val="24"/>
        </w:rPr>
        <w:t>13</w:t>
      </w:r>
      <w:r w:rsidRPr="00750EA2">
        <w:rPr>
          <w:rFonts w:ascii="Times New Roman" w:hAnsi="Times New Roman"/>
          <w:noProof/>
          <w:sz w:val="24"/>
          <w:szCs w:val="24"/>
        </w:rPr>
        <w:t>, 866–872.</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45.</w:t>
      </w:r>
      <w:r w:rsidRPr="00750EA2">
        <w:rPr>
          <w:rFonts w:ascii="Times New Roman" w:hAnsi="Times New Roman"/>
          <w:noProof/>
          <w:sz w:val="24"/>
          <w:szCs w:val="24"/>
        </w:rPr>
        <w:tab/>
        <w:t>Y. Li, F. El Gabaly, T. R. Ferguson, R. B. Smith, N. C. Bartelt, J. D. Sugar, K. R. Fenton, D. a Cogswell,  a L. D. Kilcoyne, T. Tyliszczak, M. Z. Bazant and W. C. Chueh</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Nat. Mater.</w:t>
      </w:r>
      <w:r w:rsidRPr="00750EA2">
        <w:rPr>
          <w:rFonts w:ascii="Times New Roman" w:hAnsi="Times New Roman"/>
          <w:noProof/>
          <w:sz w:val="24"/>
          <w:szCs w:val="24"/>
        </w:rPr>
        <w:t xml:space="preserve"> </w:t>
      </w:r>
      <w:r w:rsidRPr="00750EA2">
        <w:rPr>
          <w:rFonts w:ascii="Times New Roman" w:hAnsi="Times New Roman"/>
          <w:b/>
          <w:bCs/>
          <w:noProof/>
          <w:sz w:val="24"/>
          <w:szCs w:val="24"/>
        </w:rPr>
        <w:t>2014</w:t>
      </w:r>
      <w:r w:rsidRPr="00750EA2">
        <w:rPr>
          <w:rFonts w:ascii="Times New Roman" w:hAnsi="Times New Roman"/>
          <w:noProof/>
          <w:sz w:val="24"/>
          <w:szCs w:val="24"/>
        </w:rPr>
        <w:t xml:space="preserve">, </w:t>
      </w:r>
      <w:r w:rsidRPr="00750EA2">
        <w:rPr>
          <w:rFonts w:ascii="Times New Roman" w:hAnsi="Times New Roman"/>
          <w:i/>
          <w:iCs/>
          <w:noProof/>
          <w:sz w:val="24"/>
          <w:szCs w:val="24"/>
        </w:rPr>
        <w:t>13</w:t>
      </w:r>
      <w:r w:rsidRPr="00750EA2">
        <w:rPr>
          <w:rFonts w:ascii="Times New Roman" w:hAnsi="Times New Roman"/>
          <w:noProof/>
          <w:sz w:val="24"/>
          <w:szCs w:val="24"/>
        </w:rPr>
        <w:t>, 1149–1156.</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46.</w:t>
      </w:r>
      <w:r w:rsidRPr="00750EA2">
        <w:rPr>
          <w:rFonts w:ascii="Times New Roman" w:hAnsi="Times New Roman"/>
          <w:noProof/>
          <w:sz w:val="24"/>
          <w:szCs w:val="24"/>
        </w:rPr>
        <w:tab/>
        <w:t>C. Delmas, M. Maccario, L. Croguennec, F. Le Cras and F. Weill</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Nat. Mater.</w:t>
      </w:r>
      <w:r w:rsidRPr="00750EA2">
        <w:rPr>
          <w:rFonts w:ascii="Times New Roman" w:hAnsi="Times New Roman"/>
          <w:noProof/>
          <w:sz w:val="24"/>
          <w:szCs w:val="24"/>
        </w:rPr>
        <w:t xml:space="preserve"> </w:t>
      </w:r>
      <w:r w:rsidRPr="00750EA2">
        <w:rPr>
          <w:rFonts w:ascii="Times New Roman" w:hAnsi="Times New Roman"/>
          <w:b/>
          <w:bCs/>
          <w:noProof/>
          <w:sz w:val="24"/>
          <w:szCs w:val="24"/>
        </w:rPr>
        <w:t>2008</w:t>
      </w:r>
      <w:r w:rsidRPr="00750EA2">
        <w:rPr>
          <w:rFonts w:ascii="Times New Roman" w:hAnsi="Times New Roman"/>
          <w:noProof/>
          <w:sz w:val="24"/>
          <w:szCs w:val="24"/>
        </w:rPr>
        <w:t xml:space="preserve">, </w:t>
      </w:r>
      <w:r w:rsidRPr="00750EA2">
        <w:rPr>
          <w:rFonts w:ascii="Times New Roman" w:hAnsi="Times New Roman"/>
          <w:i/>
          <w:iCs/>
          <w:noProof/>
          <w:sz w:val="24"/>
          <w:szCs w:val="24"/>
        </w:rPr>
        <w:t>7</w:t>
      </w:r>
      <w:r w:rsidRPr="00750EA2">
        <w:rPr>
          <w:rFonts w:ascii="Times New Roman" w:hAnsi="Times New Roman"/>
          <w:noProof/>
          <w:sz w:val="24"/>
          <w:szCs w:val="24"/>
        </w:rPr>
        <w:t>, 665–671.</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47.</w:t>
      </w:r>
      <w:r w:rsidRPr="00750EA2">
        <w:rPr>
          <w:rFonts w:ascii="Times New Roman" w:hAnsi="Times New Roman"/>
          <w:noProof/>
          <w:sz w:val="24"/>
          <w:szCs w:val="24"/>
        </w:rPr>
        <w:tab/>
        <w:t>G. Brunetti, D. Robert, P. Bayle-Guillemaud, J. L. Ouvi, E. F. Rauch, J. F. Martin, J. F. Colin, F. Bertin and C. Cayron</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Chem. Mater.</w:t>
      </w:r>
      <w:r w:rsidRPr="00750EA2">
        <w:rPr>
          <w:rFonts w:ascii="Times New Roman" w:hAnsi="Times New Roman"/>
          <w:noProof/>
          <w:sz w:val="24"/>
          <w:szCs w:val="24"/>
        </w:rPr>
        <w:t xml:space="preserve"> </w:t>
      </w:r>
      <w:r w:rsidRPr="00750EA2">
        <w:rPr>
          <w:rFonts w:ascii="Times New Roman" w:hAnsi="Times New Roman"/>
          <w:b/>
          <w:bCs/>
          <w:noProof/>
          <w:sz w:val="24"/>
          <w:szCs w:val="24"/>
        </w:rPr>
        <w:t>2011</w:t>
      </w:r>
      <w:r w:rsidRPr="00750EA2">
        <w:rPr>
          <w:rFonts w:ascii="Times New Roman" w:hAnsi="Times New Roman"/>
          <w:noProof/>
          <w:sz w:val="24"/>
          <w:szCs w:val="24"/>
        </w:rPr>
        <w:t xml:space="preserve">, </w:t>
      </w:r>
      <w:r w:rsidRPr="00750EA2">
        <w:rPr>
          <w:rFonts w:ascii="Times New Roman" w:hAnsi="Times New Roman"/>
          <w:i/>
          <w:iCs/>
          <w:noProof/>
          <w:sz w:val="24"/>
          <w:szCs w:val="24"/>
        </w:rPr>
        <w:t>23</w:t>
      </w:r>
      <w:r w:rsidRPr="00750EA2">
        <w:rPr>
          <w:rFonts w:ascii="Times New Roman" w:hAnsi="Times New Roman"/>
          <w:noProof/>
          <w:sz w:val="24"/>
          <w:szCs w:val="24"/>
        </w:rPr>
        <w:t>, 4515–4524.</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48.</w:t>
      </w:r>
      <w:r w:rsidRPr="00750EA2">
        <w:rPr>
          <w:rFonts w:ascii="Times New Roman" w:hAnsi="Times New Roman"/>
          <w:noProof/>
          <w:sz w:val="24"/>
          <w:szCs w:val="24"/>
        </w:rPr>
        <w:tab/>
        <w:t>J. D. Sugar, F. El Gabaly, W. C. Chueh, K. R. Fenton, T. Tyliszczak, P. G. Kotula and N. C. Bartelt</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Power Sources</w:t>
      </w:r>
      <w:r w:rsidRPr="00750EA2">
        <w:rPr>
          <w:rFonts w:ascii="Times New Roman" w:hAnsi="Times New Roman"/>
          <w:noProof/>
          <w:sz w:val="24"/>
          <w:szCs w:val="24"/>
        </w:rPr>
        <w:t xml:space="preserve"> </w:t>
      </w:r>
      <w:r w:rsidRPr="00750EA2">
        <w:rPr>
          <w:rFonts w:ascii="Times New Roman" w:hAnsi="Times New Roman"/>
          <w:b/>
          <w:bCs/>
          <w:noProof/>
          <w:sz w:val="24"/>
          <w:szCs w:val="24"/>
        </w:rPr>
        <w:t>2014</w:t>
      </w:r>
      <w:r w:rsidRPr="00750EA2">
        <w:rPr>
          <w:rFonts w:ascii="Times New Roman" w:hAnsi="Times New Roman"/>
          <w:noProof/>
          <w:sz w:val="24"/>
          <w:szCs w:val="24"/>
        </w:rPr>
        <w:t xml:space="preserve">, </w:t>
      </w:r>
      <w:r w:rsidRPr="00750EA2">
        <w:rPr>
          <w:rFonts w:ascii="Times New Roman" w:hAnsi="Times New Roman"/>
          <w:i/>
          <w:iCs/>
          <w:noProof/>
          <w:sz w:val="24"/>
          <w:szCs w:val="24"/>
        </w:rPr>
        <w:t>246</w:t>
      </w:r>
      <w:r w:rsidRPr="00750EA2">
        <w:rPr>
          <w:rFonts w:ascii="Times New Roman" w:hAnsi="Times New Roman"/>
          <w:noProof/>
          <w:sz w:val="24"/>
          <w:szCs w:val="24"/>
        </w:rPr>
        <w:t>, 512–521.</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49.</w:t>
      </w:r>
      <w:r w:rsidRPr="00750EA2">
        <w:rPr>
          <w:rFonts w:ascii="Times New Roman" w:hAnsi="Times New Roman"/>
          <w:noProof/>
          <w:sz w:val="24"/>
          <w:szCs w:val="24"/>
        </w:rPr>
        <w:tab/>
        <w:t>T. R. Ferguson and M. Z. Bazant</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Electrochem. Soc.</w:t>
      </w:r>
      <w:r w:rsidRPr="00750EA2">
        <w:rPr>
          <w:rFonts w:ascii="Times New Roman" w:hAnsi="Times New Roman"/>
          <w:noProof/>
          <w:sz w:val="24"/>
          <w:szCs w:val="24"/>
        </w:rPr>
        <w:t xml:space="preserve"> </w:t>
      </w:r>
      <w:r w:rsidRPr="00750EA2">
        <w:rPr>
          <w:rFonts w:ascii="Times New Roman" w:hAnsi="Times New Roman"/>
          <w:b/>
          <w:bCs/>
          <w:noProof/>
          <w:sz w:val="24"/>
          <w:szCs w:val="24"/>
        </w:rPr>
        <w:t>2012</w:t>
      </w:r>
      <w:r w:rsidRPr="00750EA2">
        <w:rPr>
          <w:rFonts w:ascii="Times New Roman" w:hAnsi="Times New Roman"/>
          <w:noProof/>
          <w:sz w:val="24"/>
          <w:szCs w:val="24"/>
        </w:rPr>
        <w:t xml:space="preserve">, </w:t>
      </w:r>
      <w:r w:rsidRPr="00750EA2">
        <w:rPr>
          <w:rFonts w:ascii="Times New Roman" w:hAnsi="Times New Roman"/>
          <w:i/>
          <w:iCs/>
          <w:noProof/>
          <w:sz w:val="24"/>
          <w:szCs w:val="24"/>
        </w:rPr>
        <w:t>159</w:t>
      </w:r>
      <w:r w:rsidRPr="00750EA2">
        <w:rPr>
          <w:rFonts w:ascii="Times New Roman" w:hAnsi="Times New Roman"/>
          <w:noProof/>
          <w:sz w:val="24"/>
          <w:szCs w:val="24"/>
        </w:rPr>
        <w:t>, A1967–A1985.</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50.</w:t>
      </w:r>
      <w:r w:rsidRPr="00750EA2">
        <w:rPr>
          <w:rFonts w:ascii="Times New Roman" w:hAnsi="Times New Roman"/>
          <w:noProof/>
          <w:sz w:val="24"/>
          <w:szCs w:val="24"/>
        </w:rPr>
        <w:tab/>
        <w:t>R. Malik, A. Abdellahi and G. Ceder</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J. Electrochem. Soc.</w:t>
      </w:r>
      <w:r w:rsidRPr="00750EA2">
        <w:rPr>
          <w:rFonts w:ascii="Times New Roman" w:hAnsi="Times New Roman"/>
          <w:noProof/>
          <w:sz w:val="24"/>
          <w:szCs w:val="24"/>
        </w:rPr>
        <w:t xml:space="preserve"> </w:t>
      </w:r>
      <w:r w:rsidRPr="00750EA2">
        <w:rPr>
          <w:rFonts w:ascii="Times New Roman" w:hAnsi="Times New Roman"/>
          <w:b/>
          <w:bCs/>
          <w:noProof/>
          <w:sz w:val="24"/>
          <w:szCs w:val="24"/>
        </w:rPr>
        <w:t>2013</w:t>
      </w:r>
      <w:r w:rsidRPr="00750EA2">
        <w:rPr>
          <w:rFonts w:ascii="Times New Roman" w:hAnsi="Times New Roman"/>
          <w:noProof/>
          <w:sz w:val="24"/>
          <w:szCs w:val="24"/>
        </w:rPr>
        <w:t xml:space="preserve">, </w:t>
      </w:r>
      <w:r w:rsidRPr="00750EA2">
        <w:rPr>
          <w:rFonts w:ascii="Times New Roman" w:hAnsi="Times New Roman"/>
          <w:i/>
          <w:iCs/>
          <w:noProof/>
          <w:sz w:val="24"/>
          <w:szCs w:val="24"/>
        </w:rPr>
        <w:t>160</w:t>
      </w:r>
      <w:r w:rsidRPr="00750EA2">
        <w:rPr>
          <w:rFonts w:ascii="Times New Roman" w:hAnsi="Times New Roman"/>
          <w:noProof/>
          <w:sz w:val="24"/>
          <w:szCs w:val="24"/>
        </w:rPr>
        <w:t>, A3179–A3197.</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51.</w:t>
      </w:r>
      <w:r w:rsidRPr="00750EA2">
        <w:rPr>
          <w:rFonts w:ascii="Times New Roman" w:hAnsi="Times New Roman"/>
          <w:noProof/>
          <w:sz w:val="24"/>
          <w:szCs w:val="24"/>
        </w:rPr>
        <w:tab/>
        <w:t>B. Orvananos, R. Malik, H. C. Yu, A. Abdellahi, C. P. Grey, G. Ceder and K. Thornton</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Electrochim. Acta</w:t>
      </w:r>
      <w:r w:rsidRPr="00750EA2">
        <w:rPr>
          <w:rFonts w:ascii="Times New Roman" w:hAnsi="Times New Roman"/>
          <w:noProof/>
          <w:sz w:val="24"/>
          <w:szCs w:val="24"/>
        </w:rPr>
        <w:t xml:space="preserve"> </w:t>
      </w:r>
      <w:r w:rsidRPr="00750EA2">
        <w:rPr>
          <w:rFonts w:ascii="Times New Roman" w:hAnsi="Times New Roman"/>
          <w:b/>
          <w:bCs/>
          <w:noProof/>
          <w:sz w:val="24"/>
          <w:szCs w:val="24"/>
        </w:rPr>
        <w:t>2014</w:t>
      </w:r>
      <w:r w:rsidRPr="00750EA2">
        <w:rPr>
          <w:rFonts w:ascii="Times New Roman" w:hAnsi="Times New Roman"/>
          <w:noProof/>
          <w:sz w:val="24"/>
          <w:szCs w:val="24"/>
        </w:rPr>
        <w:t xml:space="preserve">, </w:t>
      </w:r>
      <w:r w:rsidRPr="00750EA2">
        <w:rPr>
          <w:rFonts w:ascii="Times New Roman" w:hAnsi="Times New Roman"/>
          <w:i/>
          <w:iCs/>
          <w:noProof/>
          <w:sz w:val="24"/>
          <w:szCs w:val="24"/>
        </w:rPr>
        <w:t>137</w:t>
      </w:r>
      <w:r w:rsidRPr="00750EA2">
        <w:rPr>
          <w:rFonts w:ascii="Times New Roman" w:hAnsi="Times New Roman"/>
          <w:noProof/>
          <w:sz w:val="24"/>
          <w:szCs w:val="24"/>
        </w:rPr>
        <w:t>, 245–257.</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szCs w:val="24"/>
        </w:rPr>
      </w:pPr>
      <w:r w:rsidRPr="00750EA2">
        <w:rPr>
          <w:rFonts w:ascii="Times New Roman" w:hAnsi="Times New Roman"/>
          <w:noProof/>
          <w:sz w:val="24"/>
          <w:szCs w:val="24"/>
        </w:rPr>
        <w:t>52.</w:t>
      </w:r>
      <w:r w:rsidRPr="00750EA2">
        <w:rPr>
          <w:rFonts w:ascii="Times New Roman" w:hAnsi="Times New Roman"/>
          <w:noProof/>
          <w:sz w:val="24"/>
          <w:szCs w:val="24"/>
        </w:rPr>
        <w:tab/>
        <w:t>X. Zhang, M. Van Hulzen, D. P. Singh, A. Brownrigg, J. P. Wright, N. H. Van Dijk and M. Wagemaker</w:t>
      </w:r>
      <w:r w:rsidR="00A904E4">
        <w:rPr>
          <w:rFonts w:ascii="Times New Roman" w:hAnsi="Times New Roman"/>
          <w:noProof/>
          <w:sz w:val="24"/>
          <w:szCs w:val="24"/>
        </w:rPr>
        <w:t>,</w:t>
      </w:r>
      <w:r w:rsidRPr="00750EA2">
        <w:rPr>
          <w:rFonts w:ascii="Times New Roman" w:hAnsi="Times New Roman"/>
          <w:noProof/>
          <w:sz w:val="24"/>
          <w:szCs w:val="24"/>
        </w:rPr>
        <w:t xml:space="preserve"> </w:t>
      </w:r>
      <w:r w:rsidRPr="00750EA2">
        <w:rPr>
          <w:rFonts w:ascii="Times New Roman" w:hAnsi="Times New Roman"/>
          <w:i/>
          <w:iCs/>
          <w:noProof/>
          <w:sz w:val="24"/>
          <w:szCs w:val="24"/>
        </w:rPr>
        <w:t>Nano Lett.</w:t>
      </w:r>
      <w:r w:rsidRPr="00750EA2">
        <w:rPr>
          <w:rFonts w:ascii="Times New Roman" w:hAnsi="Times New Roman"/>
          <w:noProof/>
          <w:sz w:val="24"/>
          <w:szCs w:val="24"/>
        </w:rPr>
        <w:t xml:space="preserve"> </w:t>
      </w:r>
      <w:r w:rsidRPr="00750EA2">
        <w:rPr>
          <w:rFonts w:ascii="Times New Roman" w:hAnsi="Times New Roman"/>
          <w:b/>
          <w:bCs/>
          <w:noProof/>
          <w:sz w:val="24"/>
          <w:szCs w:val="24"/>
        </w:rPr>
        <w:t>2014</w:t>
      </w:r>
      <w:r w:rsidRPr="00750EA2">
        <w:rPr>
          <w:rFonts w:ascii="Times New Roman" w:hAnsi="Times New Roman"/>
          <w:noProof/>
          <w:sz w:val="24"/>
          <w:szCs w:val="24"/>
        </w:rPr>
        <w:t xml:space="preserve">, </w:t>
      </w:r>
      <w:r w:rsidRPr="00750EA2">
        <w:rPr>
          <w:rFonts w:ascii="Times New Roman" w:hAnsi="Times New Roman"/>
          <w:i/>
          <w:iCs/>
          <w:noProof/>
          <w:sz w:val="24"/>
          <w:szCs w:val="24"/>
        </w:rPr>
        <w:t>14</w:t>
      </w:r>
      <w:r w:rsidRPr="00750EA2">
        <w:rPr>
          <w:rFonts w:ascii="Times New Roman" w:hAnsi="Times New Roman"/>
          <w:noProof/>
          <w:sz w:val="24"/>
          <w:szCs w:val="24"/>
        </w:rPr>
        <w:t>, 2279–2285.</w:t>
      </w:r>
    </w:p>
    <w:p w:rsidR="00750EA2" w:rsidRPr="00750EA2" w:rsidRDefault="00750EA2" w:rsidP="00750EA2">
      <w:pPr>
        <w:widowControl w:val="0"/>
        <w:autoSpaceDE w:val="0"/>
        <w:autoSpaceDN w:val="0"/>
        <w:adjustRightInd w:val="0"/>
        <w:spacing w:after="140" w:line="240" w:lineRule="auto"/>
        <w:ind w:left="640" w:hanging="640"/>
        <w:rPr>
          <w:rFonts w:ascii="Times New Roman" w:hAnsi="Times New Roman"/>
          <w:noProof/>
          <w:sz w:val="24"/>
        </w:rPr>
      </w:pPr>
      <w:r w:rsidRPr="00750EA2">
        <w:rPr>
          <w:rFonts w:ascii="Times New Roman" w:hAnsi="Times New Roman"/>
          <w:noProof/>
          <w:sz w:val="24"/>
          <w:szCs w:val="24"/>
        </w:rPr>
        <w:t>53.</w:t>
      </w:r>
      <w:r w:rsidRPr="00750EA2">
        <w:rPr>
          <w:rFonts w:ascii="Times New Roman" w:hAnsi="Times New Roman"/>
          <w:noProof/>
          <w:sz w:val="24"/>
          <w:szCs w:val="24"/>
        </w:rPr>
        <w:tab/>
        <w:t>H. Liu, F. C. Strobridge, O. J. Borkiewicz, K. M. Wiaderek, K. W. Chapman, P. J. Chupas and C. P. Grey</w:t>
      </w:r>
      <w:r w:rsidR="00A904E4">
        <w:rPr>
          <w:rFonts w:ascii="Times New Roman" w:hAnsi="Times New Roman"/>
          <w:noProof/>
          <w:sz w:val="24"/>
          <w:szCs w:val="24"/>
        </w:rPr>
        <w:t>,</w:t>
      </w:r>
      <w:r w:rsidRPr="00750EA2">
        <w:rPr>
          <w:rFonts w:ascii="Times New Roman" w:hAnsi="Times New Roman"/>
          <w:noProof/>
          <w:sz w:val="24"/>
          <w:szCs w:val="24"/>
        </w:rPr>
        <w:t xml:space="preserve"> </w:t>
      </w:r>
      <w:r w:rsidR="00381F03">
        <w:rPr>
          <w:rFonts w:ascii="Times New Roman" w:hAnsi="Times New Roman"/>
          <w:i/>
          <w:iCs/>
          <w:noProof/>
          <w:sz w:val="24"/>
          <w:szCs w:val="24"/>
        </w:rPr>
        <w:t>Science</w:t>
      </w:r>
      <w:r w:rsidRPr="00750EA2">
        <w:rPr>
          <w:rFonts w:ascii="Times New Roman" w:hAnsi="Times New Roman"/>
          <w:noProof/>
          <w:sz w:val="24"/>
          <w:szCs w:val="24"/>
        </w:rPr>
        <w:t xml:space="preserve"> </w:t>
      </w:r>
      <w:r w:rsidRPr="00750EA2">
        <w:rPr>
          <w:rFonts w:ascii="Times New Roman" w:hAnsi="Times New Roman"/>
          <w:b/>
          <w:bCs/>
          <w:noProof/>
          <w:sz w:val="24"/>
          <w:szCs w:val="24"/>
        </w:rPr>
        <w:t>2014</w:t>
      </w:r>
      <w:r w:rsidRPr="00750EA2">
        <w:rPr>
          <w:rFonts w:ascii="Times New Roman" w:hAnsi="Times New Roman"/>
          <w:noProof/>
          <w:sz w:val="24"/>
          <w:szCs w:val="24"/>
        </w:rPr>
        <w:t xml:space="preserve">, </w:t>
      </w:r>
      <w:r w:rsidRPr="00750EA2">
        <w:rPr>
          <w:rFonts w:ascii="Times New Roman" w:hAnsi="Times New Roman"/>
          <w:i/>
          <w:iCs/>
          <w:noProof/>
          <w:sz w:val="24"/>
          <w:szCs w:val="24"/>
        </w:rPr>
        <w:t>344</w:t>
      </w:r>
      <w:r w:rsidR="0015727A">
        <w:rPr>
          <w:rFonts w:ascii="Times New Roman" w:hAnsi="Times New Roman"/>
          <w:noProof/>
          <w:sz w:val="24"/>
          <w:szCs w:val="24"/>
        </w:rPr>
        <w:t xml:space="preserve">, </w:t>
      </w:r>
      <w:r w:rsidR="001514B7" w:rsidRPr="001514B7">
        <w:rPr>
          <w:rFonts w:ascii="Times New Roman" w:hAnsi="Times New Roman"/>
          <w:noProof/>
          <w:sz w:val="24"/>
          <w:szCs w:val="24"/>
        </w:rPr>
        <w:t>1252817</w:t>
      </w:r>
      <w:r w:rsidRPr="00750EA2">
        <w:rPr>
          <w:rFonts w:ascii="Times New Roman" w:hAnsi="Times New Roman"/>
          <w:noProof/>
          <w:sz w:val="24"/>
          <w:szCs w:val="24"/>
        </w:rPr>
        <w:t>.</w:t>
      </w:r>
    </w:p>
    <w:p w:rsidR="009D54B0" w:rsidRPr="00692930" w:rsidRDefault="001B72FD" w:rsidP="00750EA2">
      <w:pPr>
        <w:widowControl w:val="0"/>
        <w:autoSpaceDE w:val="0"/>
        <w:autoSpaceDN w:val="0"/>
        <w:adjustRightInd w:val="0"/>
        <w:spacing w:after="140" w:line="288" w:lineRule="auto"/>
      </w:pPr>
      <w:r w:rsidRPr="00692930">
        <w:fldChar w:fldCharType="end"/>
      </w:r>
    </w:p>
    <w:p w:rsidR="009D54B0" w:rsidRPr="00692930" w:rsidRDefault="009D54B0" w:rsidP="008A3866">
      <w:bookmarkStart w:id="0" w:name="_GoBack"/>
      <w:bookmarkEnd w:id="0"/>
    </w:p>
    <w:sectPr w:rsidR="009D54B0" w:rsidRPr="00692930" w:rsidSect="005D0538">
      <w:footerReference w:type="even" r:id="rId27"/>
      <w:footerReference w:type="default" r:id="rId28"/>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A4D" w:rsidRDefault="00F02A4D" w:rsidP="006F4D35">
      <w:pPr>
        <w:spacing w:line="240" w:lineRule="auto"/>
      </w:pPr>
      <w:r>
        <w:separator/>
      </w:r>
    </w:p>
  </w:endnote>
  <w:endnote w:type="continuationSeparator" w:id="0">
    <w:p w:rsidR="00F02A4D" w:rsidRDefault="00F02A4D" w:rsidP="006F4D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E58" w:rsidRDefault="00DE7E58" w:rsidP="00B013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E7E58" w:rsidRDefault="00DE7E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E58" w:rsidRDefault="00DE7E58" w:rsidP="00B013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514B7">
      <w:rPr>
        <w:rStyle w:val="PageNumber"/>
        <w:noProof/>
      </w:rPr>
      <w:t>17</w:t>
    </w:r>
    <w:r>
      <w:rPr>
        <w:rStyle w:val="PageNumber"/>
      </w:rPr>
      <w:fldChar w:fldCharType="end"/>
    </w:r>
  </w:p>
  <w:p w:rsidR="00DE7E58" w:rsidRDefault="00DE7E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A4D" w:rsidRDefault="00F02A4D" w:rsidP="006F4D35">
      <w:pPr>
        <w:spacing w:line="240" w:lineRule="auto"/>
      </w:pPr>
      <w:r>
        <w:separator/>
      </w:r>
    </w:p>
  </w:footnote>
  <w:footnote w:type="continuationSeparator" w:id="0">
    <w:p w:rsidR="00F02A4D" w:rsidRDefault="00F02A4D" w:rsidP="006F4D3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110E27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DE08FD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F665DA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9105F1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8B6AA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8A21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62AA66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C8A1C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A58389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744BAF2"/>
    <w:lvl w:ilvl="0">
      <w:start w:val="1"/>
      <w:numFmt w:val="bullet"/>
      <w:lvlText w:val=""/>
      <w:lvlJc w:val="left"/>
      <w:pPr>
        <w:tabs>
          <w:tab w:val="num" w:pos="360"/>
        </w:tabs>
        <w:ind w:left="360" w:hanging="360"/>
      </w:pPr>
      <w:rPr>
        <w:rFonts w:ascii="Symbol" w:hAnsi="Symbol" w:hint="default"/>
      </w:rPr>
    </w:lvl>
  </w:abstractNum>
  <w:abstractNum w:abstractNumId="10">
    <w:nsid w:val="34195791"/>
    <w:multiLevelType w:val="hybridMultilevel"/>
    <w:tmpl w:val="3C8AD06E"/>
    <w:lvl w:ilvl="0" w:tplc="A11C16FC">
      <w:start w:val="1"/>
      <w:numFmt w:val="lowerLetter"/>
      <w:lvlText w:val="%1)"/>
      <w:lvlJc w:val="left"/>
      <w:pPr>
        <w:tabs>
          <w:tab w:val="num" w:pos="720"/>
        </w:tabs>
        <w:ind w:left="720" w:hanging="360"/>
      </w:pPr>
      <w:rPr>
        <w:rFonts w:cs="Times New Roman" w:hint="default"/>
        <w:b w:val="0"/>
        <w:color w:val="auto"/>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1">
    <w:nsid w:val="416B5E3E"/>
    <w:multiLevelType w:val="hybridMultilevel"/>
    <w:tmpl w:val="8ADA382A"/>
    <w:lvl w:ilvl="0" w:tplc="2A8477D0">
      <w:start w:val="1"/>
      <w:numFmt w:val="bullet"/>
      <w:lvlText w:val="•"/>
      <w:lvlJc w:val="left"/>
      <w:pPr>
        <w:tabs>
          <w:tab w:val="num" w:pos="720"/>
        </w:tabs>
        <w:ind w:left="720" w:hanging="360"/>
      </w:pPr>
      <w:rPr>
        <w:rFonts w:ascii="Arial" w:hAnsi="Arial" w:hint="default"/>
      </w:rPr>
    </w:lvl>
    <w:lvl w:ilvl="1" w:tplc="F098B71C" w:tentative="1">
      <w:start w:val="1"/>
      <w:numFmt w:val="bullet"/>
      <w:lvlText w:val="•"/>
      <w:lvlJc w:val="left"/>
      <w:pPr>
        <w:tabs>
          <w:tab w:val="num" w:pos="1440"/>
        </w:tabs>
        <w:ind w:left="1440" w:hanging="360"/>
      </w:pPr>
      <w:rPr>
        <w:rFonts w:ascii="Arial" w:hAnsi="Arial" w:hint="default"/>
      </w:rPr>
    </w:lvl>
    <w:lvl w:ilvl="2" w:tplc="44BE7974" w:tentative="1">
      <w:start w:val="1"/>
      <w:numFmt w:val="bullet"/>
      <w:lvlText w:val="•"/>
      <w:lvlJc w:val="left"/>
      <w:pPr>
        <w:tabs>
          <w:tab w:val="num" w:pos="2160"/>
        </w:tabs>
        <w:ind w:left="2160" w:hanging="360"/>
      </w:pPr>
      <w:rPr>
        <w:rFonts w:ascii="Arial" w:hAnsi="Arial" w:hint="default"/>
      </w:rPr>
    </w:lvl>
    <w:lvl w:ilvl="3" w:tplc="F442464E" w:tentative="1">
      <w:start w:val="1"/>
      <w:numFmt w:val="bullet"/>
      <w:lvlText w:val="•"/>
      <w:lvlJc w:val="left"/>
      <w:pPr>
        <w:tabs>
          <w:tab w:val="num" w:pos="2880"/>
        </w:tabs>
        <w:ind w:left="2880" w:hanging="360"/>
      </w:pPr>
      <w:rPr>
        <w:rFonts w:ascii="Arial" w:hAnsi="Arial" w:hint="default"/>
      </w:rPr>
    </w:lvl>
    <w:lvl w:ilvl="4" w:tplc="A6D6CBE2" w:tentative="1">
      <w:start w:val="1"/>
      <w:numFmt w:val="bullet"/>
      <w:lvlText w:val="•"/>
      <w:lvlJc w:val="left"/>
      <w:pPr>
        <w:tabs>
          <w:tab w:val="num" w:pos="3600"/>
        </w:tabs>
        <w:ind w:left="3600" w:hanging="360"/>
      </w:pPr>
      <w:rPr>
        <w:rFonts w:ascii="Arial" w:hAnsi="Arial" w:hint="default"/>
      </w:rPr>
    </w:lvl>
    <w:lvl w:ilvl="5" w:tplc="38D218FA" w:tentative="1">
      <w:start w:val="1"/>
      <w:numFmt w:val="bullet"/>
      <w:lvlText w:val="•"/>
      <w:lvlJc w:val="left"/>
      <w:pPr>
        <w:tabs>
          <w:tab w:val="num" w:pos="4320"/>
        </w:tabs>
        <w:ind w:left="4320" w:hanging="360"/>
      </w:pPr>
      <w:rPr>
        <w:rFonts w:ascii="Arial" w:hAnsi="Arial" w:hint="default"/>
      </w:rPr>
    </w:lvl>
    <w:lvl w:ilvl="6" w:tplc="ABC66102" w:tentative="1">
      <w:start w:val="1"/>
      <w:numFmt w:val="bullet"/>
      <w:lvlText w:val="•"/>
      <w:lvlJc w:val="left"/>
      <w:pPr>
        <w:tabs>
          <w:tab w:val="num" w:pos="5040"/>
        </w:tabs>
        <w:ind w:left="5040" w:hanging="360"/>
      </w:pPr>
      <w:rPr>
        <w:rFonts w:ascii="Arial" w:hAnsi="Arial" w:hint="default"/>
      </w:rPr>
    </w:lvl>
    <w:lvl w:ilvl="7" w:tplc="050CECA4" w:tentative="1">
      <w:start w:val="1"/>
      <w:numFmt w:val="bullet"/>
      <w:lvlText w:val="•"/>
      <w:lvlJc w:val="left"/>
      <w:pPr>
        <w:tabs>
          <w:tab w:val="num" w:pos="5760"/>
        </w:tabs>
        <w:ind w:left="5760" w:hanging="360"/>
      </w:pPr>
      <w:rPr>
        <w:rFonts w:ascii="Arial" w:hAnsi="Arial" w:hint="default"/>
      </w:rPr>
    </w:lvl>
    <w:lvl w:ilvl="8" w:tplc="D0B2B924" w:tentative="1">
      <w:start w:val="1"/>
      <w:numFmt w:val="bullet"/>
      <w:lvlText w:val="•"/>
      <w:lvlJc w:val="left"/>
      <w:pPr>
        <w:tabs>
          <w:tab w:val="num" w:pos="6480"/>
        </w:tabs>
        <w:ind w:left="6480" w:hanging="360"/>
      </w:pPr>
      <w:rPr>
        <w:rFonts w:ascii="Arial" w:hAnsi="Arial" w:hint="default"/>
      </w:rPr>
    </w:lvl>
  </w:abstractNum>
  <w:abstractNum w:abstractNumId="12">
    <w:nsid w:val="7D113F60"/>
    <w:multiLevelType w:val="hybridMultilevel"/>
    <w:tmpl w:val="4A2610B6"/>
    <w:lvl w:ilvl="0" w:tplc="0424000F">
      <w:start w:val="1"/>
      <w:numFmt w:val="decimal"/>
      <w:lvlText w:val="%1."/>
      <w:lvlJc w:val="left"/>
      <w:pPr>
        <w:ind w:left="786" w:hanging="360"/>
      </w:pPr>
      <w:rPr>
        <w:rFonts w:cs="Times New Roman"/>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num w:numId="1">
    <w:abstractNumId w:val="11"/>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F97"/>
    <w:rsid w:val="0000048E"/>
    <w:rsid w:val="00001900"/>
    <w:rsid w:val="00002086"/>
    <w:rsid w:val="00004B3F"/>
    <w:rsid w:val="000056D7"/>
    <w:rsid w:val="00011E4A"/>
    <w:rsid w:val="00015AEC"/>
    <w:rsid w:val="00015CEB"/>
    <w:rsid w:val="000173BF"/>
    <w:rsid w:val="000177D1"/>
    <w:rsid w:val="00017B20"/>
    <w:rsid w:val="000223AC"/>
    <w:rsid w:val="0002295C"/>
    <w:rsid w:val="000252D0"/>
    <w:rsid w:val="00025C42"/>
    <w:rsid w:val="00025E34"/>
    <w:rsid w:val="00030961"/>
    <w:rsid w:val="00030B0C"/>
    <w:rsid w:val="00030C0A"/>
    <w:rsid w:val="000315EC"/>
    <w:rsid w:val="000329CE"/>
    <w:rsid w:val="00035218"/>
    <w:rsid w:val="00040E5C"/>
    <w:rsid w:val="0004365F"/>
    <w:rsid w:val="00043844"/>
    <w:rsid w:val="000438C0"/>
    <w:rsid w:val="00045B7A"/>
    <w:rsid w:val="0004648C"/>
    <w:rsid w:val="000500AB"/>
    <w:rsid w:val="00050CD6"/>
    <w:rsid w:val="00051374"/>
    <w:rsid w:val="000515D1"/>
    <w:rsid w:val="00051750"/>
    <w:rsid w:val="00053399"/>
    <w:rsid w:val="00057932"/>
    <w:rsid w:val="00057F4F"/>
    <w:rsid w:val="00060167"/>
    <w:rsid w:val="00063A93"/>
    <w:rsid w:val="00063EC9"/>
    <w:rsid w:val="00064CB8"/>
    <w:rsid w:val="00064F39"/>
    <w:rsid w:val="00067C32"/>
    <w:rsid w:val="0007140B"/>
    <w:rsid w:val="00071C3E"/>
    <w:rsid w:val="000739DB"/>
    <w:rsid w:val="00074299"/>
    <w:rsid w:val="00075160"/>
    <w:rsid w:val="0007688E"/>
    <w:rsid w:val="000775A1"/>
    <w:rsid w:val="000778A5"/>
    <w:rsid w:val="000804F8"/>
    <w:rsid w:val="00080728"/>
    <w:rsid w:val="0008178C"/>
    <w:rsid w:val="00081D39"/>
    <w:rsid w:val="00082E0F"/>
    <w:rsid w:val="0008432A"/>
    <w:rsid w:val="00086137"/>
    <w:rsid w:val="000866E9"/>
    <w:rsid w:val="000872EE"/>
    <w:rsid w:val="0009077B"/>
    <w:rsid w:val="00090C89"/>
    <w:rsid w:val="00091E83"/>
    <w:rsid w:val="00092267"/>
    <w:rsid w:val="00093196"/>
    <w:rsid w:val="00097840"/>
    <w:rsid w:val="00097B47"/>
    <w:rsid w:val="00097CB8"/>
    <w:rsid w:val="000A01C3"/>
    <w:rsid w:val="000A0D2C"/>
    <w:rsid w:val="000A197E"/>
    <w:rsid w:val="000A7BC6"/>
    <w:rsid w:val="000B06D8"/>
    <w:rsid w:val="000B12C9"/>
    <w:rsid w:val="000B29A1"/>
    <w:rsid w:val="000B53CC"/>
    <w:rsid w:val="000B664E"/>
    <w:rsid w:val="000B6DFB"/>
    <w:rsid w:val="000B6ECA"/>
    <w:rsid w:val="000B7427"/>
    <w:rsid w:val="000C0B28"/>
    <w:rsid w:val="000C1340"/>
    <w:rsid w:val="000C2D79"/>
    <w:rsid w:val="000C56CE"/>
    <w:rsid w:val="000C58D8"/>
    <w:rsid w:val="000C6327"/>
    <w:rsid w:val="000C7B33"/>
    <w:rsid w:val="000D07BF"/>
    <w:rsid w:val="000D1C02"/>
    <w:rsid w:val="000E0798"/>
    <w:rsid w:val="000E1E71"/>
    <w:rsid w:val="000E2094"/>
    <w:rsid w:val="000E331C"/>
    <w:rsid w:val="000E372F"/>
    <w:rsid w:val="000E3968"/>
    <w:rsid w:val="000E6266"/>
    <w:rsid w:val="000E6F3E"/>
    <w:rsid w:val="000E7D63"/>
    <w:rsid w:val="000F417B"/>
    <w:rsid w:val="000F6E8F"/>
    <w:rsid w:val="000F6F55"/>
    <w:rsid w:val="00103B63"/>
    <w:rsid w:val="00103E92"/>
    <w:rsid w:val="00105831"/>
    <w:rsid w:val="00105F35"/>
    <w:rsid w:val="0010645C"/>
    <w:rsid w:val="00106B2D"/>
    <w:rsid w:val="00107056"/>
    <w:rsid w:val="00107F49"/>
    <w:rsid w:val="00111904"/>
    <w:rsid w:val="00112013"/>
    <w:rsid w:val="00114EB4"/>
    <w:rsid w:val="0011533B"/>
    <w:rsid w:val="0011749D"/>
    <w:rsid w:val="0012051E"/>
    <w:rsid w:val="0012167D"/>
    <w:rsid w:val="001247F7"/>
    <w:rsid w:val="001252DA"/>
    <w:rsid w:val="00126D09"/>
    <w:rsid w:val="0012759B"/>
    <w:rsid w:val="0013118B"/>
    <w:rsid w:val="00133DD7"/>
    <w:rsid w:val="001343B5"/>
    <w:rsid w:val="00134B09"/>
    <w:rsid w:val="00134BB0"/>
    <w:rsid w:val="001356A8"/>
    <w:rsid w:val="001358D1"/>
    <w:rsid w:val="0013712C"/>
    <w:rsid w:val="0013775F"/>
    <w:rsid w:val="00140BDC"/>
    <w:rsid w:val="00140F80"/>
    <w:rsid w:val="00143183"/>
    <w:rsid w:val="001436DD"/>
    <w:rsid w:val="0014453F"/>
    <w:rsid w:val="00144541"/>
    <w:rsid w:val="00146823"/>
    <w:rsid w:val="00146F35"/>
    <w:rsid w:val="0015076C"/>
    <w:rsid w:val="0015083D"/>
    <w:rsid w:val="001514B7"/>
    <w:rsid w:val="001530B7"/>
    <w:rsid w:val="00154A95"/>
    <w:rsid w:val="0015727A"/>
    <w:rsid w:val="00157AFC"/>
    <w:rsid w:val="00161356"/>
    <w:rsid w:val="00162538"/>
    <w:rsid w:val="00164A10"/>
    <w:rsid w:val="0016652A"/>
    <w:rsid w:val="00166868"/>
    <w:rsid w:val="00170AFF"/>
    <w:rsid w:val="00175007"/>
    <w:rsid w:val="001774F8"/>
    <w:rsid w:val="0018240C"/>
    <w:rsid w:val="0018653E"/>
    <w:rsid w:val="001865F4"/>
    <w:rsid w:val="00186840"/>
    <w:rsid w:val="001911C0"/>
    <w:rsid w:val="001925A4"/>
    <w:rsid w:val="00193E20"/>
    <w:rsid w:val="00195344"/>
    <w:rsid w:val="0019540A"/>
    <w:rsid w:val="0019581E"/>
    <w:rsid w:val="00196A7D"/>
    <w:rsid w:val="001971D8"/>
    <w:rsid w:val="00197D64"/>
    <w:rsid w:val="001A0EF9"/>
    <w:rsid w:val="001A149A"/>
    <w:rsid w:val="001A1B03"/>
    <w:rsid w:val="001A1ED4"/>
    <w:rsid w:val="001A247E"/>
    <w:rsid w:val="001A3C9A"/>
    <w:rsid w:val="001A4F02"/>
    <w:rsid w:val="001A5DA2"/>
    <w:rsid w:val="001A63AC"/>
    <w:rsid w:val="001A6E46"/>
    <w:rsid w:val="001A7C22"/>
    <w:rsid w:val="001B061C"/>
    <w:rsid w:val="001B0919"/>
    <w:rsid w:val="001B4012"/>
    <w:rsid w:val="001B41A4"/>
    <w:rsid w:val="001B647F"/>
    <w:rsid w:val="001B6660"/>
    <w:rsid w:val="001B72FD"/>
    <w:rsid w:val="001B79CA"/>
    <w:rsid w:val="001C04C8"/>
    <w:rsid w:val="001C0A34"/>
    <w:rsid w:val="001C2C2B"/>
    <w:rsid w:val="001C3375"/>
    <w:rsid w:val="001C503A"/>
    <w:rsid w:val="001D39CB"/>
    <w:rsid w:val="001D3C2C"/>
    <w:rsid w:val="001D4347"/>
    <w:rsid w:val="001D50BB"/>
    <w:rsid w:val="001D5859"/>
    <w:rsid w:val="001D7235"/>
    <w:rsid w:val="001D7318"/>
    <w:rsid w:val="001E0FCC"/>
    <w:rsid w:val="001E3111"/>
    <w:rsid w:val="001E429A"/>
    <w:rsid w:val="001E5242"/>
    <w:rsid w:val="001E5697"/>
    <w:rsid w:val="001F14DF"/>
    <w:rsid w:val="001F3D51"/>
    <w:rsid w:val="001F5766"/>
    <w:rsid w:val="001F7B93"/>
    <w:rsid w:val="00200D97"/>
    <w:rsid w:val="002035BA"/>
    <w:rsid w:val="002070E8"/>
    <w:rsid w:val="00210433"/>
    <w:rsid w:val="00211018"/>
    <w:rsid w:val="00211B99"/>
    <w:rsid w:val="00211BAF"/>
    <w:rsid w:val="002136B5"/>
    <w:rsid w:val="00215F31"/>
    <w:rsid w:val="00221664"/>
    <w:rsid w:val="00221909"/>
    <w:rsid w:val="00223FC7"/>
    <w:rsid w:val="00224768"/>
    <w:rsid w:val="0022585E"/>
    <w:rsid w:val="00226D9B"/>
    <w:rsid w:val="00227064"/>
    <w:rsid w:val="002275E5"/>
    <w:rsid w:val="00227709"/>
    <w:rsid w:val="0022787F"/>
    <w:rsid w:val="00230283"/>
    <w:rsid w:val="00231066"/>
    <w:rsid w:val="0023264C"/>
    <w:rsid w:val="00233D5D"/>
    <w:rsid w:val="00234311"/>
    <w:rsid w:val="00234857"/>
    <w:rsid w:val="0023567E"/>
    <w:rsid w:val="00237627"/>
    <w:rsid w:val="00237D87"/>
    <w:rsid w:val="00240AFB"/>
    <w:rsid w:val="00241861"/>
    <w:rsid w:val="0024378C"/>
    <w:rsid w:val="00243EC7"/>
    <w:rsid w:val="0024489B"/>
    <w:rsid w:val="00244B96"/>
    <w:rsid w:val="00245AB9"/>
    <w:rsid w:val="00245D1C"/>
    <w:rsid w:val="00246B0B"/>
    <w:rsid w:val="0024722F"/>
    <w:rsid w:val="00252B4A"/>
    <w:rsid w:val="00253612"/>
    <w:rsid w:val="00253626"/>
    <w:rsid w:val="00253DD8"/>
    <w:rsid w:val="00256242"/>
    <w:rsid w:val="00257A35"/>
    <w:rsid w:val="0026015A"/>
    <w:rsid w:val="0026086F"/>
    <w:rsid w:val="00260995"/>
    <w:rsid w:val="00260F63"/>
    <w:rsid w:val="00261425"/>
    <w:rsid w:val="0026161A"/>
    <w:rsid w:val="00261F9E"/>
    <w:rsid w:val="002621DE"/>
    <w:rsid w:val="002646B9"/>
    <w:rsid w:val="002657AB"/>
    <w:rsid w:val="002679DA"/>
    <w:rsid w:val="00267F54"/>
    <w:rsid w:val="00270471"/>
    <w:rsid w:val="002708EA"/>
    <w:rsid w:val="00272655"/>
    <w:rsid w:val="002735BA"/>
    <w:rsid w:val="00273957"/>
    <w:rsid w:val="00273A91"/>
    <w:rsid w:val="0027466E"/>
    <w:rsid w:val="00274D76"/>
    <w:rsid w:val="00277E4B"/>
    <w:rsid w:val="00280272"/>
    <w:rsid w:val="00281C3F"/>
    <w:rsid w:val="002864CD"/>
    <w:rsid w:val="0028713B"/>
    <w:rsid w:val="002922A7"/>
    <w:rsid w:val="002927A1"/>
    <w:rsid w:val="00292BA4"/>
    <w:rsid w:val="00292C14"/>
    <w:rsid w:val="00293556"/>
    <w:rsid w:val="00296DF1"/>
    <w:rsid w:val="0029773E"/>
    <w:rsid w:val="002978CC"/>
    <w:rsid w:val="002A2394"/>
    <w:rsid w:val="002A24D1"/>
    <w:rsid w:val="002A3EB8"/>
    <w:rsid w:val="002A6AA6"/>
    <w:rsid w:val="002B146A"/>
    <w:rsid w:val="002B23ED"/>
    <w:rsid w:val="002B327B"/>
    <w:rsid w:val="002B43C9"/>
    <w:rsid w:val="002B49B0"/>
    <w:rsid w:val="002B7762"/>
    <w:rsid w:val="002C03BB"/>
    <w:rsid w:val="002C0C35"/>
    <w:rsid w:val="002C4FE8"/>
    <w:rsid w:val="002C6BB3"/>
    <w:rsid w:val="002C70C4"/>
    <w:rsid w:val="002D3693"/>
    <w:rsid w:val="002D3B45"/>
    <w:rsid w:val="002D4607"/>
    <w:rsid w:val="002D523E"/>
    <w:rsid w:val="002D6A13"/>
    <w:rsid w:val="002D7B07"/>
    <w:rsid w:val="002D7E08"/>
    <w:rsid w:val="002E0297"/>
    <w:rsid w:val="002E046D"/>
    <w:rsid w:val="002E060E"/>
    <w:rsid w:val="002E099B"/>
    <w:rsid w:val="002E1300"/>
    <w:rsid w:val="002E1379"/>
    <w:rsid w:val="002E23FC"/>
    <w:rsid w:val="002E308F"/>
    <w:rsid w:val="002E4022"/>
    <w:rsid w:val="002E43A0"/>
    <w:rsid w:val="002E5CFD"/>
    <w:rsid w:val="002E5E9E"/>
    <w:rsid w:val="002E64DA"/>
    <w:rsid w:val="002E6EC6"/>
    <w:rsid w:val="002F61BE"/>
    <w:rsid w:val="002F627B"/>
    <w:rsid w:val="002F683E"/>
    <w:rsid w:val="002F74BB"/>
    <w:rsid w:val="002F74E9"/>
    <w:rsid w:val="002F77DA"/>
    <w:rsid w:val="00300179"/>
    <w:rsid w:val="00300272"/>
    <w:rsid w:val="00300F4C"/>
    <w:rsid w:val="00303ACF"/>
    <w:rsid w:val="003055D0"/>
    <w:rsid w:val="003072FF"/>
    <w:rsid w:val="00310706"/>
    <w:rsid w:val="003169F9"/>
    <w:rsid w:val="00317DF6"/>
    <w:rsid w:val="00321167"/>
    <w:rsid w:val="003211AA"/>
    <w:rsid w:val="00323468"/>
    <w:rsid w:val="00323667"/>
    <w:rsid w:val="00323953"/>
    <w:rsid w:val="00325F71"/>
    <w:rsid w:val="0032703B"/>
    <w:rsid w:val="00331900"/>
    <w:rsid w:val="00331E50"/>
    <w:rsid w:val="0033528A"/>
    <w:rsid w:val="00335547"/>
    <w:rsid w:val="0034063F"/>
    <w:rsid w:val="0034268E"/>
    <w:rsid w:val="00342F2A"/>
    <w:rsid w:val="00343B85"/>
    <w:rsid w:val="00345A3C"/>
    <w:rsid w:val="00350312"/>
    <w:rsid w:val="0035041E"/>
    <w:rsid w:val="003518C6"/>
    <w:rsid w:val="00352817"/>
    <w:rsid w:val="00353305"/>
    <w:rsid w:val="00353B3A"/>
    <w:rsid w:val="00354D46"/>
    <w:rsid w:val="00356838"/>
    <w:rsid w:val="003575C0"/>
    <w:rsid w:val="00357F5C"/>
    <w:rsid w:val="003627E1"/>
    <w:rsid w:val="00362FCB"/>
    <w:rsid w:val="003644F5"/>
    <w:rsid w:val="003663DE"/>
    <w:rsid w:val="00367993"/>
    <w:rsid w:val="003724DC"/>
    <w:rsid w:val="00372C5F"/>
    <w:rsid w:val="00373215"/>
    <w:rsid w:val="00373493"/>
    <w:rsid w:val="00377E25"/>
    <w:rsid w:val="00380119"/>
    <w:rsid w:val="00381A1C"/>
    <w:rsid w:val="00381F03"/>
    <w:rsid w:val="00382ACE"/>
    <w:rsid w:val="00383F11"/>
    <w:rsid w:val="00384998"/>
    <w:rsid w:val="00385AA3"/>
    <w:rsid w:val="0038772D"/>
    <w:rsid w:val="00387A7D"/>
    <w:rsid w:val="003925CA"/>
    <w:rsid w:val="00392B5E"/>
    <w:rsid w:val="0039379F"/>
    <w:rsid w:val="003939CE"/>
    <w:rsid w:val="003940CC"/>
    <w:rsid w:val="00397795"/>
    <w:rsid w:val="003A0927"/>
    <w:rsid w:val="003A2917"/>
    <w:rsid w:val="003A3234"/>
    <w:rsid w:val="003A4A96"/>
    <w:rsid w:val="003A7010"/>
    <w:rsid w:val="003A7256"/>
    <w:rsid w:val="003A7DD5"/>
    <w:rsid w:val="003B1862"/>
    <w:rsid w:val="003B1BB4"/>
    <w:rsid w:val="003B2D2E"/>
    <w:rsid w:val="003B4485"/>
    <w:rsid w:val="003B47D6"/>
    <w:rsid w:val="003B4A19"/>
    <w:rsid w:val="003B58DF"/>
    <w:rsid w:val="003B7057"/>
    <w:rsid w:val="003B73B9"/>
    <w:rsid w:val="003B7F82"/>
    <w:rsid w:val="003C0D31"/>
    <w:rsid w:val="003C1DA8"/>
    <w:rsid w:val="003C225B"/>
    <w:rsid w:val="003C3D1B"/>
    <w:rsid w:val="003C6204"/>
    <w:rsid w:val="003C64F5"/>
    <w:rsid w:val="003C6BCE"/>
    <w:rsid w:val="003C76F3"/>
    <w:rsid w:val="003C7753"/>
    <w:rsid w:val="003D1617"/>
    <w:rsid w:val="003D4076"/>
    <w:rsid w:val="003D4354"/>
    <w:rsid w:val="003D4E1A"/>
    <w:rsid w:val="003D50EB"/>
    <w:rsid w:val="003D70EF"/>
    <w:rsid w:val="003E00F0"/>
    <w:rsid w:val="003E0678"/>
    <w:rsid w:val="003E0DEA"/>
    <w:rsid w:val="003E0E91"/>
    <w:rsid w:val="003E3164"/>
    <w:rsid w:val="003E352B"/>
    <w:rsid w:val="003E3F6C"/>
    <w:rsid w:val="003E6F18"/>
    <w:rsid w:val="003F337F"/>
    <w:rsid w:val="003F6B7D"/>
    <w:rsid w:val="0040588D"/>
    <w:rsid w:val="00406885"/>
    <w:rsid w:val="00406BC6"/>
    <w:rsid w:val="00407F8F"/>
    <w:rsid w:val="004113ED"/>
    <w:rsid w:val="00412D23"/>
    <w:rsid w:val="004145DB"/>
    <w:rsid w:val="00415BC0"/>
    <w:rsid w:val="004160AB"/>
    <w:rsid w:val="004162DC"/>
    <w:rsid w:val="00416561"/>
    <w:rsid w:val="00416B9F"/>
    <w:rsid w:val="00417E4E"/>
    <w:rsid w:val="00421BFD"/>
    <w:rsid w:val="00422AD9"/>
    <w:rsid w:val="00423DC7"/>
    <w:rsid w:val="0042424B"/>
    <w:rsid w:val="004253D1"/>
    <w:rsid w:val="0043059E"/>
    <w:rsid w:val="00430CBC"/>
    <w:rsid w:val="00431044"/>
    <w:rsid w:val="004326D4"/>
    <w:rsid w:val="004326EA"/>
    <w:rsid w:val="004336C2"/>
    <w:rsid w:val="00434088"/>
    <w:rsid w:val="00434FAD"/>
    <w:rsid w:val="00435E48"/>
    <w:rsid w:val="00435F8F"/>
    <w:rsid w:val="00436B3B"/>
    <w:rsid w:val="00436B91"/>
    <w:rsid w:val="004405A1"/>
    <w:rsid w:val="00440E7E"/>
    <w:rsid w:val="00441541"/>
    <w:rsid w:val="00441C6B"/>
    <w:rsid w:val="00442A55"/>
    <w:rsid w:val="0044356D"/>
    <w:rsid w:val="004469B6"/>
    <w:rsid w:val="00447353"/>
    <w:rsid w:val="00447E07"/>
    <w:rsid w:val="00453595"/>
    <w:rsid w:val="00455446"/>
    <w:rsid w:val="00456036"/>
    <w:rsid w:val="0045701B"/>
    <w:rsid w:val="004571A1"/>
    <w:rsid w:val="00457FAE"/>
    <w:rsid w:val="00462C45"/>
    <w:rsid w:val="00463A68"/>
    <w:rsid w:val="00464944"/>
    <w:rsid w:val="00465CD7"/>
    <w:rsid w:val="004662D3"/>
    <w:rsid w:val="0046650D"/>
    <w:rsid w:val="00466A3D"/>
    <w:rsid w:val="00466F93"/>
    <w:rsid w:val="00467DB5"/>
    <w:rsid w:val="00472882"/>
    <w:rsid w:val="004743BD"/>
    <w:rsid w:val="0047460B"/>
    <w:rsid w:val="00475C7A"/>
    <w:rsid w:val="00477146"/>
    <w:rsid w:val="004779E5"/>
    <w:rsid w:val="00477A1E"/>
    <w:rsid w:val="00480189"/>
    <w:rsid w:val="004804AC"/>
    <w:rsid w:val="004806ED"/>
    <w:rsid w:val="00480795"/>
    <w:rsid w:val="004809DF"/>
    <w:rsid w:val="00480AE5"/>
    <w:rsid w:val="00482B79"/>
    <w:rsid w:val="00482C0B"/>
    <w:rsid w:val="00483590"/>
    <w:rsid w:val="00484AA9"/>
    <w:rsid w:val="00484FCD"/>
    <w:rsid w:val="00485199"/>
    <w:rsid w:val="00487057"/>
    <w:rsid w:val="00487567"/>
    <w:rsid w:val="00487CE0"/>
    <w:rsid w:val="00490191"/>
    <w:rsid w:val="00490BE5"/>
    <w:rsid w:val="00491A3E"/>
    <w:rsid w:val="00492232"/>
    <w:rsid w:val="0049390E"/>
    <w:rsid w:val="00494DEA"/>
    <w:rsid w:val="00495657"/>
    <w:rsid w:val="00495CE9"/>
    <w:rsid w:val="004963C4"/>
    <w:rsid w:val="00496A1A"/>
    <w:rsid w:val="00497805"/>
    <w:rsid w:val="004A057C"/>
    <w:rsid w:val="004A0BF6"/>
    <w:rsid w:val="004A11E7"/>
    <w:rsid w:val="004A16B6"/>
    <w:rsid w:val="004A3553"/>
    <w:rsid w:val="004A5669"/>
    <w:rsid w:val="004A575C"/>
    <w:rsid w:val="004A5968"/>
    <w:rsid w:val="004B1B23"/>
    <w:rsid w:val="004B1D38"/>
    <w:rsid w:val="004B35F1"/>
    <w:rsid w:val="004B41A9"/>
    <w:rsid w:val="004B7306"/>
    <w:rsid w:val="004B75ED"/>
    <w:rsid w:val="004C0920"/>
    <w:rsid w:val="004C3951"/>
    <w:rsid w:val="004C473F"/>
    <w:rsid w:val="004C5C77"/>
    <w:rsid w:val="004C5F00"/>
    <w:rsid w:val="004C63BC"/>
    <w:rsid w:val="004D08DC"/>
    <w:rsid w:val="004D0DF2"/>
    <w:rsid w:val="004D1B87"/>
    <w:rsid w:val="004D2941"/>
    <w:rsid w:val="004D3BD2"/>
    <w:rsid w:val="004D55FB"/>
    <w:rsid w:val="004D5A7D"/>
    <w:rsid w:val="004E0BE2"/>
    <w:rsid w:val="004E30D4"/>
    <w:rsid w:val="004E617A"/>
    <w:rsid w:val="004E7CD5"/>
    <w:rsid w:val="004F03E4"/>
    <w:rsid w:val="004F3429"/>
    <w:rsid w:val="004F50AD"/>
    <w:rsid w:val="004F75D2"/>
    <w:rsid w:val="005005BB"/>
    <w:rsid w:val="00501312"/>
    <w:rsid w:val="0050224F"/>
    <w:rsid w:val="00504B50"/>
    <w:rsid w:val="00506583"/>
    <w:rsid w:val="005065D8"/>
    <w:rsid w:val="0050676D"/>
    <w:rsid w:val="0050679A"/>
    <w:rsid w:val="00506825"/>
    <w:rsid w:val="005070C6"/>
    <w:rsid w:val="005071D0"/>
    <w:rsid w:val="005113B4"/>
    <w:rsid w:val="00511EA8"/>
    <w:rsid w:val="00512169"/>
    <w:rsid w:val="00512378"/>
    <w:rsid w:val="005131F0"/>
    <w:rsid w:val="005136F8"/>
    <w:rsid w:val="0051485C"/>
    <w:rsid w:val="00521115"/>
    <w:rsid w:val="00523281"/>
    <w:rsid w:val="0052379C"/>
    <w:rsid w:val="00523C08"/>
    <w:rsid w:val="00523DE4"/>
    <w:rsid w:val="00524C16"/>
    <w:rsid w:val="0052502B"/>
    <w:rsid w:val="00526810"/>
    <w:rsid w:val="00527365"/>
    <w:rsid w:val="005319A2"/>
    <w:rsid w:val="00531B6D"/>
    <w:rsid w:val="0053345A"/>
    <w:rsid w:val="00533FBF"/>
    <w:rsid w:val="005345B0"/>
    <w:rsid w:val="00535A7F"/>
    <w:rsid w:val="00540957"/>
    <w:rsid w:val="005414C4"/>
    <w:rsid w:val="00542894"/>
    <w:rsid w:val="00543C9E"/>
    <w:rsid w:val="00543D24"/>
    <w:rsid w:val="00544722"/>
    <w:rsid w:val="005457D2"/>
    <w:rsid w:val="00547413"/>
    <w:rsid w:val="00551268"/>
    <w:rsid w:val="00551946"/>
    <w:rsid w:val="005519A9"/>
    <w:rsid w:val="00553C96"/>
    <w:rsid w:val="00555B1F"/>
    <w:rsid w:val="00555B43"/>
    <w:rsid w:val="00556D49"/>
    <w:rsid w:val="00557207"/>
    <w:rsid w:val="0056060F"/>
    <w:rsid w:val="00560613"/>
    <w:rsid w:val="00560959"/>
    <w:rsid w:val="00562A3D"/>
    <w:rsid w:val="005638A3"/>
    <w:rsid w:val="0056485E"/>
    <w:rsid w:val="005657EA"/>
    <w:rsid w:val="00565AAB"/>
    <w:rsid w:val="0056622F"/>
    <w:rsid w:val="0056660B"/>
    <w:rsid w:val="00571D70"/>
    <w:rsid w:val="00574389"/>
    <w:rsid w:val="00577017"/>
    <w:rsid w:val="005770EB"/>
    <w:rsid w:val="00580865"/>
    <w:rsid w:val="00582123"/>
    <w:rsid w:val="00582C5E"/>
    <w:rsid w:val="00583741"/>
    <w:rsid w:val="00584464"/>
    <w:rsid w:val="00584A4B"/>
    <w:rsid w:val="00586F97"/>
    <w:rsid w:val="0058784B"/>
    <w:rsid w:val="005908C3"/>
    <w:rsid w:val="005909CD"/>
    <w:rsid w:val="005920C2"/>
    <w:rsid w:val="00592994"/>
    <w:rsid w:val="0059492D"/>
    <w:rsid w:val="00595BB8"/>
    <w:rsid w:val="00596C39"/>
    <w:rsid w:val="005A09B1"/>
    <w:rsid w:val="005A219D"/>
    <w:rsid w:val="005A2551"/>
    <w:rsid w:val="005A6647"/>
    <w:rsid w:val="005A6FC8"/>
    <w:rsid w:val="005B2C9D"/>
    <w:rsid w:val="005B305D"/>
    <w:rsid w:val="005B53D5"/>
    <w:rsid w:val="005B6C82"/>
    <w:rsid w:val="005B70F8"/>
    <w:rsid w:val="005B7311"/>
    <w:rsid w:val="005B77B9"/>
    <w:rsid w:val="005C0D6B"/>
    <w:rsid w:val="005C0EB6"/>
    <w:rsid w:val="005C1555"/>
    <w:rsid w:val="005C26B8"/>
    <w:rsid w:val="005C345D"/>
    <w:rsid w:val="005C5507"/>
    <w:rsid w:val="005C596B"/>
    <w:rsid w:val="005C6A82"/>
    <w:rsid w:val="005C6EA8"/>
    <w:rsid w:val="005C780F"/>
    <w:rsid w:val="005C7DF3"/>
    <w:rsid w:val="005D00EE"/>
    <w:rsid w:val="005D0538"/>
    <w:rsid w:val="005D13A5"/>
    <w:rsid w:val="005D46DC"/>
    <w:rsid w:val="005D4AFD"/>
    <w:rsid w:val="005D51A7"/>
    <w:rsid w:val="005D7EE0"/>
    <w:rsid w:val="005E1A54"/>
    <w:rsid w:val="005E2760"/>
    <w:rsid w:val="005E308E"/>
    <w:rsid w:val="005E3574"/>
    <w:rsid w:val="005E3AA5"/>
    <w:rsid w:val="005E4806"/>
    <w:rsid w:val="005E55E7"/>
    <w:rsid w:val="005E5A45"/>
    <w:rsid w:val="005E6AB3"/>
    <w:rsid w:val="005E754B"/>
    <w:rsid w:val="005E7BC1"/>
    <w:rsid w:val="005E7D83"/>
    <w:rsid w:val="005F00DB"/>
    <w:rsid w:val="005F0ADA"/>
    <w:rsid w:val="005F0B85"/>
    <w:rsid w:val="005F0FA6"/>
    <w:rsid w:val="005F43E8"/>
    <w:rsid w:val="005F44E4"/>
    <w:rsid w:val="005F46F7"/>
    <w:rsid w:val="005F58D6"/>
    <w:rsid w:val="00600CDA"/>
    <w:rsid w:val="006019F3"/>
    <w:rsid w:val="006025EF"/>
    <w:rsid w:val="0060362F"/>
    <w:rsid w:val="00603740"/>
    <w:rsid w:val="006042B5"/>
    <w:rsid w:val="006043FB"/>
    <w:rsid w:val="00605550"/>
    <w:rsid w:val="00605637"/>
    <w:rsid w:val="00605891"/>
    <w:rsid w:val="00607495"/>
    <w:rsid w:val="00607679"/>
    <w:rsid w:val="00610880"/>
    <w:rsid w:val="00610DB2"/>
    <w:rsid w:val="00610DD9"/>
    <w:rsid w:val="00613537"/>
    <w:rsid w:val="00613FFC"/>
    <w:rsid w:val="0061499C"/>
    <w:rsid w:val="00620378"/>
    <w:rsid w:val="006222AF"/>
    <w:rsid w:val="00623903"/>
    <w:rsid w:val="00623A1F"/>
    <w:rsid w:val="006245C7"/>
    <w:rsid w:val="006248B5"/>
    <w:rsid w:val="00625393"/>
    <w:rsid w:val="00625D77"/>
    <w:rsid w:val="00625EA4"/>
    <w:rsid w:val="006277FF"/>
    <w:rsid w:val="00630063"/>
    <w:rsid w:val="00630A37"/>
    <w:rsid w:val="006311E7"/>
    <w:rsid w:val="00634CD4"/>
    <w:rsid w:val="00634DBF"/>
    <w:rsid w:val="00637F9C"/>
    <w:rsid w:val="006410A1"/>
    <w:rsid w:val="006438DB"/>
    <w:rsid w:val="0064562C"/>
    <w:rsid w:val="00645D9C"/>
    <w:rsid w:val="006469B9"/>
    <w:rsid w:val="00650379"/>
    <w:rsid w:val="00650AE2"/>
    <w:rsid w:val="00651864"/>
    <w:rsid w:val="00651895"/>
    <w:rsid w:val="006530A6"/>
    <w:rsid w:val="006538A7"/>
    <w:rsid w:val="00655DC5"/>
    <w:rsid w:val="0065673B"/>
    <w:rsid w:val="00656C50"/>
    <w:rsid w:val="00656E1B"/>
    <w:rsid w:val="00657684"/>
    <w:rsid w:val="00665511"/>
    <w:rsid w:val="00666E9E"/>
    <w:rsid w:val="00667379"/>
    <w:rsid w:val="00671A24"/>
    <w:rsid w:val="00671C98"/>
    <w:rsid w:val="00672A04"/>
    <w:rsid w:val="00673D4F"/>
    <w:rsid w:val="0067428A"/>
    <w:rsid w:val="006745A7"/>
    <w:rsid w:val="00675CA3"/>
    <w:rsid w:val="00676899"/>
    <w:rsid w:val="00676A1E"/>
    <w:rsid w:val="00677CFF"/>
    <w:rsid w:val="00684D99"/>
    <w:rsid w:val="006869B0"/>
    <w:rsid w:val="00692930"/>
    <w:rsid w:val="00692ADC"/>
    <w:rsid w:val="00692E20"/>
    <w:rsid w:val="00693494"/>
    <w:rsid w:val="006951C7"/>
    <w:rsid w:val="00695DF7"/>
    <w:rsid w:val="006971C7"/>
    <w:rsid w:val="006A0805"/>
    <w:rsid w:val="006A10B3"/>
    <w:rsid w:val="006A2ED6"/>
    <w:rsid w:val="006A5ADA"/>
    <w:rsid w:val="006A62DB"/>
    <w:rsid w:val="006A65F3"/>
    <w:rsid w:val="006A704D"/>
    <w:rsid w:val="006A74E7"/>
    <w:rsid w:val="006A7836"/>
    <w:rsid w:val="006B040E"/>
    <w:rsid w:val="006B0B0C"/>
    <w:rsid w:val="006B33E4"/>
    <w:rsid w:val="006B45B2"/>
    <w:rsid w:val="006B79BF"/>
    <w:rsid w:val="006C0058"/>
    <w:rsid w:val="006C46EE"/>
    <w:rsid w:val="006C53B2"/>
    <w:rsid w:val="006C6494"/>
    <w:rsid w:val="006C7ED9"/>
    <w:rsid w:val="006D0B37"/>
    <w:rsid w:val="006D16AC"/>
    <w:rsid w:val="006D1B78"/>
    <w:rsid w:val="006D1D9C"/>
    <w:rsid w:val="006D1DA3"/>
    <w:rsid w:val="006D5114"/>
    <w:rsid w:val="006D5263"/>
    <w:rsid w:val="006D6526"/>
    <w:rsid w:val="006D6D36"/>
    <w:rsid w:val="006D7F7A"/>
    <w:rsid w:val="006E02CC"/>
    <w:rsid w:val="006E18D2"/>
    <w:rsid w:val="006E2294"/>
    <w:rsid w:val="006E331D"/>
    <w:rsid w:val="006E366E"/>
    <w:rsid w:val="006E4A29"/>
    <w:rsid w:val="006E4EC2"/>
    <w:rsid w:val="006E5267"/>
    <w:rsid w:val="006E66B6"/>
    <w:rsid w:val="006E78CA"/>
    <w:rsid w:val="006E7A16"/>
    <w:rsid w:val="006F0ACC"/>
    <w:rsid w:val="006F0C0D"/>
    <w:rsid w:val="006F4D35"/>
    <w:rsid w:val="006F59C4"/>
    <w:rsid w:val="0070098A"/>
    <w:rsid w:val="00701F77"/>
    <w:rsid w:val="0070203B"/>
    <w:rsid w:val="00702B3B"/>
    <w:rsid w:val="00703EFC"/>
    <w:rsid w:val="00704CCE"/>
    <w:rsid w:val="0070520A"/>
    <w:rsid w:val="00705795"/>
    <w:rsid w:val="00706619"/>
    <w:rsid w:val="007072EF"/>
    <w:rsid w:val="0071049A"/>
    <w:rsid w:val="00710770"/>
    <w:rsid w:val="007110EB"/>
    <w:rsid w:val="00711335"/>
    <w:rsid w:val="007128AE"/>
    <w:rsid w:val="00713C83"/>
    <w:rsid w:val="007140B0"/>
    <w:rsid w:val="007142AD"/>
    <w:rsid w:val="00714851"/>
    <w:rsid w:val="007166DD"/>
    <w:rsid w:val="00721D59"/>
    <w:rsid w:val="00723B43"/>
    <w:rsid w:val="00724966"/>
    <w:rsid w:val="00725601"/>
    <w:rsid w:val="00726B83"/>
    <w:rsid w:val="00730498"/>
    <w:rsid w:val="00733483"/>
    <w:rsid w:val="0073349F"/>
    <w:rsid w:val="00733896"/>
    <w:rsid w:val="0073492B"/>
    <w:rsid w:val="00736E69"/>
    <w:rsid w:val="00742039"/>
    <w:rsid w:val="007444BC"/>
    <w:rsid w:val="00745881"/>
    <w:rsid w:val="0074638A"/>
    <w:rsid w:val="007471DC"/>
    <w:rsid w:val="00750EA2"/>
    <w:rsid w:val="00752745"/>
    <w:rsid w:val="00752961"/>
    <w:rsid w:val="007538C7"/>
    <w:rsid w:val="00753D9D"/>
    <w:rsid w:val="00755920"/>
    <w:rsid w:val="0076063A"/>
    <w:rsid w:val="00761F98"/>
    <w:rsid w:val="00763429"/>
    <w:rsid w:val="007651DB"/>
    <w:rsid w:val="007667CF"/>
    <w:rsid w:val="00766C2C"/>
    <w:rsid w:val="00770813"/>
    <w:rsid w:val="00771DBC"/>
    <w:rsid w:val="0077203F"/>
    <w:rsid w:val="007722A1"/>
    <w:rsid w:val="007722CB"/>
    <w:rsid w:val="00773F0D"/>
    <w:rsid w:val="00775966"/>
    <w:rsid w:val="00775EE6"/>
    <w:rsid w:val="00776767"/>
    <w:rsid w:val="00776A6C"/>
    <w:rsid w:val="00776FBD"/>
    <w:rsid w:val="00777F37"/>
    <w:rsid w:val="00777F95"/>
    <w:rsid w:val="00783B9C"/>
    <w:rsid w:val="00784605"/>
    <w:rsid w:val="007851D7"/>
    <w:rsid w:val="007858A7"/>
    <w:rsid w:val="00785909"/>
    <w:rsid w:val="00786473"/>
    <w:rsid w:val="00786F6B"/>
    <w:rsid w:val="0078760A"/>
    <w:rsid w:val="00790436"/>
    <w:rsid w:val="00791BF5"/>
    <w:rsid w:val="00793319"/>
    <w:rsid w:val="00793FD7"/>
    <w:rsid w:val="0079435D"/>
    <w:rsid w:val="007966A7"/>
    <w:rsid w:val="00797646"/>
    <w:rsid w:val="007A001A"/>
    <w:rsid w:val="007A225E"/>
    <w:rsid w:val="007A4BA4"/>
    <w:rsid w:val="007A603A"/>
    <w:rsid w:val="007B0002"/>
    <w:rsid w:val="007B0519"/>
    <w:rsid w:val="007B1010"/>
    <w:rsid w:val="007B24CF"/>
    <w:rsid w:val="007B3839"/>
    <w:rsid w:val="007B5B47"/>
    <w:rsid w:val="007B7524"/>
    <w:rsid w:val="007B7AFE"/>
    <w:rsid w:val="007B7B72"/>
    <w:rsid w:val="007C027E"/>
    <w:rsid w:val="007C0F49"/>
    <w:rsid w:val="007C2AFC"/>
    <w:rsid w:val="007C3B2B"/>
    <w:rsid w:val="007C5F2A"/>
    <w:rsid w:val="007C6069"/>
    <w:rsid w:val="007C6FA6"/>
    <w:rsid w:val="007D13B2"/>
    <w:rsid w:val="007D1930"/>
    <w:rsid w:val="007D2BAC"/>
    <w:rsid w:val="007D65EC"/>
    <w:rsid w:val="007E14F4"/>
    <w:rsid w:val="007E2BD0"/>
    <w:rsid w:val="007E2F6A"/>
    <w:rsid w:val="007E3129"/>
    <w:rsid w:val="007E3502"/>
    <w:rsid w:val="007E5CF0"/>
    <w:rsid w:val="007F0DF3"/>
    <w:rsid w:val="007F7A16"/>
    <w:rsid w:val="00800C5C"/>
    <w:rsid w:val="008019B4"/>
    <w:rsid w:val="0080356F"/>
    <w:rsid w:val="00803F7C"/>
    <w:rsid w:val="008074C0"/>
    <w:rsid w:val="00811306"/>
    <w:rsid w:val="008160CD"/>
    <w:rsid w:val="00816542"/>
    <w:rsid w:val="008166BE"/>
    <w:rsid w:val="00817B43"/>
    <w:rsid w:val="008201FD"/>
    <w:rsid w:val="0082291D"/>
    <w:rsid w:val="00822F49"/>
    <w:rsid w:val="00825AFF"/>
    <w:rsid w:val="008267FF"/>
    <w:rsid w:val="0082693D"/>
    <w:rsid w:val="00826DF9"/>
    <w:rsid w:val="00826E8C"/>
    <w:rsid w:val="00827E5B"/>
    <w:rsid w:val="008303A1"/>
    <w:rsid w:val="00831DB6"/>
    <w:rsid w:val="0083341C"/>
    <w:rsid w:val="00834422"/>
    <w:rsid w:val="00835DB9"/>
    <w:rsid w:val="00835E62"/>
    <w:rsid w:val="00836CFC"/>
    <w:rsid w:val="00841AFE"/>
    <w:rsid w:val="0084212C"/>
    <w:rsid w:val="00843371"/>
    <w:rsid w:val="00844DDD"/>
    <w:rsid w:val="0084626F"/>
    <w:rsid w:val="00846915"/>
    <w:rsid w:val="008473D2"/>
    <w:rsid w:val="008505FC"/>
    <w:rsid w:val="00851768"/>
    <w:rsid w:val="0085223A"/>
    <w:rsid w:val="00852350"/>
    <w:rsid w:val="00852FC4"/>
    <w:rsid w:val="00853D56"/>
    <w:rsid w:val="008564B9"/>
    <w:rsid w:val="00856507"/>
    <w:rsid w:val="00857FFB"/>
    <w:rsid w:val="00860358"/>
    <w:rsid w:val="008638CB"/>
    <w:rsid w:val="00864284"/>
    <w:rsid w:val="00866544"/>
    <w:rsid w:val="00867D2C"/>
    <w:rsid w:val="008708B2"/>
    <w:rsid w:val="00871271"/>
    <w:rsid w:val="00872086"/>
    <w:rsid w:val="00872E7B"/>
    <w:rsid w:val="00873A9E"/>
    <w:rsid w:val="008751E5"/>
    <w:rsid w:val="00877713"/>
    <w:rsid w:val="008801DB"/>
    <w:rsid w:val="00881879"/>
    <w:rsid w:val="00881F79"/>
    <w:rsid w:val="0088304F"/>
    <w:rsid w:val="0088567B"/>
    <w:rsid w:val="0088580A"/>
    <w:rsid w:val="0088673E"/>
    <w:rsid w:val="008872AC"/>
    <w:rsid w:val="008902B6"/>
    <w:rsid w:val="008908FD"/>
    <w:rsid w:val="00891C0F"/>
    <w:rsid w:val="00891C99"/>
    <w:rsid w:val="00891FB5"/>
    <w:rsid w:val="00892FDF"/>
    <w:rsid w:val="008936D2"/>
    <w:rsid w:val="00893980"/>
    <w:rsid w:val="00894D0B"/>
    <w:rsid w:val="00897764"/>
    <w:rsid w:val="008A0648"/>
    <w:rsid w:val="008A10D8"/>
    <w:rsid w:val="008A1411"/>
    <w:rsid w:val="008A3624"/>
    <w:rsid w:val="008A384D"/>
    <w:rsid w:val="008A3866"/>
    <w:rsid w:val="008A3C70"/>
    <w:rsid w:val="008A4154"/>
    <w:rsid w:val="008A45F5"/>
    <w:rsid w:val="008A486B"/>
    <w:rsid w:val="008A5C2C"/>
    <w:rsid w:val="008A7AF2"/>
    <w:rsid w:val="008B0AF4"/>
    <w:rsid w:val="008B0EED"/>
    <w:rsid w:val="008B1586"/>
    <w:rsid w:val="008B1E3A"/>
    <w:rsid w:val="008B218A"/>
    <w:rsid w:val="008B339F"/>
    <w:rsid w:val="008B346A"/>
    <w:rsid w:val="008B5504"/>
    <w:rsid w:val="008B590C"/>
    <w:rsid w:val="008B5EC2"/>
    <w:rsid w:val="008B6E76"/>
    <w:rsid w:val="008C061D"/>
    <w:rsid w:val="008C0689"/>
    <w:rsid w:val="008C0ACC"/>
    <w:rsid w:val="008C1DDD"/>
    <w:rsid w:val="008C1E20"/>
    <w:rsid w:val="008C5A08"/>
    <w:rsid w:val="008D0A3A"/>
    <w:rsid w:val="008D0E87"/>
    <w:rsid w:val="008D1BF4"/>
    <w:rsid w:val="008D34F1"/>
    <w:rsid w:val="008D3514"/>
    <w:rsid w:val="008D35CD"/>
    <w:rsid w:val="008D39E9"/>
    <w:rsid w:val="008D3F70"/>
    <w:rsid w:val="008D3FF2"/>
    <w:rsid w:val="008D7285"/>
    <w:rsid w:val="008D7A3C"/>
    <w:rsid w:val="008E0350"/>
    <w:rsid w:val="008E1E74"/>
    <w:rsid w:val="008E4255"/>
    <w:rsid w:val="008E58EE"/>
    <w:rsid w:val="008E62EC"/>
    <w:rsid w:val="008E67B0"/>
    <w:rsid w:val="008E73E1"/>
    <w:rsid w:val="008E7A2E"/>
    <w:rsid w:val="008E7CB2"/>
    <w:rsid w:val="008E7E01"/>
    <w:rsid w:val="008F2B34"/>
    <w:rsid w:val="008F308B"/>
    <w:rsid w:val="008F395E"/>
    <w:rsid w:val="008F73DC"/>
    <w:rsid w:val="008F7E50"/>
    <w:rsid w:val="00900269"/>
    <w:rsid w:val="00900F47"/>
    <w:rsid w:val="00904A8F"/>
    <w:rsid w:val="00906D9B"/>
    <w:rsid w:val="00906EE2"/>
    <w:rsid w:val="00906F70"/>
    <w:rsid w:val="00907DF6"/>
    <w:rsid w:val="00907ED3"/>
    <w:rsid w:val="00911BB3"/>
    <w:rsid w:val="00912E55"/>
    <w:rsid w:val="00914F26"/>
    <w:rsid w:val="00915933"/>
    <w:rsid w:val="00917F1D"/>
    <w:rsid w:val="00920302"/>
    <w:rsid w:val="00920BD9"/>
    <w:rsid w:val="00921107"/>
    <w:rsid w:val="00921784"/>
    <w:rsid w:val="0092226A"/>
    <w:rsid w:val="00924563"/>
    <w:rsid w:val="009250C7"/>
    <w:rsid w:val="00925869"/>
    <w:rsid w:val="0092709A"/>
    <w:rsid w:val="00927137"/>
    <w:rsid w:val="00927542"/>
    <w:rsid w:val="009277A4"/>
    <w:rsid w:val="00927E77"/>
    <w:rsid w:val="00931633"/>
    <w:rsid w:val="00932829"/>
    <w:rsid w:val="00933208"/>
    <w:rsid w:val="00933C10"/>
    <w:rsid w:val="00934003"/>
    <w:rsid w:val="009345BF"/>
    <w:rsid w:val="00935222"/>
    <w:rsid w:val="009353B3"/>
    <w:rsid w:val="00935AFD"/>
    <w:rsid w:val="0093674C"/>
    <w:rsid w:val="00936C71"/>
    <w:rsid w:val="00937271"/>
    <w:rsid w:val="00937B7D"/>
    <w:rsid w:val="00937FA3"/>
    <w:rsid w:val="0094205E"/>
    <w:rsid w:val="0094214A"/>
    <w:rsid w:val="00942598"/>
    <w:rsid w:val="00944C2B"/>
    <w:rsid w:val="00944E89"/>
    <w:rsid w:val="009468AC"/>
    <w:rsid w:val="0095087B"/>
    <w:rsid w:val="009525FF"/>
    <w:rsid w:val="009549BA"/>
    <w:rsid w:val="00955812"/>
    <w:rsid w:val="0095592A"/>
    <w:rsid w:val="00955AE2"/>
    <w:rsid w:val="00955F9F"/>
    <w:rsid w:val="00955FE0"/>
    <w:rsid w:val="00956AB9"/>
    <w:rsid w:val="00957004"/>
    <w:rsid w:val="009570CF"/>
    <w:rsid w:val="00960986"/>
    <w:rsid w:val="00963D19"/>
    <w:rsid w:val="0096514A"/>
    <w:rsid w:val="00965634"/>
    <w:rsid w:val="00966ED7"/>
    <w:rsid w:val="00967444"/>
    <w:rsid w:val="009674BC"/>
    <w:rsid w:val="009712C8"/>
    <w:rsid w:val="009727A7"/>
    <w:rsid w:val="009729B0"/>
    <w:rsid w:val="00974322"/>
    <w:rsid w:val="00975E27"/>
    <w:rsid w:val="00975EAB"/>
    <w:rsid w:val="009761A0"/>
    <w:rsid w:val="009768F1"/>
    <w:rsid w:val="00976BCD"/>
    <w:rsid w:val="00976C13"/>
    <w:rsid w:val="009771B4"/>
    <w:rsid w:val="0098121A"/>
    <w:rsid w:val="009812F6"/>
    <w:rsid w:val="00981C3F"/>
    <w:rsid w:val="00982993"/>
    <w:rsid w:val="0098548E"/>
    <w:rsid w:val="00985BAD"/>
    <w:rsid w:val="00985EB4"/>
    <w:rsid w:val="009871F0"/>
    <w:rsid w:val="00990D20"/>
    <w:rsid w:val="0099125C"/>
    <w:rsid w:val="00992F54"/>
    <w:rsid w:val="00995411"/>
    <w:rsid w:val="00995F20"/>
    <w:rsid w:val="009964AA"/>
    <w:rsid w:val="009A4B03"/>
    <w:rsid w:val="009A5141"/>
    <w:rsid w:val="009A60D8"/>
    <w:rsid w:val="009A6A05"/>
    <w:rsid w:val="009A78CD"/>
    <w:rsid w:val="009A7ACF"/>
    <w:rsid w:val="009B2884"/>
    <w:rsid w:val="009B2959"/>
    <w:rsid w:val="009B2A76"/>
    <w:rsid w:val="009B398E"/>
    <w:rsid w:val="009B5C43"/>
    <w:rsid w:val="009B5CE7"/>
    <w:rsid w:val="009B7CB9"/>
    <w:rsid w:val="009B7D43"/>
    <w:rsid w:val="009C200A"/>
    <w:rsid w:val="009C208C"/>
    <w:rsid w:val="009C2927"/>
    <w:rsid w:val="009C2CF4"/>
    <w:rsid w:val="009C5045"/>
    <w:rsid w:val="009C55BF"/>
    <w:rsid w:val="009C6C0A"/>
    <w:rsid w:val="009C6DC3"/>
    <w:rsid w:val="009C7B5C"/>
    <w:rsid w:val="009D29B4"/>
    <w:rsid w:val="009D372D"/>
    <w:rsid w:val="009D3D76"/>
    <w:rsid w:val="009D5076"/>
    <w:rsid w:val="009D54B0"/>
    <w:rsid w:val="009D6F44"/>
    <w:rsid w:val="009E13AD"/>
    <w:rsid w:val="009E1C9E"/>
    <w:rsid w:val="009E26FE"/>
    <w:rsid w:val="009E2CCD"/>
    <w:rsid w:val="009E355C"/>
    <w:rsid w:val="009E4994"/>
    <w:rsid w:val="009E52D8"/>
    <w:rsid w:val="009F16E4"/>
    <w:rsid w:val="009F17D1"/>
    <w:rsid w:val="009F2E75"/>
    <w:rsid w:val="009F3DDD"/>
    <w:rsid w:val="009F531C"/>
    <w:rsid w:val="009F63F4"/>
    <w:rsid w:val="00A01135"/>
    <w:rsid w:val="00A02C7D"/>
    <w:rsid w:val="00A0586E"/>
    <w:rsid w:val="00A05D6E"/>
    <w:rsid w:val="00A11B1C"/>
    <w:rsid w:val="00A132FD"/>
    <w:rsid w:val="00A146D4"/>
    <w:rsid w:val="00A14EE3"/>
    <w:rsid w:val="00A16141"/>
    <w:rsid w:val="00A166D7"/>
    <w:rsid w:val="00A21755"/>
    <w:rsid w:val="00A24DE8"/>
    <w:rsid w:val="00A25847"/>
    <w:rsid w:val="00A25B77"/>
    <w:rsid w:val="00A26026"/>
    <w:rsid w:val="00A2724D"/>
    <w:rsid w:val="00A2785B"/>
    <w:rsid w:val="00A3000C"/>
    <w:rsid w:val="00A3234E"/>
    <w:rsid w:val="00A32EA5"/>
    <w:rsid w:val="00A33F67"/>
    <w:rsid w:val="00A33FBA"/>
    <w:rsid w:val="00A351FE"/>
    <w:rsid w:val="00A35889"/>
    <w:rsid w:val="00A36A66"/>
    <w:rsid w:val="00A37242"/>
    <w:rsid w:val="00A378F0"/>
    <w:rsid w:val="00A37B4C"/>
    <w:rsid w:val="00A37DD3"/>
    <w:rsid w:val="00A420EA"/>
    <w:rsid w:val="00A4363F"/>
    <w:rsid w:val="00A43A17"/>
    <w:rsid w:val="00A44F2B"/>
    <w:rsid w:val="00A45711"/>
    <w:rsid w:val="00A52D7A"/>
    <w:rsid w:val="00A53F26"/>
    <w:rsid w:val="00A56D79"/>
    <w:rsid w:val="00A600B2"/>
    <w:rsid w:val="00A60E43"/>
    <w:rsid w:val="00A6399C"/>
    <w:rsid w:val="00A6592D"/>
    <w:rsid w:val="00A663E7"/>
    <w:rsid w:val="00A66BFC"/>
    <w:rsid w:val="00A70DC3"/>
    <w:rsid w:val="00A7344C"/>
    <w:rsid w:val="00A7397E"/>
    <w:rsid w:val="00A739C4"/>
    <w:rsid w:val="00A74D10"/>
    <w:rsid w:val="00A75E12"/>
    <w:rsid w:val="00A762A9"/>
    <w:rsid w:val="00A77AB4"/>
    <w:rsid w:val="00A77F0B"/>
    <w:rsid w:val="00A80921"/>
    <w:rsid w:val="00A82213"/>
    <w:rsid w:val="00A832AF"/>
    <w:rsid w:val="00A83C6B"/>
    <w:rsid w:val="00A85016"/>
    <w:rsid w:val="00A853A9"/>
    <w:rsid w:val="00A85916"/>
    <w:rsid w:val="00A85FE6"/>
    <w:rsid w:val="00A868DD"/>
    <w:rsid w:val="00A87AE0"/>
    <w:rsid w:val="00A90222"/>
    <w:rsid w:val="00A904E4"/>
    <w:rsid w:val="00A909B1"/>
    <w:rsid w:val="00A94083"/>
    <w:rsid w:val="00A9450C"/>
    <w:rsid w:val="00A94D86"/>
    <w:rsid w:val="00A94E1D"/>
    <w:rsid w:val="00A951CD"/>
    <w:rsid w:val="00A952E6"/>
    <w:rsid w:val="00A9742E"/>
    <w:rsid w:val="00AA04D9"/>
    <w:rsid w:val="00AA2259"/>
    <w:rsid w:val="00AA3D11"/>
    <w:rsid w:val="00AA3D18"/>
    <w:rsid w:val="00AA525C"/>
    <w:rsid w:val="00AA6B78"/>
    <w:rsid w:val="00AA76FD"/>
    <w:rsid w:val="00AA7F78"/>
    <w:rsid w:val="00AB09DE"/>
    <w:rsid w:val="00AB2793"/>
    <w:rsid w:val="00AB2AF3"/>
    <w:rsid w:val="00AB3851"/>
    <w:rsid w:val="00AB3A94"/>
    <w:rsid w:val="00AB4AE7"/>
    <w:rsid w:val="00AB5399"/>
    <w:rsid w:val="00AB5C60"/>
    <w:rsid w:val="00AB5D79"/>
    <w:rsid w:val="00AC033E"/>
    <w:rsid w:val="00AC1FE3"/>
    <w:rsid w:val="00AC259B"/>
    <w:rsid w:val="00AC2B3F"/>
    <w:rsid w:val="00AC38EA"/>
    <w:rsid w:val="00AC3C02"/>
    <w:rsid w:val="00AC5355"/>
    <w:rsid w:val="00AC5364"/>
    <w:rsid w:val="00AC584E"/>
    <w:rsid w:val="00AC5880"/>
    <w:rsid w:val="00AC6A48"/>
    <w:rsid w:val="00AC6B5F"/>
    <w:rsid w:val="00AC7275"/>
    <w:rsid w:val="00AC7C71"/>
    <w:rsid w:val="00AC7E57"/>
    <w:rsid w:val="00AD037D"/>
    <w:rsid w:val="00AD13C4"/>
    <w:rsid w:val="00AD1EC9"/>
    <w:rsid w:val="00AE0847"/>
    <w:rsid w:val="00AE1C94"/>
    <w:rsid w:val="00AE2021"/>
    <w:rsid w:val="00AE5226"/>
    <w:rsid w:val="00AE6B0E"/>
    <w:rsid w:val="00AF0E5A"/>
    <w:rsid w:val="00AF2268"/>
    <w:rsid w:val="00AF7A8D"/>
    <w:rsid w:val="00AF7BC2"/>
    <w:rsid w:val="00AF7D55"/>
    <w:rsid w:val="00B001C3"/>
    <w:rsid w:val="00B00AF4"/>
    <w:rsid w:val="00B01302"/>
    <w:rsid w:val="00B04FE4"/>
    <w:rsid w:val="00B0510B"/>
    <w:rsid w:val="00B06423"/>
    <w:rsid w:val="00B076D7"/>
    <w:rsid w:val="00B07AAE"/>
    <w:rsid w:val="00B12C3F"/>
    <w:rsid w:val="00B12F6C"/>
    <w:rsid w:val="00B15F08"/>
    <w:rsid w:val="00B162FA"/>
    <w:rsid w:val="00B1681E"/>
    <w:rsid w:val="00B17193"/>
    <w:rsid w:val="00B17A5A"/>
    <w:rsid w:val="00B203A6"/>
    <w:rsid w:val="00B207F8"/>
    <w:rsid w:val="00B208F2"/>
    <w:rsid w:val="00B20949"/>
    <w:rsid w:val="00B20E8A"/>
    <w:rsid w:val="00B21F25"/>
    <w:rsid w:val="00B22462"/>
    <w:rsid w:val="00B22F57"/>
    <w:rsid w:val="00B2323E"/>
    <w:rsid w:val="00B23D53"/>
    <w:rsid w:val="00B23F1C"/>
    <w:rsid w:val="00B243E2"/>
    <w:rsid w:val="00B243F1"/>
    <w:rsid w:val="00B24A33"/>
    <w:rsid w:val="00B254C5"/>
    <w:rsid w:val="00B257AB"/>
    <w:rsid w:val="00B269F3"/>
    <w:rsid w:val="00B27899"/>
    <w:rsid w:val="00B27973"/>
    <w:rsid w:val="00B30662"/>
    <w:rsid w:val="00B33A78"/>
    <w:rsid w:val="00B33E31"/>
    <w:rsid w:val="00B353BD"/>
    <w:rsid w:val="00B36F27"/>
    <w:rsid w:val="00B37351"/>
    <w:rsid w:val="00B37ABF"/>
    <w:rsid w:val="00B37B15"/>
    <w:rsid w:val="00B37B9F"/>
    <w:rsid w:val="00B37FF0"/>
    <w:rsid w:val="00B406C7"/>
    <w:rsid w:val="00B41431"/>
    <w:rsid w:val="00B44AEE"/>
    <w:rsid w:val="00B45C3C"/>
    <w:rsid w:val="00B45EA6"/>
    <w:rsid w:val="00B4728A"/>
    <w:rsid w:val="00B513AF"/>
    <w:rsid w:val="00B52F11"/>
    <w:rsid w:val="00B53689"/>
    <w:rsid w:val="00B540B0"/>
    <w:rsid w:val="00B543EC"/>
    <w:rsid w:val="00B54C00"/>
    <w:rsid w:val="00B55F7A"/>
    <w:rsid w:val="00B60E26"/>
    <w:rsid w:val="00B6116C"/>
    <w:rsid w:val="00B622A0"/>
    <w:rsid w:val="00B626BC"/>
    <w:rsid w:val="00B63C54"/>
    <w:rsid w:val="00B645E5"/>
    <w:rsid w:val="00B64DD9"/>
    <w:rsid w:val="00B64E8C"/>
    <w:rsid w:val="00B65606"/>
    <w:rsid w:val="00B65D58"/>
    <w:rsid w:val="00B66E22"/>
    <w:rsid w:val="00B67290"/>
    <w:rsid w:val="00B71191"/>
    <w:rsid w:val="00B717CF"/>
    <w:rsid w:val="00B72450"/>
    <w:rsid w:val="00B72452"/>
    <w:rsid w:val="00B7293F"/>
    <w:rsid w:val="00B73188"/>
    <w:rsid w:val="00B76A1E"/>
    <w:rsid w:val="00B76CAD"/>
    <w:rsid w:val="00B80A70"/>
    <w:rsid w:val="00B80DA6"/>
    <w:rsid w:val="00B8277F"/>
    <w:rsid w:val="00B847C2"/>
    <w:rsid w:val="00B849C5"/>
    <w:rsid w:val="00B86350"/>
    <w:rsid w:val="00B867CE"/>
    <w:rsid w:val="00B8688C"/>
    <w:rsid w:val="00B8690F"/>
    <w:rsid w:val="00B8729B"/>
    <w:rsid w:val="00B923D3"/>
    <w:rsid w:val="00B930D4"/>
    <w:rsid w:val="00B941B6"/>
    <w:rsid w:val="00B9564C"/>
    <w:rsid w:val="00B9571B"/>
    <w:rsid w:val="00B96588"/>
    <w:rsid w:val="00B9769F"/>
    <w:rsid w:val="00BA10B3"/>
    <w:rsid w:val="00BA187C"/>
    <w:rsid w:val="00BA4A1F"/>
    <w:rsid w:val="00BA4B9D"/>
    <w:rsid w:val="00BA6712"/>
    <w:rsid w:val="00BA7162"/>
    <w:rsid w:val="00BA7BB5"/>
    <w:rsid w:val="00BA7F0F"/>
    <w:rsid w:val="00BB0737"/>
    <w:rsid w:val="00BB23E0"/>
    <w:rsid w:val="00BB2426"/>
    <w:rsid w:val="00BB3619"/>
    <w:rsid w:val="00BB4A7F"/>
    <w:rsid w:val="00BB50D4"/>
    <w:rsid w:val="00BB5B18"/>
    <w:rsid w:val="00BB677D"/>
    <w:rsid w:val="00BB7631"/>
    <w:rsid w:val="00BC2397"/>
    <w:rsid w:val="00BC3634"/>
    <w:rsid w:val="00BC534A"/>
    <w:rsid w:val="00BC5B36"/>
    <w:rsid w:val="00BC602E"/>
    <w:rsid w:val="00BC6C6A"/>
    <w:rsid w:val="00BD064C"/>
    <w:rsid w:val="00BD234F"/>
    <w:rsid w:val="00BD26FE"/>
    <w:rsid w:val="00BD3B86"/>
    <w:rsid w:val="00BD3F11"/>
    <w:rsid w:val="00BD42C4"/>
    <w:rsid w:val="00BD4D22"/>
    <w:rsid w:val="00BD4E7E"/>
    <w:rsid w:val="00BD6DDC"/>
    <w:rsid w:val="00BD7A35"/>
    <w:rsid w:val="00BE26F8"/>
    <w:rsid w:val="00BE2F4E"/>
    <w:rsid w:val="00BE3678"/>
    <w:rsid w:val="00BE369D"/>
    <w:rsid w:val="00BE3A05"/>
    <w:rsid w:val="00BE3EC3"/>
    <w:rsid w:val="00BE461A"/>
    <w:rsid w:val="00BE471D"/>
    <w:rsid w:val="00BE5596"/>
    <w:rsid w:val="00BE66D1"/>
    <w:rsid w:val="00BE76BD"/>
    <w:rsid w:val="00BF1130"/>
    <w:rsid w:val="00BF2335"/>
    <w:rsid w:val="00BF3CCD"/>
    <w:rsid w:val="00BF4907"/>
    <w:rsid w:val="00BF5676"/>
    <w:rsid w:val="00BF5679"/>
    <w:rsid w:val="00BF63F7"/>
    <w:rsid w:val="00C00D8F"/>
    <w:rsid w:val="00C015D1"/>
    <w:rsid w:val="00C021B1"/>
    <w:rsid w:val="00C02557"/>
    <w:rsid w:val="00C0304D"/>
    <w:rsid w:val="00C05501"/>
    <w:rsid w:val="00C062BF"/>
    <w:rsid w:val="00C07ED6"/>
    <w:rsid w:val="00C112D2"/>
    <w:rsid w:val="00C119A9"/>
    <w:rsid w:val="00C120A4"/>
    <w:rsid w:val="00C12742"/>
    <w:rsid w:val="00C14961"/>
    <w:rsid w:val="00C14E7B"/>
    <w:rsid w:val="00C15F72"/>
    <w:rsid w:val="00C16477"/>
    <w:rsid w:val="00C17311"/>
    <w:rsid w:val="00C17A2C"/>
    <w:rsid w:val="00C17D51"/>
    <w:rsid w:val="00C20AC9"/>
    <w:rsid w:val="00C22E1C"/>
    <w:rsid w:val="00C23439"/>
    <w:rsid w:val="00C242FE"/>
    <w:rsid w:val="00C24635"/>
    <w:rsid w:val="00C271FD"/>
    <w:rsid w:val="00C27777"/>
    <w:rsid w:val="00C27B47"/>
    <w:rsid w:val="00C27C67"/>
    <w:rsid w:val="00C27C73"/>
    <w:rsid w:val="00C303B4"/>
    <w:rsid w:val="00C31247"/>
    <w:rsid w:val="00C318C4"/>
    <w:rsid w:val="00C31FB2"/>
    <w:rsid w:val="00C33B4F"/>
    <w:rsid w:val="00C34539"/>
    <w:rsid w:val="00C34D90"/>
    <w:rsid w:val="00C3751F"/>
    <w:rsid w:val="00C37AB6"/>
    <w:rsid w:val="00C41081"/>
    <w:rsid w:val="00C41F9C"/>
    <w:rsid w:val="00C422B3"/>
    <w:rsid w:val="00C42B67"/>
    <w:rsid w:val="00C42D99"/>
    <w:rsid w:val="00C476A0"/>
    <w:rsid w:val="00C512BF"/>
    <w:rsid w:val="00C51A19"/>
    <w:rsid w:val="00C51D62"/>
    <w:rsid w:val="00C52D4E"/>
    <w:rsid w:val="00C54553"/>
    <w:rsid w:val="00C57CA9"/>
    <w:rsid w:val="00C57CC8"/>
    <w:rsid w:val="00C60188"/>
    <w:rsid w:val="00C6090E"/>
    <w:rsid w:val="00C62D42"/>
    <w:rsid w:val="00C66285"/>
    <w:rsid w:val="00C67593"/>
    <w:rsid w:val="00C710BF"/>
    <w:rsid w:val="00C71680"/>
    <w:rsid w:val="00C7209C"/>
    <w:rsid w:val="00C7262F"/>
    <w:rsid w:val="00C72D4B"/>
    <w:rsid w:val="00C7305D"/>
    <w:rsid w:val="00C73314"/>
    <w:rsid w:val="00C73A89"/>
    <w:rsid w:val="00C80176"/>
    <w:rsid w:val="00C80293"/>
    <w:rsid w:val="00C80AA3"/>
    <w:rsid w:val="00C8182C"/>
    <w:rsid w:val="00C82515"/>
    <w:rsid w:val="00C82B05"/>
    <w:rsid w:val="00C83943"/>
    <w:rsid w:val="00C85454"/>
    <w:rsid w:val="00C91FAA"/>
    <w:rsid w:val="00C92A55"/>
    <w:rsid w:val="00C92E18"/>
    <w:rsid w:val="00C93EA3"/>
    <w:rsid w:val="00C9668B"/>
    <w:rsid w:val="00C96854"/>
    <w:rsid w:val="00C96F38"/>
    <w:rsid w:val="00C970F3"/>
    <w:rsid w:val="00C97988"/>
    <w:rsid w:val="00CA4D9F"/>
    <w:rsid w:val="00CA64F6"/>
    <w:rsid w:val="00CA6933"/>
    <w:rsid w:val="00CB0F2A"/>
    <w:rsid w:val="00CB11B9"/>
    <w:rsid w:val="00CB1AFE"/>
    <w:rsid w:val="00CB25AE"/>
    <w:rsid w:val="00CB3EE9"/>
    <w:rsid w:val="00CB3FF2"/>
    <w:rsid w:val="00CB461A"/>
    <w:rsid w:val="00CB5953"/>
    <w:rsid w:val="00CB6A16"/>
    <w:rsid w:val="00CC0A52"/>
    <w:rsid w:val="00CC2190"/>
    <w:rsid w:val="00CC33C5"/>
    <w:rsid w:val="00CC3815"/>
    <w:rsid w:val="00CC5B76"/>
    <w:rsid w:val="00CC5BA1"/>
    <w:rsid w:val="00CC62A7"/>
    <w:rsid w:val="00CD16DA"/>
    <w:rsid w:val="00CD2937"/>
    <w:rsid w:val="00CD2B87"/>
    <w:rsid w:val="00CD38B3"/>
    <w:rsid w:val="00CD6CD0"/>
    <w:rsid w:val="00CE1DD5"/>
    <w:rsid w:val="00CE5151"/>
    <w:rsid w:val="00CE590A"/>
    <w:rsid w:val="00CE6956"/>
    <w:rsid w:val="00CE712C"/>
    <w:rsid w:val="00CE7823"/>
    <w:rsid w:val="00CF012B"/>
    <w:rsid w:val="00CF0FD9"/>
    <w:rsid w:val="00CF16D3"/>
    <w:rsid w:val="00CF3A67"/>
    <w:rsid w:val="00CF48CC"/>
    <w:rsid w:val="00CF5719"/>
    <w:rsid w:val="00D0071C"/>
    <w:rsid w:val="00D00EB4"/>
    <w:rsid w:val="00D01B32"/>
    <w:rsid w:val="00D02002"/>
    <w:rsid w:val="00D03E4A"/>
    <w:rsid w:val="00D04E7D"/>
    <w:rsid w:val="00D05F8A"/>
    <w:rsid w:val="00D06021"/>
    <w:rsid w:val="00D068EB"/>
    <w:rsid w:val="00D06D38"/>
    <w:rsid w:val="00D06DC3"/>
    <w:rsid w:val="00D07769"/>
    <w:rsid w:val="00D1090B"/>
    <w:rsid w:val="00D10B78"/>
    <w:rsid w:val="00D11765"/>
    <w:rsid w:val="00D13726"/>
    <w:rsid w:val="00D13DC3"/>
    <w:rsid w:val="00D20298"/>
    <w:rsid w:val="00D209EE"/>
    <w:rsid w:val="00D21C33"/>
    <w:rsid w:val="00D22121"/>
    <w:rsid w:val="00D225F3"/>
    <w:rsid w:val="00D23A23"/>
    <w:rsid w:val="00D240E5"/>
    <w:rsid w:val="00D24A95"/>
    <w:rsid w:val="00D25064"/>
    <w:rsid w:val="00D2632C"/>
    <w:rsid w:val="00D276A8"/>
    <w:rsid w:val="00D30B48"/>
    <w:rsid w:val="00D31547"/>
    <w:rsid w:val="00D3370A"/>
    <w:rsid w:val="00D34668"/>
    <w:rsid w:val="00D34EAC"/>
    <w:rsid w:val="00D352D5"/>
    <w:rsid w:val="00D359D3"/>
    <w:rsid w:val="00D3702F"/>
    <w:rsid w:val="00D37B22"/>
    <w:rsid w:val="00D37D1F"/>
    <w:rsid w:val="00D41C81"/>
    <w:rsid w:val="00D43F99"/>
    <w:rsid w:val="00D447C9"/>
    <w:rsid w:val="00D4497B"/>
    <w:rsid w:val="00D45B06"/>
    <w:rsid w:val="00D46FC6"/>
    <w:rsid w:val="00D47FA6"/>
    <w:rsid w:val="00D50779"/>
    <w:rsid w:val="00D5080C"/>
    <w:rsid w:val="00D516B3"/>
    <w:rsid w:val="00D51C6A"/>
    <w:rsid w:val="00D53886"/>
    <w:rsid w:val="00D544CD"/>
    <w:rsid w:val="00D54E79"/>
    <w:rsid w:val="00D605A5"/>
    <w:rsid w:val="00D626E1"/>
    <w:rsid w:val="00D62E10"/>
    <w:rsid w:val="00D64539"/>
    <w:rsid w:val="00D657C9"/>
    <w:rsid w:val="00D67D8D"/>
    <w:rsid w:val="00D7000D"/>
    <w:rsid w:val="00D70293"/>
    <w:rsid w:val="00D740D5"/>
    <w:rsid w:val="00D75EF3"/>
    <w:rsid w:val="00D80B1D"/>
    <w:rsid w:val="00D80DF2"/>
    <w:rsid w:val="00D8177E"/>
    <w:rsid w:val="00D82A65"/>
    <w:rsid w:val="00D8350E"/>
    <w:rsid w:val="00D835E3"/>
    <w:rsid w:val="00D83FBB"/>
    <w:rsid w:val="00D8413D"/>
    <w:rsid w:val="00D84DED"/>
    <w:rsid w:val="00D87343"/>
    <w:rsid w:val="00D87B8F"/>
    <w:rsid w:val="00D900EE"/>
    <w:rsid w:val="00D91E1E"/>
    <w:rsid w:val="00D9202C"/>
    <w:rsid w:val="00D95E92"/>
    <w:rsid w:val="00DA2C15"/>
    <w:rsid w:val="00DA4CF6"/>
    <w:rsid w:val="00DA5ADF"/>
    <w:rsid w:val="00DA5FF8"/>
    <w:rsid w:val="00DA6360"/>
    <w:rsid w:val="00DA63B7"/>
    <w:rsid w:val="00DA78F1"/>
    <w:rsid w:val="00DB238F"/>
    <w:rsid w:val="00DB2414"/>
    <w:rsid w:val="00DB2DFE"/>
    <w:rsid w:val="00DB2EC5"/>
    <w:rsid w:val="00DB377D"/>
    <w:rsid w:val="00DB6F48"/>
    <w:rsid w:val="00DC08A7"/>
    <w:rsid w:val="00DC0DD6"/>
    <w:rsid w:val="00DC0FB9"/>
    <w:rsid w:val="00DC16A8"/>
    <w:rsid w:val="00DC274D"/>
    <w:rsid w:val="00DC317F"/>
    <w:rsid w:val="00DC4D8F"/>
    <w:rsid w:val="00DC627C"/>
    <w:rsid w:val="00DC658F"/>
    <w:rsid w:val="00DC66D0"/>
    <w:rsid w:val="00DC6743"/>
    <w:rsid w:val="00DD0314"/>
    <w:rsid w:val="00DD0347"/>
    <w:rsid w:val="00DD08F1"/>
    <w:rsid w:val="00DD1BF4"/>
    <w:rsid w:val="00DD3A95"/>
    <w:rsid w:val="00DD3AD8"/>
    <w:rsid w:val="00DD5F74"/>
    <w:rsid w:val="00DD7974"/>
    <w:rsid w:val="00DE0C4C"/>
    <w:rsid w:val="00DE2393"/>
    <w:rsid w:val="00DE3496"/>
    <w:rsid w:val="00DE436A"/>
    <w:rsid w:val="00DE4DDF"/>
    <w:rsid w:val="00DE54D5"/>
    <w:rsid w:val="00DE6290"/>
    <w:rsid w:val="00DE7E58"/>
    <w:rsid w:val="00DF2142"/>
    <w:rsid w:val="00DF2170"/>
    <w:rsid w:val="00DF3905"/>
    <w:rsid w:val="00DF447D"/>
    <w:rsid w:val="00DF4B1B"/>
    <w:rsid w:val="00DF4D7D"/>
    <w:rsid w:val="00DF623F"/>
    <w:rsid w:val="00DF7DAD"/>
    <w:rsid w:val="00E00AF8"/>
    <w:rsid w:val="00E02B8E"/>
    <w:rsid w:val="00E032A6"/>
    <w:rsid w:val="00E03472"/>
    <w:rsid w:val="00E034CA"/>
    <w:rsid w:val="00E037D1"/>
    <w:rsid w:val="00E03CE6"/>
    <w:rsid w:val="00E06E1A"/>
    <w:rsid w:val="00E12387"/>
    <w:rsid w:val="00E13153"/>
    <w:rsid w:val="00E13163"/>
    <w:rsid w:val="00E13BFB"/>
    <w:rsid w:val="00E14322"/>
    <w:rsid w:val="00E14C57"/>
    <w:rsid w:val="00E14F0E"/>
    <w:rsid w:val="00E15A5D"/>
    <w:rsid w:val="00E1610A"/>
    <w:rsid w:val="00E173A5"/>
    <w:rsid w:val="00E17D3A"/>
    <w:rsid w:val="00E20170"/>
    <w:rsid w:val="00E218E1"/>
    <w:rsid w:val="00E23246"/>
    <w:rsid w:val="00E23CB0"/>
    <w:rsid w:val="00E2537B"/>
    <w:rsid w:val="00E2559E"/>
    <w:rsid w:val="00E25B6F"/>
    <w:rsid w:val="00E26705"/>
    <w:rsid w:val="00E26FFD"/>
    <w:rsid w:val="00E27582"/>
    <w:rsid w:val="00E3128C"/>
    <w:rsid w:val="00E316EC"/>
    <w:rsid w:val="00E3395C"/>
    <w:rsid w:val="00E35CF5"/>
    <w:rsid w:val="00E36C9F"/>
    <w:rsid w:val="00E372FD"/>
    <w:rsid w:val="00E37C9A"/>
    <w:rsid w:val="00E415E7"/>
    <w:rsid w:val="00E41B62"/>
    <w:rsid w:val="00E4277F"/>
    <w:rsid w:val="00E42875"/>
    <w:rsid w:val="00E4457F"/>
    <w:rsid w:val="00E4513D"/>
    <w:rsid w:val="00E47712"/>
    <w:rsid w:val="00E507EB"/>
    <w:rsid w:val="00E51838"/>
    <w:rsid w:val="00E52EDB"/>
    <w:rsid w:val="00E53878"/>
    <w:rsid w:val="00E53D80"/>
    <w:rsid w:val="00E561F4"/>
    <w:rsid w:val="00E569AC"/>
    <w:rsid w:val="00E56BF8"/>
    <w:rsid w:val="00E600B4"/>
    <w:rsid w:val="00E64D1F"/>
    <w:rsid w:val="00E64DB5"/>
    <w:rsid w:val="00E65568"/>
    <w:rsid w:val="00E65ED6"/>
    <w:rsid w:val="00E666AC"/>
    <w:rsid w:val="00E66CEC"/>
    <w:rsid w:val="00E67AA0"/>
    <w:rsid w:val="00E70032"/>
    <w:rsid w:val="00E7058F"/>
    <w:rsid w:val="00E70A97"/>
    <w:rsid w:val="00E71114"/>
    <w:rsid w:val="00E715AD"/>
    <w:rsid w:val="00E72B00"/>
    <w:rsid w:val="00E73CE4"/>
    <w:rsid w:val="00E73F44"/>
    <w:rsid w:val="00E7458A"/>
    <w:rsid w:val="00E74E65"/>
    <w:rsid w:val="00E77635"/>
    <w:rsid w:val="00E80617"/>
    <w:rsid w:val="00E8191D"/>
    <w:rsid w:val="00E8229A"/>
    <w:rsid w:val="00E8364A"/>
    <w:rsid w:val="00E873F1"/>
    <w:rsid w:val="00E90691"/>
    <w:rsid w:val="00E91BD8"/>
    <w:rsid w:val="00E9214A"/>
    <w:rsid w:val="00E9292E"/>
    <w:rsid w:val="00E94E12"/>
    <w:rsid w:val="00E95C89"/>
    <w:rsid w:val="00E97A46"/>
    <w:rsid w:val="00E97ECE"/>
    <w:rsid w:val="00EA0C22"/>
    <w:rsid w:val="00EA399D"/>
    <w:rsid w:val="00EA41E1"/>
    <w:rsid w:val="00EA466E"/>
    <w:rsid w:val="00EA486B"/>
    <w:rsid w:val="00EA50DF"/>
    <w:rsid w:val="00EA586C"/>
    <w:rsid w:val="00EA5ED4"/>
    <w:rsid w:val="00EB21EA"/>
    <w:rsid w:val="00EB2888"/>
    <w:rsid w:val="00EB3D3A"/>
    <w:rsid w:val="00EB5FA5"/>
    <w:rsid w:val="00EB643D"/>
    <w:rsid w:val="00EB6496"/>
    <w:rsid w:val="00EB6E7E"/>
    <w:rsid w:val="00EB6F44"/>
    <w:rsid w:val="00EC0F22"/>
    <w:rsid w:val="00EC19E7"/>
    <w:rsid w:val="00EC26DC"/>
    <w:rsid w:val="00EC3FB1"/>
    <w:rsid w:val="00EC404C"/>
    <w:rsid w:val="00EC425B"/>
    <w:rsid w:val="00EC49E0"/>
    <w:rsid w:val="00EC63B8"/>
    <w:rsid w:val="00EC7FCC"/>
    <w:rsid w:val="00ED1BEA"/>
    <w:rsid w:val="00ED223E"/>
    <w:rsid w:val="00ED467E"/>
    <w:rsid w:val="00ED47B1"/>
    <w:rsid w:val="00ED492F"/>
    <w:rsid w:val="00ED5004"/>
    <w:rsid w:val="00ED5531"/>
    <w:rsid w:val="00ED5720"/>
    <w:rsid w:val="00ED6239"/>
    <w:rsid w:val="00ED6A99"/>
    <w:rsid w:val="00ED7234"/>
    <w:rsid w:val="00ED737C"/>
    <w:rsid w:val="00EE2349"/>
    <w:rsid w:val="00EE27D0"/>
    <w:rsid w:val="00EE2985"/>
    <w:rsid w:val="00EE3E6C"/>
    <w:rsid w:val="00EE3F65"/>
    <w:rsid w:val="00EF1266"/>
    <w:rsid w:val="00EF2F0B"/>
    <w:rsid w:val="00EF5823"/>
    <w:rsid w:val="00EF5C3B"/>
    <w:rsid w:val="00EF610E"/>
    <w:rsid w:val="00EF6791"/>
    <w:rsid w:val="00EF77F2"/>
    <w:rsid w:val="00F008F2"/>
    <w:rsid w:val="00F01290"/>
    <w:rsid w:val="00F0172C"/>
    <w:rsid w:val="00F02A4D"/>
    <w:rsid w:val="00F0341C"/>
    <w:rsid w:val="00F04A82"/>
    <w:rsid w:val="00F051F9"/>
    <w:rsid w:val="00F0750B"/>
    <w:rsid w:val="00F07FD6"/>
    <w:rsid w:val="00F10107"/>
    <w:rsid w:val="00F1311E"/>
    <w:rsid w:val="00F13600"/>
    <w:rsid w:val="00F14301"/>
    <w:rsid w:val="00F1576F"/>
    <w:rsid w:val="00F172BE"/>
    <w:rsid w:val="00F17DFA"/>
    <w:rsid w:val="00F22A2D"/>
    <w:rsid w:val="00F23529"/>
    <w:rsid w:val="00F2748F"/>
    <w:rsid w:val="00F302BF"/>
    <w:rsid w:val="00F3048A"/>
    <w:rsid w:val="00F3061F"/>
    <w:rsid w:val="00F3258D"/>
    <w:rsid w:val="00F32C31"/>
    <w:rsid w:val="00F3307B"/>
    <w:rsid w:val="00F33D71"/>
    <w:rsid w:val="00F36FE6"/>
    <w:rsid w:val="00F400B3"/>
    <w:rsid w:val="00F41F28"/>
    <w:rsid w:val="00F42725"/>
    <w:rsid w:val="00F43350"/>
    <w:rsid w:val="00F448C6"/>
    <w:rsid w:val="00F448E1"/>
    <w:rsid w:val="00F44F1A"/>
    <w:rsid w:val="00F47233"/>
    <w:rsid w:val="00F5234A"/>
    <w:rsid w:val="00F53226"/>
    <w:rsid w:val="00F549C6"/>
    <w:rsid w:val="00F56513"/>
    <w:rsid w:val="00F56B0F"/>
    <w:rsid w:val="00F60674"/>
    <w:rsid w:val="00F64039"/>
    <w:rsid w:val="00F6408A"/>
    <w:rsid w:val="00F65B5F"/>
    <w:rsid w:val="00F65EFC"/>
    <w:rsid w:val="00F67175"/>
    <w:rsid w:val="00F67FBC"/>
    <w:rsid w:val="00F71117"/>
    <w:rsid w:val="00F71567"/>
    <w:rsid w:val="00F7410D"/>
    <w:rsid w:val="00F742A1"/>
    <w:rsid w:val="00F757AA"/>
    <w:rsid w:val="00F76046"/>
    <w:rsid w:val="00F76114"/>
    <w:rsid w:val="00F77692"/>
    <w:rsid w:val="00F815A0"/>
    <w:rsid w:val="00F83ECF"/>
    <w:rsid w:val="00F847AA"/>
    <w:rsid w:val="00F90240"/>
    <w:rsid w:val="00F90F49"/>
    <w:rsid w:val="00F92D88"/>
    <w:rsid w:val="00F92E2F"/>
    <w:rsid w:val="00F93C30"/>
    <w:rsid w:val="00F96493"/>
    <w:rsid w:val="00F97EC7"/>
    <w:rsid w:val="00FA1BD0"/>
    <w:rsid w:val="00FA26CF"/>
    <w:rsid w:val="00FA3A69"/>
    <w:rsid w:val="00FA3EF3"/>
    <w:rsid w:val="00FA4728"/>
    <w:rsid w:val="00FA5EF6"/>
    <w:rsid w:val="00FA76CA"/>
    <w:rsid w:val="00FA7E8C"/>
    <w:rsid w:val="00FB2577"/>
    <w:rsid w:val="00FB4326"/>
    <w:rsid w:val="00FB4759"/>
    <w:rsid w:val="00FB78F4"/>
    <w:rsid w:val="00FB7C55"/>
    <w:rsid w:val="00FC00F1"/>
    <w:rsid w:val="00FC0968"/>
    <w:rsid w:val="00FC127A"/>
    <w:rsid w:val="00FC2843"/>
    <w:rsid w:val="00FC79E3"/>
    <w:rsid w:val="00FD027C"/>
    <w:rsid w:val="00FD0FF6"/>
    <w:rsid w:val="00FD123E"/>
    <w:rsid w:val="00FD1DE4"/>
    <w:rsid w:val="00FD2EB0"/>
    <w:rsid w:val="00FD31FC"/>
    <w:rsid w:val="00FD34C0"/>
    <w:rsid w:val="00FD5F2C"/>
    <w:rsid w:val="00FD60E2"/>
    <w:rsid w:val="00FD7396"/>
    <w:rsid w:val="00FE08F0"/>
    <w:rsid w:val="00FE2019"/>
    <w:rsid w:val="00FE2238"/>
    <w:rsid w:val="00FE2772"/>
    <w:rsid w:val="00FE2C3E"/>
    <w:rsid w:val="00FE548F"/>
    <w:rsid w:val="00FE68F4"/>
    <w:rsid w:val="00FE7C5C"/>
    <w:rsid w:val="00FF0AA6"/>
    <w:rsid w:val="00FF3030"/>
    <w:rsid w:val="00FF3BF2"/>
    <w:rsid w:val="00FF580F"/>
    <w:rsid w:val="00FF70CA"/>
    <w:rsid w:val="00FF779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pPr>
        <w:spacing w:line="360" w:lineRule="auto"/>
        <w:ind w:firstLine="709"/>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reference" w:locked="1" w:semiHidden="0" w:uiPriority="0" w:unhideWhenUsed="0"/>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010"/>
    <w:rPr>
      <w:sz w:val="22"/>
      <w:szCs w:val="22"/>
      <w:lang w:val="en-US" w:eastAsia="en-US"/>
    </w:rPr>
  </w:style>
  <w:style w:type="paragraph" w:styleId="Heading2">
    <w:name w:val="heading 2"/>
    <w:basedOn w:val="Normal"/>
    <w:link w:val="Heading2Char"/>
    <w:uiPriority w:val="9"/>
    <w:qFormat/>
    <w:locked/>
    <w:rsid w:val="0094214A"/>
    <w:pPr>
      <w:spacing w:before="100" w:beforeAutospacing="1" w:after="100" w:afterAutospacing="1" w:line="240" w:lineRule="auto"/>
      <w:outlineLvl w:val="1"/>
    </w:pPr>
    <w:rPr>
      <w:rFonts w:ascii="Times New Roman" w:eastAsia="Times New Roman" w:hAnsi="Times New Roman"/>
      <w:b/>
      <w:bCs/>
      <w:sz w:val="36"/>
      <w:szCs w:val="36"/>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86F97"/>
    <w:pPr>
      <w:spacing w:before="100" w:beforeAutospacing="1" w:after="100" w:afterAutospacing="1" w:line="240" w:lineRule="auto"/>
    </w:pPr>
    <w:rPr>
      <w:rFonts w:ascii="Times New Roman" w:eastAsia="Times New Roman" w:hAnsi="Times New Roman"/>
      <w:sz w:val="24"/>
      <w:szCs w:val="24"/>
      <w:lang w:val="sl-SI" w:eastAsia="sl-SI"/>
    </w:rPr>
  </w:style>
  <w:style w:type="paragraph" w:styleId="EndnoteText">
    <w:name w:val="endnote text"/>
    <w:basedOn w:val="Normal"/>
    <w:link w:val="EndnoteTextChar"/>
    <w:uiPriority w:val="99"/>
    <w:semiHidden/>
    <w:rsid w:val="00623A1F"/>
    <w:pPr>
      <w:spacing w:line="240" w:lineRule="auto"/>
    </w:pPr>
    <w:rPr>
      <w:rFonts w:ascii="Times New Roman" w:eastAsia="Times New Roman" w:hAnsi="Times New Roman"/>
      <w:sz w:val="20"/>
      <w:szCs w:val="20"/>
      <w:lang w:val="en-GB" w:eastAsia="cs-CZ"/>
    </w:rPr>
  </w:style>
  <w:style w:type="character" w:customStyle="1" w:styleId="EndnoteTextChar">
    <w:name w:val="Endnote Text Char"/>
    <w:link w:val="EndnoteText"/>
    <w:uiPriority w:val="99"/>
    <w:semiHidden/>
    <w:locked/>
    <w:rsid w:val="00623A1F"/>
    <w:rPr>
      <w:rFonts w:ascii="Times New Roman" w:hAnsi="Times New Roman" w:cs="Times New Roman"/>
      <w:sz w:val="20"/>
      <w:szCs w:val="20"/>
      <w:lang w:val="en-GB" w:eastAsia="cs-CZ"/>
    </w:rPr>
  </w:style>
  <w:style w:type="character" w:styleId="EndnoteReference">
    <w:name w:val="endnote reference"/>
    <w:uiPriority w:val="99"/>
    <w:semiHidden/>
    <w:rsid w:val="00623A1F"/>
    <w:rPr>
      <w:rFonts w:cs="Times New Roman"/>
      <w:vertAlign w:val="superscript"/>
    </w:rPr>
  </w:style>
  <w:style w:type="character" w:customStyle="1" w:styleId="divtextlink1">
    <w:name w:val="divtextlink1"/>
    <w:uiPriority w:val="99"/>
    <w:rsid w:val="00623A1F"/>
    <w:rPr>
      <w:rFonts w:cs="Times New Roman"/>
    </w:rPr>
  </w:style>
  <w:style w:type="character" w:customStyle="1" w:styleId="ft">
    <w:name w:val="ft"/>
    <w:uiPriority w:val="99"/>
    <w:rsid w:val="009C5045"/>
    <w:rPr>
      <w:rFonts w:cs="Times New Roman"/>
    </w:rPr>
  </w:style>
  <w:style w:type="table" w:styleId="TableGrid">
    <w:name w:val="Table Grid"/>
    <w:basedOn w:val="TableNormal"/>
    <w:uiPriority w:val="99"/>
    <w:rsid w:val="00967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2864CD"/>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2864CD"/>
    <w:rPr>
      <w:rFonts w:ascii="Tahoma" w:hAnsi="Tahoma" w:cs="Tahoma"/>
      <w:sz w:val="16"/>
      <w:szCs w:val="16"/>
      <w:lang w:val="en-US"/>
    </w:rPr>
  </w:style>
  <w:style w:type="character" w:styleId="CommentReference">
    <w:name w:val="annotation reference"/>
    <w:uiPriority w:val="99"/>
    <w:semiHidden/>
    <w:rsid w:val="00D359D3"/>
    <w:rPr>
      <w:rFonts w:cs="Times New Roman"/>
      <w:sz w:val="16"/>
      <w:szCs w:val="16"/>
    </w:rPr>
  </w:style>
  <w:style w:type="paragraph" w:styleId="CommentText">
    <w:name w:val="annotation text"/>
    <w:basedOn w:val="Normal"/>
    <w:link w:val="CommentTextChar"/>
    <w:uiPriority w:val="99"/>
    <w:rsid w:val="00D359D3"/>
    <w:pPr>
      <w:spacing w:line="240" w:lineRule="auto"/>
    </w:pPr>
    <w:rPr>
      <w:sz w:val="20"/>
      <w:szCs w:val="20"/>
    </w:rPr>
  </w:style>
  <w:style w:type="character" w:customStyle="1" w:styleId="CommentTextChar">
    <w:name w:val="Comment Text Char"/>
    <w:link w:val="CommentText"/>
    <w:uiPriority w:val="99"/>
    <w:locked/>
    <w:rsid w:val="00D359D3"/>
    <w:rPr>
      <w:rFonts w:cs="Times New Roman"/>
      <w:sz w:val="20"/>
      <w:szCs w:val="20"/>
      <w:lang w:val="en-US"/>
    </w:rPr>
  </w:style>
  <w:style w:type="paragraph" w:styleId="CommentSubject">
    <w:name w:val="annotation subject"/>
    <w:basedOn w:val="CommentText"/>
    <w:next w:val="CommentText"/>
    <w:link w:val="CommentSubjectChar"/>
    <w:uiPriority w:val="99"/>
    <w:semiHidden/>
    <w:rsid w:val="00D359D3"/>
    <w:rPr>
      <w:b/>
      <w:bCs/>
    </w:rPr>
  </w:style>
  <w:style w:type="character" w:customStyle="1" w:styleId="CommentSubjectChar">
    <w:name w:val="Comment Subject Char"/>
    <w:link w:val="CommentSubject"/>
    <w:uiPriority w:val="99"/>
    <w:semiHidden/>
    <w:locked/>
    <w:rsid w:val="00D359D3"/>
    <w:rPr>
      <w:rFonts w:cs="Times New Roman"/>
      <w:b/>
      <w:bCs/>
      <w:sz w:val="20"/>
      <w:szCs w:val="20"/>
      <w:lang w:val="en-US"/>
    </w:rPr>
  </w:style>
  <w:style w:type="character" w:styleId="PlaceholderText">
    <w:name w:val="Placeholder Text"/>
    <w:uiPriority w:val="99"/>
    <w:semiHidden/>
    <w:rsid w:val="00325F71"/>
    <w:rPr>
      <w:rFonts w:cs="Times New Roman"/>
      <w:color w:val="808080"/>
    </w:rPr>
  </w:style>
  <w:style w:type="paragraph" w:styleId="ListParagraph">
    <w:name w:val="List Paragraph"/>
    <w:basedOn w:val="Normal"/>
    <w:uiPriority w:val="99"/>
    <w:qFormat/>
    <w:rsid w:val="00FB78F4"/>
    <w:pPr>
      <w:ind w:left="720"/>
      <w:contextualSpacing/>
    </w:pPr>
  </w:style>
  <w:style w:type="character" w:customStyle="1" w:styleId="hps">
    <w:name w:val="hps"/>
    <w:rsid w:val="00CE1DD5"/>
    <w:rPr>
      <w:rFonts w:cs="Times New Roman"/>
    </w:rPr>
  </w:style>
  <w:style w:type="character" w:customStyle="1" w:styleId="hpsalt-edited">
    <w:name w:val="hps alt-edited"/>
    <w:uiPriority w:val="99"/>
    <w:rsid w:val="005770EB"/>
    <w:rPr>
      <w:rFonts w:cs="Times New Roman"/>
    </w:rPr>
  </w:style>
  <w:style w:type="character" w:customStyle="1" w:styleId="shorttext">
    <w:name w:val="short_text"/>
    <w:rsid w:val="00352817"/>
    <w:rPr>
      <w:rFonts w:cs="Times New Roman"/>
    </w:rPr>
  </w:style>
  <w:style w:type="character" w:customStyle="1" w:styleId="Heading2Char">
    <w:name w:val="Heading 2 Char"/>
    <w:link w:val="Heading2"/>
    <w:uiPriority w:val="9"/>
    <w:rsid w:val="0094214A"/>
    <w:rPr>
      <w:rFonts w:ascii="Times New Roman" w:eastAsia="Times New Roman" w:hAnsi="Times New Roman"/>
      <w:b/>
      <w:bCs/>
      <w:sz w:val="36"/>
      <w:szCs w:val="36"/>
    </w:rPr>
  </w:style>
  <w:style w:type="character" w:styleId="Emphasis">
    <w:name w:val="Emphasis"/>
    <w:uiPriority w:val="20"/>
    <w:qFormat/>
    <w:locked/>
    <w:rsid w:val="0094214A"/>
    <w:rPr>
      <w:i/>
      <w:iCs/>
    </w:rPr>
  </w:style>
  <w:style w:type="paragraph" w:styleId="Footer">
    <w:name w:val="footer"/>
    <w:basedOn w:val="Normal"/>
    <w:rsid w:val="00CB6A16"/>
    <w:pPr>
      <w:tabs>
        <w:tab w:val="center" w:pos="4536"/>
        <w:tab w:val="right" w:pos="9072"/>
      </w:tabs>
    </w:pPr>
  </w:style>
  <w:style w:type="character" w:styleId="PageNumber">
    <w:name w:val="page number"/>
    <w:basedOn w:val="DefaultParagraphFont"/>
    <w:rsid w:val="00CB6A16"/>
  </w:style>
  <w:style w:type="character" w:styleId="Hyperlink">
    <w:name w:val="Hyperlink"/>
    <w:uiPriority w:val="99"/>
    <w:unhideWhenUsed/>
    <w:rsid w:val="00574389"/>
    <w:rPr>
      <w:color w:val="0000FF"/>
      <w:u w:val="single"/>
    </w:rPr>
  </w:style>
  <w:style w:type="character" w:customStyle="1" w:styleId="alt-edited">
    <w:name w:val="alt-edited"/>
    <w:basedOn w:val="DefaultParagraphFont"/>
    <w:rsid w:val="00907ED3"/>
  </w:style>
  <w:style w:type="paragraph" w:styleId="FootnoteText">
    <w:name w:val="footnote text"/>
    <w:basedOn w:val="Normal"/>
    <w:link w:val="FootnoteTextChar"/>
    <w:uiPriority w:val="99"/>
    <w:semiHidden/>
    <w:unhideWhenUsed/>
    <w:rsid w:val="00D352D5"/>
    <w:pPr>
      <w:spacing w:line="240" w:lineRule="auto"/>
    </w:pPr>
    <w:rPr>
      <w:sz w:val="20"/>
      <w:szCs w:val="20"/>
    </w:rPr>
  </w:style>
  <w:style w:type="character" w:customStyle="1" w:styleId="FootnoteTextChar">
    <w:name w:val="Footnote Text Char"/>
    <w:basedOn w:val="DefaultParagraphFont"/>
    <w:link w:val="FootnoteText"/>
    <w:uiPriority w:val="99"/>
    <w:semiHidden/>
    <w:rsid w:val="00D352D5"/>
    <w:rPr>
      <w:lang w:val="en-US" w:eastAsia="en-US"/>
    </w:rPr>
  </w:style>
  <w:style w:type="character" w:styleId="FootnoteReference">
    <w:name w:val="footnote reference"/>
    <w:basedOn w:val="DefaultParagraphFont"/>
    <w:uiPriority w:val="99"/>
    <w:semiHidden/>
    <w:unhideWhenUsed/>
    <w:rsid w:val="00D352D5"/>
    <w:rPr>
      <w:vertAlign w:val="superscript"/>
    </w:rPr>
  </w:style>
  <w:style w:type="character" w:styleId="LineNumber">
    <w:name w:val="line number"/>
    <w:basedOn w:val="DefaultParagraphFont"/>
    <w:uiPriority w:val="99"/>
    <w:semiHidden/>
    <w:unhideWhenUsed/>
    <w:rsid w:val="005D0538"/>
  </w:style>
  <w:style w:type="character" w:customStyle="1" w:styleId="slug-pages">
    <w:name w:val="slug-pages"/>
    <w:basedOn w:val="DefaultParagraphFont"/>
    <w:rsid w:val="00B22F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pPr>
        <w:spacing w:line="360" w:lineRule="auto"/>
        <w:ind w:firstLine="709"/>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reference" w:locked="1" w:semiHidden="0" w:uiPriority="0" w:unhideWhenUsed="0"/>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010"/>
    <w:rPr>
      <w:sz w:val="22"/>
      <w:szCs w:val="22"/>
      <w:lang w:val="en-US" w:eastAsia="en-US"/>
    </w:rPr>
  </w:style>
  <w:style w:type="paragraph" w:styleId="Heading2">
    <w:name w:val="heading 2"/>
    <w:basedOn w:val="Normal"/>
    <w:link w:val="Heading2Char"/>
    <w:uiPriority w:val="9"/>
    <w:qFormat/>
    <w:locked/>
    <w:rsid w:val="0094214A"/>
    <w:pPr>
      <w:spacing w:before="100" w:beforeAutospacing="1" w:after="100" w:afterAutospacing="1" w:line="240" w:lineRule="auto"/>
      <w:outlineLvl w:val="1"/>
    </w:pPr>
    <w:rPr>
      <w:rFonts w:ascii="Times New Roman" w:eastAsia="Times New Roman" w:hAnsi="Times New Roman"/>
      <w:b/>
      <w:bCs/>
      <w:sz w:val="36"/>
      <w:szCs w:val="36"/>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86F97"/>
    <w:pPr>
      <w:spacing w:before="100" w:beforeAutospacing="1" w:after="100" w:afterAutospacing="1" w:line="240" w:lineRule="auto"/>
    </w:pPr>
    <w:rPr>
      <w:rFonts w:ascii="Times New Roman" w:eastAsia="Times New Roman" w:hAnsi="Times New Roman"/>
      <w:sz w:val="24"/>
      <w:szCs w:val="24"/>
      <w:lang w:val="sl-SI" w:eastAsia="sl-SI"/>
    </w:rPr>
  </w:style>
  <w:style w:type="paragraph" w:styleId="EndnoteText">
    <w:name w:val="endnote text"/>
    <w:basedOn w:val="Normal"/>
    <w:link w:val="EndnoteTextChar"/>
    <w:uiPriority w:val="99"/>
    <w:semiHidden/>
    <w:rsid w:val="00623A1F"/>
    <w:pPr>
      <w:spacing w:line="240" w:lineRule="auto"/>
    </w:pPr>
    <w:rPr>
      <w:rFonts w:ascii="Times New Roman" w:eastAsia="Times New Roman" w:hAnsi="Times New Roman"/>
      <w:sz w:val="20"/>
      <w:szCs w:val="20"/>
      <w:lang w:val="en-GB" w:eastAsia="cs-CZ"/>
    </w:rPr>
  </w:style>
  <w:style w:type="character" w:customStyle="1" w:styleId="EndnoteTextChar">
    <w:name w:val="Endnote Text Char"/>
    <w:link w:val="EndnoteText"/>
    <w:uiPriority w:val="99"/>
    <w:semiHidden/>
    <w:locked/>
    <w:rsid w:val="00623A1F"/>
    <w:rPr>
      <w:rFonts w:ascii="Times New Roman" w:hAnsi="Times New Roman" w:cs="Times New Roman"/>
      <w:sz w:val="20"/>
      <w:szCs w:val="20"/>
      <w:lang w:val="en-GB" w:eastAsia="cs-CZ"/>
    </w:rPr>
  </w:style>
  <w:style w:type="character" w:styleId="EndnoteReference">
    <w:name w:val="endnote reference"/>
    <w:uiPriority w:val="99"/>
    <w:semiHidden/>
    <w:rsid w:val="00623A1F"/>
    <w:rPr>
      <w:rFonts w:cs="Times New Roman"/>
      <w:vertAlign w:val="superscript"/>
    </w:rPr>
  </w:style>
  <w:style w:type="character" w:customStyle="1" w:styleId="divtextlink1">
    <w:name w:val="divtextlink1"/>
    <w:uiPriority w:val="99"/>
    <w:rsid w:val="00623A1F"/>
    <w:rPr>
      <w:rFonts w:cs="Times New Roman"/>
    </w:rPr>
  </w:style>
  <w:style w:type="character" w:customStyle="1" w:styleId="ft">
    <w:name w:val="ft"/>
    <w:uiPriority w:val="99"/>
    <w:rsid w:val="009C5045"/>
    <w:rPr>
      <w:rFonts w:cs="Times New Roman"/>
    </w:rPr>
  </w:style>
  <w:style w:type="table" w:styleId="TableGrid">
    <w:name w:val="Table Grid"/>
    <w:basedOn w:val="TableNormal"/>
    <w:uiPriority w:val="99"/>
    <w:rsid w:val="00967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2864CD"/>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2864CD"/>
    <w:rPr>
      <w:rFonts w:ascii="Tahoma" w:hAnsi="Tahoma" w:cs="Tahoma"/>
      <w:sz w:val="16"/>
      <w:szCs w:val="16"/>
      <w:lang w:val="en-US"/>
    </w:rPr>
  </w:style>
  <w:style w:type="character" w:styleId="CommentReference">
    <w:name w:val="annotation reference"/>
    <w:uiPriority w:val="99"/>
    <w:semiHidden/>
    <w:rsid w:val="00D359D3"/>
    <w:rPr>
      <w:rFonts w:cs="Times New Roman"/>
      <w:sz w:val="16"/>
      <w:szCs w:val="16"/>
    </w:rPr>
  </w:style>
  <w:style w:type="paragraph" w:styleId="CommentText">
    <w:name w:val="annotation text"/>
    <w:basedOn w:val="Normal"/>
    <w:link w:val="CommentTextChar"/>
    <w:uiPriority w:val="99"/>
    <w:rsid w:val="00D359D3"/>
    <w:pPr>
      <w:spacing w:line="240" w:lineRule="auto"/>
    </w:pPr>
    <w:rPr>
      <w:sz w:val="20"/>
      <w:szCs w:val="20"/>
    </w:rPr>
  </w:style>
  <w:style w:type="character" w:customStyle="1" w:styleId="CommentTextChar">
    <w:name w:val="Comment Text Char"/>
    <w:link w:val="CommentText"/>
    <w:uiPriority w:val="99"/>
    <w:locked/>
    <w:rsid w:val="00D359D3"/>
    <w:rPr>
      <w:rFonts w:cs="Times New Roman"/>
      <w:sz w:val="20"/>
      <w:szCs w:val="20"/>
      <w:lang w:val="en-US"/>
    </w:rPr>
  </w:style>
  <w:style w:type="paragraph" w:styleId="CommentSubject">
    <w:name w:val="annotation subject"/>
    <w:basedOn w:val="CommentText"/>
    <w:next w:val="CommentText"/>
    <w:link w:val="CommentSubjectChar"/>
    <w:uiPriority w:val="99"/>
    <w:semiHidden/>
    <w:rsid w:val="00D359D3"/>
    <w:rPr>
      <w:b/>
      <w:bCs/>
    </w:rPr>
  </w:style>
  <w:style w:type="character" w:customStyle="1" w:styleId="CommentSubjectChar">
    <w:name w:val="Comment Subject Char"/>
    <w:link w:val="CommentSubject"/>
    <w:uiPriority w:val="99"/>
    <w:semiHidden/>
    <w:locked/>
    <w:rsid w:val="00D359D3"/>
    <w:rPr>
      <w:rFonts w:cs="Times New Roman"/>
      <w:b/>
      <w:bCs/>
      <w:sz w:val="20"/>
      <w:szCs w:val="20"/>
      <w:lang w:val="en-US"/>
    </w:rPr>
  </w:style>
  <w:style w:type="character" w:styleId="PlaceholderText">
    <w:name w:val="Placeholder Text"/>
    <w:uiPriority w:val="99"/>
    <w:semiHidden/>
    <w:rsid w:val="00325F71"/>
    <w:rPr>
      <w:rFonts w:cs="Times New Roman"/>
      <w:color w:val="808080"/>
    </w:rPr>
  </w:style>
  <w:style w:type="paragraph" w:styleId="ListParagraph">
    <w:name w:val="List Paragraph"/>
    <w:basedOn w:val="Normal"/>
    <w:uiPriority w:val="99"/>
    <w:qFormat/>
    <w:rsid w:val="00FB78F4"/>
    <w:pPr>
      <w:ind w:left="720"/>
      <w:contextualSpacing/>
    </w:pPr>
  </w:style>
  <w:style w:type="character" w:customStyle="1" w:styleId="hps">
    <w:name w:val="hps"/>
    <w:rsid w:val="00CE1DD5"/>
    <w:rPr>
      <w:rFonts w:cs="Times New Roman"/>
    </w:rPr>
  </w:style>
  <w:style w:type="character" w:customStyle="1" w:styleId="hpsalt-edited">
    <w:name w:val="hps alt-edited"/>
    <w:uiPriority w:val="99"/>
    <w:rsid w:val="005770EB"/>
    <w:rPr>
      <w:rFonts w:cs="Times New Roman"/>
    </w:rPr>
  </w:style>
  <w:style w:type="character" w:customStyle="1" w:styleId="shorttext">
    <w:name w:val="short_text"/>
    <w:rsid w:val="00352817"/>
    <w:rPr>
      <w:rFonts w:cs="Times New Roman"/>
    </w:rPr>
  </w:style>
  <w:style w:type="character" w:customStyle="1" w:styleId="Heading2Char">
    <w:name w:val="Heading 2 Char"/>
    <w:link w:val="Heading2"/>
    <w:uiPriority w:val="9"/>
    <w:rsid w:val="0094214A"/>
    <w:rPr>
      <w:rFonts w:ascii="Times New Roman" w:eastAsia="Times New Roman" w:hAnsi="Times New Roman"/>
      <w:b/>
      <w:bCs/>
      <w:sz w:val="36"/>
      <w:szCs w:val="36"/>
    </w:rPr>
  </w:style>
  <w:style w:type="character" w:styleId="Emphasis">
    <w:name w:val="Emphasis"/>
    <w:uiPriority w:val="20"/>
    <w:qFormat/>
    <w:locked/>
    <w:rsid w:val="0094214A"/>
    <w:rPr>
      <w:i/>
      <w:iCs/>
    </w:rPr>
  </w:style>
  <w:style w:type="paragraph" w:styleId="Footer">
    <w:name w:val="footer"/>
    <w:basedOn w:val="Normal"/>
    <w:rsid w:val="00CB6A16"/>
    <w:pPr>
      <w:tabs>
        <w:tab w:val="center" w:pos="4536"/>
        <w:tab w:val="right" w:pos="9072"/>
      </w:tabs>
    </w:pPr>
  </w:style>
  <w:style w:type="character" w:styleId="PageNumber">
    <w:name w:val="page number"/>
    <w:basedOn w:val="DefaultParagraphFont"/>
    <w:rsid w:val="00CB6A16"/>
  </w:style>
  <w:style w:type="character" w:styleId="Hyperlink">
    <w:name w:val="Hyperlink"/>
    <w:uiPriority w:val="99"/>
    <w:unhideWhenUsed/>
    <w:rsid w:val="00574389"/>
    <w:rPr>
      <w:color w:val="0000FF"/>
      <w:u w:val="single"/>
    </w:rPr>
  </w:style>
  <w:style w:type="character" w:customStyle="1" w:styleId="alt-edited">
    <w:name w:val="alt-edited"/>
    <w:basedOn w:val="DefaultParagraphFont"/>
    <w:rsid w:val="00907ED3"/>
  </w:style>
  <w:style w:type="paragraph" w:styleId="FootnoteText">
    <w:name w:val="footnote text"/>
    <w:basedOn w:val="Normal"/>
    <w:link w:val="FootnoteTextChar"/>
    <w:uiPriority w:val="99"/>
    <w:semiHidden/>
    <w:unhideWhenUsed/>
    <w:rsid w:val="00D352D5"/>
    <w:pPr>
      <w:spacing w:line="240" w:lineRule="auto"/>
    </w:pPr>
    <w:rPr>
      <w:sz w:val="20"/>
      <w:szCs w:val="20"/>
    </w:rPr>
  </w:style>
  <w:style w:type="character" w:customStyle="1" w:styleId="FootnoteTextChar">
    <w:name w:val="Footnote Text Char"/>
    <w:basedOn w:val="DefaultParagraphFont"/>
    <w:link w:val="FootnoteText"/>
    <w:uiPriority w:val="99"/>
    <w:semiHidden/>
    <w:rsid w:val="00D352D5"/>
    <w:rPr>
      <w:lang w:val="en-US" w:eastAsia="en-US"/>
    </w:rPr>
  </w:style>
  <w:style w:type="character" w:styleId="FootnoteReference">
    <w:name w:val="footnote reference"/>
    <w:basedOn w:val="DefaultParagraphFont"/>
    <w:uiPriority w:val="99"/>
    <w:semiHidden/>
    <w:unhideWhenUsed/>
    <w:rsid w:val="00D352D5"/>
    <w:rPr>
      <w:vertAlign w:val="superscript"/>
    </w:rPr>
  </w:style>
  <w:style w:type="character" w:styleId="LineNumber">
    <w:name w:val="line number"/>
    <w:basedOn w:val="DefaultParagraphFont"/>
    <w:uiPriority w:val="99"/>
    <w:semiHidden/>
    <w:unhideWhenUsed/>
    <w:rsid w:val="005D0538"/>
  </w:style>
  <w:style w:type="character" w:customStyle="1" w:styleId="slug-pages">
    <w:name w:val="slug-pages"/>
    <w:basedOn w:val="DefaultParagraphFont"/>
    <w:rsid w:val="00B22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9857">
      <w:bodyDiv w:val="1"/>
      <w:marLeft w:val="0"/>
      <w:marRight w:val="0"/>
      <w:marTop w:val="0"/>
      <w:marBottom w:val="0"/>
      <w:divBdr>
        <w:top w:val="none" w:sz="0" w:space="0" w:color="auto"/>
        <w:left w:val="none" w:sz="0" w:space="0" w:color="auto"/>
        <w:bottom w:val="none" w:sz="0" w:space="0" w:color="auto"/>
        <w:right w:val="none" w:sz="0" w:space="0" w:color="auto"/>
      </w:divBdr>
    </w:div>
    <w:div w:id="69277322">
      <w:bodyDiv w:val="1"/>
      <w:marLeft w:val="0"/>
      <w:marRight w:val="0"/>
      <w:marTop w:val="0"/>
      <w:marBottom w:val="0"/>
      <w:divBdr>
        <w:top w:val="none" w:sz="0" w:space="0" w:color="auto"/>
        <w:left w:val="none" w:sz="0" w:space="0" w:color="auto"/>
        <w:bottom w:val="none" w:sz="0" w:space="0" w:color="auto"/>
        <w:right w:val="none" w:sz="0" w:space="0" w:color="auto"/>
      </w:divBdr>
    </w:div>
    <w:div w:id="549149456">
      <w:bodyDiv w:val="1"/>
      <w:marLeft w:val="0"/>
      <w:marRight w:val="0"/>
      <w:marTop w:val="0"/>
      <w:marBottom w:val="0"/>
      <w:divBdr>
        <w:top w:val="none" w:sz="0" w:space="0" w:color="auto"/>
        <w:left w:val="none" w:sz="0" w:space="0" w:color="auto"/>
        <w:bottom w:val="none" w:sz="0" w:space="0" w:color="auto"/>
        <w:right w:val="none" w:sz="0" w:space="0" w:color="auto"/>
      </w:divBdr>
      <w:divsChild>
        <w:div w:id="946080659">
          <w:marLeft w:val="0"/>
          <w:marRight w:val="0"/>
          <w:marTop w:val="0"/>
          <w:marBottom w:val="0"/>
          <w:divBdr>
            <w:top w:val="none" w:sz="0" w:space="0" w:color="auto"/>
            <w:left w:val="none" w:sz="0" w:space="0" w:color="auto"/>
            <w:bottom w:val="none" w:sz="0" w:space="0" w:color="auto"/>
            <w:right w:val="none" w:sz="0" w:space="0" w:color="auto"/>
          </w:divBdr>
          <w:divsChild>
            <w:div w:id="573785438">
              <w:marLeft w:val="0"/>
              <w:marRight w:val="0"/>
              <w:marTop w:val="0"/>
              <w:marBottom w:val="0"/>
              <w:divBdr>
                <w:top w:val="none" w:sz="0" w:space="0" w:color="auto"/>
                <w:left w:val="none" w:sz="0" w:space="0" w:color="auto"/>
                <w:bottom w:val="none" w:sz="0" w:space="0" w:color="auto"/>
                <w:right w:val="none" w:sz="0" w:space="0" w:color="auto"/>
              </w:divBdr>
              <w:divsChild>
                <w:div w:id="513501442">
                  <w:marLeft w:val="0"/>
                  <w:marRight w:val="0"/>
                  <w:marTop w:val="0"/>
                  <w:marBottom w:val="0"/>
                  <w:divBdr>
                    <w:top w:val="none" w:sz="0" w:space="0" w:color="auto"/>
                    <w:left w:val="none" w:sz="0" w:space="0" w:color="auto"/>
                    <w:bottom w:val="none" w:sz="0" w:space="0" w:color="auto"/>
                    <w:right w:val="none" w:sz="0" w:space="0" w:color="auto"/>
                  </w:divBdr>
                  <w:divsChild>
                    <w:div w:id="936131276">
                      <w:marLeft w:val="0"/>
                      <w:marRight w:val="0"/>
                      <w:marTop w:val="0"/>
                      <w:marBottom w:val="0"/>
                      <w:divBdr>
                        <w:top w:val="none" w:sz="0" w:space="0" w:color="auto"/>
                        <w:left w:val="none" w:sz="0" w:space="0" w:color="auto"/>
                        <w:bottom w:val="none" w:sz="0" w:space="0" w:color="auto"/>
                        <w:right w:val="none" w:sz="0" w:space="0" w:color="auto"/>
                      </w:divBdr>
                      <w:divsChild>
                        <w:div w:id="307587629">
                          <w:marLeft w:val="0"/>
                          <w:marRight w:val="0"/>
                          <w:marTop w:val="0"/>
                          <w:marBottom w:val="0"/>
                          <w:divBdr>
                            <w:top w:val="none" w:sz="0" w:space="0" w:color="auto"/>
                            <w:left w:val="none" w:sz="0" w:space="0" w:color="auto"/>
                            <w:bottom w:val="none" w:sz="0" w:space="0" w:color="auto"/>
                            <w:right w:val="none" w:sz="0" w:space="0" w:color="auto"/>
                          </w:divBdr>
                          <w:divsChild>
                            <w:div w:id="110638615">
                              <w:marLeft w:val="0"/>
                              <w:marRight w:val="0"/>
                              <w:marTop w:val="0"/>
                              <w:marBottom w:val="0"/>
                              <w:divBdr>
                                <w:top w:val="none" w:sz="0" w:space="0" w:color="auto"/>
                                <w:left w:val="none" w:sz="0" w:space="0" w:color="auto"/>
                                <w:bottom w:val="none" w:sz="0" w:space="0" w:color="auto"/>
                                <w:right w:val="none" w:sz="0" w:space="0" w:color="auto"/>
                              </w:divBdr>
                              <w:divsChild>
                                <w:div w:id="1443303488">
                                  <w:marLeft w:val="0"/>
                                  <w:marRight w:val="0"/>
                                  <w:marTop w:val="0"/>
                                  <w:marBottom w:val="0"/>
                                  <w:divBdr>
                                    <w:top w:val="none" w:sz="0" w:space="0" w:color="auto"/>
                                    <w:left w:val="none" w:sz="0" w:space="0" w:color="auto"/>
                                    <w:bottom w:val="none" w:sz="0" w:space="0" w:color="auto"/>
                                    <w:right w:val="none" w:sz="0" w:space="0" w:color="auto"/>
                                  </w:divBdr>
                                  <w:divsChild>
                                    <w:div w:id="1496845512">
                                      <w:marLeft w:val="0"/>
                                      <w:marRight w:val="0"/>
                                      <w:marTop w:val="0"/>
                                      <w:marBottom w:val="0"/>
                                      <w:divBdr>
                                        <w:top w:val="none" w:sz="0" w:space="0" w:color="auto"/>
                                        <w:left w:val="none" w:sz="0" w:space="0" w:color="auto"/>
                                        <w:bottom w:val="none" w:sz="0" w:space="0" w:color="auto"/>
                                        <w:right w:val="none" w:sz="0" w:space="0" w:color="auto"/>
                                      </w:divBdr>
                                      <w:divsChild>
                                        <w:div w:id="860167319">
                                          <w:marLeft w:val="0"/>
                                          <w:marRight w:val="0"/>
                                          <w:marTop w:val="0"/>
                                          <w:marBottom w:val="0"/>
                                          <w:divBdr>
                                            <w:top w:val="none" w:sz="0" w:space="0" w:color="auto"/>
                                            <w:left w:val="none" w:sz="0" w:space="0" w:color="auto"/>
                                            <w:bottom w:val="none" w:sz="0" w:space="0" w:color="auto"/>
                                            <w:right w:val="none" w:sz="0" w:space="0" w:color="auto"/>
                                          </w:divBdr>
                                          <w:divsChild>
                                            <w:div w:id="1257589449">
                                              <w:marLeft w:val="0"/>
                                              <w:marRight w:val="0"/>
                                              <w:marTop w:val="0"/>
                                              <w:marBottom w:val="0"/>
                                              <w:divBdr>
                                                <w:top w:val="none" w:sz="0" w:space="0" w:color="auto"/>
                                                <w:left w:val="none" w:sz="0" w:space="0" w:color="auto"/>
                                                <w:bottom w:val="none" w:sz="0" w:space="0" w:color="auto"/>
                                                <w:right w:val="none" w:sz="0" w:space="0" w:color="auto"/>
                                              </w:divBdr>
                                              <w:divsChild>
                                                <w:div w:id="56780546">
                                                  <w:marLeft w:val="0"/>
                                                  <w:marRight w:val="0"/>
                                                  <w:marTop w:val="0"/>
                                                  <w:marBottom w:val="0"/>
                                                  <w:divBdr>
                                                    <w:top w:val="none" w:sz="0" w:space="0" w:color="auto"/>
                                                    <w:left w:val="none" w:sz="0" w:space="0" w:color="auto"/>
                                                    <w:bottom w:val="none" w:sz="0" w:space="0" w:color="auto"/>
                                                    <w:right w:val="none" w:sz="0" w:space="0" w:color="auto"/>
                                                  </w:divBdr>
                                                  <w:divsChild>
                                                    <w:div w:id="244922796">
                                                      <w:marLeft w:val="0"/>
                                                      <w:marRight w:val="0"/>
                                                      <w:marTop w:val="0"/>
                                                      <w:marBottom w:val="0"/>
                                                      <w:divBdr>
                                                        <w:top w:val="none" w:sz="0" w:space="0" w:color="auto"/>
                                                        <w:left w:val="none" w:sz="0" w:space="0" w:color="auto"/>
                                                        <w:bottom w:val="none" w:sz="0" w:space="0" w:color="auto"/>
                                                        <w:right w:val="none" w:sz="0" w:space="0" w:color="auto"/>
                                                      </w:divBdr>
                                                      <w:divsChild>
                                                        <w:div w:id="460804459">
                                                          <w:marLeft w:val="0"/>
                                                          <w:marRight w:val="0"/>
                                                          <w:marTop w:val="0"/>
                                                          <w:marBottom w:val="0"/>
                                                          <w:divBdr>
                                                            <w:top w:val="none" w:sz="0" w:space="0" w:color="auto"/>
                                                            <w:left w:val="none" w:sz="0" w:space="0" w:color="auto"/>
                                                            <w:bottom w:val="none" w:sz="0" w:space="0" w:color="auto"/>
                                                            <w:right w:val="none" w:sz="0" w:space="0" w:color="auto"/>
                                                          </w:divBdr>
                                                          <w:divsChild>
                                                            <w:div w:id="1893495621">
                                                              <w:marLeft w:val="0"/>
                                                              <w:marRight w:val="0"/>
                                                              <w:marTop w:val="0"/>
                                                              <w:marBottom w:val="0"/>
                                                              <w:divBdr>
                                                                <w:top w:val="none" w:sz="0" w:space="0" w:color="auto"/>
                                                                <w:left w:val="none" w:sz="0" w:space="0" w:color="auto"/>
                                                                <w:bottom w:val="none" w:sz="0" w:space="0" w:color="auto"/>
                                                                <w:right w:val="none" w:sz="0" w:space="0" w:color="auto"/>
                                                              </w:divBdr>
                                                              <w:divsChild>
                                                                <w:div w:id="635839691">
                                                                  <w:marLeft w:val="0"/>
                                                                  <w:marRight w:val="0"/>
                                                                  <w:marTop w:val="0"/>
                                                                  <w:marBottom w:val="0"/>
                                                                  <w:divBdr>
                                                                    <w:top w:val="none" w:sz="0" w:space="0" w:color="auto"/>
                                                                    <w:left w:val="none" w:sz="0" w:space="0" w:color="auto"/>
                                                                    <w:bottom w:val="none" w:sz="0" w:space="0" w:color="auto"/>
                                                                    <w:right w:val="none" w:sz="0" w:space="0" w:color="auto"/>
                                                                  </w:divBdr>
                                                                  <w:divsChild>
                                                                    <w:div w:id="266430286">
                                                                      <w:marLeft w:val="0"/>
                                                                      <w:marRight w:val="0"/>
                                                                      <w:marTop w:val="0"/>
                                                                      <w:marBottom w:val="0"/>
                                                                      <w:divBdr>
                                                                        <w:top w:val="none" w:sz="0" w:space="0" w:color="auto"/>
                                                                        <w:left w:val="none" w:sz="0" w:space="0" w:color="auto"/>
                                                                        <w:bottom w:val="none" w:sz="0" w:space="0" w:color="auto"/>
                                                                        <w:right w:val="none" w:sz="0" w:space="0" w:color="auto"/>
                                                                      </w:divBdr>
                                                                      <w:divsChild>
                                                                        <w:div w:id="1920870746">
                                                                          <w:marLeft w:val="0"/>
                                                                          <w:marRight w:val="0"/>
                                                                          <w:marTop w:val="0"/>
                                                                          <w:marBottom w:val="0"/>
                                                                          <w:divBdr>
                                                                            <w:top w:val="none" w:sz="0" w:space="0" w:color="auto"/>
                                                                            <w:left w:val="none" w:sz="0" w:space="0" w:color="auto"/>
                                                                            <w:bottom w:val="none" w:sz="0" w:space="0" w:color="auto"/>
                                                                            <w:right w:val="none" w:sz="0" w:space="0" w:color="auto"/>
                                                                          </w:divBdr>
                                                                          <w:divsChild>
                                                                            <w:div w:id="392895694">
                                                                              <w:marLeft w:val="0"/>
                                                                              <w:marRight w:val="0"/>
                                                                              <w:marTop w:val="0"/>
                                                                              <w:marBottom w:val="0"/>
                                                                              <w:divBdr>
                                                                                <w:top w:val="none" w:sz="0" w:space="0" w:color="auto"/>
                                                                                <w:left w:val="none" w:sz="0" w:space="0" w:color="auto"/>
                                                                                <w:bottom w:val="none" w:sz="0" w:space="0" w:color="auto"/>
                                                                                <w:right w:val="none" w:sz="0" w:space="0" w:color="auto"/>
                                                                              </w:divBdr>
                                                                              <w:divsChild>
                                                                                <w:div w:id="619260420">
                                                                                  <w:marLeft w:val="0"/>
                                                                                  <w:marRight w:val="0"/>
                                                                                  <w:marTop w:val="0"/>
                                                                                  <w:marBottom w:val="0"/>
                                                                                  <w:divBdr>
                                                                                    <w:top w:val="none" w:sz="0" w:space="0" w:color="auto"/>
                                                                                    <w:left w:val="none" w:sz="0" w:space="0" w:color="auto"/>
                                                                                    <w:bottom w:val="none" w:sz="0" w:space="0" w:color="auto"/>
                                                                                    <w:right w:val="none" w:sz="0" w:space="0" w:color="auto"/>
                                                                                  </w:divBdr>
                                                                                  <w:divsChild>
                                                                                    <w:div w:id="1283800678">
                                                                                      <w:marLeft w:val="0"/>
                                                                                      <w:marRight w:val="0"/>
                                                                                      <w:marTop w:val="0"/>
                                                                                      <w:marBottom w:val="0"/>
                                                                                      <w:divBdr>
                                                                                        <w:top w:val="none" w:sz="0" w:space="0" w:color="auto"/>
                                                                                        <w:left w:val="none" w:sz="0" w:space="0" w:color="auto"/>
                                                                                        <w:bottom w:val="none" w:sz="0" w:space="0" w:color="auto"/>
                                                                                        <w:right w:val="none" w:sz="0" w:space="0" w:color="auto"/>
                                                                                      </w:divBdr>
                                                                                      <w:divsChild>
                                                                                        <w:div w:id="522863353">
                                                                                          <w:marLeft w:val="0"/>
                                                                                          <w:marRight w:val="0"/>
                                                                                          <w:marTop w:val="0"/>
                                                                                          <w:marBottom w:val="0"/>
                                                                                          <w:divBdr>
                                                                                            <w:top w:val="none" w:sz="0" w:space="0" w:color="auto"/>
                                                                                            <w:left w:val="none" w:sz="0" w:space="0" w:color="auto"/>
                                                                                            <w:bottom w:val="none" w:sz="0" w:space="0" w:color="auto"/>
                                                                                            <w:right w:val="none" w:sz="0" w:space="0" w:color="auto"/>
                                                                                          </w:divBdr>
                                                                                          <w:divsChild>
                                                                                            <w:div w:id="1993368638">
                                                                                              <w:marLeft w:val="0"/>
                                                                                              <w:marRight w:val="0"/>
                                                                                              <w:marTop w:val="0"/>
                                                                                              <w:marBottom w:val="0"/>
                                                                                              <w:divBdr>
                                                                                                <w:top w:val="none" w:sz="0" w:space="0" w:color="auto"/>
                                                                                                <w:left w:val="none" w:sz="0" w:space="0" w:color="auto"/>
                                                                                                <w:bottom w:val="none" w:sz="0" w:space="0" w:color="auto"/>
                                                                                                <w:right w:val="none" w:sz="0" w:space="0" w:color="auto"/>
                                                                                              </w:divBdr>
                                                                                              <w:divsChild>
                                                                                                <w:div w:id="1445266594">
                                                                                                  <w:marLeft w:val="0"/>
                                                                                                  <w:marRight w:val="0"/>
                                                                                                  <w:marTop w:val="0"/>
                                                                                                  <w:marBottom w:val="0"/>
                                                                                                  <w:divBdr>
                                                                                                    <w:top w:val="none" w:sz="0" w:space="0" w:color="auto"/>
                                                                                                    <w:left w:val="none" w:sz="0" w:space="0" w:color="auto"/>
                                                                                                    <w:bottom w:val="none" w:sz="0" w:space="0" w:color="auto"/>
                                                                                                    <w:right w:val="none" w:sz="0" w:space="0" w:color="auto"/>
                                                                                                  </w:divBdr>
                                                                                                  <w:divsChild>
                                                                                                    <w:div w:id="1629429763">
                                                                                                      <w:marLeft w:val="0"/>
                                                                                                      <w:marRight w:val="0"/>
                                                                                                      <w:marTop w:val="0"/>
                                                                                                      <w:marBottom w:val="0"/>
                                                                                                      <w:divBdr>
                                                                                                        <w:top w:val="none" w:sz="0" w:space="0" w:color="auto"/>
                                                                                                        <w:left w:val="none" w:sz="0" w:space="0" w:color="auto"/>
                                                                                                        <w:bottom w:val="none" w:sz="0" w:space="0" w:color="auto"/>
                                                                                                        <w:right w:val="none" w:sz="0" w:space="0" w:color="auto"/>
                                                                                                      </w:divBdr>
                                                                                                      <w:divsChild>
                                                                                                        <w:div w:id="1213883994">
                                                                                                          <w:marLeft w:val="0"/>
                                                                                                          <w:marRight w:val="0"/>
                                                                                                          <w:marTop w:val="0"/>
                                                                                                          <w:marBottom w:val="0"/>
                                                                                                          <w:divBdr>
                                                                                                            <w:top w:val="none" w:sz="0" w:space="0" w:color="auto"/>
                                                                                                            <w:left w:val="none" w:sz="0" w:space="0" w:color="auto"/>
                                                                                                            <w:bottom w:val="none" w:sz="0" w:space="0" w:color="auto"/>
                                                                                                            <w:right w:val="none" w:sz="0" w:space="0" w:color="auto"/>
                                                                                                          </w:divBdr>
                                                                                                          <w:divsChild>
                                                                                                            <w:div w:id="625235009">
                                                                                                              <w:marLeft w:val="0"/>
                                                                                                              <w:marRight w:val="0"/>
                                                                                                              <w:marTop w:val="0"/>
                                                                                                              <w:marBottom w:val="0"/>
                                                                                                              <w:divBdr>
                                                                                                                <w:top w:val="none" w:sz="0" w:space="0" w:color="auto"/>
                                                                                                                <w:left w:val="none" w:sz="0" w:space="0" w:color="auto"/>
                                                                                                                <w:bottom w:val="none" w:sz="0" w:space="0" w:color="auto"/>
                                                                                                                <w:right w:val="none" w:sz="0" w:space="0" w:color="auto"/>
                                                                                                              </w:divBdr>
                                                                                                              <w:divsChild>
                                                                                                                <w:div w:id="405036527">
                                                                                                                  <w:marLeft w:val="0"/>
                                                                                                                  <w:marRight w:val="0"/>
                                                                                                                  <w:marTop w:val="0"/>
                                                                                                                  <w:marBottom w:val="0"/>
                                                                                                                  <w:divBdr>
                                                                                                                    <w:top w:val="none" w:sz="0" w:space="0" w:color="auto"/>
                                                                                                                    <w:left w:val="none" w:sz="0" w:space="0" w:color="auto"/>
                                                                                                                    <w:bottom w:val="none" w:sz="0" w:space="0" w:color="auto"/>
                                                                                                                    <w:right w:val="none" w:sz="0" w:space="0" w:color="auto"/>
                                                                                                                  </w:divBdr>
                                                                                                                  <w:divsChild>
                                                                                                                    <w:div w:id="745372282">
                                                                                                                      <w:marLeft w:val="0"/>
                                                                                                                      <w:marRight w:val="0"/>
                                                                                                                      <w:marTop w:val="0"/>
                                                                                                                      <w:marBottom w:val="0"/>
                                                                                                                      <w:divBdr>
                                                                                                                        <w:top w:val="none" w:sz="0" w:space="0" w:color="auto"/>
                                                                                                                        <w:left w:val="none" w:sz="0" w:space="0" w:color="auto"/>
                                                                                                                        <w:bottom w:val="none" w:sz="0" w:space="0" w:color="auto"/>
                                                                                                                        <w:right w:val="none" w:sz="0" w:space="0" w:color="auto"/>
                                                                                                                      </w:divBdr>
                                                                                                                      <w:divsChild>
                                                                                                                        <w:div w:id="1946108830">
                                                                                                                          <w:marLeft w:val="0"/>
                                                                                                                          <w:marRight w:val="0"/>
                                                                                                                          <w:marTop w:val="0"/>
                                                                                                                          <w:marBottom w:val="0"/>
                                                                                                                          <w:divBdr>
                                                                                                                            <w:top w:val="none" w:sz="0" w:space="0" w:color="auto"/>
                                                                                                                            <w:left w:val="none" w:sz="0" w:space="0" w:color="auto"/>
                                                                                                                            <w:bottom w:val="none" w:sz="0" w:space="0" w:color="auto"/>
                                                                                                                            <w:right w:val="none" w:sz="0" w:space="0" w:color="auto"/>
                                                                                                                          </w:divBdr>
                                                                                                                          <w:divsChild>
                                                                                                                            <w:div w:id="2122063262">
                                                                                                                              <w:marLeft w:val="0"/>
                                                                                                                              <w:marRight w:val="0"/>
                                                                                                                              <w:marTop w:val="0"/>
                                                                                                                              <w:marBottom w:val="0"/>
                                                                                                                              <w:divBdr>
                                                                                                                                <w:top w:val="none" w:sz="0" w:space="0" w:color="auto"/>
                                                                                                                                <w:left w:val="none" w:sz="0" w:space="0" w:color="auto"/>
                                                                                                                                <w:bottom w:val="none" w:sz="0" w:space="0" w:color="auto"/>
                                                                                                                                <w:right w:val="none" w:sz="0" w:space="0" w:color="auto"/>
                                                                                                                              </w:divBdr>
                                                                                                                              <w:divsChild>
                                                                                                                                <w:div w:id="1333989131">
                                                                                                                                  <w:marLeft w:val="0"/>
                                                                                                                                  <w:marRight w:val="0"/>
                                                                                                                                  <w:marTop w:val="0"/>
                                                                                                                                  <w:marBottom w:val="0"/>
                                                                                                                                  <w:divBdr>
                                                                                                                                    <w:top w:val="none" w:sz="0" w:space="0" w:color="auto"/>
                                                                                                                                    <w:left w:val="none" w:sz="0" w:space="0" w:color="auto"/>
                                                                                                                                    <w:bottom w:val="none" w:sz="0" w:space="0" w:color="auto"/>
                                                                                                                                    <w:right w:val="none" w:sz="0" w:space="0" w:color="auto"/>
                                                                                                                                  </w:divBdr>
                                                                                                                                  <w:divsChild>
                                                                                                                                    <w:div w:id="1898054866">
                                                                                                                                      <w:marLeft w:val="0"/>
                                                                                                                                      <w:marRight w:val="0"/>
                                                                                                                                      <w:marTop w:val="0"/>
                                                                                                                                      <w:marBottom w:val="0"/>
                                                                                                                                      <w:divBdr>
                                                                                                                                        <w:top w:val="none" w:sz="0" w:space="0" w:color="auto"/>
                                                                                                                                        <w:left w:val="none" w:sz="0" w:space="0" w:color="auto"/>
                                                                                                                                        <w:bottom w:val="none" w:sz="0" w:space="0" w:color="auto"/>
                                                                                                                                        <w:right w:val="none" w:sz="0" w:space="0" w:color="auto"/>
                                                                                                                                      </w:divBdr>
                                                                                                                                      <w:divsChild>
                                                                                                                                        <w:div w:id="1020661077">
                                                                                                                                          <w:marLeft w:val="0"/>
                                                                                                                                          <w:marRight w:val="0"/>
                                                                                                                                          <w:marTop w:val="0"/>
                                                                                                                                          <w:marBottom w:val="0"/>
                                                                                                                                          <w:divBdr>
                                                                                                                                            <w:top w:val="none" w:sz="0" w:space="0" w:color="auto"/>
                                                                                                                                            <w:left w:val="none" w:sz="0" w:space="0" w:color="auto"/>
                                                                                                                                            <w:bottom w:val="none" w:sz="0" w:space="0" w:color="auto"/>
                                                                                                                                            <w:right w:val="none" w:sz="0" w:space="0" w:color="auto"/>
                                                                                                                                          </w:divBdr>
                                                                                                                                        </w:div>
                                                                                                                                        <w:div w:id="1030952466">
                                                                                                                                          <w:marLeft w:val="0"/>
                                                                                                                                          <w:marRight w:val="0"/>
                                                                                                                                          <w:marTop w:val="0"/>
                                                                                                                                          <w:marBottom w:val="0"/>
                                                                                                                                          <w:divBdr>
                                                                                                                                            <w:top w:val="none" w:sz="0" w:space="0" w:color="auto"/>
                                                                                                                                            <w:left w:val="none" w:sz="0" w:space="0" w:color="auto"/>
                                                                                                                                            <w:bottom w:val="none" w:sz="0" w:space="0" w:color="auto"/>
                                                                                                                                            <w:right w:val="none" w:sz="0" w:space="0" w:color="auto"/>
                                                                                                                                          </w:divBdr>
                                                                                                                                          <w:divsChild>
                                                                                                                                            <w:div w:id="357314138">
                                                                                                                                              <w:marLeft w:val="0"/>
                                                                                                                                              <w:marRight w:val="0"/>
                                                                                                                                              <w:marTop w:val="0"/>
                                                                                                                                              <w:marBottom w:val="0"/>
                                                                                                                                              <w:divBdr>
                                                                                                                                                <w:top w:val="none" w:sz="0" w:space="0" w:color="auto"/>
                                                                                                                                                <w:left w:val="none" w:sz="0" w:space="0" w:color="auto"/>
                                                                                                                                                <w:bottom w:val="none" w:sz="0" w:space="0" w:color="auto"/>
                                                                                                                                                <w:right w:val="none" w:sz="0" w:space="0" w:color="auto"/>
                                                                                                                                              </w:divBdr>
                                                                                                                                              <w:divsChild>
                                                                                                                                                <w:div w:id="492524512">
                                                                                                                                                  <w:marLeft w:val="0"/>
                                                                                                                                                  <w:marRight w:val="0"/>
                                                                                                                                                  <w:marTop w:val="0"/>
                                                                                                                                                  <w:marBottom w:val="0"/>
                                                                                                                                                  <w:divBdr>
                                                                                                                                                    <w:top w:val="none" w:sz="0" w:space="0" w:color="auto"/>
                                                                                                                                                    <w:left w:val="none" w:sz="0" w:space="0" w:color="auto"/>
                                                                                                                                                    <w:bottom w:val="none" w:sz="0" w:space="0" w:color="auto"/>
                                                                                                                                                    <w:right w:val="none" w:sz="0" w:space="0" w:color="auto"/>
                                                                                                                                                  </w:divBdr>
                                                                                                                                                </w:div>
                                                                                                                                                <w:div w:id="1122455750">
                                                                                                                                                  <w:marLeft w:val="0"/>
                                                                                                                                                  <w:marRight w:val="0"/>
                                                                                                                                                  <w:marTop w:val="0"/>
                                                                                                                                                  <w:marBottom w:val="0"/>
                                                                                                                                                  <w:divBdr>
                                                                                                                                                    <w:top w:val="none" w:sz="0" w:space="0" w:color="auto"/>
                                                                                                                                                    <w:left w:val="none" w:sz="0" w:space="0" w:color="auto"/>
                                                                                                                                                    <w:bottom w:val="none" w:sz="0" w:space="0" w:color="auto"/>
                                                                                                                                                    <w:right w:val="none" w:sz="0" w:space="0" w:color="auto"/>
                                                                                                                                                  </w:divBdr>
                                                                                                                                                </w:div>
                                                                                                                                                <w:div w:id="1762410589">
                                                                                                                                                  <w:marLeft w:val="0"/>
                                                                                                                                                  <w:marRight w:val="0"/>
                                                                                                                                                  <w:marTop w:val="0"/>
                                                                                                                                                  <w:marBottom w:val="0"/>
                                                                                                                                                  <w:divBdr>
                                                                                                                                                    <w:top w:val="none" w:sz="0" w:space="0" w:color="auto"/>
                                                                                                                                                    <w:left w:val="none" w:sz="0" w:space="0" w:color="auto"/>
                                                                                                                                                    <w:bottom w:val="none" w:sz="0" w:space="0" w:color="auto"/>
                                                                                                                                                    <w:right w:val="none" w:sz="0" w:space="0" w:color="auto"/>
                                                                                                                                                  </w:divBdr>
                                                                                                                                                  <w:divsChild>
                                                                                                                                                    <w:div w:id="676464836">
                                                                                                                                                      <w:marLeft w:val="0"/>
                                                                                                                                                      <w:marRight w:val="0"/>
                                                                                                                                                      <w:marTop w:val="0"/>
                                                                                                                                                      <w:marBottom w:val="0"/>
                                                                                                                                                      <w:divBdr>
                                                                                                                                                        <w:top w:val="none" w:sz="0" w:space="0" w:color="auto"/>
                                                                                                                                                        <w:left w:val="none" w:sz="0" w:space="0" w:color="auto"/>
                                                                                                                                                        <w:bottom w:val="none" w:sz="0" w:space="0" w:color="auto"/>
                                                                                                                                                        <w:right w:val="none" w:sz="0" w:space="0" w:color="auto"/>
                                                                                                                                                      </w:divBdr>
                                                                                                                                                      <w:divsChild>
                                                                                                                                                        <w:div w:id="2042045327">
                                                                                                                                                          <w:marLeft w:val="0"/>
                                                                                                                                                          <w:marRight w:val="0"/>
                                                                                                                                                          <w:marTop w:val="0"/>
                                                                                                                                                          <w:marBottom w:val="0"/>
                                                                                                                                                          <w:divBdr>
                                                                                                                                                            <w:top w:val="none" w:sz="0" w:space="0" w:color="auto"/>
                                                                                                                                                            <w:left w:val="none" w:sz="0" w:space="0" w:color="auto"/>
                                                                                                                                                            <w:bottom w:val="none" w:sz="0" w:space="0" w:color="auto"/>
                                                                                                                                                            <w:right w:val="none" w:sz="0" w:space="0" w:color="auto"/>
                                                                                                                                                          </w:divBdr>
                                                                                                                                                          <w:divsChild>
                                                                                                                                                            <w:div w:id="1376661959">
                                                                                                                                                              <w:marLeft w:val="0"/>
                                                                                                                                                              <w:marRight w:val="0"/>
                                                                                                                                                              <w:marTop w:val="0"/>
                                                                                                                                                              <w:marBottom w:val="0"/>
                                                                                                                                                              <w:divBdr>
                                                                                                                                                                <w:top w:val="none" w:sz="0" w:space="0" w:color="auto"/>
                                                                                                                                                                <w:left w:val="none" w:sz="0" w:space="0" w:color="auto"/>
                                                                                                                                                                <w:bottom w:val="none" w:sz="0" w:space="0" w:color="auto"/>
                                                                                                                                                                <w:right w:val="none" w:sz="0" w:space="0" w:color="auto"/>
                                                                                                                                                              </w:divBdr>
                                                                                                                                                              <w:divsChild>
                                                                                                                                                                <w:div w:id="195777834">
                                                                                                                                                                  <w:marLeft w:val="0"/>
                                                                                                                                                                  <w:marRight w:val="0"/>
                                                                                                                                                                  <w:marTop w:val="0"/>
                                                                                                                                                                  <w:marBottom w:val="0"/>
                                                                                                                                                                  <w:divBdr>
                                                                                                                                                                    <w:top w:val="none" w:sz="0" w:space="0" w:color="auto"/>
                                                                                                                                                                    <w:left w:val="none" w:sz="0" w:space="0" w:color="auto"/>
                                                                                                                                                                    <w:bottom w:val="none" w:sz="0" w:space="0" w:color="auto"/>
                                                                                                                                                                    <w:right w:val="none" w:sz="0" w:space="0" w:color="auto"/>
                                                                                                                                                                  </w:divBdr>
                                                                                                                                                                  <w:divsChild>
                                                                                                                                                                    <w:div w:id="399911924">
                                                                                                                                                                      <w:marLeft w:val="0"/>
                                                                                                                                                                      <w:marRight w:val="0"/>
                                                                                                                                                                      <w:marTop w:val="0"/>
                                                                                                                                                                      <w:marBottom w:val="0"/>
                                                                                                                                                                      <w:divBdr>
                                                                                                                                                                        <w:top w:val="none" w:sz="0" w:space="0" w:color="auto"/>
                                                                                                                                                                        <w:left w:val="none" w:sz="0" w:space="0" w:color="auto"/>
                                                                                                                                                                        <w:bottom w:val="none" w:sz="0" w:space="0" w:color="auto"/>
                                                                                                                                                                        <w:right w:val="none" w:sz="0" w:space="0" w:color="auto"/>
                                                                                                                                                                      </w:divBdr>
                                                                                                                                                                      <w:divsChild>
                                                                                                                                                                        <w:div w:id="36317521">
                                                                                                                                                                          <w:marLeft w:val="0"/>
                                                                                                                                                                          <w:marRight w:val="0"/>
                                                                                                                                                                          <w:marTop w:val="0"/>
                                                                                                                                                                          <w:marBottom w:val="0"/>
                                                                                                                                                                          <w:divBdr>
                                                                                                                                                                            <w:top w:val="none" w:sz="0" w:space="0" w:color="auto"/>
                                                                                                                                                                            <w:left w:val="none" w:sz="0" w:space="0" w:color="auto"/>
                                                                                                                                                                            <w:bottom w:val="none" w:sz="0" w:space="0" w:color="auto"/>
                                                                                                                                                                            <w:right w:val="none" w:sz="0" w:space="0" w:color="auto"/>
                                                                                                                                                                          </w:divBdr>
                                                                                                                                                                          <w:divsChild>
                                                                                                                                                                            <w:div w:id="2040006607">
                                                                                                                                                                              <w:marLeft w:val="0"/>
                                                                                                                                                                              <w:marRight w:val="0"/>
                                                                                                                                                                              <w:marTop w:val="0"/>
                                                                                                                                                                              <w:marBottom w:val="0"/>
                                                                                                                                                                              <w:divBdr>
                                                                                                                                                                                <w:top w:val="none" w:sz="0" w:space="0" w:color="auto"/>
                                                                                                                                                                                <w:left w:val="none" w:sz="0" w:space="0" w:color="auto"/>
                                                                                                                                                                                <w:bottom w:val="none" w:sz="0" w:space="0" w:color="auto"/>
                                                                                                                                                                                <w:right w:val="none" w:sz="0" w:space="0" w:color="auto"/>
                                                                                                                                                                              </w:divBdr>
                                                                                                                                                                              <w:divsChild>
                                                                                                                                                                                <w:div w:id="559899963">
                                                                                                                                                                                  <w:marLeft w:val="0"/>
                                                                                                                                                                                  <w:marRight w:val="0"/>
                                                                                                                                                                                  <w:marTop w:val="0"/>
                                                                                                                                                                                  <w:marBottom w:val="0"/>
                                                                                                                                                                                  <w:divBdr>
                                                                                                                                                                                    <w:top w:val="none" w:sz="0" w:space="0" w:color="auto"/>
                                                                                                                                                                                    <w:left w:val="none" w:sz="0" w:space="0" w:color="auto"/>
                                                                                                                                                                                    <w:bottom w:val="none" w:sz="0" w:space="0" w:color="auto"/>
                                                                                                                                                                                    <w:right w:val="none" w:sz="0" w:space="0" w:color="auto"/>
                                                                                                                                                                                  </w:divBdr>
                                                                                                                                                                                  <w:divsChild>
                                                                                                                                                                                    <w:div w:id="200167361">
                                                                                                                                                                                      <w:marLeft w:val="0"/>
                                                                                                                                                                                      <w:marRight w:val="0"/>
                                                                                                                                                                                      <w:marTop w:val="0"/>
                                                                                                                                                                                      <w:marBottom w:val="0"/>
                                                                                                                                                                                      <w:divBdr>
                                                                                                                                                                                        <w:top w:val="none" w:sz="0" w:space="0" w:color="auto"/>
                                                                                                                                                                                        <w:left w:val="none" w:sz="0" w:space="0" w:color="auto"/>
                                                                                                                                                                                        <w:bottom w:val="none" w:sz="0" w:space="0" w:color="auto"/>
                                                                                                                                                                                        <w:right w:val="none" w:sz="0" w:space="0" w:color="auto"/>
                                                                                                                                                                                      </w:divBdr>
                                                                                                                                                                                      <w:divsChild>
                                                                                                                                                                                        <w:div w:id="1064790773">
                                                                                                                                                                                          <w:marLeft w:val="0"/>
                                                                                                                                                                                          <w:marRight w:val="0"/>
                                                                                                                                                                                          <w:marTop w:val="0"/>
                                                                                                                                                                                          <w:marBottom w:val="0"/>
                                                                                                                                                                                          <w:divBdr>
                                                                                                                                                                                            <w:top w:val="none" w:sz="0" w:space="0" w:color="auto"/>
                                                                                                                                                                                            <w:left w:val="none" w:sz="0" w:space="0" w:color="auto"/>
                                                                                                                                                                                            <w:bottom w:val="none" w:sz="0" w:space="0" w:color="auto"/>
                                                                                                                                                                                            <w:right w:val="none" w:sz="0" w:space="0" w:color="auto"/>
                                                                                                                                                                                          </w:divBdr>
                                                                                                                                                                                          <w:divsChild>
                                                                                                                                                                                            <w:div w:id="1833057085">
                                                                                                                                                                                              <w:marLeft w:val="0"/>
                                                                                                                                                                                              <w:marRight w:val="0"/>
                                                                                                                                                                                              <w:marTop w:val="0"/>
                                                                                                                                                                                              <w:marBottom w:val="0"/>
                                                                                                                                                                                              <w:divBdr>
                                                                                                                                                                                                <w:top w:val="none" w:sz="0" w:space="0" w:color="auto"/>
                                                                                                                                                                                                <w:left w:val="none" w:sz="0" w:space="0" w:color="auto"/>
                                                                                                                                                                                                <w:bottom w:val="none" w:sz="0" w:space="0" w:color="auto"/>
                                                                                                                                                                                                <w:right w:val="none" w:sz="0" w:space="0" w:color="auto"/>
                                                                                                                                                                                              </w:divBdr>
                                                                                                                                                                                              <w:divsChild>
                                                                                                                                                                                                <w:div w:id="1825124559">
                                                                                                                                                                                                  <w:marLeft w:val="0"/>
                                                                                                                                                                                                  <w:marRight w:val="0"/>
                                                                                                                                                                                                  <w:marTop w:val="0"/>
                                                                                                                                                                                                  <w:marBottom w:val="0"/>
                                                                                                                                                                                                  <w:divBdr>
                                                                                                                                                                                                    <w:top w:val="none" w:sz="0" w:space="0" w:color="auto"/>
                                                                                                                                                                                                    <w:left w:val="none" w:sz="0" w:space="0" w:color="auto"/>
                                                                                                                                                                                                    <w:bottom w:val="none" w:sz="0" w:space="0" w:color="auto"/>
                                                                                                                                                                                                    <w:right w:val="none" w:sz="0" w:space="0" w:color="auto"/>
                                                                                                                                                                                                  </w:divBdr>
                                                                                                                                                                                                  <w:divsChild>
                                                                                                                                                                                                    <w:div w:id="1096174891">
                                                                                                                                                                                                      <w:marLeft w:val="0"/>
                                                                                                                                                                                                      <w:marRight w:val="0"/>
                                                                                                                                                                                                      <w:marTop w:val="0"/>
                                                                                                                                                                                                      <w:marBottom w:val="0"/>
                                                                                                                                                                                                      <w:divBdr>
                                                                                                                                                                                                        <w:top w:val="none" w:sz="0" w:space="0" w:color="auto"/>
                                                                                                                                                                                                        <w:left w:val="none" w:sz="0" w:space="0" w:color="auto"/>
                                                                                                                                                                                                        <w:bottom w:val="none" w:sz="0" w:space="0" w:color="auto"/>
                                                                                                                                                                                                        <w:right w:val="none" w:sz="0" w:space="0" w:color="auto"/>
                                                                                                                                                                                                      </w:divBdr>
                                                                                                                                                                                                      <w:divsChild>
                                                                                                                                                                                                        <w:div w:id="2130199391">
                                                                                                                                                                                                          <w:marLeft w:val="0"/>
                                                                                                                                                                                                          <w:marRight w:val="0"/>
                                                                                                                                                                                                          <w:marTop w:val="0"/>
                                                                                                                                                                                                          <w:marBottom w:val="0"/>
                                                                                                                                                                                                          <w:divBdr>
                                                                                                                                                                                                            <w:top w:val="none" w:sz="0" w:space="0" w:color="auto"/>
                                                                                                                                                                                                            <w:left w:val="none" w:sz="0" w:space="0" w:color="auto"/>
                                                                                                                                                                                                            <w:bottom w:val="none" w:sz="0" w:space="0" w:color="auto"/>
                                                                                                                                                                                                            <w:right w:val="none" w:sz="0" w:space="0" w:color="auto"/>
                                                                                                                                                                                                          </w:divBdr>
                                                                                                                                                                                                          <w:divsChild>
                                                                                                                                                                                                            <w:div w:id="1902866051">
                                                                                                                                                                                                              <w:marLeft w:val="0"/>
                                                                                                                                                                                                              <w:marRight w:val="0"/>
                                                                                                                                                                                                              <w:marTop w:val="0"/>
                                                                                                                                                                                                              <w:marBottom w:val="0"/>
                                                                                                                                                                                                              <w:divBdr>
                                                                                                                                                                                                                <w:top w:val="none" w:sz="0" w:space="0" w:color="auto"/>
                                                                                                                                                                                                                <w:left w:val="none" w:sz="0" w:space="0" w:color="auto"/>
                                                                                                                                                                                                                <w:bottom w:val="none" w:sz="0" w:space="0" w:color="auto"/>
                                                                                                                                                                                                                <w:right w:val="none" w:sz="0" w:space="0" w:color="auto"/>
                                                                                                                                                                                                              </w:divBdr>
                                                                                                                                                                                                              <w:divsChild>
                                                                                                                                                                                                                <w:div w:id="13189173">
                                                                                                                                                                                                                  <w:marLeft w:val="0"/>
                                                                                                                                                                                                                  <w:marRight w:val="0"/>
                                                                                                                                                                                                                  <w:marTop w:val="0"/>
                                                                                                                                                                                                                  <w:marBottom w:val="0"/>
                                                                                                                                                                                                                  <w:divBdr>
                                                                                                                                                                                                                    <w:top w:val="none" w:sz="0" w:space="0" w:color="auto"/>
                                                                                                                                                                                                                    <w:left w:val="none" w:sz="0" w:space="0" w:color="auto"/>
                                                                                                                                                                                                                    <w:bottom w:val="none" w:sz="0" w:space="0" w:color="auto"/>
                                                                                                                                                                                                                    <w:right w:val="none" w:sz="0" w:space="0" w:color="auto"/>
                                                                                                                                                                                                                  </w:divBdr>
                                                                                                                                                                                                                  <w:divsChild>
                                                                                                                                                                                                                    <w:div w:id="2007511541">
                                                                                                                                                                                                                      <w:marLeft w:val="0"/>
                                                                                                                                                                                                                      <w:marRight w:val="0"/>
                                                                                                                                                                                                                      <w:marTop w:val="0"/>
                                                                                                                                                                                                                      <w:marBottom w:val="0"/>
                                                                                                                                                                                                                      <w:divBdr>
                                                                                                                                                                                                                        <w:top w:val="none" w:sz="0" w:space="0" w:color="auto"/>
                                                                                                                                                                                                                        <w:left w:val="none" w:sz="0" w:space="0" w:color="auto"/>
                                                                                                                                                                                                                        <w:bottom w:val="none" w:sz="0" w:space="0" w:color="auto"/>
                                                                                                                                                                                                                        <w:right w:val="none" w:sz="0" w:space="0" w:color="auto"/>
                                                                                                                                                                                                                      </w:divBdr>
                                                                                                                                                                                                                      <w:divsChild>
                                                                                                                                                                                                                        <w:div w:id="17789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530458">
                                                                                                                                                                                                      <w:marLeft w:val="0"/>
                                                                                                                                                                                                      <w:marRight w:val="0"/>
                                                                                                                                                                                                      <w:marTop w:val="0"/>
                                                                                                                                                                                                      <w:marBottom w:val="0"/>
                                                                                                                                                                                                      <w:divBdr>
                                                                                                                                                                                                        <w:top w:val="none" w:sz="0" w:space="0" w:color="auto"/>
                                                                                                                                                                                                        <w:left w:val="none" w:sz="0" w:space="0" w:color="auto"/>
                                                                                                                                                                                                        <w:bottom w:val="none" w:sz="0" w:space="0" w:color="auto"/>
                                                                                                                                                                                                        <w:right w:val="none" w:sz="0" w:space="0" w:color="auto"/>
                                                                                                                                                                                                      </w:divBdr>
                                                                                                                                                                                                      <w:divsChild>
                                                                                                                                                                                                        <w:div w:id="203714324">
                                                                                                                                                                                                          <w:marLeft w:val="0"/>
                                                                                                                                                                                                          <w:marRight w:val="0"/>
                                                                                                                                                                                                          <w:marTop w:val="0"/>
                                                                                                                                                                                                          <w:marBottom w:val="0"/>
                                                                                                                                                                                                          <w:divBdr>
                                                                                                                                                                                                            <w:top w:val="none" w:sz="0" w:space="0" w:color="auto"/>
                                                                                                                                                                                                            <w:left w:val="none" w:sz="0" w:space="0" w:color="auto"/>
                                                                                                                                                                                                            <w:bottom w:val="none" w:sz="0" w:space="0" w:color="auto"/>
                                                                                                                                                                                                            <w:right w:val="none" w:sz="0" w:space="0" w:color="auto"/>
                                                                                                                                                                                                          </w:divBdr>
                                                                                                                                                                                                          <w:divsChild>
                                                                                                                                                                                                            <w:div w:id="1003750761">
                                                                                                                                                                                                              <w:marLeft w:val="0"/>
                                                                                                                                                                                                              <w:marRight w:val="0"/>
                                                                                                                                                                                                              <w:marTop w:val="0"/>
                                                                                                                                                                                                              <w:marBottom w:val="0"/>
                                                                                                                                                                                                              <w:divBdr>
                                                                                                                                                                                                                <w:top w:val="none" w:sz="0" w:space="0" w:color="auto"/>
                                                                                                                                                                                                                <w:left w:val="none" w:sz="0" w:space="0" w:color="auto"/>
                                                                                                                                                                                                                <w:bottom w:val="none" w:sz="0" w:space="0" w:color="auto"/>
                                                                                                                                                                                                                <w:right w:val="none" w:sz="0" w:space="0" w:color="auto"/>
                                                                                                                                                                                                              </w:divBdr>
                                                                                                                                                                                                              <w:divsChild>
                                                                                                                                                                                                                <w:div w:id="231156865">
                                                                                                                                                                                                                  <w:marLeft w:val="0"/>
                                                                                                                                                                                                                  <w:marRight w:val="0"/>
                                                                                                                                                                                                                  <w:marTop w:val="0"/>
                                                                                                                                                                                                                  <w:marBottom w:val="0"/>
                                                                                                                                                                                                                  <w:divBdr>
                                                                                                                                                                                                                    <w:top w:val="none" w:sz="0" w:space="0" w:color="auto"/>
                                                                                                                                                                                                                    <w:left w:val="none" w:sz="0" w:space="0" w:color="auto"/>
                                                                                                                                                                                                                    <w:bottom w:val="none" w:sz="0" w:space="0" w:color="auto"/>
                                                                                                                                                                                                                    <w:right w:val="none" w:sz="0" w:space="0" w:color="auto"/>
                                                                                                                                                                                                                  </w:divBdr>
                                                                                                                                                                                                                  <w:divsChild>
                                                                                                                                                                                                                    <w:div w:id="1224875645">
                                                                                                                                                                                                                      <w:marLeft w:val="0"/>
                                                                                                                                                                                                                      <w:marRight w:val="0"/>
                                                                                                                                                                                                                      <w:marTop w:val="0"/>
                                                                                                                                                                                                                      <w:marBottom w:val="0"/>
                                                                                                                                                                                                                      <w:divBdr>
                                                                                                                                                                                                                        <w:top w:val="none" w:sz="0" w:space="0" w:color="auto"/>
                                                                                                                                                                                                                        <w:left w:val="none" w:sz="0" w:space="0" w:color="auto"/>
                                                                                                                                                                                                                        <w:bottom w:val="none" w:sz="0" w:space="0" w:color="auto"/>
                                                                                                                                                                                                                        <w:right w:val="none" w:sz="0" w:space="0" w:color="auto"/>
                                                                                                                                                                                                                      </w:divBdr>
                                                                                                                                                                                                                      <w:divsChild>
                                                                                                                                                                                                                        <w:div w:id="1197156999">
                                                                                                                                                                                                                          <w:marLeft w:val="0"/>
                                                                                                                                                                                                                          <w:marRight w:val="0"/>
                                                                                                                                                                                                                          <w:marTop w:val="0"/>
                                                                                                                                                                                                                          <w:marBottom w:val="0"/>
                                                                                                                                                                                                                          <w:divBdr>
                                                                                                                                                                                                                            <w:top w:val="none" w:sz="0" w:space="0" w:color="auto"/>
                                                                                                                                                                                                                            <w:left w:val="none" w:sz="0" w:space="0" w:color="auto"/>
                                                                                                                                                                                                                            <w:bottom w:val="none" w:sz="0" w:space="0" w:color="auto"/>
                                                                                                                                                                                                                            <w:right w:val="none" w:sz="0" w:space="0" w:color="auto"/>
                                                                                                                                                                                                                          </w:divBdr>
                                                                                                                                                                                                                          <w:divsChild>
                                                                                                                                                                                                                            <w:div w:id="716898450">
                                                                                                                                                                                                                              <w:marLeft w:val="0"/>
                                                                                                                                                                                                                              <w:marRight w:val="0"/>
                                                                                                                                                                                                                              <w:marTop w:val="0"/>
                                                                                                                                                                                                                              <w:marBottom w:val="0"/>
                                                                                                                                                                                                                              <w:divBdr>
                                                                                                                                                                                                                                <w:top w:val="none" w:sz="0" w:space="0" w:color="auto"/>
                                                                                                                                                                                                                                <w:left w:val="none" w:sz="0" w:space="0" w:color="auto"/>
                                                                                                                                                                                                                                <w:bottom w:val="none" w:sz="0" w:space="0" w:color="auto"/>
                                                                                                                                                                                                                                <w:right w:val="none" w:sz="0" w:space="0" w:color="auto"/>
                                                                                                                                                                                                                              </w:divBdr>
                                                                                                                                                                                                                              <w:divsChild>
                                                                                                                                                                                                                                <w:div w:id="1766879489">
                                                                                                                                                                                                                                  <w:marLeft w:val="0"/>
                                                                                                                                                                                                                                  <w:marRight w:val="0"/>
                                                                                                                                                                                                                                  <w:marTop w:val="0"/>
                                                                                                                                                                                                                                  <w:marBottom w:val="0"/>
                                                                                                                                                                                                                                  <w:divBdr>
                                                                                                                                                                                                                                    <w:top w:val="none" w:sz="0" w:space="0" w:color="auto"/>
                                                                                                                                                                                                                                    <w:left w:val="none" w:sz="0" w:space="0" w:color="auto"/>
                                                                                                                                                                                                                                    <w:bottom w:val="none" w:sz="0" w:space="0" w:color="auto"/>
                                                                                                                                                                                                                                    <w:right w:val="none" w:sz="0" w:space="0" w:color="auto"/>
                                                                                                                                                                                                                                  </w:divBdr>
                                                                                                                                                                                                                                  <w:divsChild>
                                                                                                                                                                                                                                    <w:div w:id="1547838821">
                                                                                                                                                                                                                                      <w:marLeft w:val="0"/>
                                                                                                                                                                                                                                      <w:marRight w:val="0"/>
                                                                                                                                                                                                                                      <w:marTop w:val="0"/>
                                                                                                                                                                                                                                      <w:marBottom w:val="0"/>
                                                                                                                                                                                                                                      <w:divBdr>
                                                                                                                                                                                                                                        <w:top w:val="none" w:sz="0" w:space="0" w:color="auto"/>
                                                                                                                                                                                                                                        <w:left w:val="none" w:sz="0" w:space="0" w:color="auto"/>
                                                                                                                                                                                                                                        <w:bottom w:val="none" w:sz="0" w:space="0" w:color="auto"/>
                                                                                                                                                                                                                                        <w:right w:val="none" w:sz="0" w:space="0" w:color="auto"/>
                                                                                                                                                                                                                                      </w:divBdr>
                                                                                                                                                                                                                                      <w:divsChild>
                                                                                                                                                                                                                                        <w:div w:id="596063009">
                                                                                                                                                                                                                                          <w:marLeft w:val="0"/>
                                                                                                                                                                                                                                          <w:marRight w:val="0"/>
                                                                                                                                                                                                                                          <w:marTop w:val="0"/>
                                                                                                                                                                                                                                          <w:marBottom w:val="0"/>
                                                                                                                                                                                                                                          <w:divBdr>
                                                                                                                                                                                                                                            <w:top w:val="none" w:sz="0" w:space="0" w:color="auto"/>
                                                                                                                                                                                                                                            <w:left w:val="none" w:sz="0" w:space="0" w:color="auto"/>
                                                                                                                                                                                                                                            <w:bottom w:val="none" w:sz="0" w:space="0" w:color="auto"/>
                                                                                                                                                                                                                                            <w:right w:val="none" w:sz="0" w:space="0" w:color="auto"/>
                                                                                                                                                                                                                                          </w:divBdr>
                                                                                                                                                                                                                                          <w:divsChild>
                                                                                                                                                                                                                                            <w:div w:id="551044135">
                                                                                                                                                                                                                                              <w:marLeft w:val="0"/>
                                                                                                                                                                                                                                              <w:marRight w:val="0"/>
                                                                                                                                                                                                                                              <w:marTop w:val="0"/>
                                                                                                                                                                                                                                              <w:marBottom w:val="0"/>
                                                                                                                                                                                                                                              <w:divBdr>
                                                                                                                                                                                                                                                <w:top w:val="none" w:sz="0" w:space="0" w:color="auto"/>
                                                                                                                                                                                                                                                <w:left w:val="none" w:sz="0" w:space="0" w:color="auto"/>
                                                                                                                                                                                                                                                <w:bottom w:val="none" w:sz="0" w:space="0" w:color="auto"/>
                                                                                                                                                                                                                                                <w:right w:val="none" w:sz="0" w:space="0" w:color="auto"/>
                                                                                                                                                                                                                                              </w:divBdr>
                                                                                                                                                                                                                                              <w:divsChild>
                                                                                                                                                                                                                                                <w:div w:id="429009102">
                                                                                                                                                                                                                                                  <w:marLeft w:val="0"/>
                                                                                                                                                                                                                                                  <w:marRight w:val="0"/>
                                                                                                                                                                                                                                                  <w:marTop w:val="0"/>
                                                                                                                                                                                                                                                  <w:marBottom w:val="0"/>
                                                                                                                                                                                                                                                  <w:divBdr>
                                                                                                                                                                                                                                                    <w:top w:val="none" w:sz="0" w:space="0" w:color="auto"/>
                                                                                                                                                                                                                                                    <w:left w:val="none" w:sz="0" w:space="0" w:color="auto"/>
                                                                                                                                                                                                                                                    <w:bottom w:val="none" w:sz="0" w:space="0" w:color="auto"/>
                                                                                                                                                                                                                                                    <w:right w:val="none" w:sz="0" w:space="0" w:color="auto"/>
                                                                                                                                                                                                                                                  </w:divBdr>
                                                                                                                                                                                                                                                  <w:divsChild>
                                                                                                                                                                                                                                                    <w:div w:id="1089934480">
                                                                                                                                                                                                                                                      <w:marLeft w:val="0"/>
                                                                                                                                                                                                                                                      <w:marRight w:val="0"/>
                                                                                                                                                                                                                                                      <w:marTop w:val="0"/>
                                                                                                                                                                                                                                                      <w:marBottom w:val="0"/>
                                                                                                                                                                                                                                                      <w:divBdr>
                                                                                                                                                                                                                                                        <w:top w:val="none" w:sz="0" w:space="0" w:color="auto"/>
                                                                                                                                                                                                                                                        <w:left w:val="none" w:sz="0" w:space="0" w:color="auto"/>
                                                                                                                                                                                                                                                        <w:bottom w:val="none" w:sz="0" w:space="0" w:color="auto"/>
                                                                                                                                                                                                                                                        <w:right w:val="none" w:sz="0" w:space="0" w:color="auto"/>
                                                                                                                                                                                                                                                      </w:divBdr>
                                                                                                                                                                                                                                                      <w:divsChild>
                                                                                                                                                                                                                                                        <w:div w:id="191576970">
                                                                                                                                                                                                                                                          <w:marLeft w:val="0"/>
                                                                                                                                                                                                                                                          <w:marRight w:val="0"/>
                                                                                                                                                                                                                                                          <w:marTop w:val="0"/>
                                                                                                                                                                                                                                                          <w:marBottom w:val="0"/>
                                                                                                                                                                                                                                                          <w:divBdr>
                                                                                                                                                                                                                                                            <w:top w:val="none" w:sz="0" w:space="0" w:color="auto"/>
                                                                                                                                                                                                                                                            <w:left w:val="none" w:sz="0" w:space="0" w:color="auto"/>
                                                                                                                                                                                                                                                            <w:bottom w:val="none" w:sz="0" w:space="0" w:color="auto"/>
                                                                                                                                                                                                                                                            <w:right w:val="none" w:sz="0" w:space="0" w:color="auto"/>
                                                                                                                                                                                                                                                          </w:divBdr>
                                                                                                                                                                                                                                                          <w:divsChild>
                                                                                                                                                                                                                                                            <w:div w:id="1497115997">
                                                                                                                                                                                                                                                              <w:marLeft w:val="0"/>
                                                                                                                                                                                                                                                              <w:marRight w:val="0"/>
                                                                                                                                                                                                                                                              <w:marTop w:val="0"/>
                                                                                                                                                                                                                                                              <w:marBottom w:val="0"/>
                                                                                                                                                                                                                                                              <w:divBdr>
                                                                                                                                                                                                                                                                <w:top w:val="none" w:sz="0" w:space="0" w:color="auto"/>
                                                                                                                                                                                                                                                                <w:left w:val="none" w:sz="0" w:space="0" w:color="auto"/>
                                                                                                                                                                                                                                                                <w:bottom w:val="none" w:sz="0" w:space="0" w:color="auto"/>
                                                                                                                                                                                                                                                                <w:right w:val="none" w:sz="0" w:space="0" w:color="auto"/>
                                                                                                                                                                                                                                                              </w:divBdr>
                                                                                                                                                                                                                                                              <w:divsChild>
                                                                                                                                                                                                                                                                <w:div w:id="1832483992">
                                                                                                                                                                                                                                                                  <w:marLeft w:val="0"/>
                                                                                                                                                                                                                                                                  <w:marRight w:val="0"/>
                                                                                                                                                                                                                                                                  <w:marTop w:val="0"/>
                                                                                                                                                                                                                                                                  <w:marBottom w:val="0"/>
                                                                                                                                                                                                                                                                  <w:divBdr>
                                                                                                                                                                                                                                                                    <w:top w:val="none" w:sz="0" w:space="0" w:color="auto"/>
                                                                                                                                                                                                                                                                    <w:left w:val="none" w:sz="0" w:space="0" w:color="auto"/>
                                                                                                                                                                                                                                                                    <w:bottom w:val="none" w:sz="0" w:space="0" w:color="auto"/>
                                                                                                                                                                                                                                                                    <w:right w:val="none" w:sz="0" w:space="0" w:color="auto"/>
                                                                                                                                                                                                                                                                  </w:divBdr>
                                                                                                                                                                                                                                                                  <w:divsChild>
                                                                                                                                                                                                                                                                    <w:div w:id="225800411">
                                                                                                                                                                                                                                                                      <w:marLeft w:val="0"/>
                                                                                                                                                                                                                                                                      <w:marRight w:val="0"/>
                                                                                                                                                                                                                                                                      <w:marTop w:val="0"/>
                                                                                                                                                                                                                                                                      <w:marBottom w:val="0"/>
                                                                                                                                                                                                                                                                      <w:divBdr>
                                                                                                                                                                                                                                                                        <w:top w:val="none" w:sz="0" w:space="0" w:color="auto"/>
                                                                                                                                                                                                                                                                        <w:left w:val="none" w:sz="0" w:space="0" w:color="auto"/>
                                                                                                                                                                                                                                                                        <w:bottom w:val="none" w:sz="0" w:space="0" w:color="auto"/>
                                                                                                                                                                                                                                                                        <w:right w:val="none" w:sz="0" w:space="0" w:color="auto"/>
                                                                                                                                                                                                                                                                      </w:divBdr>
                                                                                                                                                                                                                                                                      <w:divsChild>
                                                                                                                                                                                                                                                                        <w:div w:id="1907495913">
                                                                                                                                                                                                                                                                          <w:marLeft w:val="0"/>
                                                                                                                                                                                                                                                                          <w:marRight w:val="0"/>
                                                                                                                                                                                                                                                                          <w:marTop w:val="0"/>
                                                                                                                                                                                                                                                                          <w:marBottom w:val="0"/>
                                                                                                                                                                                                                                                                          <w:divBdr>
                                                                                                                                                                                                                                                                            <w:top w:val="none" w:sz="0" w:space="0" w:color="auto"/>
                                                                                                                                                                                                                                                                            <w:left w:val="none" w:sz="0" w:space="0" w:color="auto"/>
                                                                                                                                                                                                                                                                            <w:bottom w:val="none" w:sz="0" w:space="0" w:color="auto"/>
                                                                                                                                                                                                                                                                            <w:right w:val="none" w:sz="0" w:space="0" w:color="auto"/>
                                                                                                                                                                                                                                                                          </w:divBdr>
                                                                                                                                                                                                                                                                          <w:divsChild>
                                                                                                                                                                                                                                                                            <w:div w:id="1930501603">
                                                                                                                                                                                                                                                                              <w:marLeft w:val="0"/>
                                                                                                                                                                                                                                                                              <w:marRight w:val="0"/>
                                                                                                                                                                                                                                                                              <w:marTop w:val="0"/>
                                                                                                                                                                                                                                                                              <w:marBottom w:val="0"/>
                                                                                                                                                                                                                                                                              <w:divBdr>
                                                                                                                                                                                                                                                                                <w:top w:val="none" w:sz="0" w:space="0" w:color="auto"/>
                                                                                                                                                                                                                                                                                <w:left w:val="none" w:sz="0" w:space="0" w:color="auto"/>
                                                                                                                                                                                                                                                                                <w:bottom w:val="none" w:sz="0" w:space="0" w:color="auto"/>
                                                                                                                                                                                                                                                                                <w:right w:val="none" w:sz="0" w:space="0" w:color="auto"/>
                                                                                                                                                                                                                                                                              </w:divBdr>
                                                                                                                                                                                                                                                                              <w:divsChild>
                                                                                                                                                                                                                                                                                <w:div w:id="12805534">
                                                                                                                                                                                                                                                                                  <w:marLeft w:val="0"/>
                                                                                                                                                                                                                                                                                  <w:marRight w:val="0"/>
                                                                                                                                                                                                                                                                                  <w:marTop w:val="0"/>
                                                                                                                                                                                                                                                                                  <w:marBottom w:val="0"/>
                                                                                                                                                                                                                                                                                  <w:divBdr>
                                                                                                                                                                                                                                                                                    <w:top w:val="none" w:sz="0" w:space="0" w:color="auto"/>
                                                                                                                                                                                                                                                                                    <w:left w:val="none" w:sz="0" w:space="0" w:color="auto"/>
                                                                                                                                                                                                                                                                                    <w:bottom w:val="none" w:sz="0" w:space="0" w:color="auto"/>
                                                                                                                                                                                                                                                                                    <w:right w:val="none" w:sz="0" w:space="0" w:color="auto"/>
                                                                                                                                                                                                                                                                                  </w:divBdr>
                                                                                                                                                                                                                                                                                  <w:divsChild>
                                                                                                                                                                                                                                                                                    <w:div w:id="1534421100">
                                                                                                                                                                                                                                                                                      <w:marLeft w:val="0"/>
                                                                                                                                                                                                                                                                                      <w:marRight w:val="0"/>
                                                                                                                                                                                                                                                                                      <w:marTop w:val="0"/>
                                                                                                                                                                                                                                                                                      <w:marBottom w:val="0"/>
                                                                                                                                                                                                                                                                                      <w:divBdr>
                                                                                                                                                                                                                                                                                        <w:top w:val="none" w:sz="0" w:space="0" w:color="auto"/>
                                                                                                                                                                                                                                                                                        <w:left w:val="none" w:sz="0" w:space="0" w:color="auto"/>
                                                                                                                                                                                                                                                                                        <w:bottom w:val="none" w:sz="0" w:space="0" w:color="auto"/>
                                                                                                                                                                                                                                                                                        <w:right w:val="none" w:sz="0" w:space="0" w:color="auto"/>
                                                                                                                                                                                                                                                                                      </w:divBdr>
                                                                                                                                                                                                                                                                                      <w:divsChild>
                                                                                                                                                                                                                                                                                        <w:div w:id="222446023">
                                                                                                                                                                                                                                                                                          <w:marLeft w:val="0"/>
                                                                                                                                                                                                                                                                                          <w:marRight w:val="0"/>
                                                                                                                                                                                                                                                                                          <w:marTop w:val="0"/>
                                                                                                                                                                                                                                                                                          <w:marBottom w:val="0"/>
                                                                                                                                                                                                                                                                                          <w:divBdr>
                                                                                                                                                                                                                                                                                            <w:top w:val="none" w:sz="0" w:space="0" w:color="auto"/>
                                                                                                                                                                                                                                                                                            <w:left w:val="none" w:sz="0" w:space="0" w:color="auto"/>
                                                                                                                                                                                                                                                                                            <w:bottom w:val="none" w:sz="0" w:space="0" w:color="auto"/>
                                                                                                                                                                                                                                                                                            <w:right w:val="none" w:sz="0" w:space="0" w:color="auto"/>
                                                                                                                                                                                                                                                                                          </w:divBdr>
                                                                                                                                                                                                                                                                                          <w:divsChild>
                                                                                                                                                                                                                                                                                            <w:div w:id="126629500">
                                                                                                                                                                                                                                                                                              <w:marLeft w:val="0"/>
                                                                                                                                                                                                                                                                                              <w:marRight w:val="0"/>
                                                                                                                                                                                                                                                                                              <w:marTop w:val="0"/>
                                                                                                                                                                                                                                                                                              <w:marBottom w:val="0"/>
                                                                                                                                                                                                                                                                                              <w:divBdr>
                                                                                                                                                                                                                                                                                                <w:top w:val="none" w:sz="0" w:space="0" w:color="auto"/>
                                                                                                                                                                                                                                                                                                <w:left w:val="none" w:sz="0" w:space="0" w:color="auto"/>
                                                                                                                                                                                                                                                                                                <w:bottom w:val="none" w:sz="0" w:space="0" w:color="auto"/>
                                                                                                                                                                                                                                                                                                <w:right w:val="none" w:sz="0" w:space="0" w:color="auto"/>
                                                                                                                                                                                                                                                                                              </w:divBdr>
                                                                                                                                                                                                                                                                                              <w:divsChild>
                                                                                                                                                                                                                                                                                                <w:div w:id="435448489">
                                                                                                                                                                                                                                                                                                  <w:marLeft w:val="0"/>
                                                                                                                                                                                                                                                                                                  <w:marRight w:val="0"/>
                                                                                                                                                                                                                                                                                                  <w:marTop w:val="0"/>
                                                                                                                                                                                                                                                                                                  <w:marBottom w:val="0"/>
                                                                                                                                                                                                                                                                                                  <w:divBdr>
                                                                                                                                                                                                                                                                                                    <w:top w:val="none" w:sz="0" w:space="0" w:color="auto"/>
                                                                                                                                                                                                                                                                                                    <w:left w:val="none" w:sz="0" w:space="0" w:color="auto"/>
                                                                                                                                                                                                                                                                                                    <w:bottom w:val="none" w:sz="0" w:space="0" w:color="auto"/>
                                                                                                                                                                                                                                                                                                    <w:right w:val="none" w:sz="0" w:space="0" w:color="auto"/>
                                                                                                                                                                                                                                                                                                  </w:divBdr>
                                                                                                                                                                                                                                                                                                  <w:divsChild>
                                                                                                                                                                                                                                                                                                    <w:div w:id="1098330363">
                                                                                                                                                                                                                                                                                                      <w:marLeft w:val="0"/>
                                                                                                                                                                                                                                                                                                      <w:marRight w:val="0"/>
                                                                                                                                                                                                                                                                                                      <w:marTop w:val="0"/>
                                                                                                                                                                                                                                                                                                      <w:marBottom w:val="0"/>
                                                                                                                                                                                                                                                                                                      <w:divBdr>
                                                                                                                                                                                                                                                                                                        <w:top w:val="none" w:sz="0" w:space="0" w:color="auto"/>
                                                                                                                                                                                                                                                                                                        <w:left w:val="none" w:sz="0" w:space="0" w:color="auto"/>
                                                                                                                                                                                                                                                                                                        <w:bottom w:val="none" w:sz="0" w:space="0" w:color="auto"/>
                                                                                                                                                                                                                                                                                                        <w:right w:val="none" w:sz="0" w:space="0" w:color="auto"/>
                                                                                                                                                                                                                                                                                                      </w:divBdr>
                                                                                                                                                                                                                                                                                                      <w:divsChild>
                                                                                                                                                                                                                                                                                                        <w:div w:id="496729257">
                                                                                                                                                                                                                                                                                                          <w:marLeft w:val="0"/>
                                                                                                                                                                                                                                                                                                          <w:marRight w:val="0"/>
                                                                                                                                                                                                                                                                                                          <w:marTop w:val="0"/>
                                                                                                                                                                                                                                                                                                          <w:marBottom w:val="0"/>
                                                                                                                                                                                                                                                                                                          <w:divBdr>
                                                                                                                                                                                                                                                                                                            <w:top w:val="none" w:sz="0" w:space="0" w:color="auto"/>
                                                                                                                                                                                                                                                                                                            <w:left w:val="none" w:sz="0" w:space="0" w:color="auto"/>
                                                                                                                                                                                                                                                                                                            <w:bottom w:val="none" w:sz="0" w:space="0" w:color="auto"/>
                                                                                                                                                                                                                                                                                                            <w:right w:val="none" w:sz="0" w:space="0" w:color="auto"/>
                                                                                                                                                                                                                                                                                                          </w:divBdr>
                                                                                                                                                                                                                                                                                                          <w:divsChild>
                                                                                                                                                                                                                                                                                                            <w:div w:id="741877828">
                                                                                                                                                                                                                                                                                                              <w:marLeft w:val="0"/>
                                                                                                                                                                                                                                                                                                              <w:marRight w:val="0"/>
                                                                                                                                                                                                                                                                                                              <w:marTop w:val="0"/>
                                                                                                                                                                                                                                                                                                              <w:marBottom w:val="0"/>
                                                                                                                                                                                                                                                                                                              <w:divBdr>
                                                                                                                                                                                                                                                                                                                <w:top w:val="none" w:sz="0" w:space="0" w:color="auto"/>
                                                                                                                                                                                                                                                                                                                <w:left w:val="none" w:sz="0" w:space="0" w:color="auto"/>
                                                                                                                                                                                                                                                                                                                <w:bottom w:val="none" w:sz="0" w:space="0" w:color="auto"/>
                                                                                                                                                                                                                                                                                                                <w:right w:val="none" w:sz="0" w:space="0" w:color="auto"/>
                                                                                                                                                                                                                                                                                                              </w:divBdr>
                                                                                                                                                                                                                                                                                                              <w:divsChild>
                                                                                                                                                                                                                                                                                                                <w:div w:id="798767098">
                                                                                                                                                                                                                                                                                                                  <w:marLeft w:val="0"/>
                                                                                                                                                                                                                                                                                                                  <w:marRight w:val="0"/>
                                                                                                                                                                                                                                                                                                                  <w:marTop w:val="0"/>
                                                                                                                                                                                                                                                                                                                  <w:marBottom w:val="0"/>
                                                                                                                                                                                                                                                                                                                  <w:divBdr>
                                                                                                                                                                                                                                                                                                                    <w:top w:val="none" w:sz="0" w:space="0" w:color="auto"/>
                                                                                                                                                                                                                                                                                                                    <w:left w:val="none" w:sz="0" w:space="0" w:color="auto"/>
                                                                                                                                                                                                                                                                                                                    <w:bottom w:val="none" w:sz="0" w:space="0" w:color="auto"/>
                                                                                                                                                                                                                                                                                                                    <w:right w:val="none" w:sz="0" w:space="0" w:color="auto"/>
                                                                                                                                                                                                                                                                                                                  </w:divBdr>
                                                                                                                                                                                                                                                                                                                  <w:divsChild>
                                                                                                                                                                                                                                                                                                                    <w:div w:id="1650597834">
                                                                                                                                                                                                                                                                                                                      <w:marLeft w:val="0"/>
                                                                                                                                                                                                                                                                                                                      <w:marRight w:val="0"/>
                                                                                                                                                                                                                                                                                                                      <w:marTop w:val="0"/>
                                                                                                                                                                                                                                                                                                                      <w:marBottom w:val="0"/>
                                                                                                                                                                                                                                                                                                                      <w:divBdr>
                                                                                                                                                                                                                                                                                                                        <w:top w:val="none" w:sz="0" w:space="0" w:color="auto"/>
                                                                                                                                                                                                                                                                                                                        <w:left w:val="none" w:sz="0" w:space="0" w:color="auto"/>
                                                                                                                                                                                                                                                                                                                        <w:bottom w:val="none" w:sz="0" w:space="0" w:color="auto"/>
                                                                                                                                                                                                                                                                                                                        <w:right w:val="none" w:sz="0" w:space="0" w:color="auto"/>
                                                                                                                                                                                                                                                                                                                      </w:divBdr>
                                                                                                                                                                                                                                                                                                                      <w:divsChild>
                                                                                                                                                                                                                                                                                                                        <w:div w:id="1438452393">
                                                                                                                                                                                                                                                                                                                          <w:marLeft w:val="0"/>
                                                                                                                                                                                                                                                                                                                          <w:marRight w:val="0"/>
                                                                                                                                                                                                                                                                                                                          <w:marTop w:val="0"/>
                                                                                                                                                                                                                                                                                                                          <w:marBottom w:val="0"/>
                                                                                                                                                                                                                                                                                                                          <w:divBdr>
                                                                                                                                                                                                                                                                                                                            <w:top w:val="none" w:sz="0" w:space="0" w:color="auto"/>
                                                                                                                                                                                                                                                                                                                            <w:left w:val="none" w:sz="0" w:space="0" w:color="auto"/>
                                                                                                                                                                                                                                                                                                                            <w:bottom w:val="none" w:sz="0" w:space="0" w:color="auto"/>
                                                                                                                                                                                                                                                                                                                            <w:right w:val="none" w:sz="0" w:space="0" w:color="auto"/>
                                                                                                                                                                                                                                                                                                                          </w:divBdr>
                                                                                                                                                                                                                                                                                                                          <w:divsChild>
                                                                                                                                                                                                                                                                                                                            <w:div w:id="1762986529">
                                                                                                                                                                                                                                                                                                                              <w:marLeft w:val="0"/>
                                                                                                                                                                                                                                                                                                                              <w:marRight w:val="0"/>
                                                                                                                                                                                                                                                                                                                              <w:marTop w:val="0"/>
                                                                                                                                                                                                                                                                                                                              <w:marBottom w:val="0"/>
                                                                                                                                                                                                                                                                                                                              <w:divBdr>
                                                                                                                                                                                                                                                                                                                                <w:top w:val="none" w:sz="0" w:space="0" w:color="auto"/>
                                                                                                                                                                                                                                                                                                                                <w:left w:val="none" w:sz="0" w:space="0" w:color="auto"/>
                                                                                                                                                                                                                                                                                                                                <w:bottom w:val="none" w:sz="0" w:space="0" w:color="auto"/>
                                                                                                                                                                                                                                                                                                                                <w:right w:val="none" w:sz="0" w:space="0" w:color="auto"/>
                                                                                                                                                                                                                                                                                                                              </w:divBdr>
                                                                                                                                                                                                                                                                                                                              <w:divsChild>
                                                                                                                                                                                                                                                                                                                                <w:div w:id="1826967726">
                                                                                                                                                                                                                                                                                                                                  <w:marLeft w:val="0"/>
                                                                                                                                                                                                                                                                                                                                  <w:marRight w:val="0"/>
                                                                                                                                                                                                                                                                                                                                  <w:marTop w:val="0"/>
                                                                                                                                                                                                                                                                                                                                  <w:marBottom w:val="0"/>
                                                                                                                                                                                                                                                                                                                                  <w:divBdr>
                                                                                                                                                                                                                                                                                                                                    <w:top w:val="none" w:sz="0" w:space="0" w:color="auto"/>
                                                                                                                                                                                                                                                                                                                                    <w:left w:val="none" w:sz="0" w:space="0" w:color="auto"/>
                                                                                                                                                                                                                                                                                                                                    <w:bottom w:val="none" w:sz="0" w:space="0" w:color="auto"/>
                                                                                                                                                                                                                                                                                                                                    <w:right w:val="none" w:sz="0" w:space="0" w:color="auto"/>
                                                                                                                                                                                                                                                                                                                                  </w:divBdr>
                                                                                                                                                                                                                                                                                                                                  <w:divsChild>
                                                                                                                                                                                                                                                                                                                                    <w:div w:id="658391108">
                                                                                                                                                                                                                                                                                                                                      <w:marLeft w:val="0"/>
                                                                                                                                                                                                                                                                                                                                      <w:marRight w:val="0"/>
                                                                                                                                                                                                                                                                                                                                      <w:marTop w:val="0"/>
                                                                                                                                                                                                                                                                                                                                      <w:marBottom w:val="0"/>
                                                                                                                                                                                                                                                                                                                                      <w:divBdr>
                                                                                                                                                                                                                                                                                                                                        <w:top w:val="none" w:sz="0" w:space="0" w:color="auto"/>
                                                                                                                                                                                                                                                                                                                                        <w:left w:val="none" w:sz="0" w:space="0" w:color="auto"/>
                                                                                                                                                                                                                                                                                                                                        <w:bottom w:val="none" w:sz="0" w:space="0" w:color="auto"/>
                                                                                                                                                                                                                                                                                                                                        <w:right w:val="none" w:sz="0" w:space="0" w:color="auto"/>
                                                                                                                                                                                                                                                                                                                                      </w:divBdr>
                                                                                                                                                                                                                                                                                                                                      <w:divsChild>
                                                                                                                                                                                                                                                                                                                                        <w:div w:id="644238510">
                                                                                                                                                                                                                                                                                                                                          <w:marLeft w:val="0"/>
                                                                                                                                                                                                                                                                                                                                          <w:marRight w:val="0"/>
                                                                                                                                                                                                                                                                                                                                          <w:marTop w:val="0"/>
                                                                                                                                                                                                                                                                                                                                          <w:marBottom w:val="0"/>
                                                                                                                                                                                                                                                                                                                                          <w:divBdr>
                                                                                                                                                                                                                                                                                                                                            <w:top w:val="none" w:sz="0" w:space="0" w:color="auto"/>
                                                                                                                                                                                                                                                                                                                                            <w:left w:val="none" w:sz="0" w:space="0" w:color="auto"/>
                                                                                                                                                                                                                                                                                                                                            <w:bottom w:val="none" w:sz="0" w:space="0" w:color="auto"/>
                                                                                                                                                                                                                                                                                                                                            <w:right w:val="none" w:sz="0" w:space="0" w:color="auto"/>
                                                                                                                                                                                                                                                                                                                                          </w:divBdr>
                                                                                                                                                                                                                                                                                                                                          <w:divsChild>
                                                                                                                                                                                                                                                                                                                                            <w:div w:id="1265267773">
                                                                                                                                                                                                                                                                                                                                              <w:marLeft w:val="0"/>
                                                                                                                                                                                                                                                                                                                                              <w:marRight w:val="0"/>
                                                                                                                                                                                                                                                                                                                                              <w:marTop w:val="0"/>
                                                                                                                                                                                                                                                                                                                                              <w:marBottom w:val="0"/>
                                                                                                                                                                                                                                                                                                                                              <w:divBdr>
                                                                                                                                                                                                                                                                                                                                                <w:top w:val="none" w:sz="0" w:space="0" w:color="auto"/>
                                                                                                                                                                                                                                                                                                                                                <w:left w:val="none" w:sz="0" w:space="0" w:color="auto"/>
                                                                                                                                                                                                                                                                                                                                                <w:bottom w:val="none" w:sz="0" w:space="0" w:color="auto"/>
                                                                                                                                                                                                                                                                                                                                                <w:right w:val="none" w:sz="0" w:space="0" w:color="auto"/>
                                                                                                                                                                                                                                                                                                                                              </w:divBdr>
                                                                                                                                                                                                                                                                                                                                              <w:divsChild>
                                                                                                                                                                                                                                                                                                                                                <w:div w:id="166215013">
                                                                                                                                                                                                                                                                                                                                                  <w:marLeft w:val="0"/>
                                                                                                                                                                                                                                                                                                                                                  <w:marRight w:val="0"/>
                                                                                                                                                                                                                                                                                                                                                  <w:marTop w:val="0"/>
                                                                                                                                                                                                                                                                                                                                                  <w:marBottom w:val="0"/>
                                                                                                                                                                                                                                                                                                                                                  <w:divBdr>
                                                                                                                                                                                                                                                                                                                                                    <w:top w:val="none" w:sz="0" w:space="0" w:color="auto"/>
                                                                                                                                                                                                                                                                                                                                                    <w:left w:val="none" w:sz="0" w:space="0" w:color="auto"/>
                                                                                                                                                                                                                                                                                                                                                    <w:bottom w:val="none" w:sz="0" w:space="0" w:color="auto"/>
                                                                                                                                                                                                                                                                                                                                                    <w:right w:val="none" w:sz="0" w:space="0" w:color="auto"/>
                                                                                                                                                                                                                                                                                                                                                  </w:divBdr>
                                                                                                                                                                                                                                                                                                                                                  <w:divsChild>
                                                                                                                                                                                                                                                                                                                                                    <w:div w:id="728461318">
                                                                                                                                                                                                                                                                                                                                                      <w:marLeft w:val="0"/>
                                                                                                                                                                                                                                                                                                                                                      <w:marRight w:val="0"/>
                                                                                                                                                                                                                                                                                                                                                      <w:marTop w:val="0"/>
                                                                                                                                                                                                                                                                                                                                                      <w:marBottom w:val="0"/>
                                                                                                                                                                                                                                                                                                                                                      <w:divBdr>
                                                                                                                                                                                                                                                                                                                                                        <w:top w:val="none" w:sz="0" w:space="0" w:color="auto"/>
                                                                                                                                                                                                                                                                                                                                                        <w:left w:val="none" w:sz="0" w:space="0" w:color="auto"/>
                                                                                                                                                                                                                                                                                                                                                        <w:bottom w:val="none" w:sz="0" w:space="0" w:color="auto"/>
                                                                                                                                                                                                                                                                                                                                                        <w:right w:val="none" w:sz="0" w:space="0" w:color="auto"/>
                                                                                                                                                                                                                                                                                                                                                      </w:divBdr>
                                                                                                                                                                                                                                                                                                                                                      <w:divsChild>
                                                                                                                                                                                                                                                                                                                                                        <w:div w:id="646058601">
                                                                                                                                                                                                                                                                                                                                                          <w:marLeft w:val="0"/>
                                                                                                                                                                                                                                                                                                                                                          <w:marRight w:val="0"/>
                                                                                                                                                                                                                                                                                                                                                          <w:marTop w:val="0"/>
                                                                                                                                                                                                                                                                                                                                                          <w:marBottom w:val="0"/>
                                                                                                                                                                                                                                                                                                                                                          <w:divBdr>
                                                                                                                                                                                                                                                                                                                                                            <w:top w:val="none" w:sz="0" w:space="0" w:color="auto"/>
                                                                                                                                                                                                                                                                                                                                                            <w:left w:val="none" w:sz="0" w:space="0" w:color="auto"/>
                                                                                                                                                                                                                                                                                                                                                            <w:bottom w:val="none" w:sz="0" w:space="0" w:color="auto"/>
                                                                                                                                                                                                                                                                                                                                                            <w:right w:val="none" w:sz="0" w:space="0" w:color="auto"/>
                                                                                                                                                                                                                                                                                                                                                          </w:divBdr>
                                                                                                                                                                                                                                                                                                                                                          <w:divsChild>
                                                                                                                                                                                                                                                                                                                                                            <w:div w:id="1711224758">
                                                                                                                                                                                                                                                                                                                                                              <w:marLeft w:val="0"/>
                                                                                                                                                                                                                                                                                                                                                              <w:marRight w:val="0"/>
                                                                                                                                                                                                                                                                                                                                                              <w:marTop w:val="0"/>
                                                                                                                                                                                                                                                                                                                                                              <w:marBottom w:val="0"/>
                                                                                                                                                                                                                                                                                                                                                              <w:divBdr>
                                                                                                                                                                                                                                                                                                                                                                <w:top w:val="none" w:sz="0" w:space="0" w:color="auto"/>
                                                                                                                                                                                                                                                                                                                                                                <w:left w:val="none" w:sz="0" w:space="0" w:color="auto"/>
                                                                                                                                                                                                                                                                                                                                                                <w:bottom w:val="none" w:sz="0" w:space="0" w:color="auto"/>
                                                                                                                                                                                                                                                                                                                                                                <w:right w:val="none" w:sz="0" w:space="0" w:color="auto"/>
                                                                                                                                                                                                                                                                                                                                                              </w:divBdr>
                                                                                                                                                                                                                                                                                                                                                              <w:divsChild>
                                                                                                                                                                                                                                                                                                                                                                <w:div w:id="17485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845708">
                                                                                                                                                                              <w:marLeft w:val="0"/>
                                                                                                                                                                              <w:marRight w:val="0"/>
                                                                                                                                                                              <w:marTop w:val="0"/>
                                                                                                                                                                              <w:marBottom w:val="0"/>
                                                                                                                                                                              <w:divBdr>
                                                                                                                                                                                <w:top w:val="none" w:sz="0" w:space="0" w:color="auto"/>
                                                                                                                                                                                <w:left w:val="none" w:sz="0" w:space="0" w:color="auto"/>
                                                                                                                                                                                <w:bottom w:val="none" w:sz="0" w:space="0" w:color="auto"/>
                                                                                                                                                                                <w:right w:val="none" w:sz="0" w:space="0" w:color="auto"/>
                                                                                                                                                                              </w:divBdr>
                                                                                                                                                                            </w:div>
                                                                                                                                                                          </w:divsChild>
                                                                                                                                                                        </w:div>
                                                                                                                                                                        <w:div w:id="1414743275">
                                                                                                                                                                          <w:marLeft w:val="0"/>
                                                                                                                                                                          <w:marRight w:val="0"/>
                                                                                                                                                                          <w:marTop w:val="0"/>
                                                                                                                                                                          <w:marBottom w:val="0"/>
                                                                                                                                                                          <w:divBdr>
                                                                                                                                                                            <w:top w:val="none" w:sz="0" w:space="0" w:color="auto"/>
                                                                                                                                                                            <w:left w:val="none" w:sz="0" w:space="0" w:color="auto"/>
                                                                                                                                                                            <w:bottom w:val="none" w:sz="0" w:space="0" w:color="auto"/>
                                                                                                                                                                            <w:right w:val="none" w:sz="0" w:space="0" w:color="auto"/>
                                                                                                                                                                          </w:divBdr>
                                                                                                                                                                        </w:div>
                                                                                                                                                                      </w:divsChild>
                                                                                                                                                                    </w:div>
                                                                                                                                                                    <w:div w:id="466969562">
                                                                                                                                                                      <w:marLeft w:val="0"/>
                                                                                                                                                                      <w:marRight w:val="0"/>
                                                                                                                                                                      <w:marTop w:val="0"/>
                                                                                                                                                                      <w:marBottom w:val="0"/>
                                                                                                                                                                      <w:divBdr>
                                                                                                                                                                        <w:top w:val="none" w:sz="0" w:space="0" w:color="auto"/>
                                                                                                                                                                        <w:left w:val="none" w:sz="0" w:space="0" w:color="auto"/>
                                                                                                                                                                        <w:bottom w:val="none" w:sz="0" w:space="0" w:color="auto"/>
                                                                                                                                                                        <w:right w:val="none" w:sz="0" w:space="0" w:color="auto"/>
                                                                                                                                                                      </w:divBdr>
                                                                                                                                                                    </w:div>
                                                                                                                                                                  </w:divsChild>
                                                                                                                                                                </w:div>
                                                                                                                                                                <w:div w:id="791285231">
                                                                                                                                                                  <w:marLeft w:val="0"/>
                                                                                                                                                                  <w:marRight w:val="0"/>
                                                                                                                                                                  <w:marTop w:val="0"/>
                                                                                                                                                                  <w:marBottom w:val="0"/>
                                                                                                                                                                  <w:divBdr>
                                                                                                                                                                    <w:top w:val="none" w:sz="0" w:space="0" w:color="auto"/>
                                                                                                                                                                    <w:left w:val="none" w:sz="0" w:space="0" w:color="auto"/>
                                                                                                                                                                    <w:bottom w:val="none" w:sz="0" w:space="0" w:color="auto"/>
                                                                                                                                                                    <w:right w:val="none" w:sz="0" w:space="0" w:color="auto"/>
                                                                                                                                                                  </w:divBdr>
                                                                                                                                                                </w:div>
                                                                                                                                                              </w:divsChild>
                                                                                                                                                            </w:div>
                                                                                                                                                            <w:div w:id="1750078729">
                                                                                                                                                              <w:marLeft w:val="0"/>
                                                                                                                                                              <w:marRight w:val="0"/>
                                                                                                                                                              <w:marTop w:val="0"/>
                                                                                                                                                              <w:marBottom w:val="0"/>
                                                                                                                                                              <w:divBdr>
                                                                                                                                                                <w:top w:val="none" w:sz="0" w:space="0" w:color="auto"/>
                                                                                                                                                                <w:left w:val="none" w:sz="0" w:space="0" w:color="auto"/>
                                                                                                                                                                <w:bottom w:val="none" w:sz="0" w:space="0" w:color="auto"/>
                                                                                                                                                                <w:right w:val="none" w:sz="0" w:space="0" w:color="auto"/>
                                                                                                                                                              </w:divBdr>
                                                                                                                                                            </w:div>
                                                                                                                                                          </w:divsChild>
                                                                                                                                                        </w:div>
                                                                                                                                                        <w:div w:id="219177675">
                                                                                                                                                          <w:marLeft w:val="0"/>
                                                                                                                                                          <w:marRight w:val="0"/>
                                                                                                                                                          <w:marTop w:val="0"/>
                                                                                                                                                          <w:marBottom w:val="0"/>
                                                                                                                                                          <w:divBdr>
                                                                                                                                                            <w:top w:val="none" w:sz="0" w:space="0" w:color="auto"/>
                                                                                                                                                            <w:left w:val="none" w:sz="0" w:space="0" w:color="auto"/>
                                                                                                                                                            <w:bottom w:val="none" w:sz="0" w:space="0" w:color="auto"/>
                                                                                                                                                            <w:right w:val="none" w:sz="0" w:space="0" w:color="auto"/>
                                                                                                                                                          </w:divBdr>
                                                                                                                                                        </w:div>
                                                                                                                                                      </w:divsChild>
                                                                                                                                                    </w:div>
                                                                                                                                                    <w:div w:id="1129854660">
                                                                                                                                                      <w:marLeft w:val="0"/>
                                                                                                                                                      <w:marRight w:val="0"/>
                                                                                                                                                      <w:marTop w:val="0"/>
                                                                                                                                                      <w:marBottom w:val="0"/>
                                                                                                                                                      <w:divBdr>
                                                                                                                                                        <w:top w:val="none" w:sz="0" w:space="0" w:color="auto"/>
                                                                                                                                                        <w:left w:val="none" w:sz="0" w:space="0" w:color="auto"/>
                                                                                                                                                        <w:bottom w:val="none" w:sz="0" w:space="0" w:color="auto"/>
                                                                                                                                                        <w:right w:val="none" w:sz="0" w:space="0" w:color="auto"/>
                                                                                                                                                      </w:divBdr>
                                                                                                                                                    </w:div>
                                                                                                                                                    <w:div w:id="1895040507">
                                                                                                                                                      <w:marLeft w:val="0"/>
                                                                                                                                                      <w:marRight w:val="0"/>
                                                                                                                                                      <w:marTop w:val="0"/>
                                                                                                                                                      <w:marBottom w:val="0"/>
                                                                                                                                                      <w:divBdr>
                                                                                                                                                        <w:top w:val="none" w:sz="0" w:space="0" w:color="auto"/>
                                                                                                                                                        <w:left w:val="none" w:sz="0" w:space="0" w:color="auto"/>
                                                                                                                                                        <w:bottom w:val="none" w:sz="0" w:space="0" w:color="auto"/>
                                                                                                                                                        <w:right w:val="none" w:sz="0" w:space="0" w:color="auto"/>
                                                                                                                                                      </w:divBdr>
                                                                                                                                                    </w:div>
                                                                                                                                                  </w:divsChild>
                                                                                                                                                </w:div>
                                                                                                                                                <w:div w:id="575897523">
                                                                                                                                                  <w:marLeft w:val="0"/>
                                                                                                                                                  <w:marRight w:val="0"/>
                                                                                                                                                  <w:marTop w:val="0"/>
                                                                                                                                                  <w:marBottom w:val="0"/>
                                                                                                                                                  <w:divBdr>
                                                                                                                                                    <w:top w:val="none" w:sz="0" w:space="0" w:color="auto"/>
                                                                                                                                                    <w:left w:val="none" w:sz="0" w:space="0" w:color="auto"/>
                                                                                                                                                    <w:bottom w:val="none" w:sz="0" w:space="0" w:color="auto"/>
                                                                                                                                                    <w:right w:val="none" w:sz="0" w:space="0" w:color="auto"/>
                                                                                                                                                  </w:divBdr>
                                                                                                                                                </w:div>
                                                                                                                                                <w:div w:id="168640781">
                                                                                                                                                  <w:marLeft w:val="0"/>
                                                                                                                                                  <w:marRight w:val="0"/>
                                                                                                                                                  <w:marTop w:val="0"/>
                                                                                                                                                  <w:marBottom w:val="0"/>
                                                                                                                                                  <w:divBdr>
                                                                                                                                                    <w:top w:val="none" w:sz="0" w:space="0" w:color="auto"/>
                                                                                                                                                    <w:left w:val="none" w:sz="0" w:space="0" w:color="auto"/>
                                                                                                                                                    <w:bottom w:val="none" w:sz="0" w:space="0" w:color="auto"/>
                                                                                                                                                    <w:right w:val="none" w:sz="0" w:space="0" w:color="auto"/>
                                                                                                                                                  </w:divBdr>
                                                                                                                                                </w:div>
                                                                                                                                              </w:divsChild>
                                                                                                                                            </w:div>
                                                                                                                                            <w:div w:id="118328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4711817">
      <w:bodyDiv w:val="1"/>
      <w:marLeft w:val="0"/>
      <w:marRight w:val="0"/>
      <w:marTop w:val="0"/>
      <w:marBottom w:val="0"/>
      <w:divBdr>
        <w:top w:val="none" w:sz="0" w:space="0" w:color="auto"/>
        <w:left w:val="none" w:sz="0" w:space="0" w:color="auto"/>
        <w:bottom w:val="none" w:sz="0" w:space="0" w:color="auto"/>
        <w:right w:val="none" w:sz="0" w:space="0" w:color="auto"/>
      </w:divBdr>
    </w:div>
    <w:div w:id="865143150">
      <w:bodyDiv w:val="1"/>
      <w:marLeft w:val="0"/>
      <w:marRight w:val="0"/>
      <w:marTop w:val="0"/>
      <w:marBottom w:val="0"/>
      <w:divBdr>
        <w:top w:val="none" w:sz="0" w:space="0" w:color="auto"/>
        <w:left w:val="none" w:sz="0" w:space="0" w:color="auto"/>
        <w:bottom w:val="none" w:sz="0" w:space="0" w:color="auto"/>
        <w:right w:val="none" w:sz="0" w:space="0" w:color="auto"/>
      </w:divBdr>
      <w:divsChild>
        <w:div w:id="1419522209">
          <w:marLeft w:val="0"/>
          <w:marRight w:val="0"/>
          <w:marTop w:val="0"/>
          <w:marBottom w:val="0"/>
          <w:divBdr>
            <w:top w:val="none" w:sz="0" w:space="0" w:color="auto"/>
            <w:left w:val="none" w:sz="0" w:space="0" w:color="auto"/>
            <w:bottom w:val="none" w:sz="0" w:space="0" w:color="auto"/>
            <w:right w:val="none" w:sz="0" w:space="0" w:color="auto"/>
          </w:divBdr>
          <w:divsChild>
            <w:div w:id="482770931">
              <w:marLeft w:val="0"/>
              <w:marRight w:val="0"/>
              <w:marTop w:val="0"/>
              <w:marBottom w:val="0"/>
              <w:divBdr>
                <w:top w:val="none" w:sz="0" w:space="0" w:color="auto"/>
                <w:left w:val="none" w:sz="0" w:space="0" w:color="auto"/>
                <w:bottom w:val="none" w:sz="0" w:space="0" w:color="auto"/>
                <w:right w:val="none" w:sz="0" w:space="0" w:color="auto"/>
              </w:divBdr>
            </w:div>
            <w:div w:id="525872968">
              <w:marLeft w:val="0"/>
              <w:marRight w:val="0"/>
              <w:marTop w:val="0"/>
              <w:marBottom w:val="0"/>
              <w:divBdr>
                <w:top w:val="none" w:sz="0" w:space="0" w:color="auto"/>
                <w:left w:val="none" w:sz="0" w:space="0" w:color="auto"/>
                <w:bottom w:val="none" w:sz="0" w:space="0" w:color="auto"/>
                <w:right w:val="none" w:sz="0" w:space="0" w:color="auto"/>
              </w:divBdr>
            </w:div>
            <w:div w:id="579607129">
              <w:marLeft w:val="0"/>
              <w:marRight w:val="0"/>
              <w:marTop w:val="0"/>
              <w:marBottom w:val="0"/>
              <w:divBdr>
                <w:top w:val="none" w:sz="0" w:space="0" w:color="auto"/>
                <w:left w:val="none" w:sz="0" w:space="0" w:color="auto"/>
                <w:bottom w:val="none" w:sz="0" w:space="0" w:color="auto"/>
                <w:right w:val="none" w:sz="0" w:space="0" w:color="auto"/>
              </w:divBdr>
            </w:div>
            <w:div w:id="606699484">
              <w:marLeft w:val="0"/>
              <w:marRight w:val="0"/>
              <w:marTop w:val="0"/>
              <w:marBottom w:val="0"/>
              <w:divBdr>
                <w:top w:val="none" w:sz="0" w:space="0" w:color="auto"/>
                <w:left w:val="none" w:sz="0" w:space="0" w:color="auto"/>
                <w:bottom w:val="none" w:sz="0" w:space="0" w:color="auto"/>
                <w:right w:val="none" w:sz="0" w:space="0" w:color="auto"/>
              </w:divBdr>
            </w:div>
            <w:div w:id="663553947">
              <w:marLeft w:val="0"/>
              <w:marRight w:val="0"/>
              <w:marTop w:val="0"/>
              <w:marBottom w:val="0"/>
              <w:divBdr>
                <w:top w:val="none" w:sz="0" w:space="0" w:color="auto"/>
                <w:left w:val="none" w:sz="0" w:space="0" w:color="auto"/>
                <w:bottom w:val="none" w:sz="0" w:space="0" w:color="auto"/>
                <w:right w:val="none" w:sz="0" w:space="0" w:color="auto"/>
              </w:divBdr>
            </w:div>
            <w:div w:id="727145500">
              <w:marLeft w:val="0"/>
              <w:marRight w:val="0"/>
              <w:marTop w:val="0"/>
              <w:marBottom w:val="0"/>
              <w:divBdr>
                <w:top w:val="none" w:sz="0" w:space="0" w:color="auto"/>
                <w:left w:val="none" w:sz="0" w:space="0" w:color="auto"/>
                <w:bottom w:val="none" w:sz="0" w:space="0" w:color="auto"/>
                <w:right w:val="none" w:sz="0" w:space="0" w:color="auto"/>
              </w:divBdr>
            </w:div>
            <w:div w:id="899099995">
              <w:marLeft w:val="0"/>
              <w:marRight w:val="0"/>
              <w:marTop w:val="0"/>
              <w:marBottom w:val="0"/>
              <w:divBdr>
                <w:top w:val="none" w:sz="0" w:space="0" w:color="auto"/>
                <w:left w:val="none" w:sz="0" w:space="0" w:color="auto"/>
                <w:bottom w:val="none" w:sz="0" w:space="0" w:color="auto"/>
                <w:right w:val="none" w:sz="0" w:space="0" w:color="auto"/>
              </w:divBdr>
            </w:div>
            <w:div w:id="973366210">
              <w:marLeft w:val="0"/>
              <w:marRight w:val="0"/>
              <w:marTop w:val="0"/>
              <w:marBottom w:val="0"/>
              <w:divBdr>
                <w:top w:val="none" w:sz="0" w:space="0" w:color="auto"/>
                <w:left w:val="none" w:sz="0" w:space="0" w:color="auto"/>
                <w:bottom w:val="none" w:sz="0" w:space="0" w:color="auto"/>
                <w:right w:val="none" w:sz="0" w:space="0" w:color="auto"/>
              </w:divBdr>
            </w:div>
            <w:div w:id="1071123865">
              <w:marLeft w:val="0"/>
              <w:marRight w:val="0"/>
              <w:marTop w:val="0"/>
              <w:marBottom w:val="0"/>
              <w:divBdr>
                <w:top w:val="none" w:sz="0" w:space="0" w:color="auto"/>
                <w:left w:val="none" w:sz="0" w:space="0" w:color="auto"/>
                <w:bottom w:val="none" w:sz="0" w:space="0" w:color="auto"/>
                <w:right w:val="none" w:sz="0" w:space="0" w:color="auto"/>
              </w:divBdr>
            </w:div>
            <w:div w:id="1096176380">
              <w:marLeft w:val="0"/>
              <w:marRight w:val="0"/>
              <w:marTop w:val="0"/>
              <w:marBottom w:val="0"/>
              <w:divBdr>
                <w:top w:val="none" w:sz="0" w:space="0" w:color="auto"/>
                <w:left w:val="none" w:sz="0" w:space="0" w:color="auto"/>
                <w:bottom w:val="none" w:sz="0" w:space="0" w:color="auto"/>
                <w:right w:val="none" w:sz="0" w:space="0" w:color="auto"/>
              </w:divBdr>
            </w:div>
            <w:div w:id="1197086191">
              <w:marLeft w:val="0"/>
              <w:marRight w:val="0"/>
              <w:marTop w:val="0"/>
              <w:marBottom w:val="0"/>
              <w:divBdr>
                <w:top w:val="none" w:sz="0" w:space="0" w:color="auto"/>
                <w:left w:val="none" w:sz="0" w:space="0" w:color="auto"/>
                <w:bottom w:val="none" w:sz="0" w:space="0" w:color="auto"/>
                <w:right w:val="none" w:sz="0" w:space="0" w:color="auto"/>
              </w:divBdr>
            </w:div>
            <w:div w:id="1216428254">
              <w:marLeft w:val="0"/>
              <w:marRight w:val="0"/>
              <w:marTop w:val="0"/>
              <w:marBottom w:val="0"/>
              <w:divBdr>
                <w:top w:val="none" w:sz="0" w:space="0" w:color="auto"/>
                <w:left w:val="none" w:sz="0" w:space="0" w:color="auto"/>
                <w:bottom w:val="none" w:sz="0" w:space="0" w:color="auto"/>
                <w:right w:val="none" w:sz="0" w:space="0" w:color="auto"/>
              </w:divBdr>
            </w:div>
            <w:div w:id="1282614998">
              <w:marLeft w:val="0"/>
              <w:marRight w:val="0"/>
              <w:marTop w:val="0"/>
              <w:marBottom w:val="0"/>
              <w:divBdr>
                <w:top w:val="none" w:sz="0" w:space="0" w:color="auto"/>
                <w:left w:val="none" w:sz="0" w:space="0" w:color="auto"/>
                <w:bottom w:val="none" w:sz="0" w:space="0" w:color="auto"/>
                <w:right w:val="none" w:sz="0" w:space="0" w:color="auto"/>
              </w:divBdr>
            </w:div>
            <w:div w:id="1647393674">
              <w:marLeft w:val="0"/>
              <w:marRight w:val="0"/>
              <w:marTop w:val="0"/>
              <w:marBottom w:val="0"/>
              <w:divBdr>
                <w:top w:val="none" w:sz="0" w:space="0" w:color="auto"/>
                <w:left w:val="none" w:sz="0" w:space="0" w:color="auto"/>
                <w:bottom w:val="none" w:sz="0" w:space="0" w:color="auto"/>
                <w:right w:val="none" w:sz="0" w:space="0" w:color="auto"/>
              </w:divBdr>
            </w:div>
            <w:div w:id="1838574750">
              <w:marLeft w:val="0"/>
              <w:marRight w:val="0"/>
              <w:marTop w:val="0"/>
              <w:marBottom w:val="0"/>
              <w:divBdr>
                <w:top w:val="none" w:sz="0" w:space="0" w:color="auto"/>
                <w:left w:val="none" w:sz="0" w:space="0" w:color="auto"/>
                <w:bottom w:val="none" w:sz="0" w:space="0" w:color="auto"/>
                <w:right w:val="none" w:sz="0" w:space="0" w:color="auto"/>
              </w:divBdr>
            </w:div>
            <w:div w:id="1951887122">
              <w:marLeft w:val="0"/>
              <w:marRight w:val="0"/>
              <w:marTop w:val="0"/>
              <w:marBottom w:val="0"/>
              <w:divBdr>
                <w:top w:val="none" w:sz="0" w:space="0" w:color="auto"/>
                <w:left w:val="none" w:sz="0" w:space="0" w:color="auto"/>
                <w:bottom w:val="none" w:sz="0" w:space="0" w:color="auto"/>
                <w:right w:val="none" w:sz="0" w:space="0" w:color="auto"/>
              </w:divBdr>
            </w:div>
            <w:div w:id="1974170711">
              <w:marLeft w:val="0"/>
              <w:marRight w:val="0"/>
              <w:marTop w:val="0"/>
              <w:marBottom w:val="0"/>
              <w:divBdr>
                <w:top w:val="none" w:sz="0" w:space="0" w:color="auto"/>
                <w:left w:val="none" w:sz="0" w:space="0" w:color="auto"/>
                <w:bottom w:val="none" w:sz="0" w:space="0" w:color="auto"/>
                <w:right w:val="none" w:sz="0" w:space="0" w:color="auto"/>
              </w:divBdr>
            </w:div>
            <w:div w:id="21049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7241">
      <w:bodyDiv w:val="1"/>
      <w:marLeft w:val="0"/>
      <w:marRight w:val="0"/>
      <w:marTop w:val="0"/>
      <w:marBottom w:val="0"/>
      <w:divBdr>
        <w:top w:val="none" w:sz="0" w:space="0" w:color="auto"/>
        <w:left w:val="none" w:sz="0" w:space="0" w:color="auto"/>
        <w:bottom w:val="none" w:sz="0" w:space="0" w:color="auto"/>
        <w:right w:val="none" w:sz="0" w:space="0" w:color="auto"/>
      </w:divBdr>
      <w:divsChild>
        <w:div w:id="971715699">
          <w:marLeft w:val="0"/>
          <w:marRight w:val="0"/>
          <w:marTop w:val="0"/>
          <w:marBottom w:val="0"/>
          <w:divBdr>
            <w:top w:val="none" w:sz="0" w:space="0" w:color="auto"/>
            <w:left w:val="none" w:sz="0" w:space="0" w:color="auto"/>
            <w:bottom w:val="none" w:sz="0" w:space="0" w:color="auto"/>
            <w:right w:val="none" w:sz="0" w:space="0" w:color="auto"/>
          </w:divBdr>
          <w:divsChild>
            <w:div w:id="206570492">
              <w:marLeft w:val="0"/>
              <w:marRight w:val="0"/>
              <w:marTop w:val="0"/>
              <w:marBottom w:val="0"/>
              <w:divBdr>
                <w:top w:val="none" w:sz="0" w:space="0" w:color="auto"/>
                <w:left w:val="none" w:sz="0" w:space="0" w:color="auto"/>
                <w:bottom w:val="none" w:sz="0" w:space="0" w:color="auto"/>
                <w:right w:val="none" w:sz="0" w:space="0" w:color="auto"/>
              </w:divBdr>
            </w:div>
            <w:div w:id="428743462">
              <w:marLeft w:val="0"/>
              <w:marRight w:val="0"/>
              <w:marTop w:val="0"/>
              <w:marBottom w:val="0"/>
              <w:divBdr>
                <w:top w:val="none" w:sz="0" w:space="0" w:color="auto"/>
                <w:left w:val="none" w:sz="0" w:space="0" w:color="auto"/>
                <w:bottom w:val="none" w:sz="0" w:space="0" w:color="auto"/>
                <w:right w:val="none" w:sz="0" w:space="0" w:color="auto"/>
              </w:divBdr>
            </w:div>
            <w:div w:id="1080251332">
              <w:marLeft w:val="0"/>
              <w:marRight w:val="0"/>
              <w:marTop w:val="0"/>
              <w:marBottom w:val="0"/>
              <w:divBdr>
                <w:top w:val="none" w:sz="0" w:space="0" w:color="auto"/>
                <w:left w:val="none" w:sz="0" w:space="0" w:color="auto"/>
                <w:bottom w:val="none" w:sz="0" w:space="0" w:color="auto"/>
                <w:right w:val="none" w:sz="0" w:space="0" w:color="auto"/>
              </w:divBdr>
            </w:div>
            <w:div w:id="189839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09518">
      <w:bodyDiv w:val="1"/>
      <w:marLeft w:val="0"/>
      <w:marRight w:val="0"/>
      <w:marTop w:val="0"/>
      <w:marBottom w:val="0"/>
      <w:divBdr>
        <w:top w:val="none" w:sz="0" w:space="0" w:color="auto"/>
        <w:left w:val="none" w:sz="0" w:space="0" w:color="auto"/>
        <w:bottom w:val="none" w:sz="0" w:space="0" w:color="auto"/>
        <w:right w:val="none" w:sz="0" w:space="0" w:color="auto"/>
      </w:divBdr>
      <w:divsChild>
        <w:div w:id="1988364967">
          <w:marLeft w:val="0"/>
          <w:marRight w:val="0"/>
          <w:marTop w:val="0"/>
          <w:marBottom w:val="0"/>
          <w:divBdr>
            <w:top w:val="none" w:sz="0" w:space="0" w:color="auto"/>
            <w:left w:val="none" w:sz="0" w:space="0" w:color="auto"/>
            <w:bottom w:val="none" w:sz="0" w:space="0" w:color="auto"/>
            <w:right w:val="none" w:sz="0" w:space="0" w:color="auto"/>
          </w:divBdr>
          <w:divsChild>
            <w:div w:id="1175221836">
              <w:marLeft w:val="0"/>
              <w:marRight w:val="0"/>
              <w:marTop w:val="0"/>
              <w:marBottom w:val="0"/>
              <w:divBdr>
                <w:top w:val="none" w:sz="0" w:space="0" w:color="auto"/>
                <w:left w:val="none" w:sz="0" w:space="0" w:color="auto"/>
                <w:bottom w:val="none" w:sz="0" w:space="0" w:color="auto"/>
                <w:right w:val="none" w:sz="0" w:space="0" w:color="auto"/>
              </w:divBdr>
            </w:div>
            <w:div w:id="19814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17968">
      <w:bodyDiv w:val="1"/>
      <w:marLeft w:val="0"/>
      <w:marRight w:val="0"/>
      <w:marTop w:val="0"/>
      <w:marBottom w:val="0"/>
      <w:divBdr>
        <w:top w:val="none" w:sz="0" w:space="0" w:color="auto"/>
        <w:left w:val="none" w:sz="0" w:space="0" w:color="auto"/>
        <w:bottom w:val="none" w:sz="0" w:space="0" w:color="auto"/>
        <w:right w:val="none" w:sz="0" w:space="0" w:color="auto"/>
      </w:divBdr>
      <w:divsChild>
        <w:div w:id="1254318435">
          <w:marLeft w:val="0"/>
          <w:marRight w:val="0"/>
          <w:marTop w:val="0"/>
          <w:marBottom w:val="0"/>
          <w:divBdr>
            <w:top w:val="none" w:sz="0" w:space="0" w:color="auto"/>
            <w:left w:val="none" w:sz="0" w:space="0" w:color="auto"/>
            <w:bottom w:val="none" w:sz="0" w:space="0" w:color="auto"/>
            <w:right w:val="none" w:sz="0" w:space="0" w:color="auto"/>
          </w:divBdr>
        </w:div>
      </w:divsChild>
    </w:div>
    <w:div w:id="1157725814">
      <w:marLeft w:val="0"/>
      <w:marRight w:val="0"/>
      <w:marTop w:val="0"/>
      <w:marBottom w:val="0"/>
      <w:divBdr>
        <w:top w:val="none" w:sz="0" w:space="0" w:color="auto"/>
        <w:left w:val="none" w:sz="0" w:space="0" w:color="auto"/>
        <w:bottom w:val="none" w:sz="0" w:space="0" w:color="auto"/>
        <w:right w:val="none" w:sz="0" w:space="0" w:color="auto"/>
      </w:divBdr>
    </w:div>
    <w:div w:id="1157725817">
      <w:marLeft w:val="0"/>
      <w:marRight w:val="0"/>
      <w:marTop w:val="0"/>
      <w:marBottom w:val="0"/>
      <w:divBdr>
        <w:top w:val="none" w:sz="0" w:space="0" w:color="auto"/>
        <w:left w:val="none" w:sz="0" w:space="0" w:color="auto"/>
        <w:bottom w:val="none" w:sz="0" w:space="0" w:color="auto"/>
        <w:right w:val="none" w:sz="0" w:space="0" w:color="auto"/>
      </w:divBdr>
    </w:div>
    <w:div w:id="1157725818">
      <w:marLeft w:val="0"/>
      <w:marRight w:val="0"/>
      <w:marTop w:val="0"/>
      <w:marBottom w:val="0"/>
      <w:divBdr>
        <w:top w:val="none" w:sz="0" w:space="0" w:color="auto"/>
        <w:left w:val="none" w:sz="0" w:space="0" w:color="auto"/>
        <w:bottom w:val="none" w:sz="0" w:space="0" w:color="auto"/>
        <w:right w:val="none" w:sz="0" w:space="0" w:color="auto"/>
      </w:divBdr>
    </w:div>
    <w:div w:id="1157725819">
      <w:marLeft w:val="0"/>
      <w:marRight w:val="0"/>
      <w:marTop w:val="0"/>
      <w:marBottom w:val="0"/>
      <w:divBdr>
        <w:top w:val="none" w:sz="0" w:space="0" w:color="auto"/>
        <w:left w:val="none" w:sz="0" w:space="0" w:color="auto"/>
        <w:bottom w:val="none" w:sz="0" w:space="0" w:color="auto"/>
        <w:right w:val="none" w:sz="0" w:space="0" w:color="auto"/>
      </w:divBdr>
    </w:div>
    <w:div w:id="1157725823">
      <w:marLeft w:val="0"/>
      <w:marRight w:val="0"/>
      <w:marTop w:val="0"/>
      <w:marBottom w:val="0"/>
      <w:divBdr>
        <w:top w:val="none" w:sz="0" w:space="0" w:color="auto"/>
        <w:left w:val="none" w:sz="0" w:space="0" w:color="auto"/>
        <w:bottom w:val="none" w:sz="0" w:space="0" w:color="auto"/>
        <w:right w:val="none" w:sz="0" w:space="0" w:color="auto"/>
      </w:divBdr>
    </w:div>
    <w:div w:id="1157725824">
      <w:marLeft w:val="0"/>
      <w:marRight w:val="0"/>
      <w:marTop w:val="0"/>
      <w:marBottom w:val="0"/>
      <w:divBdr>
        <w:top w:val="none" w:sz="0" w:space="0" w:color="auto"/>
        <w:left w:val="none" w:sz="0" w:space="0" w:color="auto"/>
        <w:bottom w:val="none" w:sz="0" w:space="0" w:color="auto"/>
        <w:right w:val="none" w:sz="0" w:space="0" w:color="auto"/>
      </w:divBdr>
      <w:divsChild>
        <w:div w:id="1157725820">
          <w:marLeft w:val="274"/>
          <w:marRight w:val="0"/>
          <w:marTop w:val="0"/>
          <w:marBottom w:val="0"/>
          <w:divBdr>
            <w:top w:val="none" w:sz="0" w:space="0" w:color="auto"/>
            <w:left w:val="none" w:sz="0" w:space="0" w:color="auto"/>
            <w:bottom w:val="none" w:sz="0" w:space="0" w:color="auto"/>
            <w:right w:val="none" w:sz="0" w:space="0" w:color="auto"/>
          </w:divBdr>
        </w:div>
        <w:div w:id="1157725832">
          <w:marLeft w:val="274"/>
          <w:marRight w:val="0"/>
          <w:marTop w:val="0"/>
          <w:marBottom w:val="0"/>
          <w:divBdr>
            <w:top w:val="none" w:sz="0" w:space="0" w:color="auto"/>
            <w:left w:val="none" w:sz="0" w:space="0" w:color="auto"/>
            <w:bottom w:val="none" w:sz="0" w:space="0" w:color="auto"/>
            <w:right w:val="none" w:sz="0" w:space="0" w:color="auto"/>
          </w:divBdr>
        </w:div>
      </w:divsChild>
    </w:div>
    <w:div w:id="1157725825">
      <w:marLeft w:val="0"/>
      <w:marRight w:val="0"/>
      <w:marTop w:val="0"/>
      <w:marBottom w:val="0"/>
      <w:divBdr>
        <w:top w:val="none" w:sz="0" w:space="0" w:color="auto"/>
        <w:left w:val="none" w:sz="0" w:space="0" w:color="auto"/>
        <w:bottom w:val="none" w:sz="0" w:space="0" w:color="auto"/>
        <w:right w:val="none" w:sz="0" w:space="0" w:color="auto"/>
      </w:divBdr>
      <w:divsChild>
        <w:div w:id="1157725815">
          <w:marLeft w:val="0"/>
          <w:marRight w:val="0"/>
          <w:marTop w:val="0"/>
          <w:marBottom w:val="0"/>
          <w:divBdr>
            <w:top w:val="none" w:sz="0" w:space="0" w:color="auto"/>
            <w:left w:val="none" w:sz="0" w:space="0" w:color="auto"/>
            <w:bottom w:val="none" w:sz="0" w:space="0" w:color="auto"/>
            <w:right w:val="none" w:sz="0" w:space="0" w:color="auto"/>
          </w:divBdr>
        </w:div>
        <w:div w:id="1157725828">
          <w:marLeft w:val="0"/>
          <w:marRight w:val="0"/>
          <w:marTop w:val="0"/>
          <w:marBottom w:val="0"/>
          <w:divBdr>
            <w:top w:val="none" w:sz="0" w:space="0" w:color="auto"/>
            <w:left w:val="none" w:sz="0" w:space="0" w:color="auto"/>
            <w:bottom w:val="none" w:sz="0" w:space="0" w:color="auto"/>
            <w:right w:val="none" w:sz="0" w:space="0" w:color="auto"/>
          </w:divBdr>
        </w:div>
      </w:divsChild>
    </w:div>
    <w:div w:id="1157725826">
      <w:marLeft w:val="0"/>
      <w:marRight w:val="0"/>
      <w:marTop w:val="0"/>
      <w:marBottom w:val="0"/>
      <w:divBdr>
        <w:top w:val="none" w:sz="0" w:space="0" w:color="auto"/>
        <w:left w:val="none" w:sz="0" w:space="0" w:color="auto"/>
        <w:bottom w:val="none" w:sz="0" w:space="0" w:color="auto"/>
        <w:right w:val="none" w:sz="0" w:space="0" w:color="auto"/>
      </w:divBdr>
    </w:div>
    <w:div w:id="1157725827">
      <w:marLeft w:val="0"/>
      <w:marRight w:val="0"/>
      <w:marTop w:val="0"/>
      <w:marBottom w:val="0"/>
      <w:divBdr>
        <w:top w:val="none" w:sz="0" w:space="0" w:color="auto"/>
        <w:left w:val="none" w:sz="0" w:space="0" w:color="auto"/>
        <w:bottom w:val="none" w:sz="0" w:space="0" w:color="auto"/>
        <w:right w:val="none" w:sz="0" w:space="0" w:color="auto"/>
      </w:divBdr>
    </w:div>
    <w:div w:id="1157725830">
      <w:marLeft w:val="0"/>
      <w:marRight w:val="0"/>
      <w:marTop w:val="0"/>
      <w:marBottom w:val="0"/>
      <w:divBdr>
        <w:top w:val="none" w:sz="0" w:space="0" w:color="auto"/>
        <w:left w:val="none" w:sz="0" w:space="0" w:color="auto"/>
        <w:bottom w:val="none" w:sz="0" w:space="0" w:color="auto"/>
        <w:right w:val="none" w:sz="0" w:space="0" w:color="auto"/>
      </w:divBdr>
    </w:div>
    <w:div w:id="1157725831">
      <w:marLeft w:val="0"/>
      <w:marRight w:val="0"/>
      <w:marTop w:val="0"/>
      <w:marBottom w:val="0"/>
      <w:divBdr>
        <w:top w:val="none" w:sz="0" w:space="0" w:color="auto"/>
        <w:left w:val="none" w:sz="0" w:space="0" w:color="auto"/>
        <w:bottom w:val="none" w:sz="0" w:space="0" w:color="auto"/>
        <w:right w:val="none" w:sz="0" w:space="0" w:color="auto"/>
      </w:divBdr>
    </w:div>
    <w:div w:id="1157725833">
      <w:marLeft w:val="0"/>
      <w:marRight w:val="0"/>
      <w:marTop w:val="0"/>
      <w:marBottom w:val="0"/>
      <w:divBdr>
        <w:top w:val="none" w:sz="0" w:space="0" w:color="auto"/>
        <w:left w:val="none" w:sz="0" w:space="0" w:color="auto"/>
        <w:bottom w:val="none" w:sz="0" w:space="0" w:color="auto"/>
        <w:right w:val="none" w:sz="0" w:space="0" w:color="auto"/>
      </w:divBdr>
      <w:divsChild>
        <w:div w:id="1157725813">
          <w:marLeft w:val="0"/>
          <w:marRight w:val="0"/>
          <w:marTop w:val="0"/>
          <w:marBottom w:val="0"/>
          <w:divBdr>
            <w:top w:val="none" w:sz="0" w:space="0" w:color="auto"/>
            <w:left w:val="none" w:sz="0" w:space="0" w:color="auto"/>
            <w:bottom w:val="none" w:sz="0" w:space="0" w:color="auto"/>
            <w:right w:val="none" w:sz="0" w:space="0" w:color="auto"/>
          </w:divBdr>
          <w:divsChild>
            <w:div w:id="1157725829">
              <w:marLeft w:val="0"/>
              <w:marRight w:val="0"/>
              <w:marTop w:val="0"/>
              <w:marBottom w:val="0"/>
              <w:divBdr>
                <w:top w:val="none" w:sz="0" w:space="0" w:color="auto"/>
                <w:left w:val="none" w:sz="0" w:space="0" w:color="auto"/>
                <w:bottom w:val="none" w:sz="0" w:space="0" w:color="auto"/>
                <w:right w:val="none" w:sz="0" w:space="0" w:color="auto"/>
              </w:divBdr>
              <w:divsChild>
                <w:div w:id="1157725816">
                  <w:marLeft w:val="0"/>
                  <w:marRight w:val="0"/>
                  <w:marTop w:val="0"/>
                  <w:marBottom w:val="0"/>
                  <w:divBdr>
                    <w:top w:val="none" w:sz="0" w:space="0" w:color="auto"/>
                    <w:left w:val="none" w:sz="0" w:space="0" w:color="auto"/>
                    <w:bottom w:val="none" w:sz="0" w:space="0" w:color="auto"/>
                    <w:right w:val="none" w:sz="0" w:space="0" w:color="auto"/>
                  </w:divBdr>
                  <w:divsChild>
                    <w:div w:id="11577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725822">
          <w:marLeft w:val="0"/>
          <w:marRight w:val="0"/>
          <w:marTop w:val="0"/>
          <w:marBottom w:val="0"/>
          <w:divBdr>
            <w:top w:val="none" w:sz="0" w:space="0" w:color="auto"/>
            <w:left w:val="none" w:sz="0" w:space="0" w:color="auto"/>
            <w:bottom w:val="none" w:sz="0" w:space="0" w:color="auto"/>
            <w:right w:val="none" w:sz="0" w:space="0" w:color="auto"/>
          </w:divBdr>
        </w:div>
        <w:div w:id="1157725834">
          <w:marLeft w:val="0"/>
          <w:marRight w:val="0"/>
          <w:marTop w:val="0"/>
          <w:marBottom w:val="0"/>
          <w:divBdr>
            <w:top w:val="none" w:sz="0" w:space="0" w:color="auto"/>
            <w:left w:val="none" w:sz="0" w:space="0" w:color="auto"/>
            <w:bottom w:val="none" w:sz="0" w:space="0" w:color="auto"/>
            <w:right w:val="none" w:sz="0" w:space="0" w:color="auto"/>
          </w:divBdr>
        </w:div>
      </w:divsChild>
    </w:div>
    <w:div w:id="1157725835">
      <w:marLeft w:val="0"/>
      <w:marRight w:val="0"/>
      <w:marTop w:val="0"/>
      <w:marBottom w:val="0"/>
      <w:divBdr>
        <w:top w:val="none" w:sz="0" w:space="0" w:color="auto"/>
        <w:left w:val="none" w:sz="0" w:space="0" w:color="auto"/>
        <w:bottom w:val="none" w:sz="0" w:space="0" w:color="auto"/>
        <w:right w:val="none" w:sz="0" w:space="0" w:color="auto"/>
      </w:divBdr>
    </w:div>
    <w:div w:id="1184784016">
      <w:bodyDiv w:val="1"/>
      <w:marLeft w:val="0"/>
      <w:marRight w:val="0"/>
      <w:marTop w:val="0"/>
      <w:marBottom w:val="0"/>
      <w:divBdr>
        <w:top w:val="none" w:sz="0" w:space="0" w:color="auto"/>
        <w:left w:val="none" w:sz="0" w:space="0" w:color="auto"/>
        <w:bottom w:val="none" w:sz="0" w:space="0" w:color="auto"/>
        <w:right w:val="none" w:sz="0" w:space="0" w:color="auto"/>
      </w:divBdr>
      <w:divsChild>
        <w:div w:id="841161355">
          <w:marLeft w:val="0"/>
          <w:marRight w:val="0"/>
          <w:marTop w:val="0"/>
          <w:marBottom w:val="0"/>
          <w:divBdr>
            <w:top w:val="none" w:sz="0" w:space="0" w:color="auto"/>
            <w:left w:val="none" w:sz="0" w:space="0" w:color="auto"/>
            <w:bottom w:val="none" w:sz="0" w:space="0" w:color="auto"/>
            <w:right w:val="none" w:sz="0" w:space="0" w:color="auto"/>
          </w:divBdr>
          <w:divsChild>
            <w:div w:id="116532484">
              <w:marLeft w:val="0"/>
              <w:marRight w:val="0"/>
              <w:marTop w:val="0"/>
              <w:marBottom w:val="0"/>
              <w:divBdr>
                <w:top w:val="none" w:sz="0" w:space="0" w:color="auto"/>
                <w:left w:val="none" w:sz="0" w:space="0" w:color="auto"/>
                <w:bottom w:val="none" w:sz="0" w:space="0" w:color="auto"/>
                <w:right w:val="none" w:sz="0" w:space="0" w:color="auto"/>
              </w:divBdr>
            </w:div>
            <w:div w:id="558051287">
              <w:marLeft w:val="0"/>
              <w:marRight w:val="0"/>
              <w:marTop w:val="0"/>
              <w:marBottom w:val="0"/>
              <w:divBdr>
                <w:top w:val="none" w:sz="0" w:space="0" w:color="auto"/>
                <w:left w:val="none" w:sz="0" w:space="0" w:color="auto"/>
                <w:bottom w:val="none" w:sz="0" w:space="0" w:color="auto"/>
                <w:right w:val="none" w:sz="0" w:space="0" w:color="auto"/>
              </w:divBdr>
            </w:div>
            <w:div w:id="604966134">
              <w:marLeft w:val="0"/>
              <w:marRight w:val="0"/>
              <w:marTop w:val="0"/>
              <w:marBottom w:val="0"/>
              <w:divBdr>
                <w:top w:val="none" w:sz="0" w:space="0" w:color="auto"/>
                <w:left w:val="none" w:sz="0" w:space="0" w:color="auto"/>
                <w:bottom w:val="none" w:sz="0" w:space="0" w:color="auto"/>
                <w:right w:val="none" w:sz="0" w:space="0" w:color="auto"/>
              </w:divBdr>
            </w:div>
            <w:div w:id="14330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57900">
      <w:bodyDiv w:val="1"/>
      <w:marLeft w:val="0"/>
      <w:marRight w:val="0"/>
      <w:marTop w:val="0"/>
      <w:marBottom w:val="0"/>
      <w:divBdr>
        <w:top w:val="none" w:sz="0" w:space="0" w:color="auto"/>
        <w:left w:val="none" w:sz="0" w:space="0" w:color="auto"/>
        <w:bottom w:val="none" w:sz="0" w:space="0" w:color="auto"/>
        <w:right w:val="none" w:sz="0" w:space="0" w:color="auto"/>
      </w:divBdr>
      <w:divsChild>
        <w:div w:id="1229728196">
          <w:marLeft w:val="0"/>
          <w:marRight w:val="0"/>
          <w:marTop w:val="0"/>
          <w:marBottom w:val="0"/>
          <w:divBdr>
            <w:top w:val="none" w:sz="0" w:space="0" w:color="auto"/>
            <w:left w:val="none" w:sz="0" w:space="0" w:color="auto"/>
            <w:bottom w:val="none" w:sz="0" w:space="0" w:color="auto"/>
            <w:right w:val="none" w:sz="0" w:space="0" w:color="auto"/>
          </w:divBdr>
          <w:divsChild>
            <w:div w:id="449129981">
              <w:marLeft w:val="0"/>
              <w:marRight w:val="0"/>
              <w:marTop w:val="0"/>
              <w:marBottom w:val="0"/>
              <w:divBdr>
                <w:top w:val="none" w:sz="0" w:space="0" w:color="auto"/>
                <w:left w:val="none" w:sz="0" w:space="0" w:color="auto"/>
                <w:bottom w:val="none" w:sz="0" w:space="0" w:color="auto"/>
                <w:right w:val="none" w:sz="0" w:space="0" w:color="auto"/>
              </w:divBdr>
              <w:divsChild>
                <w:div w:id="943345673">
                  <w:marLeft w:val="0"/>
                  <w:marRight w:val="0"/>
                  <w:marTop w:val="0"/>
                  <w:marBottom w:val="0"/>
                  <w:divBdr>
                    <w:top w:val="none" w:sz="0" w:space="0" w:color="auto"/>
                    <w:left w:val="none" w:sz="0" w:space="0" w:color="auto"/>
                    <w:bottom w:val="none" w:sz="0" w:space="0" w:color="auto"/>
                    <w:right w:val="none" w:sz="0" w:space="0" w:color="auto"/>
                  </w:divBdr>
                  <w:divsChild>
                    <w:div w:id="79186060">
                      <w:marLeft w:val="0"/>
                      <w:marRight w:val="0"/>
                      <w:marTop w:val="0"/>
                      <w:marBottom w:val="0"/>
                      <w:divBdr>
                        <w:top w:val="none" w:sz="0" w:space="0" w:color="auto"/>
                        <w:left w:val="none" w:sz="0" w:space="0" w:color="auto"/>
                        <w:bottom w:val="none" w:sz="0" w:space="0" w:color="auto"/>
                        <w:right w:val="none" w:sz="0" w:space="0" w:color="auto"/>
                      </w:divBdr>
                      <w:divsChild>
                        <w:div w:id="708917942">
                          <w:marLeft w:val="0"/>
                          <w:marRight w:val="0"/>
                          <w:marTop w:val="0"/>
                          <w:marBottom w:val="0"/>
                          <w:divBdr>
                            <w:top w:val="none" w:sz="0" w:space="0" w:color="auto"/>
                            <w:left w:val="none" w:sz="0" w:space="0" w:color="auto"/>
                            <w:bottom w:val="none" w:sz="0" w:space="0" w:color="auto"/>
                            <w:right w:val="none" w:sz="0" w:space="0" w:color="auto"/>
                          </w:divBdr>
                          <w:divsChild>
                            <w:div w:id="15036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9.wmf"/><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miran.gaberscek@ki.si" TargetMode="Externa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CFCC9-E24A-4148-8CD6-35558AFAE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17</Pages>
  <Words>31112</Words>
  <Characters>177344</Characters>
  <Application>Microsoft Office Word</Application>
  <DocSecurity>0</DocSecurity>
  <Lines>1477</Lines>
  <Paragraphs>416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208040</CharactersWithSpaces>
  <SharedDoc>false</SharedDoc>
  <HLinks>
    <vt:vector size="6" baseType="variant">
      <vt:variant>
        <vt:i4>1572893</vt:i4>
      </vt:variant>
      <vt:variant>
        <vt:i4>102</vt:i4>
      </vt:variant>
      <vt:variant>
        <vt:i4>0</vt:i4>
      </vt:variant>
      <vt:variant>
        <vt:i4>5</vt:i4>
      </vt:variant>
      <vt:variant>
        <vt:lpwstr>http://www.springerlink.com/content/?Author=Robert+A.+Huggins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 Gaberscek</dc:creator>
  <cp:lastModifiedBy>Miran Gaberscek</cp:lastModifiedBy>
  <cp:revision>23</cp:revision>
  <cp:lastPrinted>2015-07-22T17:40:00Z</cp:lastPrinted>
  <dcterms:created xsi:type="dcterms:W3CDTF">2015-12-16T09:05:00Z</dcterms:created>
  <dcterms:modified xsi:type="dcterms:W3CDTF">2015-12-18T13:00:00Z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joze.moskon@ki.si@www.mendeley.com</vt:lpwstr>
  </property>
  <property fmtid="{D5CDD505-2E9C-101B-9397-08002B2CF9AE}" pid="4" name="Mendeley Citation Style_1">
    <vt:lpwstr>http://csl.mendeley.com/styles/27081341/Acta-Chimica-Slovenica</vt:lpwstr>
  </property>
  <property fmtid="{D5CDD505-2E9C-101B-9397-08002B2CF9AE}" pid="5" name="Mendeley Recent Style Id 0_1">
    <vt:lpwstr>http://csl.mendeley.com/styles/27081341/Acta-Chimica-Slovenica</vt:lpwstr>
  </property>
  <property fmtid="{D5CDD505-2E9C-101B-9397-08002B2CF9AE}" pid="6" name="Mendeley Recent Style Name 0_1">
    <vt:lpwstr>Acta Chimica Slovenica</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http://csl.mendeley.com/styles/91715281/Doktorat-2</vt:lpwstr>
  </property>
  <property fmtid="{D5CDD505-2E9C-101B-9397-08002B2CF9AE}" pid="16" name="Mendeley Recent Style Name 5_1">
    <vt:lpwstr>Doktorat - Vida Lapornik</vt:lpwstr>
  </property>
  <property fmtid="{D5CDD505-2E9C-101B-9397-08002B2CF9AE}" pid="17" name="Mendeley Recent Style Id 6_1">
    <vt:lpwstr>http://csl.mendeley.com/styles/27081341/Journal-of-Power-Sources-BREZ-doi</vt:lpwstr>
  </property>
  <property fmtid="{D5CDD505-2E9C-101B-9397-08002B2CF9AE}" pid="18" name="Mendeley Recent Style Name 6_1">
    <vt:lpwstr>Elsevier (numeric, with titles) - Joze Moskon</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http://www.zotero.org/styles/journal-of-power-sources</vt:lpwstr>
  </property>
  <property fmtid="{D5CDD505-2E9C-101B-9397-08002B2CF9AE}" pid="22" name="Mendeley Recent Style Name 8_1">
    <vt:lpwstr>Journal of Power Sources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