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E6" w:rsidRPr="00CE604E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b/>
          <w:bCs/>
          <w:color w:val="000000"/>
        </w:rPr>
      </w:pPr>
      <w:r>
        <w:rPr>
          <w:b/>
          <w:bCs/>
          <w:color w:val="000000"/>
        </w:rPr>
        <w:t>N</w:t>
      </w:r>
      <w:r w:rsidRPr="00CE604E">
        <w:rPr>
          <w:b/>
          <w:bCs/>
          <w:color w:val="000000"/>
        </w:rPr>
        <w:t>ovelties:</w:t>
      </w:r>
    </w:p>
    <w:p w:rsidR="00DC4AE6" w:rsidRPr="00B801EC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color w:val="000000"/>
        </w:rPr>
      </w:pPr>
      <w:bookmarkStart w:id="0" w:name="_GoBack"/>
      <w:r w:rsidRPr="00B801EC">
        <w:rPr>
          <w:color w:val="000000"/>
        </w:rPr>
        <w:t xml:space="preserve">1) No study has reported the chemiluminescence determination of </w:t>
      </w:r>
      <w:r>
        <w:rPr>
          <w:color w:val="000000"/>
        </w:rPr>
        <w:t>mepivacaine up to now</w:t>
      </w:r>
      <w:r w:rsidRPr="00B801EC">
        <w:rPr>
          <w:color w:val="000000"/>
        </w:rPr>
        <w:t>.</w:t>
      </w:r>
    </w:p>
    <w:p w:rsidR="00DC4AE6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color w:val="000000"/>
        </w:rPr>
      </w:pPr>
      <w:r>
        <w:rPr>
          <w:color w:val="000000"/>
        </w:rPr>
        <w:t>2</w:t>
      </w:r>
      <w:r w:rsidRPr="00B801EC">
        <w:rPr>
          <w:color w:val="000000"/>
        </w:rPr>
        <w:t xml:space="preserve">) This method has </w:t>
      </w:r>
      <w:r>
        <w:rPr>
          <w:color w:val="000000"/>
        </w:rPr>
        <w:t xml:space="preserve">a </w:t>
      </w:r>
      <w:r w:rsidRPr="00B801EC">
        <w:rPr>
          <w:color w:val="000000"/>
        </w:rPr>
        <w:t xml:space="preserve">good limit </w:t>
      </w:r>
      <w:r>
        <w:rPr>
          <w:color w:val="000000"/>
        </w:rPr>
        <w:t xml:space="preserve">of detection </w:t>
      </w:r>
      <w:r w:rsidRPr="00B801EC">
        <w:rPr>
          <w:color w:val="000000"/>
        </w:rPr>
        <w:t xml:space="preserve">which is </w:t>
      </w:r>
      <w:r>
        <w:rPr>
          <w:color w:val="000000"/>
        </w:rPr>
        <w:t xml:space="preserve">10 times </w:t>
      </w:r>
      <w:r w:rsidRPr="00B801EC">
        <w:rPr>
          <w:color w:val="000000"/>
        </w:rPr>
        <w:t xml:space="preserve">lower than therapeutic concentration of </w:t>
      </w:r>
      <w:r w:rsidR="00A877FA">
        <w:rPr>
          <w:color w:val="000000"/>
        </w:rPr>
        <w:t xml:space="preserve">mepivacaine </w:t>
      </w:r>
      <w:r w:rsidR="00A877FA" w:rsidRPr="00B801EC">
        <w:rPr>
          <w:color w:val="000000"/>
        </w:rPr>
        <w:t>in</w:t>
      </w:r>
      <w:r w:rsidRPr="00B801EC">
        <w:rPr>
          <w:color w:val="000000"/>
        </w:rPr>
        <w:t xml:space="preserve"> human </w:t>
      </w:r>
      <w:r>
        <w:rPr>
          <w:color w:val="000000"/>
        </w:rPr>
        <w:t>plasma</w:t>
      </w:r>
      <w:r w:rsidRPr="00B801EC">
        <w:rPr>
          <w:color w:val="000000"/>
        </w:rPr>
        <w:t>.</w:t>
      </w:r>
      <w:r>
        <w:rPr>
          <w:color w:val="000000"/>
        </w:rPr>
        <w:t xml:space="preserve"> </w:t>
      </w:r>
    </w:p>
    <w:p w:rsidR="00DC4AE6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color w:val="000000"/>
        </w:rPr>
      </w:pPr>
      <w:r>
        <w:rPr>
          <w:lang w:val="de-DE"/>
        </w:rPr>
        <w:t xml:space="preserve">3) </w:t>
      </w:r>
      <w:r w:rsidRPr="00F74520">
        <w:rPr>
          <w:lang w:val="de-DE"/>
        </w:rPr>
        <w:t xml:space="preserve">The broad time profile of </w:t>
      </w:r>
      <w:r>
        <w:rPr>
          <w:lang w:val="de-DE"/>
        </w:rPr>
        <w:t>mepivacaine</w:t>
      </w:r>
      <w:r w:rsidRPr="00F74520">
        <w:rPr>
          <w:lang w:val="de-DE"/>
        </w:rPr>
        <w:t xml:space="preserve"> allowed us to determine </w:t>
      </w:r>
      <w:r>
        <w:rPr>
          <w:lang w:val="de-DE"/>
        </w:rPr>
        <w:t>mepivacaine</w:t>
      </w:r>
      <w:r w:rsidRPr="00F74520">
        <w:rPr>
          <w:lang w:val="de-DE"/>
        </w:rPr>
        <w:t xml:space="preserve"> in plasma samples with minimum blank interferences from cysteine and ascorbic acid</w:t>
      </w:r>
      <w:r>
        <w:rPr>
          <w:lang w:val="de-DE"/>
        </w:rPr>
        <w:t xml:space="preserve"> (</w:t>
      </w:r>
      <w:r w:rsidRPr="006D1953">
        <w:rPr>
          <w:lang w:val="de-DE"/>
        </w:rPr>
        <w:t>time resolve CL</w:t>
      </w:r>
      <w:r>
        <w:rPr>
          <w:lang w:val="de-DE"/>
        </w:rPr>
        <w:t>)</w:t>
      </w:r>
      <w:r w:rsidRPr="00F74520">
        <w:rPr>
          <w:lang w:val="de-DE"/>
        </w:rPr>
        <w:t>.</w:t>
      </w:r>
    </w:p>
    <w:p w:rsidR="00DC4AE6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color w:val="000000"/>
        </w:rPr>
      </w:pPr>
      <w:r>
        <w:rPr>
          <w:color w:val="000000"/>
        </w:rPr>
        <w:t>4</w:t>
      </w:r>
      <w:r w:rsidRPr="00B801EC">
        <w:rPr>
          <w:color w:val="000000"/>
        </w:rPr>
        <w:t xml:space="preserve">) Good recoveries obtained for the quantification of </w:t>
      </w:r>
      <w:r>
        <w:rPr>
          <w:color w:val="000000"/>
        </w:rPr>
        <w:t>mepivacaine</w:t>
      </w:r>
      <w:r w:rsidRPr="00B801EC">
        <w:rPr>
          <w:color w:val="000000"/>
        </w:rPr>
        <w:t xml:space="preserve"> in real samples such as human </w:t>
      </w:r>
      <w:r>
        <w:rPr>
          <w:color w:val="000000"/>
        </w:rPr>
        <w:t>plasma</w:t>
      </w:r>
      <w:r w:rsidRPr="00B801EC">
        <w:rPr>
          <w:color w:val="000000"/>
        </w:rPr>
        <w:t xml:space="preserve"> and </w:t>
      </w:r>
      <w:r>
        <w:rPr>
          <w:color w:val="000000"/>
        </w:rPr>
        <w:t>injections</w:t>
      </w:r>
      <w:r w:rsidRPr="00B801EC">
        <w:rPr>
          <w:color w:val="000000"/>
        </w:rPr>
        <w:t>.</w:t>
      </w:r>
    </w:p>
    <w:p w:rsidR="00DC4AE6" w:rsidRPr="00B475A0" w:rsidRDefault="00DC4AE6" w:rsidP="00B475A0">
      <w:pPr>
        <w:autoSpaceDE w:val="0"/>
        <w:autoSpaceDN w:val="0"/>
        <w:adjustRightInd w:val="0"/>
        <w:snapToGrid w:val="0"/>
        <w:spacing w:after="0" w:line="360" w:lineRule="auto"/>
        <w:jc w:val="lowKashida"/>
        <w:rPr>
          <w:color w:val="000000"/>
        </w:rPr>
      </w:pPr>
      <w:r>
        <w:rPr>
          <w:color w:val="000000"/>
        </w:rPr>
        <w:t xml:space="preserve">5) </w:t>
      </w:r>
      <w:r w:rsidRPr="00927E76">
        <w:t>A mechanism for the CL reaction has been proposed on the basis of UV-Vis, fluorescent and CL spectra.</w:t>
      </w:r>
      <w:bookmarkEnd w:id="0"/>
    </w:p>
    <w:sectPr w:rsidR="00DC4AE6" w:rsidRPr="00B4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E6"/>
    <w:rsid w:val="00343477"/>
    <w:rsid w:val="005B682C"/>
    <w:rsid w:val="00734E86"/>
    <w:rsid w:val="009A6BCF"/>
    <w:rsid w:val="00A877FA"/>
    <w:rsid w:val="00B475A0"/>
    <w:rsid w:val="00D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2015-11-15T15:09:00Z</dcterms:created>
  <dcterms:modified xsi:type="dcterms:W3CDTF">2015-11-15T15:21:00Z</dcterms:modified>
</cp:coreProperties>
</file>