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46C" w:rsidRDefault="0013746C" w:rsidP="0013746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164B5">
        <w:rPr>
          <w:noProof/>
          <w:lang w:eastAsia="tr-TR"/>
        </w:rPr>
        <w:drawing>
          <wp:inline distT="0" distB="0" distL="0" distR="0" wp14:anchorId="7783DFF9" wp14:editId="19343CF5">
            <wp:extent cx="3609975" cy="4810945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374" cy="481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46C" w:rsidRDefault="0013746C" w:rsidP="0013746C">
      <w:pPr>
        <w:spacing w:line="240" w:lineRule="auto"/>
        <w:jc w:val="both"/>
        <w:rPr>
          <w:rFonts w:ascii="Times New Roman" w:hAnsi="Times New Roman" w:cs="Times New Roman"/>
          <w:lang w:val="en-US"/>
        </w:rPr>
      </w:pPr>
      <w:r w:rsidRPr="0013746C">
        <w:rPr>
          <w:rFonts w:ascii="Times New Roman" w:hAnsi="Times New Roman" w:cs="Times New Roman"/>
          <w:b/>
          <w:bCs/>
        </w:rPr>
        <w:t xml:space="preserve">Figure 6. </w:t>
      </w:r>
      <w:r w:rsidRPr="0013746C">
        <w:rPr>
          <w:rFonts w:ascii="Times New Roman" w:hAnsi="Times New Roman" w:cs="Times New Roman"/>
          <w:lang w:val="en-US"/>
        </w:rPr>
        <w:t>The plots of the predictor variables of the established PLS (a) and PCR (b) models</w:t>
      </w:r>
    </w:p>
    <w:p w:rsidR="003F07C1" w:rsidRDefault="003F07C1">
      <w:bookmarkStart w:id="0" w:name="_GoBack"/>
      <w:bookmarkEnd w:id="0"/>
    </w:p>
    <w:sectPr w:rsidR="003F0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46C"/>
    <w:rsid w:val="0013746C"/>
    <w:rsid w:val="003F0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A22085-490A-44CA-9BBE-E926271D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46C"/>
    <w:pPr>
      <w:spacing w:after="0" w:line="36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kullanicii</dc:creator>
  <cp:keywords/>
  <dc:description/>
  <cp:lastModifiedBy>kullanicii</cp:lastModifiedBy>
  <cp:revision>1</cp:revision>
  <dcterms:created xsi:type="dcterms:W3CDTF">2015-01-27T13:22:00Z</dcterms:created>
  <dcterms:modified xsi:type="dcterms:W3CDTF">2015-01-27T13:22:00Z</dcterms:modified>
</cp:coreProperties>
</file>